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3332" w14:textId="46C117B6" w:rsidR="002B5563" w:rsidRDefault="002321CA" w:rsidP="002B5563">
      <w:pPr>
        <w:pStyle w:val="1-MainHeading"/>
        <w:spacing w:after="120"/>
        <w:contextualSpacing/>
      </w:pPr>
      <w:bookmarkStart w:id="0" w:name="_Toc135223314"/>
      <w:bookmarkStart w:id="1" w:name="_Toc113979731"/>
      <w:r>
        <w:t>7.03</w:t>
      </w:r>
      <w:r w:rsidR="00B02CBA">
        <w:tab/>
      </w:r>
      <w:r w:rsidR="002B5563">
        <w:t>MAVACAMTEN</w:t>
      </w:r>
      <w:r w:rsidR="00B02CBA">
        <w:t>,</w:t>
      </w:r>
      <w:bookmarkEnd w:id="0"/>
      <w:r w:rsidR="00FF2A60">
        <w:t xml:space="preserve"> </w:t>
      </w:r>
    </w:p>
    <w:p w14:paraId="0152FCFB" w14:textId="77777777" w:rsidR="002B5563" w:rsidRDefault="00B02CBA" w:rsidP="002B5563">
      <w:pPr>
        <w:pStyle w:val="1-MainHeading"/>
        <w:spacing w:after="120"/>
        <w:ind w:firstLine="0"/>
        <w:contextualSpacing/>
      </w:pPr>
      <w:bookmarkStart w:id="2" w:name="_Toc135223315"/>
      <w:r>
        <w:t>Capsule 2.5 mg</w:t>
      </w:r>
      <w:r w:rsidR="002B5563">
        <w:t>,</w:t>
      </w:r>
      <w:r w:rsidR="00FF2A60">
        <w:t xml:space="preserve"> </w:t>
      </w:r>
      <w:proofErr w:type="gramStart"/>
      <w:r>
        <w:t>Capsule</w:t>
      </w:r>
      <w:proofErr w:type="gramEnd"/>
      <w:r>
        <w:t xml:space="preserve"> 5 mg</w:t>
      </w:r>
      <w:r w:rsidR="002B5563">
        <w:t>,</w:t>
      </w:r>
      <w:r w:rsidR="00FF2A60">
        <w:t xml:space="preserve"> </w:t>
      </w:r>
      <w:r>
        <w:t>Capsule 10 mg</w:t>
      </w:r>
      <w:r w:rsidR="002B5563">
        <w:t>,</w:t>
      </w:r>
      <w:r w:rsidR="00FF2A60">
        <w:t xml:space="preserve"> </w:t>
      </w:r>
      <w:r>
        <w:t>Capsule 15 mg</w:t>
      </w:r>
      <w:r w:rsidR="003A0EA6">
        <w:t>,</w:t>
      </w:r>
      <w:r>
        <w:br/>
        <w:t>Camzyos</w:t>
      </w:r>
      <w:r w:rsidR="002B5563" w:rsidRPr="004A6040">
        <w:rPr>
          <w:vertAlign w:val="superscript"/>
        </w:rPr>
        <w:t>®</w:t>
      </w:r>
      <w:r w:rsidRPr="004A6040">
        <w:t>,</w:t>
      </w:r>
      <w:bookmarkEnd w:id="2"/>
      <w:r w:rsidR="00FF2A60">
        <w:t xml:space="preserve"> </w:t>
      </w:r>
    </w:p>
    <w:p w14:paraId="67BFC761" w14:textId="77777777" w:rsidR="00B02CBA" w:rsidRPr="004A6040" w:rsidRDefault="00B02CBA" w:rsidP="002B5563">
      <w:pPr>
        <w:pStyle w:val="1-MainHeading"/>
        <w:spacing w:after="120"/>
        <w:ind w:firstLine="0"/>
        <w:contextualSpacing/>
      </w:pPr>
      <w:bookmarkStart w:id="3" w:name="_Toc135223316"/>
      <w:r>
        <w:t>Bristol Myers Squibb Australia Pty Ltd</w:t>
      </w:r>
      <w:bookmarkEnd w:id="1"/>
      <w:r w:rsidR="002B5563">
        <w:t>.</w:t>
      </w:r>
      <w:bookmarkEnd w:id="3"/>
      <w:r>
        <w:t xml:space="preserve"> </w:t>
      </w:r>
    </w:p>
    <w:p w14:paraId="5CF91A3D" w14:textId="77777777" w:rsidR="00636080" w:rsidRPr="00407F2D" w:rsidRDefault="00636080" w:rsidP="00636080">
      <w:pPr>
        <w:pStyle w:val="2-SectionHeading"/>
        <w:numPr>
          <w:ilvl w:val="0"/>
          <w:numId w:val="1"/>
        </w:numPr>
      </w:pPr>
      <w:bookmarkStart w:id="4" w:name="_Toc107927618"/>
      <w:bookmarkStart w:id="5" w:name="_Toc135223318"/>
      <w:r w:rsidRPr="00407F2D">
        <w:t xml:space="preserve">Purpose of </w:t>
      </w:r>
      <w:r>
        <w:t>submission</w:t>
      </w:r>
      <w:bookmarkEnd w:id="4"/>
      <w:bookmarkEnd w:id="5"/>
    </w:p>
    <w:p w14:paraId="5B706B81" w14:textId="23D8DFBA" w:rsidR="00636080" w:rsidRPr="008B1757" w:rsidRDefault="00636080" w:rsidP="00636080">
      <w:pPr>
        <w:pStyle w:val="3-BodyText"/>
      </w:pPr>
      <w:r>
        <w:t xml:space="preserve">The </w:t>
      </w:r>
      <w:r w:rsidR="00131056">
        <w:t xml:space="preserve">standard re-entry </w:t>
      </w:r>
      <w:r w:rsidR="00840362">
        <w:t xml:space="preserve">resubmission </w:t>
      </w:r>
      <w:r w:rsidRPr="004E18E9">
        <w:t xml:space="preserve">requested </w:t>
      </w:r>
      <w:r w:rsidR="00170C7B">
        <w:t>a Section 85, General Schedule Authority Required</w:t>
      </w:r>
      <w:r w:rsidR="00170C7B" w:rsidRPr="004E18E9">
        <w:t xml:space="preserve"> listing for </w:t>
      </w:r>
      <w:r w:rsidR="00170C7B">
        <w:t>mavacamten</w:t>
      </w:r>
      <w:r w:rsidR="00170C7B">
        <w:rPr>
          <w:rFonts w:cstheme="minorHAnsi"/>
        </w:rPr>
        <w:t xml:space="preserve"> </w:t>
      </w:r>
      <w:r w:rsidR="00170C7B" w:rsidRPr="004E18E9">
        <w:t xml:space="preserve">for the treatment of </w:t>
      </w:r>
      <w:r w:rsidR="00170C7B">
        <w:t>adults with symptomatic obstructive hypertrophic cardiomyopathy</w:t>
      </w:r>
      <w:r w:rsidR="000A1EC6">
        <w:t xml:space="preserve"> (HCM)</w:t>
      </w:r>
      <w:r w:rsidRPr="00C527C7">
        <w:t>.</w:t>
      </w:r>
    </w:p>
    <w:p w14:paraId="02D9096F" w14:textId="02D0573A" w:rsidR="00636080" w:rsidRDefault="00F80369" w:rsidP="00636080">
      <w:pPr>
        <w:pStyle w:val="3-BodyText"/>
      </w:pPr>
      <w:r w:rsidRPr="005750C5">
        <w:t xml:space="preserve">Listing was requested based on a </w:t>
      </w:r>
      <w:r>
        <w:t>cost-effectiveness</w:t>
      </w:r>
      <w:r w:rsidRPr="005750C5">
        <w:t xml:space="preserve"> analysis versus</w:t>
      </w:r>
      <w:r>
        <w:t xml:space="preserve"> </w:t>
      </w:r>
      <w:r w:rsidR="008A5F09">
        <w:t>standard of care (</w:t>
      </w:r>
      <w:r w:rsidR="00EB56D7">
        <w:t>SOC</w:t>
      </w:r>
      <w:r w:rsidR="008A5F09">
        <w:t>)</w:t>
      </w:r>
      <w:r w:rsidR="00EB56D7">
        <w:t xml:space="preserve"> (</w:t>
      </w:r>
      <w:r w:rsidR="008A5F09">
        <w:t xml:space="preserve">beta-blocker </w:t>
      </w:r>
      <w:r w:rsidR="00B978DA">
        <w:t>(</w:t>
      </w:r>
      <w:r w:rsidR="00EB56D7">
        <w:t>BB</w:t>
      </w:r>
      <w:r w:rsidR="00B978DA">
        <w:t>)</w:t>
      </w:r>
      <w:r w:rsidR="008A5F09">
        <w:t xml:space="preserve"> or calcium channel blocker </w:t>
      </w:r>
      <w:r w:rsidR="00B978DA">
        <w:t>(</w:t>
      </w:r>
      <w:r w:rsidR="00EB56D7">
        <w:t>CCB</w:t>
      </w:r>
      <w:r w:rsidR="00B978DA">
        <w:t>)</w:t>
      </w:r>
      <w:r w:rsidR="00EB56D7">
        <w:t>)</w:t>
      </w:r>
      <w:r w:rsidR="000A1EC6">
        <w:t xml:space="preserve">. The key components of the request are summarised in </w:t>
      </w:r>
      <w:r w:rsidR="000A1EC6">
        <w:fldChar w:fldCharType="begin"/>
      </w:r>
      <w:r w:rsidR="000A1EC6">
        <w:instrText xml:space="preserve"> REF _Ref132341662 \h </w:instrText>
      </w:r>
      <w:r w:rsidR="000A1EC6">
        <w:fldChar w:fldCharType="separate"/>
      </w:r>
      <w:r w:rsidR="00F84C70">
        <w:t xml:space="preserve">Table </w:t>
      </w:r>
      <w:r w:rsidR="00F84C70">
        <w:rPr>
          <w:noProof/>
        </w:rPr>
        <w:t>1</w:t>
      </w:r>
      <w:r w:rsidR="000A1EC6">
        <w:fldChar w:fldCharType="end"/>
      </w:r>
      <w:r w:rsidR="000A1EC6">
        <w:t>.</w:t>
      </w:r>
    </w:p>
    <w:p w14:paraId="5B4BAB6F" w14:textId="0B9715D8" w:rsidR="00636080" w:rsidRDefault="00636080" w:rsidP="00636080">
      <w:pPr>
        <w:pStyle w:val="TableFigureHeading"/>
        <w:rPr>
          <w:rStyle w:val="CommentReference"/>
          <w:b/>
          <w:szCs w:val="24"/>
        </w:rPr>
      </w:pPr>
      <w:bookmarkStart w:id="6" w:name="_Ref132341662"/>
      <w:r>
        <w:t xml:space="preserve">Table </w:t>
      </w:r>
      <w:fldSimple w:instr=" SEQ Table \* ARABIC ">
        <w:r w:rsidR="00F84C70">
          <w:rPr>
            <w:noProof/>
          </w:rPr>
          <w:t>1</w:t>
        </w:r>
      </w:fldSimple>
      <w:bookmarkEnd w:id="6"/>
      <w:r>
        <w:t>:</w:t>
      </w:r>
      <w:r w:rsidRPr="004A6040">
        <w:rPr>
          <w:rStyle w:val="CommentReference"/>
          <w:b/>
          <w:szCs w:val="24"/>
        </w:rPr>
        <w:t xml:space="preserve"> Key components of the clinical issue addressed by the </w:t>
      </w:r>
      <w:proofErr w:type="gramStart"/>
      <w:r w:rsidR="000A1EC6">
        <w:rPr>
          <w:rStyle w:val="CommentReference"/>
          <w:b/>
          <w:szCs w:val="24"/>
        </w:rPr>
        <w:t>re</w:t>
      </w:r>
      <w:r w:rsidRPr="004A6040">
        <w:rPr>
          <w:rStyle w:val="CommentReference"/>
          <w:b/>
          <w:szCs w:val="24"/>
        </w:rPr>
        <w:t>submission</w:t>
      </w:r>
      <w:proofErr w:type="gramEnd"/>
      <w:r w:rsidRPr="004A6040">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03677E" w:rsidRPr="00A518F3" w14:paraId="422E6EEB" w14:textId="77777777" w:rsidTr="009C63B8">
        <w:tc>
          <w:tcPr>
            <w:tcW w:w="911" w:type="pct"/>
            <w:vAlign w:val="center"/>
          </w:tcPr>
          <w:p w14:paraId="00FC9F71" w14:textId="77777777" w:rsidR="0003677E" w:rsidRPr="00A518F3" w:rsidRDefault="0003677E" w:rsidP="00F774FD">
            <w:pPr>
              <w:pStyle w:val="In-tableHeading"/>
            </w:pPr>
            <w:r w:rsidRPr="00A518F3">
              <w:t>Component</w:t>
            </w:r>
          </w:p>
        </w:tc>
        <w:tc>
          <w:tcPr>
            <w:tcW w:w="4089" w:type="pct"/>
            <w:vAlign w:val="center"/>
          </w:tcPr>
          <w:p w14:paraId="767D5B8F" w14:textId="77777777" w:rsidR="0003677E" w:rsidRPr="00A518F3" w:rsidRDefault="0003677E" w:rsidP="00F774FD">
            <w:pPr>
              <w:pStyle w:val="In-tableHeading"/>
            </w:pPr>
            <w:r w:rsidRPr="00A518F3">
              <w:t>Description</w:t>
            </w:r>
          </w:p>
        </w:tc>
      </w:tr>
      <w:tr w:rsidR="0003677E" w14:paraId="3FFFBBE4" w14:textId="77777777" w:rsidTr="009C63B8">
        <w:tc>
          <w:tcPr>
            <w:tcW w:w="911" w:type="pct"/>
            <w:shd w:val="clear" w:color="auto" w:fill="C6D9F1" w:themeFill="text2" w:themeFillTint="33"/>
            <w:vAlign w:val="center"/>
          </w:tcPr>
          <w:p w14:paraId="0A61F707" w14:textId="77777777" w:rsidR="0003677E" w:rsidRDefault="0003677E" w:rsidP="00F774FD">
            <w:pPr>
              <w:pStyle w:val="TableText0"/>
            </w:pPr>
            <w:r>
              <w:t>Population</w:t>
            </w:r>
          </w:p>
        </w:tc>
        <w:tc>
          <w:tcPr>
            <w:tcW w:w="4089" w:type="pct"/>
            <w:shd w:val="clear" w:color="auto" w:fill="C6D9F1" w:themeFill="text2" w:themeFillTint="33"/>
          </w:tcPr>
          <w:p w14:paraId="6B4E9039" w14:textId="77777777" w:rsidR="0003677E" w:rsidRPr="001C24F9" w:rsidRDefault="0003677E" w:rsidP="00F774FD">
            <w:pPr>
              <w:pStyle w:val="TableText0"/>
            </w:pPr>
            <w:r w:rsidRPr="001C24F9">
              <w:t xml:space="preserve">Adult patients with symptomatic obstructive hypertrophic cardiomyopathy </w:t>
            </w:r>
          </w:p>
        </w:tc>
      </w:tr>
      <w:tr w:rsidR="0003677E" w14:paraId="6C1A4018" w14:textId="77777777" w:rsidTr="009C63B8">
        <w:tc>
          <w:tcPr>
            <w:tcW w:w="911" w:type="pct"/>
            <w:shd w:val="clear" w:color="auto" w:fill="C6D9F1" w:themeFill="text2" w:themeFillTint="33"/>
            <w:vAlign w:val="center"/>
          </w:tcPr>
          <w:p w14:paraId="50D7E3EE" w14:textId="77777777" w:rsidR="0003677E" w:rsidRDefault="0003677E" w:rsidP="00F774FD">
            <w:pPr>
              <w:pStyle w:val="TableText0"/>
            </w:pPr>
            <w:r>
              <w:t>Intervention</w:t>
            </w:r>
          </w:p>
        </w:tc>
        <w:tc>
          <w:tcPr>
            <w:tcW w:w="4089" w:type="pct"/>
            <w:shd w:val="clear" w:color="auto" w:fill="C6D9F1" w:themeFill="text2" w:themeFillTint="33"/>
          </w:tcPr>
          <w:p w14:paraId="055013F5" w14:textId="250333F1" w:rsidR="0003677E" w:rsidRPr="001C24F9" w:rsidRDefault="008A5F09" w:rsidP="00F774FD">
            <w:pPr>
              <w:pStyle w:val="TableText0"/>
            </w:pPr>
            <w:r>
              <w:t>M</w:t>
            </w:r>
            <w:r w:rsidR="0003677E" w:rsidRPr="001C24F9">
              <w:t>avacamten +/- BB/CCB</w:t>
            </w:r>
          </w:p>
        </w:tc>
      </w:tr>
      <w:tr w:rsidR="0003677E" w14:paraId="4842F74A" w14:textId="77777777" w:rsidTr="009C63B8">
        <w:tc>
          <w:tcPr>
            <w:tcW w:w="911" w:type="pct"/>
            <w:shd w:val="clear" w:color="auto" w:fill="C6D9F1" w:themeFill="text2" w:themeFillTint="33"/>
            <w:vAlign w:val="center"/>
          </w:tcPr>
          <w:p w14:paraId="4619CB5C" w14:textId="77777777" w:rsidR="0003677E" w:rsidRDefault="0003677E" w:rsidP="00F774FD">
            <w:pPr>
              <w:pStyle w:val="TableText0"/>
            </w:pPr>
            <w:r>
              <w:t>Comparator</w:t>
            </w:r>
          </w:p>
        </w:tc>
        <w:tc>
          <w:tcPr>
            <w:tcW w:w="4089" w:type="pct"/>
            <w:shd w:val="clear" w:color="auto" w:fill="C6D9F1" w:themeFill="text2" w:themeFillTint="33"/>
          </w:tcPr>
          <w:p w14:paraId="7196FBB3" w14:textId="77777777" w:rsidR="0003677E" w:rsidRPr="001C24F9" w:rsidRDefault="0003677E" w:rsidP="00F774FD">
            <w:pPr>
              <w:pStyle w:val="TableText0"/>
            </w:pPr>
            <w:r w:rsidRPr="001C24F9">
              <w:t>BBs or CCBs (standard of care</w:t>
            </w:r>
            <w:r>
              <w:t xml:space="preserve"> (SOC)</w:t>
            </w:r>
            <w:r w:rsidRPr="001C24F9">
              <w:t>) as per the pivotal clinical trial EXPLORER-HCM.</w:t>
            </w:r>
          </w:p>
        </w:tc>
      </w:tr>
      <w:tr w:rsidR="0003677E" w14:paraId="3D605A45" w14:textId="77777777" w:rsidTr="009C63B8">
        <w:tc>
          <w:tcPr>
            <w:tcW w:w="911" w:type="pct"/>
            <w:shd w:val="clear" w:color="auto" w:fill="C6D9F1" w:themeFill="text2" w:themeFillTint="33"/>
            <w:vAlign w:val="center"/>
          </w:tcPr>
          <w:p w14:paraId="4C15B610" w14:textId="77777777" w:rsidR="0003677E" w:rsidRDefault="0003677E" w:rsidP="00F774FD">
            <w:pPr>
              <w:pStyle w:val="TableText0"/>
            </w:pPr>
            <w:r>
              <w:t>Outcomes</w:t>
            </w:r>
          </w:p>
        </w:tc>
        <w:tc>
          <w:tcPr>
            <w:tcW w:w="4089" w:type="pct"/>
            <w:shd w:val="clear" w:color="auto" w:fill="C6D9F1" w:themeFill="text2" w:themeFillTint="33"/>
          </w:tcPr>
          <w:p w14:paraId="77F65807" w14:textId="77777777" w:rsidR="0003677E" w:rsidRPr="001C24F9" w:rsidRDefault="0003677E" w:rsidP="00F774FD">
            <w:pPr>
              <w:pStyle w:val="Tabletext"/>
            </w:pPr>
            <w:r w:rsidRPr="001C24F9">
              <w:t xml:space="preserve">Primary: An improvement of ≥1.5 mL/kg/min mixed venous oxygen tension (pVO2) and a reduction of ≥1 class in New York Heart Association (NYHA) Functional Class (Composite 1) </w:t>
            </w:r>
            <w:proofErr w:type="gramStart"/>
            <w:r w:rsidRPr="001C24F9">
              <w:t>OR;</w:t>
            </w:r>
            <w:proofErr w:type="gramEnd"/>
          </w:p>
          <w:p w14:paraId="409C0B0A" w14:textId="77777777" w:rsidR="0003677E" w:rsidRPr="001C24F9" w:rsidRDefault="0003677E" w:rsidP="00F774FD">
            <w:pPr>
              <w:pStyle w:val="TableText0"/>
            </w:pPr>
            <w:r w:rsidRPr="001C24F9">
              <w:t xml:space="preserve">An improvement of ≥3.0 mL/kg/min in pVO2 with no worsening in NYHA Functional Class (Composite 2). </w:t>
            </w:r>
          </w:p>
        </w:tc>
      </w:tr>
      <w:tr w:rsidR="0003677E" w14:paraId="42496957" w14:textId="77777777" w:rsidTr="009C63B8">
        <w:tc>
          <w:tcPr>
            <w:tcW w:w="911" w:type="pct"/>
            <w:shd w:val="clear" w:color="auto" w:fill="auto"/>
            <w:vAlign w:val="center"/>
          </w:tcPr>
          <w:p w14:paraId="3473E887" w14:textId="77777777" w:rsidR="0003677E" w:rsidRPr="00033059" w:rsidRDefault="0003677E" w:rsidP="00F774FD">
            <w:pPr>
              <w:pStyle w:val="TableText0"/>
            </w:pPr>
            <w:r w:rsidRPr="00033059">
              <w:t>Clinical claim</w:t>
            </w:r>
          </w:p>
        </w:tc>
        <w:tc>
          <w:tcPr>
            <w:tcW w:w="4089" w:type="pct"/>
            <w:shd w:val="clear" w:color="auto" w:fill="auto"/>
          </w:tcPr>
          <w:p w14:paraId="5DAC4641" w14:textId="77777777" w:rsidR="0003677E" w:rsidRPr="00033059" w:rsidRDefault="0003677E" w:rsidP="00235FD1">
            <w:pPr>
              <w:pStyle w:val="Tabletext"/>
              <w:shd w:val="clear" w:color="auto" w:fill="C6D9F1" w:themeFill="text2" w:themeFillTint="33"/>
            </w:pPr>
            <w:r w:rsidRPr="00033059">
              <w:t xml:space="preserve">Mavacamten +/- BB/CCB is superior in terms of efficacy to monotherapy BBs or CCBs. </w:t>
            </w:r>
          </w:p>
          <w:p w14:paraId="351002D5" w14:textId="77777777" w:rsidR="0003677E" w:rsidRPr="00033059" w:rsidRDefault="0003677E" w:rsidP="00F774FD">
            <w:pPr>
              <w:pStyle w:val="TableText0"/>
            </w:pPr>
            <w:r w:rsidRPr="00033059">
              <w:t xml:space="preserve">Mavacamten +/- BB/CCB has an </w:t>
            </w:r>
            <w:r w:rsidRPr="004A5FB8">
              <w:rPr>
                <w:u w:val="single"/>
              </w:rPr>
              <w:t>inferior but manageable</w:t>
            </w:r>
            <w:r w:rsidRPr="00033059">
              <w:t xml:space="preserve"> safety profile to monotherapy BBs or CCBs.</w:t>
            </w:r>
          </w:p>
        </w:tc>
      </w:tr>
    </w:tbl>
    <w:p w14:paraId="155AFEC8" w14:textId="77777777" w:rsidR="0003677E" w:rsidRDefault="0003677E" w:rsidP="0003677E">
      <w:pPr>
        <w:pStyle w:val="FooterTableFigure"/>
      </w:pPr>
      <w:r>
        <w:t xml:space="preserve">Source: Table 1, p12 </w:t>
      </w:r>
      <w:r w:rsidRPr="00D13A3E">
        <w:t xml:space="preserve">of the </w:t>
      </w:r>
      <w:r>
        <w:t>submission.</w:t>
      </w:r>
    </w:p>
    <w:p w14:paraId="5EECFFC4" w14:textId="77777777" w:rsidR="0003677E" w:rsidRDefault="0003677E" w:rsidP="0003677E">
      <w:pPr>
        <w:pStyle w:val="FooterTableFigure"/>
      </w:pPr>
      <w:r w:rsidRPr="00CF5C1F">
        <w:t>BB= beta-blockers; CCB= calcium channel blockers; kg= kilogram; mg= milligram; NYHA= New York Heart Association; pVO2= peak</w:t>
      </w:r>
      <w:r w:rsidR="0050111D">
        <w:t xml:space="preserve"> </w:t>
      </w:r>
      <w:r w:rsidRPr="00CF5C1F">
        <w:t>oxygen consumption</w:t>
      </w:r>
      <w:r>
        <w:t>; SOC = standard of care.</w:t>
      </w:r>
    </w:p>
    <w:p w14:paraId="451CFC7C" w14:textId="77777777" w:rsidR="0050111D" w:rsidRDefault="0050111D" w:rsidP="0003677E">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sidR="006A0794">
        <w:rPr>
          <w:iCs/>
        </w:rPr>
        <w:t xml:space="preserve">. </w:t>
      </w:r>
    </w:p>
    <w:p w14:paraId="040F0BAC" w14:textId="6FEC83B2" w:rsidR="00636080" w:rsidRPr="00407F2D" w:rsidRDefault="00636080" w:rsidP="00636080">
      <w:pPr>
        <w:pStyle w:val="2-SectionHeading"/>
        <w:numPr>
          <w:ilvl w:val="0"/>
          <w:numId w:val="1"/>
        </w:numPr>
      </w:pPr>
      <w:bookmarkStart w:id="7" w:name="_Toc107927619"/>
      <w:bookmarkStart w:id="8" w:name="_Toc135223319"/>
      <w:r w:rsidRPr="00407F2D">
        <w:t>Background</w:t>
      </w:r>
      <w:bookmarkEnd w:id="7"/>
      <w:bookmarkEnd w:id="8"/>
    </w:p>
    <w:p w14:paraId="503F8B2B" w14:textId="77777777" w:rsidR="00636080" w:rsidRPr="004151CF" w:rsidRDefault="00636080" w:rsidP="00636080">
      <w:pPr>
        <w:pStyle w:val="4-SubsectionHeading"/>
      </w:pPr>
      <w:bookmarkStart w:id="9" w:name="_Toc22897638"/>
      <w:bookmarkStart w:id="10" w:name="_Toc107927620"/>
      <w:bookmarkStart w:id="11" w:name="_Toc135223320"/>
      <w:r w:rsidRPr="004151CF">
        <w:t>Registration status</w:t>
      </w:r>
      <w:bookmarkEnd w:id="9"/>
      <w:bookmarkEnd w:id="10"/>
      <w:bookmarkEnd w:id="11"/>
    </w:p>
    <w:p w14:paraId="30CAC79D" w14:textId="77777777" w:rsidR="00636080" w:rsidRPr="00CF3A1B" w:rsidRDefault="000A1EC6" w:rsidP="00636080">
      <w:pPr>
        <w:pStyle w:val="3-BodyText"/>
      </w:pPr>
      <w:r>
        <w:t>M</w:t>
      </w:r>
      <w:r w:rsidR="007B1134" w:rsidRPr="007B1134">
        <w:t>avacamten</w:t>
      </w:r>
      <w:r w:rsidR="00636080" w:rsidRPr="007B1134">
        <w:t xml:space="preserve"> was TGA registered on </w:t>
      </w:r>
      <w:r w:rsidR="007B1134" w:rsidRPr="007B1134">
        <w:t>1</w:t>
      </w:r>
      <w:r w:rsidR="00A8577E">
        <w:t>5</w:t>
      </w:r>
      <w:r w:rsidR="007B1134" w:rsidRPr="007B1134">
        <w:t xml:space="preserve"> September 2022</w:t>
      </w:r>
      <w:r w:rsidR="00636080" w:rsidRPr="007B1134">
        <w:t xml:space="preserve"> for </w:t>
      </w:r>
      <w:r w:rsidR="007B1134" w:rsidRPr="007B1134">
        <w:t xml:space="preserve">the treatment of adults with symptomatic NYHA class II-III obstructive </w:t>
      </w:r>
      <w:r w:rsidR="00982152">
        <w:t>HCM</w:t>
      </w:r>
      <w:r w:rsidR="007B1134" w:rsidRPr="007B1134">
        <w:t>.</w:t>
      </w:r>
      <w:r w:rsidR="00636080">
        <w:t xml:space="preserve"> </w:t>
      </w:r>
    </w:p>
    <w:p w14:paraId="6E58A773" w14:textId="77777777" w:rsidR="00636080" w:rsidRPr="00621ADA" w:rsidRDefault="00636080" w:rsidP="00636080">
      <w:pPr>
        <w:pStyle w:val="4-SubsectionHeading"/>
      </w:pPr>
      <w:bookmarkStart w:id="12" w:name="_Toc22897639"/>
      <w:bookmarkStart w:id="13" w:name="_Toc107927621"/>
      <w:bookmarkStart w:id="14" w:name="_Toc135223321"/>
      <w:r w:rsidRPr="00621ADA">
        <w:t>Previous PBAC consideration</w:t>
      </w:r>
      <w:bookmarkEnd w:id="12"/>
      <w:bookmarkEnd w:id="13"/>
      <w:bookmarkEnd w:id="14"/>
    </w:p>
    <w:p w14:paraId="5A1CE9AD" w14:textId="63AA1B4C" w:rsidR="00895FFC" w:rsidRPr="00D47D7B" w:rsidRDefault="000A1EC6" w:rsidP="00D47D7B">
      <w:pPr>
        <w:pStyle w:val="3-BodyText"/>
      </w:pPr>
      <w:r>
        <w:fldChar w:fldCharType="begin"/>
      </w:r>
      <w:r>
        <w:instrText xml:space="preserve"> REF _Ref132341881 \h </w:instrText>
      </w:r>
      <w:r>
        <w:fldChar w:fldCharType="separate"/>
      </w:r>
      <w:r w:rsidR="00F84C70" w:rsidRPr="00D70693">
        <w:t xml:space="preserve">Table </w:t>
      </w:r>
      <w:r w:rsidR="00F84C70">
        <w:rPr>
          <w:noProof/>
        </w:rPr>
        <w:t>2</w:t>
      </w:r>
      <w:r>
        <w:fldChar w:fldCharType="end"/>
      </w:r>
      <w:r w:rsidR="00131056">
        <w:t xml:space="preserve"> summarises the key </w:t>
      </w:r>
      <w:r w:rsidR="00131056">
        <w:rPr>
          <w:snapToGrid/>
        </w:rPr>
        <w:t xml:space="preserve">matters of concern from the </w:t>
      </w:r>
      <w:r w:rsidR="00280260" w:rsidRPr="003A2DAD">
        <w:t>November 2022 submission.</w:t>
      </w:r>
    </w:p>
    <w:p w14:paraId="223D7847" w14:textId="45C73BD1" w:rsidR="00636080" w:rsidRPr="00D70693" w:rsidRDefault="00636080" w:rsidP="00D47D7B">
      <w:pPr>
        <w:pStyle w:val="TableFigureHeading"/>
        <w:keepNext w:val="0"/>
        <w:rPr>
          <w:rStyle w:val="CommentReference"/>
          <w:b/>
          <w:szCs w:val="24"/>
        </w:rPr>
      </w:pPr>
      <w:bookmarkStart w:id="15" w:name="_Ref132341881"/>
      <w:r w:rsidRPr="00D70693">
        <w:t xml:space="preserve">Table </w:t>
      </w:r>
      <w:fldSimple w:instr=" SEQ Table \* ARABIC ">
        <w:r w:rsidR="00F84C70">
          <w:rPr>
            <w:noProof/>
          </w:rPr>
          <w:t>2</w:t>
        </w:r>
      </w:fldSimple>
      <w:bookmarkEnd w:id="15"/>
      <w:r w:rsidRPr="00D70693">
        <w:t>:</w:t>
      </w:r>
      <w:r w:rsidRPr="00D70693">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802"/>
        <w:gridCol w:w="4032"/>
      </w:tblGrid>
      <w:tr w:rsidR="00636080" w:rsidRPr="00203181" w14:paraId="725A5F60" w14:textId="77777777" w:rsidTr="009C63B8">
        <w:trPr>
          <w:cantSplit/>
          <w:tblHeader/>
        </w:trPr>
        <w:tc>
          <w:tcPr>
            <w:tcW w:w="656" w:type="pct"/>
            <w:tcBorders>
              <w:bottom w:val="single" w:sz="4" w:space="0" w:color="auto"/>
            </w:tcBorders>
            <w:vAlign w:val="center"/>
          </w:tcPr>
          <w:p w14:paraId="2B3BFAE2" w14:textId="77777777" w:rsidR="00636080" w:rsidRPr="00D70693" w:rsidRDefault="00636080" w:rsidP="00D47D7B">
            <w:pPr>
              <w:pStyle w:val="In-tableHeading"/>
              <w:keepNext w:val="0"/>
            </w:pPr>
            <w:r w:rsidRPr="00D70693">
              <w:t>Component</w:t>
            </w:r>
          </w:p>
        </w:tc>
        <w:tc>
          <w:tcPr>
            <w:tcW w:w="2108" w:type="pct"/>
            <w:tcBorders>
              <w:bottom w:val="single" w:sz="4" w:space="0" w:color="auto"/>
            </w:tcBorders>
            <w:vAlign w:val="center"/>
          </w:tcPr>
          <w:p w14:paraId="371487B2" w14:textId="77777777" w:rsidR="00636080" w:rsidRPr="00D70693" w:rsidRDefault="00636080" w:rsidP="00D47D7B">
            <w:pPr>
              <w:pStyle w:val="In-tableHeading"/>
              <w:keepNext w:val="0"/>
            </w:pPr>
            <w:r w:rsidRPr="00D70693">
              <w:t>Matter of concern</w:t>
            </w:r>
          </w:p>
        </w:tc>
        <w:tc>
          <w:tcPr>
            <w:tcW w:w="2236" w:type="pct"/>
            <w:tcBorders>
              <w:bottom w:val="single" w:sz="4" w:space="0" w:color="auto"/>
            </w:tcBorders>
            <w:vAlign w:val="center"/>
          </w:tcPr>
          <w:p w14:paraId="29A6781B" w14:textId="77777777" w:rsidR="00636080" w:rsidRPr="00D70693" w:rsidRDefault="00636080" w:rsidP="00D47D7B">
            <w:pPr>
              <w:pStyle w:val="In-tableHeading"/>
              <w:keepNext w:val="0"/>
            </w:pPr>
            <w:r w:rsidRPr="00D70693">
              <w:t>How the resubmission addresses it</w:t>
            </w:r>
          </w:p>
        </w:tc>
      </w:tr>
      <w:tr w:rsidR="00F630D0" w:rsidRPr="00203181" w14:paraId="7F3CBF45" w14:textId="77777777" w:rsidTr="009C63B8">
        <w:trPr>
          <w:cantSplit/>
        </w:trPr>
        <w:tc>
          <w:tcPr>
            <w:tcW w:w="656" w:type="pct"/>
            <w:tcBorders>
              <w:bottom w:val="nil"/>
            </w:tcBorders>
          </w:tcPr>
          <w:p w14:paraId="1009CF3A" w14:textId="77777777" w:rsidR="00F630D0" w:rsidRPr="00290F14" w:rsidRDefault="00F630D0" w:rsidP="00D47D7B">
            <w:pPr>
              <w:pStyle w:val="TableText0"/>
              <w:keepNext w:val="0"/>
            </w:pPr>
            <w:r w:rsidRPr="00290F14">
              <w:t>Restriction</w:t>
            </w:r>
          </w:p>
        </w:tc>
        <w:tc>
          <w:tcPr>
            <w:tcW w:w="2108" w:type="pct"/>
            <w:vMerge w:val="restart"/>
            <w:shd w:val="clear" w:color="auto" w:fill="auto"/>
          </w:tcPr>
          <w:p w14:paraId="67848DAA" w14:textId="31430CFB" w:rsidR="00F630D0" w:rsidRDefault="00F630D0" w:rsidP="00D47D7B">
            <w:pPr>
              <w:pStyle w:val="TableText0"/>
              <w:keepNext w:val="0"/>
            </w:pPr>
            <w:r>
              <w:t>The PBAC noted that the proposed PBS restriction for peak LVOT gradient (≥ 30 mmHg) was broader than the inclusion criteria in EXPLORER-HCM (≥</w:t>
            </w:r>
            <w:r w:rsidR="0026408C">
              <w:t xml:space="preserve"> </w:t>
            </w:r>
            <w:r>
              <w:t>50 mmHg) and considered the restriction should reflect the higher peak LVOT gradient (≥</w:t>
            </w:r>
            <w:r w:rsidR="0026408C">
              <w:t xml:space="preserve"> </w:t>
            </w:r>
            <w:r>
              <w:t>50 mmHg at rest, after Valsalva manoeuvre or exercise) from EXPLORER-HCM.</w:t>
            </w:r>
          </w:p>
          <w:p w14:paraId="633B9FED" w14:textId="77777777" w:rsidR="00F630D0" w:rsidRPr="002453D8" w:rsidRDefault="00F630D0" w:rsidP="00D47D7B">
            <w:pPr>
              <w:pStyle w:val="TableText0"/>
            </w:pPr>
            <w:r>
              <w:t>(</w:t>
            </w:r>
            <w:proofErr w:type="gramStart"/>
            <w:r>
              <w:t>para</w:t>
            </w:r>
            <w:proofErr w:type="gramEnd"/>
            <w:r w:rsidR="001B7716">
              <w:t>.</w:t>
            </w:r>
            <w:r w:rsidR="00BE6CC2">
              <w:t>3.3 &amp;</w:t>
            </w:r>
            <w:r>
              <w:t xml:space="preserve"> 7.4</w:t>
            </w:r>
            <w:r w:rsidR="000E1788">
              <w:t>.</w:t>
            </w:r>
            <w:r>
              <w:t xml:space="preserve"> mavacamten, Public Summary Document, November 2022 PBAC meeting)</w:t>
            </w:r>
            <w:r w:rsidR="00E80392">
              <w:t>.</w:t>
            </w:r>
            <w:r>
              <w:t xml:space="preserve"> </w:t>
            </w:r>
          </w:p>
        </w:tc>
        <w:tc>
          <w:tcPr>
            <w:tcW w:w="2236" w:type="pct"/>
            <w:vMerge w:val="restart"/>
            <w:shd w:val="clear" w:color="auto" w:fill="auto"/>
          </w:tcPr>
          <w:p w14:paraId="3C809DCB" w14:textId="77777777" w:rsidR="00F630D0" w:rsidRPr="00D541FB" w:rsidRDefault="00F630D0" w:rsidP="00D47D7B">
            <w:pPr>
              <w:pStyle w:val="TableText0"/>
              <w:keepNext w:val="0"/>
            </w:pPr>
            <w:r w:rsidRPr="00D541FB">
              <w:t xml:space="preserve">This was unchanged in the resubmission. </w:t>
            </w:r>
          </w:p>
          <w:p w14:paraId="2D3256E8" w14:textId="77777777" w:rsidR="00F630D0" w:rsidRPr="00876B06" w:rsidRDefault="00F630D0" w:rsidP="00D47D7B">
            <w:pPr>
              <w:pStyle w:val="TableText0"/>
              <w:keepNext w:val="0"/>
              <w:rPr>
                <w:i/>
                <w:iCs/>
                <w:highlight w:val="cyan"/>
              </w:rPr>
            </w:pPr>
            <w:r w:rsidRPr="00D541FB">
              <w:lastRenderedPageBreak/>
              <w:t xml:space="preserve">The resubmission presented four main arguments (pp27-28) in support of the LVOT gradient criteria being ≥ 30 mmHg. Arguments were based on international guidelines (European Society of Cardiology; AHA/ACC); eligibility criteria for EXPLORER-HCM with analysis for baseline characteristics; </w:t>
            </w:r>
            <w:r w:rsidR="00D541FB">
              <w:t xml:space="preserve">the </w:t>
            </w:r>
            <w:r w:rsidR="00D541FB" w:rsidRPr="00D541FB">
              <w:t xml:space="preserve">proportion of patients with LVOT between 30 and 50 mmHg being small </w:t>
            </w:r>
            <w:r w:rsidR="00D41C71" w:rsidRPr="00FA398C">
              <w:t>(3.4% of patients)</w:t>
            </w:r>
            <w:r w:rsidR="00D41C71">
              <w:t xml:space="preserve"> </w:t>
            </w:r>
            <w:r w:rsidR="00D541FB">
              <w:t xml:space="preserve">in an </w:t>
            </w:r>
            <w:r w:rsidR="00D541FB" w:rsidRPr="00FA398C">
              <w:t xml:space="preserve">epidemiology study by </w:t>
            </w:r>
            <w:r w:rsidRPr="00FA398C">
              <w:t>Maron et al., (2006)</w:t>
            </w:r>
            <w:r w:rsidR="008153C9" w:rsidRPr="00FA398C">
              <w:t>)</w:t>
            </w:r>
            <w:r w:rsidRPr="00FA398C">
              <w:t>;</w:t>
            </w:r>
            <w:r w:rsidRPr="00D541FB">
              <w:t xml:space="preserve"> and proposal of an RSA.</w:t>
            </w:r>
            <w:r w:rsidRPr="00BF5BC7">
              <w:rPr>
                <w:iCs/>
              </w:rPr>
              <w:t xml:space="preserve">  </w:t>
            </w:r>
          </w:p>
        </w:tc>
      </w:tr>
      <w:tr w:rsidR="00F630D0" w:rsidRPr="00541454" w14:paraId="6F5701D5" w14:textId="77777777" w:rsidTr="009C63B8">
        <w:trPr>
          <w:cantSplit/>
        </w:trPr>
        <w:tc>
          <w:tcPr>
            <w:tcW w:w="656" w:type="pct"/>
            <w:tcBorders>
              <w:top w:val="nil"/>
              <w:bottom w:val="nil"/>
            </w:tcBorders>
          </w:tcPr>
          <w:p w14:paraId="5882B4B9" w14:textId="77777777" w:rsidR="00F630D0" w:rsidRPr="00541454" w:rsidRDefault="00F630D0" w:rsidP="00D47D7B">
            <w:pPr>
              <w:pStyle w:val="TableText0"/>
              <w:keepNext w:val="0"/>
            </w:pPr>
          </w:p>
        </w:tc>
        <w:tc>
          <w:tcPr>
            <w:tcW w:w="2108" w:type="pct"/>
            <w:vMerge/>
            <w:tcBorders>
              <w:bottom w:val="nil"/>
            </w:tcBorders>
            <w:shd w:val="clear" w:color="auto" w:fill="auto"/>
          </w:tcPr>
          <w:p w14:paraId="295C0463" w14:textId="77777777" w:rsidR="00F630D0" w:rsidRPr="00541454" w:rsidRDefault="00F630D0" w:rsidP="00D47D7B">
            <w:pPr>
              <w:pStyle w:val="TableText0"/>
              <w:keepNext w:val="0"/>
            </w:pPr>
          </w:p>
        </w:tc>
        <w:tc>
          <w:tcPr>
            <w:tcW w:w="2236" w:type="pct"/>
            <w:vMerge/>
            <w:tcBorders>
              <w:bottom w:val="nil"/>
            </w:tcBorders>
            <w:shd w:val="clear" w:color="auto" w:fill="auto"/>
          </w:tcPr>
          <w:p w14:paraId="4A210203" w14:textId="77777777" w:rsidR="00F630D0" w:rsidRPr="00541454" w:rsidRDefault="00F630D0" w:rsidP="00D47D7B">
            <w:pPr>
              <w:pStyle w:val="TableText0"/>
              <w:keepNext w:val="0"/>
              <w:rPr>
                <w:iCs/>
                <w:highlight w:val="cyan"/>
              </w:rPr>
            </w:pPr>
          </w:p>
        </w:tc>
      </w:tr>
      <w:tr w:rsidR="002E7862" w:rsidRPr="00203181" w14:paraId="377D6C26" w14:textId="77777777" w:rsidTr="009C63B8">
        <w:trPr>
          <w:cantSplit/>
        </w:trPr>
        <w:tc>
          <w:tcPr>
            <w:tcW w:w="656" w:type="pct"/>
            <w:tcBorders>
              <w:top w:val="nil"/>
              <w:bottom w:val="nil"/>
            </w:tcBorders>
          </w:tcPr>
          <w:p w14:paraId="77EE32ED" w14:textId="77777777" w:rsidR="002E7862" w:rsidRPr="00290F14" w:rsidRDefault="002E7862" w:rsidP="00D47D7B">
            <w:pPr>
              <w:pStyle w:val="TableText0"/>
              <w:keepNext w:val="0"/>
            </w:pPr>
          </w:p>
        </w:tc>
        <w:tc>
          <w:tcPr>
            <w:tcW w:w="2108" w:type="pct"/>
            <w:tcBorders>
              <w:top w:val="nil"/>
            </w:tcBorders>
          </w:tcPr>
          <w:p w14:paraId="08249354" w14:textId="77777777" w:rsidR="002E7862" w:rsidRDefault="002E7862" w:rsidP="00D47D7B">
            <w:pPr>
              <w:pStyle w:val="TableText0"/>
              <w:keepNext w:val="0"/>
              <w:rPr>
                <w:iCs/>
              </w:rPr>
            </w:pPr>
            <w:r w:rsidRPr="00F5437D">
              <w:rPr>
                <w:iCs/>
              </w:rPr>
              <w:t xml:space="preserve">The PBAC also stated that removal of the proposed restriction allowing use of mavacamten prior to BB treatment (where local guidelines allow it) was appropriate. </w:t>
            </w:r>
          </w:p>
          <w:p w14:paraId="7E34C046" w14:textId="77777777" w:rsidR="00F630D0" w:rsidRPr="00F5437D" w:rsidRDefault="00F630D0" w:rsidP="00D47D7B">
            <w:pPr>
              <w:pStyle w:val="TableText0"/>
              <w:keepNext w:val="0"/>
              <w:rPr>
                <w:iCs/>
              </w:rPr>
            </w:pPr>
            <w:r>
              <w:t>(</w:t>
            </w:r>
            <w:proofErr w:type="gramStart"/>
            <w:r>
              <w:t>para</w:t>
            </w:r>
            <w:proofErr w:type="gramEnd"/>
            <w:r w:rsidR="00FB4702">
              <w:t>.</w:t>
            </w:r>
            <w:r>
              <w:t xml:space="preserve"> </w:t>
            </w:r>
            <w:r w:rsidR="00156853">
              <w:t>7.4</w:t>
            </w:r>
            <w:r w:rsidR="000E1788">
              <w:t>.</w:t>
            </w:r>
            <w:r>
              <w:t xml:space="preserve"> mavacamten, Public Summary Document, November 2022 PBAC meeting)</w:t>
            </w:r>
            <w:r w:rsidR="00E80392">
              <w:t>.</w:t>
            </w:r>
          </w:p>
        </w:tc>
        <w:tc>
          <w:tcPr>
            <w:tcW w:w="2236" w:type="pct"/>
            <w:tcBorders>
              <w:top w:val="nil"/>
            </w:tcBorders>
          </w:tcPr>
          <w:p w14:paraId="48C13790" w14:textId="437F097E" w:rsidR="002E7862" w:rsidRPr="00D541FB" w:rsidRDefault="002E7862" w:rsidP="00D47D7B">
            <w:pPr>
              <w:pStyle w:val="TableText0"/>
              <w:keepNext w:val="0"/>
              <w:rPr>
                <w:highlight w:val="cyan"/>
              </w:rPr>
            </w:pPr>
            <w:r w:rsidRPr="00D541FB">
              <w:t xml:space="preserve">Addressed. Criterion </w:t>
            </w:r>
            <w:r w:rsidR="00C5328A">
              <w:t>was</w:t>
            </w:r>
            <w:r w:rsidRPr="00D541FB">
              <w:t xml:space="preserve"> removed from the initiation restriction in the resubmission.</w:t>
            </w:r>
          </w:p>
        </w:tc>
      </w:tr>
      <w:tr w:rsidR="001110E8" w:rsidRPr="00203181" w14:paraId="6098982E" w14:textId="77777777" w:rsidTr="009C63B8">
        <w:trPr>
          <w:cantSplit/>
        </w:trPr>
        <w:tc>
          <w:tcPr>
            <w:tcW w:w="656" w:type="pct"/>
            <w:tcBorders>
              <w:top w:val="nil"/>
              <w:bottom w:val="nil"/>
            </w:tcBorders>
          </w:tcPr>
          <w:p w14:paraId="61AAC9AA" w14:textId="77777777" w:rsidR="00A977A6" w:rsidRPr="00290F14" w:rsidRDefault="00A977A6" w:rsidP="00D47D7B">
            <w:pPr>
              <w:pStyle w:val="TableText0"/>
              <w:keepNext w:val="0"/>
            </w:pPr>
          </w:p>
        </w:tc>
        <w:tc>
          <w:tcPr>
            <w:tcW w:w="2108" w:type="pct"/>
            <w:tcBorders>
              <w:top w:val="nil"/>
            </w:tcBorders>
          </w:tcPr>
          <w:p w14:paraId="7007731E" w14:textId="60E3E0CB" w:rsidR="00A977A6" w:rsidRDefault="00FB4702" w:rsidP="00D47D7B">
            <w:pPr>
              <w:pStyle w:val="TableText0"/>
              <w:keepNext w:val="0"/>
            </w:pPr>
            <w:r>
              <w:t>T</w:t>
            </w:r>
            <w:r w:rsidR="003B7613">
              <w:t xml:space="preserve">he PBAC considered a telephone/online PBS authority was required given the proposed assessments for monitoring will require echocardiograms and treatment by cardiologists or consultant physicians with experience in the management of hypertrophic </w:t>
            </w:r>
            <w:proofErr w:type="gramStart"/>
            <w:r w:rsidR="003B7613">
              <w:t>cardiomyopathy</w:t>
            </w:r>
            <w:proofErr w:type="gramEnd"/>
          </w:p>
          <w:p w14:paraId="68D84978" w14:textId="77777777" w:rsidR="00FB4702" w:rsidRPr="00F5437D" w:rsidRDefault="00FB4702" w:rsidP="00D47D7B">
            <w:pPr>
              <w:pStyle w:val="TableText0"/>
              <w:keepNext w:val="0"/>
              <w:rPr>
                <w:iCs/>
              </w:rPr>
            </w:pPr>
            <w:r>
              <w:t>(</w:t>
            </w:r>
            <w:proofErr w:type="gramStart"/>
            <w:r>
              <w:t>para</w:t>
            </w:r>
            <w:proofErr w:type="gramEnd"/>
            <w:r>
              <w:t>. 7.3. mavacamten, Public Summary Document, November 2022 PBAC meeting).</w:t>
            </w:r>
          </w:p>
        </w:tc>
        <w:tc>
          <w:tcPr>
            <w:tcW w:w="2236" w:type="pct"/>
            <w:tcBorders>
              <w:top w:val="nil"/>
            </w:tcBorders>
          </w:tcPr>
          <w:p w14:paraId="4C877F4C" w14:textId="2133BD90" w:rsidR="00A977A6" w:rsidRPr="00D541FB" w:rsidRDefault="00A977A6" w:rsidP="00D47D7B">
            <w:pPr>
              <w:pStyle w:val="TableText0"/>
              <w:keepNext w:val="0"/>
            </w:pPr>
            <w:r>
              <w:t>Addressed.</w:t>
            </w:r>
            <w:r w:rsidR="00B90F29">
              <w:t xml:space="preserve"> Administrative c</w:t>
            </w:r>
            <w:r w:rsidR="00151268">
              <w:t>hange</w:t>
            </w:r>
            <w:r w:rsidR="004C47F9">
              <w:t>s</w:t>
            </w:r>
            <w:r w:rsidR="00151268">
              <w:t xml:space="preserve"> </w:t>
            </w:r>
            <w:r w:rsidR="004C47F9">
              <w:t>were</w:t>
            </w:r>
            <w:r w:rsidR="00151268">
              <w:t xml:space="preserve"> made </w:t>
            </w:r>
            <w:r w:rsidR="00B90F29">
              <w:t xml:space="preserve">to the continuing </w:t>
            </w:r>
            <w:r w:rsidR="001A56B7">
              <w:t>restriction</w:t>
            </w:r>
            <w:r w:rsidR="00002E72">
              <w:t xml:space="preserve"> in</w:t>
            </w:r>
            <w:r w:rsidR="00150443">
              <w:t xml:space="preserve"> </w:t>
            </w:r>
            <w:r w:rsidR="00002E72">
              <w:t>th</w:t>
            </w:r>
            <w:r w:rsidR="00150443">
              <w:t>e</w:t>
            </w:r>
            <w:r w:rsidR="00002E72">
              <w:t xml:space="preserve"> resubmission</w:t>
            </w:r>
            <w:r w:rsidR="001A56B7">
              <w:t xml:space="preserve">. </w:t>
            </w:r>
            <w:r w:rsidR="00151268">
              <w:t xml:space="preserve"> </w:t>
            </w:r>
          </w:p>
        </w:tc>
      </w:tr>
      <w:tr w:rsidR="00D33308" w:rsidRPr="00203181" w14:paraId="054828BF" w14:textId="77777777" w:rsidTr="009C63B8">
        <w:trPr>
          <w:cantSplit/>
        </w:trPr>
        <w:tc>
          <w:tcPr>
            <w:tcW w:w="656" w:type="pct"/>
          </w:tcPr>
          <w:p w14:paraId="6D03033B" w14:textId="77777777" w:rsidR="00D33308" w:rsidRPr="00290F14" w:rsidRDefault="00D70693" w:rsidP="00D47D7B">
            <w:pPr>
              <w:pStyle w:val="TableText0"/>
              <w:keepNext w:val="0"/>
            </w:pPr>
            <w:r w:rsidRPr="00290F14">
              <w:t>Surrogate outcomes</w:t>
            </w:r>
          </w:p>
        </w:tc>
        <w:tc>
          <w:tcPr>
            <w:tcW w:w="2108" w:type="pct"/>
          </w:tcPr>
          <w:p w14:paraId="279FDB88" w14:textId="04E12A60" w:rsidR="00D33308" w:rsidRDefault="002459D1" w:rsidP="00D47D7B">
            <w:pPr>
              <w:pStyle w:val="TableText0"/>
              <w:keepNext w:val="0"/>
            </w:pPr>
            <w:r>
              <w:t xml:space="preserve">The PBAC noted that the </w:t>
            </w:r>
            <w:r w:rsidR="00552EE6">
              <w:t>EXPLORER-HCM reported on symptomatic/functional endpoints only</w:t>
            </w:r>
            <w:r w:rsidR="005258C0">
              <w:t>.</w:t>
            </w:r>
            <w:r w:rsidR="00D034D9">
              <w:t xml:space="preserve"> </w:t>
            </w:r>
            <w:r w:rsidR="00EC1839">
              <w:rPr>
                <w:szCs w:val="20"/>
              </w:rPr>
              <w:t>T</w:t>
            </w:r>
            <w:r w:rsidR="00EC1839" w:rsidRPr="003D2A58">
              <w:rPr>
                <w:szCs w:val="20"/>
              </w:rPr>
              <w:t>he</w:t>
            </w:r>
            <w:r w:rsidR="00EC1839" w:rsidRPr="003D2A58">
              <w:rPr>
                <w:rFonts w:eastAsia="Calibri"/>
              </w:rPr>
              <w:t xml:space="preserve"> effect mavacamten has on other patient relevant outcomes such as hospitalisation and mortality </w:t>
            </w:r>
            <w:r w:rsidR="00EC1839" w:rsidRPr="00CF0C33">
              <w:rPr>
                <w:rFonts w:eastAsia="Calibri"/>
              </w:rPr>
              <w:t xml:space="preserve">cannot be practically evaluated in trials in HCM patients because </w:t>
            </w:r>
            <w:r w:rsidR="004D01BA">
              <w:rPr>
                <w:rFonts w:eastAsia="Calibri"/>
              </w:rPr>
              <w:t xml:space="preserve">these </w:t>
            </w:r>
            <w:r w:rsidR="00EC1839" w:rsidRPr="00CF0C33">
              <w:rPr>
                <w:rFonts w:eastAsia="Calibri"/>
              </w:rPr>
              <w:t>events are rare</w:t>
            </w:r>
            <w:r w:rsidR="00EC1839">
              <w:rPr>
                <w:rFonts w:eastAsia="Calibri"/>
              </w:rPr>
              <w:t>.</w:t>
            </w:r>
            <w:r w:rsidR="00EC1839">
              <w:t xml:space="preserve"> </w:t>
            </w:r>
            <w:r w:rsidR="005258C0">
              <w:t>T</w:t>
            </w:r>
            <w:r w:rsidR="00C33F33">
              <w:t>here is no evidence that deaths would be reduced with mavacamten and patients with HCM are expected to have normal life expectancy; mavacamten is therefore not expected to</w:t>
            </w:r>
            <w:r w:rsidR="00C0043E">
              <w:t xml:space="preserve"> </w:t>
            </w:r>
            <w:r w:rsidR="00C33F33">
              <w:t>provide mortality benefits</w:t>
            </w:r>
            <w:r w:rsidR="00D034D9">
              <w:t xml:space="preserve">. </w:t>
            </w:r>
          </w:p>
          <w:p w14:paraId="3AB5B5DE" w14:textId="77777777" w:rsidR="00F630D0" w:rsidRPr="00C0043E" w:rsidRDefault="00F630D0" w:rsidP="00D47D7B">
            <w:pPr>
              <w:pStyle w:val="TableText0"/>
              <w:keepNext w:val="0"/>
            </w:pPr>
            <w:r>
              <w:t>(</w:t>
            </w:r>
            <w:proofErr w:type="gramStart"/>
            <w:r>
              <w:t>para</w:t>
            </w:r>
            <w:proofErr w:type="gramEnd"/>
            <w:r>
              <w:t xml:space="preserve"> </w:t>
            </w:r>
            <w:r w:rsidR="00156853">
              <w:t>7.6</w:t>
            </w:r>
            <w:r w:rsidR="000E1788">
              <w:t>.</w:t>
            </w:r>
            <w:r>
              <w:t xml:space="preserve"> mavacamten, Public Summary Document, November 2022 PBAC meeting)</w:t>
            </w:r>
            <w:r w:rsidR="00E80392">
              <w:t>.</w:t>
            </w:r>
          </w:p>
        </w:tc>
        <w:tc>
          <w:tcPr>
            <w:tcW w:w="2236" w:type="pct"/>
          </w:tcPr>
          <w:p w14:paraId="680EC7BC" w14:textId="77777777" w:rsidR="00C0043E" w:rsidRPr="001C5CBB" w:rsidRDefault="00C0043E" w:rsidP="00D47D7B">
            <w:pPr>
              <w:pStyle w:val="TableText0"/>
              <w:keepNext w:val="0"/>
            </w:pPr>
            <w:r w:rsidRPr="001C5CBB">
              <w:t xml:space="preserve">The resubmission </w:t>
            </w:r>
            <w:bookmarkStart w:id="16" w:name="_Hlk134089849"/>
            <w:r w:rsidRPr="001C5CBB">
              <w:t xml:space="preserve">conducted a targeted literature search </w:t>
            </w:r>
            <w:r w:rsidR="00F10BFA" w:rsidRPr="001C5CBB">
              <w:t xml:space="preserve">citing </w:t>
            </w:r>
            <w:r w:rsidR="007F120B" w:rsidRPr="001C5CBB">
              <w:t>seven</w:t>
            </w:r>
            <w:r w:rsidR="00F10BFA" w:rsidRPr="001C5CBB">
              <w:t xml:space="preserve"> </w:t>
            </w:r>
            <w:r w:rsidR="00024A20" w:rsidRPr="001C5CBB">
              <w:t>references</w:t>
            </w:r>
            <w:r w:rsidR="00322D99" w:rsidRPr="001C5CBB">
              <w:t xml:space="preserve"> to support the primary composite surrogate outcome to predict death and hospitalisations</w:t>
            </w:r>
            <w:r w:rsidR="00024A20" w:rsidRPr="001C5CBB">
              <w:t xml:space="preserve">: </w:t>
            </w:r>
          </w:p>
          <w:p w14:paraId="1A115915" w14:textId="7777777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Fiuzal et al., (2020)</w:t>
            </w:r>
          </w:p>
          <w:p w14:paraId="26932FAE" w14:textId="7777777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Karapolat et al., (2008)</w:t>
            </w:r>
          </w:p>
          <w:p w14:paraId="7798F0C3" w14:textId="7777777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SHaRe (Tompkins et al., 2018.)</w:t>
            </w:r>
          </w:p>
          <w:p w14:paraId="41595EC7" w14:textId="7777777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 xml:space="preserve">Bennett et al., (2002) </w:t>
            </w:r>
          </w:p>
          <w:p w14:paraId="1C95CE8A" w14:textId="7777777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Gallagher et al., (2019)</w:t>
            </w:r>
          </w:p>
          <w:p w14:paraId="3A213A3B" w14:textId="58FC13C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S</w:t>
            </w:r>
            <w:r w:rsidR="005F1CC4">
              <w:rPr>
                <w:rFonts w:ascii="Arial Narrow" w:hAnsi="Arial Narrow"/>
                <w:sz w:val="20"/>
              </w:rPr>
              <w:t>H</w:t>
            </w:r>
            <w:r w:rsidRPr="001C5CBB">
              <w:rPr>
                <w:rFonts w:ascii="Arial Narrow" w:hAnsi="Arial Narrow"/>
                <w:sz w:val="20"/>
              </w:rPr>
              <w:t>aRe registry (Lakdawala et al., 2022)</w:t>
            </w:r>
          </w:p>
          <w:p w14:paraId="27C3C8D2" w14:textId="77777777" w:rsidR="00024A20" w:rsidRPr="001C5CBB" w:rsidRDefault="00024A20" w:rsidP="00EE280A">
            <w:pPr>
              <w:pStyle w:val="ListParagraph"/>
              <w:numPr>
                <w:ilvl w:val="0"/>
                <w:numId w:val="13"/>
              </w:numPr>
              <w:spacing w:after="0"/>
              <w:ind w:left="396" w:hanging="164"/>
              <w:jc w:val="left"/>
              <w:rPr>
                <w:rFonts w:ascii="Arial Narrow" w:hAnsi="Arial Narrow"/>
                <w:sz w:val="20"/>
              </w:rPr>
            </w:pPr>
            <w:r w:rsidRPr="001C5CBB">
              <w:rPr>
                <w:rFonts w:ascii="Arial Narrow" w:hAnsi="Arial Narrow"/>
                <w:sz w:val="20"/>
              </w:rPr>
              <w:t>Wang et al., (2022)</w:t>
            </w:r>
          </w:p>
          <w:bookmarkEnd w:id="16"/>
          <w:p w14:paraId="1CFBDC89" w14:textId="298E0B02" w:rsidR="00D33308" w:rsidRPr="00290F14" w:rsidRDefault="00D33308" w:rsidP="00D47D7B">
            <w:pPr>
              <w:pStyle w:val="TableText0"/>
              <w:keepNext w:val="0"/>
              <w:rPr>
                <w:i/>
                <w:iCs/>
                <w:highlight w:val="cyan"/>
              </w:rPr>
            </w:pPr>
          </w:p>
        </w:tc>
      </w:tr>
      <w:tr w:rsidR="00E047AA" w:rsidRPr="00203181" w14:paraId="26404E90" w14:textId="77777777" w:rsidTr="009C63B8">
        <w:trPr>
          <w:cantSplit/>
        </w:trPr>
        <w:tc>
          <w:tcPr>
            <w:tcW w:w="656" w:type="pct"/>
          </w:tcPr>
          <w:p w14:paraId="3C4FEAF9" w14:textId="77777777" w:rsidR="00A977A6" w:rsidRPr="00290F14" w:rsidRDefault="00A977A6" w:rsidP="00D47D7B">
            <w:pPr>
              <w:pStyle w:val="TableText0"/>
              <w:keepNext w:val="0"/>
            </w:pPr>
            <w:r>
              <w:t>Clinical claim</w:t>
            </w:r>
          </w:p>
        </w:tc>
        <w:tc>
          <w:tcPr>
            <w:tcW w:w="2108" w:type="pct"/>
          </w:tcPr>
          <w:p w14:paraId="60F62626" w14:textId="77777777" w:rsidR="00A977A6" w:rsidRPr="00DA3C26" w:rsidRDefault="00B8268F" w:rsidP="00B8268F">
            <w:pPr>
              <w:jc w:val="left"/>
              <w:rPr>
                <w:rFonts w:ascii="Arial Narrow" w:hAnsi="Arial Narrow"/>
                <w:sz w:val="20"/>
              </w:rPr>
            </w:pPr>
            <w:r w:rsidRPr="00DA3C26">
              <w:rPr>
                <w:rFonts w:ascii="Arial Narrow" w:hAnsi="Arial Narrow"/>
                <w:sz w:val="20"/>
              </w:rPr>
              <w:t>The PBAC considered the claim of superior comparative effectiveness was reasonable, but the claim of non-inferior safety compared with SOC was not adequately supported by the data (para</w:t>
            </w:r>
            <w:r w:rsidR="00E23462">
              <w:rPr>
                <w:rFonts w:ascii="Arial Narrow" w:hAnsi="Arial Narrow"/>
                <w:sz w:val="20"/>
              </w:rPr>
              <w:t>.</w:t>
            </w:r>
            <w:r w:rsidRPr="00DA3C26">
              <w:rPr>
                <w:rFonts w:ascii="Arial Narrow" w:hAnsi="Arial Narrow"/>
                <w:sz w:val="20"/>
              </w:rPr>
              <w:t xml:space="preserve"> 6.33, 6.34, and 7.7</w:t>
            </w:r>
            <w:r w:rsidR="00A757F8" w:rsidRPr="00605550">
              <w:rPr>
                <w:rFonts w:ascii="Arial Narrow" w:hAnsi="Arial Narrow"/>
                <w:sz w:val="20"/>
              </w:rPr>
              <w:t>, mavacamten, Public Summary Document, November 2022 meeting</w:t>
            </w:r>
            <w:r w:rsidRPr="00605550">
              <w:rPr>
                <w:rFonts w:ascii="Arial Narrow" w:hAnsi="Arial Narrow"/>
                <w:sz w:val="20"/>
              </w:rPr>
              <w:t>).</w:t>
            </w:r>
          </w:p>
        </w:tc>
        <w:tc>
          <w:tcPr>
            <w:tcW w:w="2236" w:type="pct"/>
          </w:tcPr>
          <w:p w14:paraId="5E227BE2" w14:textId="77777777" w:rsidR="00A977A6" w:rsidRPr="001C5CBB" w:rsidRDefault="00A977A6" w:rsidP="00D47D7B">
            <w:pPr>
              <w:pStyle w:val="TableText0"/>
              <w:keepNext w:val="0"/>
            </w:pPr>
            <w:r>
              <w:t>Addressed</w:t>
            </w:r>
            <w:r w:rsidR="003D2161">
              <w:t xml:space="preserve">. </w:t>
            </w:r>
            <w:r w:rsidR="00A757F8">
              <w:t xml:space="preserve">The clinical claim </w:t>
            </w:r>
            <w:r w:rsidR="00CB48E3">
              <w:t>was</w:t>
            </w:r>
            <w:r w:rsidR="00A757F8">
              <w:t xml:space="preserve"> revised</w:t>
            </w:r>
            <w:r w:rsidR="00F94BE2">
              <w:t xml:space="preserve"> in the resubmission</w:t>
            </w:r>
            <w:r w:rsidR="00A757F8">
              <w:t xml:space="preserve"> to s</w:t>
            </w:r>
            <w:r w:rsidR="00A757F8" w:rsidRPr="00EB5443">
              <w:t>uperior comparative effectiveness and inferior comparative safety versus SOC</w:t>
            </w:r>
            <w:r w:rsidR="00A757F8">
              <w:t xml:space="preserve">. </w:t>
            </w:r>
          </w:p>
        </w:tc>
      </w:tr>
      <w:tr w:rsidR="00797B1A" w:rsidRPr="00203181" w14:paraId="5E0B0328" w14:textId="77777777" w:rsidTr="009C63B8">
        <w:trPr>
          <w:cantSplit/>
        </w:trPr>
        <w:tc>
          <w:tcPr>
            <w:tcW w:w="656" w:type="pct"/>
          </w:tcPr>
          <w:p w14:paraId="11C9C876" w14:textId="77777777" w:rsidR="00797B1A" w:rsidRPr="00290F14" w:rsidRDefault="00797B1A" w:rsidP="00D47D7B">
            <w:pPr>
              <w:pStyle w:val="TableText0"/>
              <w:keepNext w:val="0"/>
            </w:pPr>
            <w:r w:rsidRPr="00290F14">
              <w:lastRenderedPageBreak/>
              <w:t>Base case economic model</w:t>
            </w:r>
          </w:p>
        </w:tc>
        <w:tc>
          <w:tcPr>
            <w:tcW w:w="2108" w:type="pct"/>
          </w:tcPr>
          <w:p w14:paraId="051C10A4" w14:textId="77777777" w:rsidR="00797B1A" w:rsidRPr="002459D1" w:rsidRDefault="00797B1A" w:rsidP="00D47D7B">
            <w:pPr>
              <w:jc w:val="left"/>
              <w:rPr>
                <w:rFonts w:ascii="Arial Narrow" w:hAnsi="Arial Narrow"/>
                <w:sz w:val="20"/>
              </w:rPr>
            </w:pPr>
            <w:r w:rsidRPr="002459D1">
              <w:rPr>
                <w:rFonts w:ascii="Arial Narrow" w:hAnsi="Arial Narrow"/>
                <w:sz w:val="20"/>
              </w:rPr>
              <w:t>The PBAC noted several key issues with the economic model that had been raised by the evaluation and the ESC. The PBAC considered a respecified base case should include the following:</w:t>
            </w:r>
          </w:p>
          <w:p w14:paraId="20B718C8" w14:textId="77777777" w:rsidR="00797B1A" w:rsidRPr="002459D1" w:rsidRDefault="00797B1A" w:rsidP="00EE280A">
            <w:pPr>
              <w:pStyle w:val="ListParagraph"/>
              <w:numPr>
                <w:ilvl w:val="0"/>
                <w:numId w:val="13"/>
              </w:numPr>
              <w:spacing w:after="0"/>
              <w:ind w:left="396" w:hanging="164"/>
              <w:jc w:val="left"/>
              <w:rPr>
                <w:rFonts w:ascii="Arial Narrow" w:hAnsi="Arial Narrow"/>
                <w:sz w:val="20"/>
              </w:rPr>
            </w:pPr>
            <w:r w:rsidRPr="002459D1">
              <w:rPr>
                <w:rFonts w:ascii="Arial Narrow" w:hAnsi="Arial Narrow"/>
                <w:sz w:val="20"/>
              </w:rPr>
              <w:t>a 10</w:t>
            </w:r>
            <w:r w:rsidR="000A1EC6" w:rsidRPr="002459D1">
              <w:rPr>
                <w:rFonts w:ascii="Arial Narrow" w:hAnsi="Arial Narrow"/>
                <w:sz w:val="20"/>
              </w:rPr>
              <w:t>-</w:t>
            </w:r>
            <w:r w:rsidRPr="002459D1">
              <w:rPr>
                <w:rFonts w:ascii="Arial Narrow" w:hAnsi="Arial Narrow"/>
                <w:sz w:val="20"/>
              </w:rPr>
              <w:t>year time horizon</w:t>
            </w:r>
          </w:p>
          <w:p w14:paraId="2B3E62C9" w14:textId="77777777" w:rsidR="00797B1A" w:rsidRPr="002459D1" w:rsidRDefault="00797B1A" w:rsidP="00EE280A">
            <w:pPr>
              <w:pStyle w:val="ListParagraph"/>
              <w:numPr>
                <w:ilvl w:val="0"/>
                <w:numId w:val="13"/>
              </w:numPr>
              <w:spacing w:after="0"/>
              <w:ind w:left="396" w:hanging="164"/>
              <w:jc w:val="left"/>
              <w:rPr>
                <w:rFonts w:ascii="Arial Narrow" w:hAnsi="Arial Narrow"/>
                <w:sz w:val="20"/>
              </w:rPr>
            </w:pPr>
            <w:r w:rsidRPr="002459D1">
              <w:rPr>
                <w:rFonts w:ascii="Arial Narrow" w:hAnsi="Arial Narrow"/>
                <w:sz w:val="20"/>
              </w:rPr>
              <w:t>truncation at 30 weeks in both arms</w:t>
            </w:r>
          </w:p>
          <w:p w14:paraId="1360805B" w14:textId="77777777" w:rsidR="00797B1A" w:rsidRPr="002459D1" w:rsidRDefault="00797B1A" w:rsidP="00EE280A">
            <w:pPr>
              <w:pStyle w:val="ListParagraph"/>
              <w:numPr>
                <w:ilvl w:val="0"/>
                <w:numId w:val="13"/>
              </w:numPr>
              <w:spacing w:after="0"/>
              <w:ind w:left="396" w:hanging="164"/>
              <w:jc w:val="left"/>
              <w:rPr>
                <w:rFonts w:ascii="Arial Narrow" w:hAnsi="Arial Narrow"/>
                <w:sz w:val="20"/>
              </w:rPr>
            </w:pPr>
            <w:r w:rsidRPr="002459D1">
              <w:rPr>
                <w:rFonts w:ascii="Arial Narrow" w:hAnsi="Arial Narrow"/>
                <w:sz w:val="20"/>
              </w:rPr>
              <w:t xml:space="preserve">no mortality </w:t>
            </w:r>
            <w:proofErr w:type="gramStart"/>
            <w:r w:rsidRPr="002459D1">
              <w:rPr>
                <w:rFonts w:ascii="Arial Narrow" w:hAnsi="Arial Narrow"/>
                <w:sz w:val="20"/>
              </w:rPr>
              <w:t>benefit</w:t>
            </w:r>
            <w:proofErr w:type="gramEnd"/>
          </w:p>
          <w:p w14:paraId="7828D389" w14:textId="77777777" w:rsidR="00797B1A" w:rsidRPr="002459D1" w:rsidRDefault="00797B1A" w:rsidP="00EE280A">
            <w:pPr>
              <w:pStyle w:val="ListParagraph"/>
              <w:numPr>
                <w:ilvl w:val="0"/>
                <w:numId w:val="13"/>
              </w:numPr>
              <w:spacing w:after="0"/>
              <w:ind w:left="396" w:hanging="164"/>
              <w:jc w:val="left"/>
              <w:rPr>
                <w:rFonts w:ascii="Arial Narrow" w:hAnsi="Arial Narrow"/>
                <w:sz w:val="20"/>
              </w:rPr>
            </w:pPr>
            <w:r w:rsidRPr="002459D1">
              <w:rPr>
                <w:rFonts w:ascii="Arial Narrow" w:hAnsi="Arial Narrow"/>
                <w:sz w:val="20"/>
              </w:rPr>
              <w:t>amended inputs for:</w:t>
            </w:r>
          </w:p>
          <w:p w14:paraId="51481C9D" w14:textId="77777777" w:rsidR="00797B1A" w:rsidRPr="002459D1" w:rsidRDefault="00797B1A" w:rsidP="00D47D7B">
            <w:pPr>
              <w:pStyle w:val="ListParagraph"/>
              <w:spacing w:after="0"/>
              <w:ind w:left="396"/>
              <w:jc w:val="left"/>
              <w:rPr>
                <w:rFonts w:ascii="Arial Narrow" w:hAnsi="Arial Narrow"/>
                <w:sz w:val="20"/>
              </w:rPr>
            </w:pPr>
            <w:r w:rsidRPr="002459D1">
              <w:rPr>
                <w:rFonts w:ascii="Arial Narrow" w:hAnsi="Arial Narrow"/>
                <w:sz w:val="20"/>
              </w:rPr>
              <w:t>− cardiovascular hospitalisation rates and costs</w:t>
            </w:r>
          </w:p>
          <w:p w14:paraId="567E97F6" w14:textId="77777777" w:rsidR="00797B1A" w:rsidRPr="002459D1" w:rsidRDefault="00797B1A" w:rsidP="00D47D7B">
            <w:pPr>
              <w:pStyle w:val="ListParagraph"/>
              <w:spacing w:after="0"/>
              <w:ind w:left="396"/>
              <w:jc w:val="left"/>
              <w:rPr>
                <w:rFonts w:ascii="Arial Narrow" w:hAnsi="Arial Narrow"/>
                <w:sz w:val="20"/>
              </w:rPr>
            </w:pPr>
            <w:r w:rsidRPr="002459D1">
              <w:rPr>
                <w:rFonts w:ascii="Arial Narrow" w:hAnsi="Arial Narrow"/>
                <w:sz w:val="20"/>
              </w:rPr>
              <w:t>− SRT costs</w:t>
            </w:r>
          </w:p>
          <w:p w14:paraId="5198ABE8" w14:textId="77777777" w:rsidR="00797B1A" w:rsidRPr="002459D1" w:rsidRDefault="00797B1A" w:rsidP="00D47D7B">
            <w:pPr>
              <w:pStyle w:val="ListParagraph"/>
              <w:spacing w:after="0"/>
              <w:ind w:left="396"/>
              <w:jc w:val="left"/>
              <w:rPr>
                <w:rFonts w:ascii="Arial Narrow" w:hAnsi="Arial Narrow"/>
                <w:sz w:val="20"/>
              </w:rPr>
            </w:pPr>
            <w:r w:rsidRPr="002459D1">
              <w:rPr>
                <w:rFonts w:ascii="Arial Narrow" w:hAnsi="Arial Narrow"/>
                <w:sz w:val="20"/>
              </w:rPr>
              <w:t>− disopyramide benefits</w:t>
            </w:r>
          </w:p>
          <w:p w14:paraId="6907C091" w14:textId="77777777" w:rsidR="00797B1A" w:rsidRDefault="00797B1A" w:rsidP="00D47D7B">
            <w:pPr>
              <w:pStyle w:val="ListParagraph"/>
              <w:spacing w:after="0"/>
              <w:ind w:left="396"/>
              <w:jc w:val="left"/>
              <w:rPr>
                <w:rFonts w:ascii="Arial Narrow" w:hAnsi="Arial Narrow"/>
                <w:sz w:val="20"/>
              </w:rPr>
            </w:pPr>
            <w:r w:rsidRPr="002459D1">
              <w:rPr>
                <w:rFonts w:ascii="Arial Narrow" w:hAnsi="Arial Narrow"/>
                <w:sz w:val="20"/>
              </w:rPr>
              <w:t>− discontinuation rates</w:t>
            </w:r>
          </w:p>
          <w:p w14:paraId="697359FB" w14:textId="77777777" w:rsidR="00F630D0" w:rsidRPr="00F630D0" w:rsidRDefault="00F630D0" w:rsidP="00F630D0">
            <w:pPr>
              <w:jc w:val="left"/>
              <w:rPr>
                <w:highlight w:val="yellow"/>
              </w:rPr>
            </w:pPr>
            <w:r w:rsidRPr="00F630D0">
              <w:rPr>
                <w:rFonts w:ascii="Arial Narrow" w:hAnsi="Arial Narrow"/>
                <w:sz w:val="20"/>
              </w:rPr>
              <w:t>(</w:t>
            </w:r>
            <w:proofErr w:type="gramStart"/>
            <w:r w:rsidRPr="00F630D0">
              <w:rPr>
                <w:rFonts w:ascii="Arial Narrow" w:hAnsi="Arial Narrow"/>
                <w:sz w:val="20"/>
              </w:rPr>
              <w:t>para</w:t>
            </w:r>
            <w:proofErr w:type="gramEnd"/>
            <w:r w:rsidR="00E23462">
              <w:rPr>
                <w:rFonts w:ascii="Arial Narrow" w:hAnsi="Arial Narrow"/>
                <w:sz w:val="20"/>
              </w:rPr>
              <w:t>.</w:t>
            </w:r>
            <w:r w:rsidRPr="00F630D0">
              <w:rPr>
                <w:rFonts w:ascii="Arial Narrow" w:hAnsi="Arial Narrow"/>
                <w:sz w:val="20"/>
              </w:rPr>
              <w:t xml:space="preserve"> </w:t>
            </w:r>
            <w:r w:rsidR="00156853">
              <w:rPr>
                <w:rFonts w:ascii="Arial Narrow" w:hAnsi="Arial Narrow"/>
                <w:sz w:val="20"/>
              </w:rPr>
              <w:t>7.8 &amp; 7.9</w:t>
            </w:r>
            <w:r w:rsidRPr="00F630D0">
              <w:rPr>
                <w:rFonts w:ascii="Arial Narrow" w:hAnsi="Arial Narrow"/>
                <w:sz w:val="20"/>
              </w:rPr>
              <w:t>, mavacamten, Public Summary Document, November 2022 PBAC meeting)</w:t>
            </w:r>
            <w:r w:rsidR="00E80392">
              <w:rPr>
                <w:rFonts w:ascii="Arial Narrow" w:hAnsi="Arial Narrow"/>
                <w:sz w:val="20"/>
              </w:rPr>
              <w:t>.</w:t>
            </w:r>
          </w:p>
        </w:tc>
        <w:tc>
          <w:tcPr>
            <w:tcW w:w="2236" w:type="pct"/>
          </w:tcPr>
          <w:p w14:paraId="094FF430" w14:textId="4846E583" w:rsidR="00797B1A" w:rsidRPr="00907C54" w:rsidRDefault="00797B1A" w:rsidP="00D47D7B">
            <w:pPr>
              <w:jc w:val="left"/>
              <w:rPr>
                <w:rFonts w:ascii="Arial Narrow" w:hAnsi="Arial Narrow"/>
                <w:sz w:val="20"/>
              </w:rPr>
            </w:pPr>
            <w:r w:rsidRPr="00907C54">
              <w:rPr>
                <w:rFonts w:ascii="Arial Narrow" w:hAnsi="Arial Narrow"/>
                <w:sz w:val="20"/>
              </w:rPr>
              <w:t>The updated economic model was amended</w:t>
            </w:r>
            <w:r w:rsidR="00CF4417">
              <w:rPr>
                <w:rFonts w:ascii="Arial Narrow" w:hAnsi="Arial Narrow"/>
                <w:sz w:val="20"/>
              </w:rPr>
              <w:t xml:space="preserve"> to include</w:t>
            </w:r>
            <w:r w:rsidRPr="00907C54">
              <w:rPr>
                <w:rFonts w:ascii="Arial Narrow" w:hAnsi="Arial Narrow"/>
                <w:sz w:val="20"/>
              </w:rPr>
              <w:t xml:space="preserve">: </w:t>
            </w:r>
          </w:p>
          <w:p w14:paraId="5B578E88" w14:textId="79B9A0AF" w:rsidR="00797B1A" w:rsidRPr="00907C54" w:rsidRDefault="00797B1A" w:rsidP="00EE280A">
            <w:pPr>
              <w:pStyle w:val="ListParagraph"/>
              <w:numPr>
                <w:ilvl w:val="0"/>
                <w:numId w:val="13"/>
              </w:numPr>
              <w:spacing w:after="0"/>
              <w:ind w:left="396" w:hanging="164"/>
              <w:jc w:val="left"/>
              <w:rPr>
                <w:rFonts w:ascii="Arial Narrow" w:hAnsi="Arial Narrow"/>
                <w:sz w:val="20"/>
              </w:rPr>
            </w:pPr>
            <w:r w:rsidRPr="00907C54">
              <w:rPr>
                <w:rFonts w:ascii="Arial Narrow" w:hAnsi="Arial Narrow"/>
                <w:sz w:val="20"/>
              </w:rPr>
              <w:t>a 20</w:t>
            </w:r>
            <w:r w:rsidR="000A1EC6">
              <w:rPr>
                <w:rFonts w:ascii="Arial Narrow" w:hAnsi="Arial Narrow"/>
                <w:sz w:val="20"/>
              </w:rPr>
              <w:t>-</w:t>
            </w:r>
            <w:r w:rsidRPr="00907C54">
              <w:rPr>
                <w:rFonts w:ascii="Arial Narrow" w:hAnsi="Arial Narrow"/>
                <w:sz w:val="20"/>
              </w:rPr>
              <w:t>year time horizon</w:t>
            </w:r>
            <w:r w:rsidR="00CC7A5C">
              <w:rPr>
                <w:rFonts w:ascii="Arial Narrow" w:hAnsi="Arial Narrow"/>
                <w:sz w:val="20"/>
              </w:rPr>
              <w:t xml:space="preserve"> </w:t>
            </w:r>
            <w:r>
              <w:rPr>
                <w:rFonts w:ascii="Arial Narrow" w:hAnsi="Arial Narrow"/>
                <w:sz w:val="20"/>
              </w:rPr>
              <w:t>(instead of 10</w:t>
            </w:r>
            <w:r w:rsidR="000A1EC6">
              <w:rPr>
                <w:rFonts w:ascii="Arial Narrow" w:hAnsi="Arial Narrow"/>
                <w:sz w:val="20"/>
              </w:rPr>
              <w:t>-</w:t>
            </w:r>
            <w:r>
              <w:rPr>
                <w:rFonts w:ascii="Arial Narrow" w:hAnsi="Arial Narrow"/>
                <w:sz w:val="20"/>
              </w:rPr>
              <w:t>year)</w:t>
            </w:r>
          </w:p>
          <w:p w14:paraId="4903E0FB" w14:textId="77777777" w:rsidR="00797B1A" w:rsidRPr="00907C54" w:rsidRDefault="00797B1A" w:rsidP="00EE280A">
            <w:pPr>
              <w:pStyle w:val="ListParagraph"/>
              <w:numPr>
                <w:ilvl w:val="0"/>
                <w:numId w:val="13"/>
              </w:numPr>
              <w:spacing w:after="0"/>
              <w:ind w:left="396" w:hanging="164"/>
              <w:jc w:val="left"/>
              <w:rPr>
                <w:rFonts w:ascii="Arial Narrow" w:hAnsi="Arial Narrow"/>
                <w:sz w:val="20"/>
              </w:rPr>
            </w:pPr>
            <w:r w:rsidRPr="00907C54">
              <w:rPr>
                <w:rFonts w:ascii="Arial Narrow" w:hAnsi="Arial Narrow"/>
                <w:sz w:val="20"/>
              </w:rPr>
              <w:t>truncation at 3</w:t>
            </w:r>
            <w:r>
              <w:rPr>
                <w:rFonts w:ascii="Arial Narrow" w:hAnsi="Arial Narrow"/>
                <w:sz w:val="20"/>
              </w:rPr>
              <w:t>8</w:t>
            </w:r>
            <w:r w:rsidRPr="00907C54">
              <w:rPr>
                <w:rFonts w:ascii="Arial Narrow" w:hAnsi="Arial Narrow"/>
                <w:sz w:val="20"/>
              </w:rPr>
              <w:t xml:space="preserve"> weeks in </w:t>
            </w:r>
            <w:r>
              <w:rPr>
                <w:rFonts w:ascii="Arial Narrow" w:hAnsi="Arial Narrow"/>
                <w:sz w:val="20"/>
              </w:rPr>
              <w:t xml:space="preserve">SOC arm </w:t>
            </w:r>
            <w:r w:rsidR="000A1EC6">
              <w:rPr>
                <w:rFonts w:ascii="Arial Narrow" w:hAnsi="Arial Narrow"/>
                <w:sz w:val="20"/>
              </w:rPr>
              <w:t xml:space="preserve">only </w:t>
            </w:r>
            <w:r>
              <w:rPr>
                <w:rFonts w:ascii="Arial Narrow" w:hAnsi="Arial Narrow"/>
                <w:sz w:val="20"/>
              </w:rPr>
              <w:t>(revised from 46 weeks)</w:t>
            </w:r>
          </w:p>
          <w:p w14:paraId="34DAD467" w14:textId="77777777" w:rsidR="00797B1A" w:rsidRPr="00907C54" w:rsidRDefault="00797B1A" w:rsidP="00EE280A">
            <w:pPr>
              <w:pStyle w:val="ListParagraph"/>
              <w:numPr>
                <w:ilvl w:val="0"/>
                <w:numId w:val="13"/>
              </w:numPr>
              <w:spacing w:after="0"/>
              <w:ind w:left="396" w:hanging="164"/>
              <w:jc w:val="left"/>
              <w:rPr>
                <w:rFonts w:ascii="Arial Narrow" w:hAnsi="Arial Narrow"/>
                <w:sz w:val="20"/>
              </w:rPr>
            </w:pPr>
            <w:r w:rsidRPr="00907C54">
              <w:rPr>
                <w:rFonts w:ascii="Arial Narrow" w:hAnsi="Arial Narrow"/>
                <w:sz w:val="20"/>
              </w:rPr>
              <w:t>amended inputs for:</w:t>
            </w:r>
          </w:p>
          <w:p w14:paraId="4A133761" w14:textId="77777777" w:rsidR="00797B1A" w:rsidRPr="00907C54" w:rsidRDefault="00797B1A" w:rsidP="00D47D7B">
            <w:pPr>
              <w:pStyle w:val="ListParagraph"/>
              <w:spacing w:after="0"/>
              <w:ind w:left="396"/>
              <w:jc w:val="left"/>
              <w:rPr>
                <w:rFonts w:ascii="Arial Narrow" w:hAnsi="Arial Narrow"/>
                <w:sz w:val="20"/>
              </w:rPr>
            </w:pPr>
            <w:r w:rsidRPr="00907C54">
              <w:rPr>
                <w:rFonts w:ascii="Arial Narrow" w:hAnsi="Arial Narrow"/>
                <w:sz w:val="20"/>
              </w:rPr>
              <w:t>− cardiovascular hospitalisation costs</w:t>
            </w:r>
          </w:p>
          <w:p w14:paraId="5E405469" w14:textId="77777777" w:rsidR="00797B1A" w:rsidRDefault="00797B1A" w:rsidP="00D47D7B">
            <w:pPr>
              <w:pStyle w:val="ListParagraph"/>
              <w:spacing w:after="0"/>
              <w:ind w:left="396"/>
              <w:jc w:val="left"/>
              <w:rPr>
                <w:rFonts w:ascii="Arial Narrow" w:hAnsi="Arial Narrow"/>
                <w:sz w:val="20"/>
              </w:rPr>
            </w:pPr>
            <w:r w:rsidRPr="00907C54">
              <w:rPr>
                <w:rFonts w:ascii="Arial Narrow" w:hAnsi="Arial Narrow"/>
                <w:sz w:val="20"/>
              </w:rPr>
              <w:t xml:space="preserve">− </w:t>
            </w:r>
            <w:r>
              <w:rPr>
                <w:rFonts w:ascii="Arial Narrow" w:hAnsi="Arial Narrow"/>
                <w:sz w:val="20"/>
              </w:rPr>
              <w:t xml:space="preserve">removal of </w:t>
            </w:r>
            <w:r w:rsidRPr="00907C54">
              <w:rPr>
                <w:rFonts w:ascii="Arial Narrow" w:hAnsi="Arial Narrow"/>
                <w:sz w:val="20"/>
              </w:rPr>
              <w:t xml:space="preserve">disopyramide </w:t>
            </w:r>
            <w:r>
              <w:rPr>
                <w:rFonts w:ascii="Arial Narrow" w:hAnsi="Arial Narrow"/>
                <w:sz w:val="20"/>
              </w:rPr>
              <w:t xml:space="preserve">from model structure. </w:t>
            </w:r>
          </w:p>
          <w:p w14:paraId="64F3279E" w14:textId="44D6A60C" w:rsidR="00797B1A" w:rsidRPr="00893903" w:rsidRDefault="00FB19AE" w:rsidP="00D47D7B">
            <w:pPr>
              <w:pStyle w:val="ListBullet"/>
              <w:numPr>
                <w:ilvl w:val="0"/>
                <w:numId w:val="0"/>
              </w:numPr>
              <w:ind w:left="360"/>
            </w:pPr>
            <w:r w:rsidRPr="00907C54">
              <w:rPr>
                <w:rFonts w:ascii="Arial Narrow" w:hAnsi="Arial Narrow"/>
                <w:sz w:val="20"/>
              </w:rPr>
              <w:t>−</w:t>
            </w:r>
            <w:r w:rsidR="00797B1A" w:rsidRPr="00893903">
              <w:rPr>
                <w:rFonts w:ascii="Arial Narrow" w:hAnsi="Arial Narrow"/>
                <w:sz w:val="20"/>
              </w:rPr>
              <w:t xml:space="preserve"> discontinuation </w:t>
            </w:r>
            <w:r w:rsidR="007D30E4">
              <w:rPr>
                <w:rFonts w:ascii="Arial Narrow" w:hAnsi="Arial Narrow"/>
                <w:sz w:val="20"/>
              </w:rPr>
              <w:t>due to SAEs</w:t>
            </w:r>
            <w:r w:rsidR="00DA6424">
              <w:rPr>
                <w:rFonts w:ascii="Arial Narrow" w:hAnsi="Arial Narrow"/>
                <w:sz w:val="20"/>
              </w:rPr>
              <w:t xml:space="preserve"> at week 30 and annually. </w:t>
            </w:r>
          </w:p>
          <w:p w14:paraId="5F43D2AE" w14:textId="77777777" w:rsidR="00797B1A" w:rsidRDefault="00797B1A" w:rsidP="00D47D7B">
            <w:pPr>
              <w:jc w:val="left"/>
              <w:rPr>
                <w:rFonts w:ascii="Arial Narrow" w:hAnsi="Arial Narrow"/>
                <w:sz w:val="20"/>
              </w:rPr>
            </w:pPr>
          </w:p>
          <w:p w14:paraId="47F647D5" w14:textId="77777777" w:rsidR="00797B1A" w:rsidRPr="00AD497B" w:rsidRDefault="00797B1A" w:rsidP="00D47D7B">
            <w:pPr>
              <w:jc w:val="left"/>
              <w:rPr>
                <w:rFonts w:ascii="Arial Narrow" w:hAnsi="Arial Narrow"/>
                <w:sz w:val="20"/>
              </w:rPr>
            </w:pPr>
            <w:r>
              <w:rPr>
                <w:rFonts w:ascii="Arial Narrow" w:hAnsi="Arial Narrow"/>
                <w:sz w:val="20"/>
              </w:rPr>
              <w:t xml:space="preserve">The updated economic model did not amend </w:t>
            </w:r>
            <w:r w:rsidRPr="00AD497B">
              <w:rPr>
                <w:rFonts w:ascii="Arial Narrow" w:hAnsi="Arial Narrow"/>
                <w:sz w:val="20"/>
              </w:rPr>
              <w:t xml:space="preserve">parameters pertaining to: </w:t>
            </w:r>
          </w:p>
          <w:p w14:paraId="4E2EA26D" w14:textId="77777777" w:rsidR="00797B1A" w:rsidRPr="00AD497B" w:rsidRDefault="00797B1A" w:rsidP="00EE280A">
            <w:pPr>
              <w:pStyle w:val="ListParagraph"/>
              <w:numPr>
                <w:ilvl w:val="0"/>
                <w:numId w:val="13"/>
              </w:numPr>
              <w:spacing w:after="0"/>
              <w:ind w:left="396" w:hanging="164"/>
              <w:jc w:val="left"/>
              <w:rPr>
                <w:rFonts w:ascii="Arial Narrow" w:hAnsi="Arial Narrow"/>
                <w:sz w:val="20"/>
              </w:rPr>
            </w:pPr>
            <w:r w:rsidRPr="00AD497B">
              <w:rPr>
                <w:rFonts w:ascii="Arial Narrow" w:hAnsi="Arial Narrow"/>
                <w:sz w:val="20"/>
              </w:rPr>
              <w:t>removal of mortality benefit</w:t>
            </w:r>
          </w:p>
          <w:p w14:paraId="6E1A0696" w14:textId="77777777" w:rsidR="00797B1A" w:rsidRDefault="00797B1A" w:rsidP="00EE280A">
            <w:pPr>
              <w:pStyle w:val="ListParagraph"/>
              <w:numPr>
                <w:ilvl w:val="0"/>
                <w:numId w:val="13"/>
              </w:numPr>
              <w:spacing w:after="0"/>
              <w:ind w:left="396" w:hanging="164"/>
              <w:jc w:val="left"/>
              <w:rPr>
                <w:rFonts w:ascii="Arial Narrow" w:hAnsi="Arial Narrow"/>
                <w:sz w:val="20"/>
              </w:rPr>
            </w:pPr>
            <w:r w:rsidRPr="00AD497B">
              <w:rPr>
                <w:rFonts w:ascii="Arial Narrow" w:hAnsi="Arial Narrow"/>
                <w:sz w:val="20"/>
              </w:rPr>
              <w:t>inputs for:</w:t>
            </w:r>
          </w:p>
          <w:p w14:paraId="777BA445" w14:textId="77777777" w:rsidR="00797B1A" w:rsidRPr="00FB19AE" w:rsidRDefault="00797B1A" w:rsidP="00D47D7B">
            <w:pPr>
              <w:pStyle w:val="ListParagraph"/>
              <w:spacing w:after="0"/>
              <w:ind w:left="396"/>
              <w:jc w:val="left"/>
              <w:rPr>
                <w:rFonts w:ascii="Arial Narrow" w:hAnsi="Arial Narrow"/>
                <w:sz w:val="20"/>
              </w:rPr>
            </w:pPr>
            <w:r w:rsidRPr="00FB19AE">
              <w:rPr>
                <w:rFonts w:ascii="Arial Narrow" w:hAnsi="Arial Narrow"/>
                <w:sz w:val="20"/>
              </w:rPr>
              <w:t xml:space="preserve">− cardiovascular hospitalisation rates </w:t>
            </w:r>
          </w:p>
          <w:p w14:paraId="0CF6963F" w14:textId="77777777" w:rsidR="00797B1A" w:rsidRDefault="00797B1A" w:rsidP="00D47D7B">
            <w:pPr>
              <w:pStyle w:val="ListParagraph"/>
              <w:spacing w:after="0"/>
              <w:ind w:left="396"/>
              <w:jc w:val="left"/>
              <w:rPr>
                <w:rFonts w:ascii="Arial Narrow" w:hAnsi="Arial Narrow"/>
                <w:sz w:val="20"/>
              </w:rPr>
            </w:pPr>
            <w:r w:rsidRPr="00FB19AE">
              <w:rPr>
                <w:rFonts w:ascii="Arial Narrow" w:hAnsi="Arial Narrow"/>
                <w:sz w:val="20"/>
              </w:rPr>
              <w:t>− SRT costs</w:t>
            </w:r>
          </w:p>
          <w:p w14:paraId="4615C849" w14:textId="3A3A8F4B" w:rsidR="00610919" w:rsidRDefault="006A66C7" w:rsidP="00EE280A">
            <w:pPr>
              <w:pStyle w:val="ListParagraph"/>
              <w:numPr>
                <w:ilvl w:val="0"/>
                <w:numId w:val="13"/>
              </w:numPr>
              <w:spacing w:after="0"/>
              <w:ind w:left="396" w:hanging="164"/>
              <w:jc w:val="left"/>
              <w:rPr>
                <w:rFonts w:ascii="Arial Narrow" w:hAnsi="Arial Narrow"/>
                <w:sz w:val="20"/>
              </w:rPr>
            </w:pPr>
            <w:r>
              <w:rPr>
                <w:rFonts w:ascii="Arial Narrow" w:hAnsi="Arial Narrow"/>
                <w:sz w:val="20"/>
              </w:rPr>
              <w:t>d</w:t>
            </w:r>
            <w:r w:rsidR="002672D7" w:rsidRPr="002672D7">
              <w:rPr>
                <w:rFonts w:ascii="Arial Narrow" w:hAnsi="Arial Narrow"/>
                <w:sz w:val="20"/>
              </w:rPr>
              <w:t xml:space="preserve">iscontinuation </w:t>
            </w:r>
            <w:r w:rsidR="00C924F8">
              <w:rPr>
                <w:rFonts w:ascii="Arial Narrow" w:hAnsi="Arial Narrow"/>
                <w:sz w:val="20"/>
              </w:rPr>
              <w:t xml:space="preserve">of mavacamten </w:t>
            </w:r>
            <w:r w:rsidR="002672D7" w:rsidRPr="002672D7">
              <w:rPr>
                <w:rFonts w:ascii="Arial Narrow" w:hAnsi="Arial Narrow"/>
                <w:sz w:val="20"/>
              </w:rPr>
              <w:t>due to lack of efficacy</w:t>
            </w:r>
            <w:r w:rsidR="00B334F8">
              <w:rPr>
                <w:rFonts w:ascii="Arial Narrow" w:hAnsi="Arial Narrow"/>
                <w:sz w:val="20"/>
              </w:rPr>
              <w:t>.</w:t>
            </w:r>
          </w:p>
          <w:p w14:paraId="5D59EDF7" w14:textId="48D3D73D" w:rsidR="006A66C7" w:rsidRPr="006A66C7" w:rsidRDefault="006A66C7" w:rsidP="006A66C7">
            <w:pPr>
              <w:pStyle w:val="ListBullet"/>
              <w:numPr>
                <w:ilvl w:val="0"/>
                <w:numId w:val="0"/>
              </w:numPr>
              <w:ind w:left="360" w:hanging="360"/>
            </w:pPr>
          </w:p>
        </w:tc>
      </w:tr>
      <w:tr w:rsidR="00DF5B88" w:rsidRPr="00203181" w14:paraId="7AB6B665" w14:textId="77777777" w:rsidTr="009C63B8">
        <w:trPr>
          <w:cantSplit/>
        </w:trPr>
        <w:tc>
          <w:tcPr>
            <w:tcW w:w="656" w:type="pct"/>
          </w:tcPr>
          <w:p w14:paraId="6784FAFB" w14:textId="77777777" w:rsidR="00DF5B88" w:rsidRPr="00290F14" w:rsidRDefault="00DF5B88" w:rsidP="00D47D7B">
            <w:pPr>
              <w:pStyle w:val="TableText0"/>
              <w:keepNext w:val="0"/>
            </w:pPr>
            <w:r w:rsidRPr="00290F14">
              <w:t>Financial estimates and risk share</w:t>
            </w:r>
          </w:p>
        </w:tc>
        <w:tc>
          <w:tcPr>
            <w:tcW w:w="2108" w:type="pct"/>
          </w:tcPr>
          <w:p w14:paraId="7970BE83" w14:textId="3CC6A870" w:rsidR="00F630D0" w:rsidRPr="00FC22FF" w:rsidRDefault="005340B9" w:rsidP="00D47D7B">
            <w:pPr>
              <w:jc w:val="left"/>
              <w:rPr>
                <w:rFonts w:ascii="Arial Narrow" w:hAnsi="Arial Narrow"/>
                <w:sz w:val="20"/>
              </w:rPr>
            </w:pPr>
            <w:r>
              <w:rPr>
                <w:rFonts w:ascii="Arial Narrow" w:hAnsi="Arial Narrow"/>
                <w:sz w:val="20"/>
              </w:rPr>
              <w:t>D</w:t>
            </w:r>
            <w:r w:rsidR="00DF5B88" w:rsidRPr="00DF5B88">
              <w:rPr>
                <w:rFonts w:ascii="Arial Narrow" w:hAnsi="Arial Narrow"/>
                <w:sz w:val="20"/>
              </w:rPr>
              <w:t>ue to the high variability associated with the measure (LVOT)</w:t>
            </w:r>
            <w:r w:rsidR="00ED2856">
              <w:rPr>
                <w:rFonts w:ascii="Arial Narrow" w:hAnsi="Arial Narrow"/>
                <w:sz w:val="20"/>
              </w:rPr>
              <w:t xml:space="preserve"> and possibility of mavacamten monotherapy to replace SOC treatment</w:t>
            </w:r>
            <w:r w:rsidR="00DF5B88" w:rsidRPr="00DF5B88">
              <w:rPr>
                <w:rFonts w:ascii="Arial Narrow" w:hAnsi="Arial Narrow"/>
                <w:sz w:val="20"/>
              </w:rPr>
              <w:t xml:space="preserve">, </w:t>
            </w:r>
            <w:r>
              <w:rPr>
                <w:rFonts w:ascii="Arial Narrow" w:hAnsi="Arial Narrow"/>
                <w:sz w:val="20"/>
              </w:rPr>
              <w:t xml:space="preserve">the PBAC stated an </w:t>
            </w:r>
            <w:r w:rsidR="00DF5B88" w:rsidRPr="00DF5B88">
              <w:rPr>
                <w:rFonts w:ascii="Arial Narrow" w:hAnsi="Arial Narrow"/>
                <w:sz w:val="20"/>
              </w:rPr>
              <w:t>RSA should be considered given that there is a high risk of use in patients with less severe disease</w:t>
            </w:r>
            <w:r w:rsidR="00D26741">
              <w:rPr>
                <w:rFonts w:ascii="Arial Narrow" w:hAnsi="Arial Narrow"/>
                <w:sz w:val="20"/>
              </w:rPr>
              <w:t xml:space="preserve"> </w:t>
            </w:r>
            <w:r w:rsidR="00F630D0" w:rsidRPr="00F630D0">
              <w:rPr>
                <w:rFonts w:ascii="Arial Narrow" w:hAnsi="Arial Narrow"/>
                <w:sz w:val="20"/>
              </w:rPr>
              <w:t>(para</w:t>
            </w:r>
            <w:r w:rsidR="00E23462">
              <w:rPr>
                <w:rFonts w:ascii="Arial Narrow" w:hAnsi="Arial Narrow"/>
                <w:sz w:val="20"/>
              </w:rPr>
              <w:t>.</w:t>
            </w:r>
            <w:r w:rsidR="00F630D0" w:rsidRPr="00F630D0">
              <w:rPr>
                <w:rFonts w:ascii="Arial Narrow" w:hAnsi="Arial Narrow"/>
                <w:sz w:val="20"/>
              </w:rPr>
              <w:t xml:space="preserve"> </w:t>
            </w:r>
            <w:r w:rsidR="00E80392">
              <w:rPr>
                <w:rFonts w:ascii="Arial Narrow" w:hAnsi="Arial Narrow"/>
                <w:sz w:val="20"/>
              </w:rPr>
              <w:t>7.10</w:t>
            </w:r>
            <w:r w:rsidR="000E1788">
              <w:rPr>
                <w:rFonts w:ascii="Arial Narrow" w:hAnsi="Arial Narrow"/>
                <w:sz w:val="20"/>
              </w:rPr>
              <w:t>.</w:t>
            </w:r>
            <w:r w:rsidR="00F630D0" w:rsidRPr="00F630D0">
              <w:rPr>
                <w:rFonts w:ascii="Arial Narrow" w:hAnsi="Arial Narrow"/>
                <w:sz w:val="20"/>
              </w:rPr>
              <w:t xml:space="preserve"> mavacamten, Public Summary Document, November 2022 PBAC meeting)</w:t>
            </w:r>
            <w:r w:rsidR="00FC22FF">
              <w:rPr>
                <w:rFonts w:ascii="Arial Narrow" w:hAnsi="Arial Narrow"/>
                <w:sz w:val="20"/>
              </w:rPr>
              <w:t>.</w:t>
            </w:r>
          </w:p>
        </w:tc>
        <w:tc>
          <w:tcPr>
            <w:tcW w:w="2236" w:type="pct"/>
          </w:tcPr>
          <w:p w14:paraId="7549AFE2" w14:textId="77777777" w:rsidR="008D0F28" w:rsidRDefault="000A1EC6" w:rsidP="00D47D7B">
            <w:pPr>
              <w:pStyle w:val="TableText0"/>
              <w:keepNext w:val="0"/>
            </w:pPr>
            <w:r>
              <w:t>The resubmission r</w:t>
            </w:r>
            <w:r w:rsidR="008D0F28">
              <w:t xml:space="preserve">evised </w:t>
            </w:r>
            <w:r>
              <w:t xml:space="preserve">the </w:t>
            </w:r>
            <w:r w:rsidR="008D0F28">
              <w:t xml:space="preserve">financial estimates, incorporating </w:t>
            </w:r>
            <w:r>
              <w:t xml:space="preserve">the </w:t>
            </w:r>
            <w:r w:rsidR="008D0F28">
              <w:t xml:space="preserve">changes in the economic model </w:t>
            </w:r>
            <w:r w:rsidR="00D43D11">
              <w:t xml:space="preserve">and using the </w:t>
            </w:r>
            <w:r w:rsidR="008D0F28">
              <w:t>lower effective DPMQ</w:t>
            </w:r>
            <w:r w:rsidR="00D43D11">
              <w:t xml:space="preserve">. </w:t>
            </w:r>
          </w:p>
          <w:p w14:paraId="26ED5A87" w14:textId="30687F61" w:rsidR="00DF5B88" w:rsidRPr="00D230F0" w:rsidRDefault="00041CD5" w:rsidP="00D47D7B">
            <w:pPr>
              <w:pStyle w:val="TableText0"/>
              <w:keepNext w:val="0"/>
              <w:rPr>
                <w:i/>
                <w:iCs/>
                <w:highlight w:val="cyan"/>
              </w:rPr>
            </w:pPr>
            <w:r>
              <w:rPr>
                <w:rFonts w:eastAsia="Calibri" w:cs="Times New Roman"/>
              </w:rPr>
              <w:t xml:space="preserve">The resubmission proposed that any expenditure over and above the subsidisation cap be subject to a </w:t>
            </w:r>
            <w:r w:rsidR="00F5190C" w:rsidRPr="00F5190C">
              <w:rPr>
                <w:rFonts w:eastAsia="Calibri" w:cs="Times New Roman"/>
                <w:color w:val="000000"/>
                <w:spacing w:val="53"/>
                <w:shd w:val="solid" w:color="000000" w:fill="000000"/>
                <w:fitText w:val="332" w:id="-1167926784"/>
                <w14:textFill>
                  <w14:solidFill>
                    <w14:srgbClr w14:val="000000">
                      <w14:alpha w14:val="100000"/>
                    </w14:srgbClr>
                  </w14:solidFill>
                </w14:textFill>
              </w:rPr>
              <w:t>|||</w:t>
            </w:r>
            <w:r w:rsidR="00F5190C" w:rsidRPr="00F5190C">
              <w:rPr>
                <w:rFonts w:eastAsia="Calibri" w:cs="Times New Roman"/>
                <w:color w:val="000000"/>
                <w:spacing w:val="1"/>
                <w:shd w:val="solid" w:color="000000" w:fill="000000"/>
                <w:fitText w:val="332" w:id="-1167926784"/>
                <w14:textFill>
                  <w14:solidFill>
                    <w14:srgbClr w14:val="000000">
                      <w14:alpha w14:val="100000"/>
                    </w14:srgbClr>
                  </w14:solidFill>
                </w14:textFill>
              </w:rPr>
              <w:t>|</w:t>
            </w:r>
            <w:r>
              <w:rPr>
                <w:rFonts w:eastAsia="Calibri" w:cs="Times New Roman"/>
              </w:rPr>
              <w:t xml:space="preserve">% rebate to Government. </w:t>
            </w:r>
            <w:r w:rsidR="00D3387D" w:rsidRPr="00706AFB">
              <w:rPr>
                <w:rFonts w:eastAsia="Calibri" w:cs="Times New Roman"/>
              </w:rPr>
              <w:t xml:space="preserve">The </w:t>
            </w:r>
            <w:r w:rsidR="00E74520" w:rsidRPr="00706AFB">
              <w:rPr>
                <w:rFonts w:eastAsia="Calibri" w:cs="Times New Roman"/>
              </w:rPr>
              <w:t>proposed subsidisation cap</w:t>
            </w:r>
            <w:r w:rsidR="00D3387D" w:rsidRPr="00706AFB">
              <w:rPr>
                <w:rFonts w:eastAsia="Calibri" w:cs="Times New Roman"/>
              </w:rPr>
              <w:t xml:space="preserve"> cover</w:t>
            </w:r>
            <w:r w:rsidR="00E74520" w:rsidRPr="00706AFB">
              <w:rPr>
                <w:rFonts w:eastAsia="Calibri" w:cs="Times New Roman"/>
              </w:rPr>
              <w:t>s</w:t>
            </w:r>
            <w:r w:rsidR="00D3387D" w:rsidRPr="00706AFB">
              <w:rPr>
                <w:rFonts w:eastAsia="Calibri" w:cs="Times New Roman"/>
              </w:rPr>
              <w:t xml:space="preserve"> a five-year period from 2023 to 2027</w:t>
            </w:r>
            <w:r w:rsidR="009679B6" w:rsidRPr="00706AFB">
              <w:rPr>
                <w:rFonts w:eastAsia="Calibri" w:cs="Times New Roman"/>
              </w:rPr>
              <w:t xml:space="preserve"> (totalling $</w:t>
            </w:r>
            <w:r w:rsidR="00F5190C" w:rsidRPr="00F5190C">
              <w:rPr>
                <w:rFonts w:eastAsia="Calibri" w:cs="Times New Roman"/>
                <w:color w:val="000000"/>
                <w:spacing w:val="50"/>
                <w:shd w:val="solid" w:color="000000" w:fill="000000"/>
                <w:fitText w:val="322" w:id="-1167926783"/>
                <w14:textFill>
                  <w14:solidFill>
                    <w14:srgbClr w14:val="000000">
                      <w14:alpha w14:val="100000"/>
                    </w14:srgbClr>
                  </w14:solidFill>
                </w14:textFill>
              </w:rPr>
              <w:t>|||</w:t>
            </w:r>
            <w:r w:rsidR="00F5190C" w:rsidRPr="00F5190C">
              <w:rPr>
                <w:rFonts w:eastAsia="Calibri" w:cs="Times New Roman"/>
                <w:color w:val="000000"/>
                <w:shd w:val="solid" w:color="000000" w:fill="000000"/>
                <w:fitText w:val="322" w:id="-1167926783"/>
                <w14:textFill>
                  <w14:solidFill>
                    <w14:srgbClr w14:val="000000">
                      <w14:alpha w14:val="100000"/>
                    </w14:srgbClr>
                  </w14:solidFill>
                </w14:textFill>
              </w:rPr>
              <w:t>|</w:t>
            </w:r>
            <w:r w:rsidR="001A046A" w:rsidRPr="001A046A">
              <w:rPr>
                <w:vertAlign w:val="superscript"/>
              </w:rPr>
              <w:t>2</w:t>
            </w:r>
            <w:r w:rsidR="009679B6" w:rsidRPr="00706AFB">
              <w:rPr>
                <w:rFonts w:eastAsia="Calibri" w:cs="Times New Roman"/>
              </w:rPr>
              <w:t xml:space="preserve"> over 5 years)</w:t>
            </w:r>
            <w:r w:rsidR="00D3387D" w:rsidRPr="00706AFB">
              <w:rPr>
                <w:rFonts w:eastAsia="Calibri" w:cs="Times New Roman"/>
              </w:rPr>
              <w:t xml:space="preserve">. </w:t>
            </w:r>
            <w:r w:rsidR="00215516" w:rsidRPr="00706AFB">
              <w:rPr>
                <w:rFonts w:eastAsia="Calibri" w:cs="Times New Roman"/>
              </w:rPr>
              <w:t xml:space="preserve">The financial impact </w:t>
            </w:r>
            <w:r w:rsidR="00CF4417">
              <w:rPr>
                <w:rFonts w:eastAsia="Calibri" w:cs="Times New Roman"/>
              </w:rPr>
              <w:t>wa</w:t>
            </w:r>
            <w:r w:rsidR="00215516" w:rsidRPr="00706AFB">
              <w:rPr>
                <w:rFonts w:eastAsia="Calibri" w:cs="Times New Roman"/>
              </w:rPr>
              <w:t xml:space="preserve">s forecast </w:t>
            </w:r>
            <w:r w:rsidR="00CF4417">
              <w:rPr>
                <w:rFonts w:eastAsia="Calibri" w:cs="Times New Roman"/>
              </w:rPr>
              <w:t xml:space="preserve">in the resubmission </w:t>
            </w:r>
            <w:r w:rsidR="00215516" w:rsidRPr="00706AFB">
              <w:rPr>
                <w:rFonts w:eastAsia="Calibri" w:cs="Times New Roman"/>
              </w:rPr>
              <w:t>to be $</w:t>
            </w:r>
            <w:r w:rsidR="00F5190C" w:rsidRPr="00F5190C">
              <w:rPr>
                <w:rFonts w:eastAsia="Calibri" w:cs="Times New Roman"/>
                <w:color w:val="000000"/>
                <w:spacing w:val="50"/>
                <w:shd w:val="solid" w:color="000000" w:fill="000000"/>
                <w:fitText w:val="322" w:id="-1167926782"/>
                <w14:textFill>
                  <w14:solidFill>
                    <w14:srgbClr w14:val="000000">
                      <w14:alpha w14:val="100000"/>
                    </w14:srgbClr>
                  </w14:solidFill>
                </w14:textFill>
              </w:rPr>
              <w:t>|||</w:t>
            </w:r>
            <w:r w:rsidR="00F5190C" w:rsidRPr="00F5190C">
              <w:rPr>
                <w:rFonts w:eastAsia="Calibri" w:cs="Times New Roman"/>
                <w:color w:val="000000"/>
                <w:shd w:val="solid" w:color="000000" w:fill="000000"/>
                <w:fitText w:val="322" w:id="-1167926782"/>
                <w14:textFill>
                  <w14:solidFill>
                    <w14:srgbClr w14:val="000000">
                      <w14:alpha w14:val="100000"/>
                    </w14:srgbClr>
                  </w14:solidFill>
                </w14:textFill>
              </w:rPr>
              <w:t>|</w:t>
            </w:r>
            <w:r w:rsidR="00A24DA5">
              <w:rPr>
                <w:vertAlign w:val="superscript"/>
              </w:rPr>
              <w:t>1</w:t>
            </w:r>
            <w:r w:rsidR="00215516" w:rsidRPr="00706AFB">
              <w:rPr>
                <w:rFonts w:eastAsia="Calibri" w:cs="Times New Roman"/>
              </w:rPr>
              <w:t xml:space="preserve"> million over </w:t>
            </w:r>
            <w:r w:rsidR="000A1EC6" w:rsidRPr="00706AFB">
              <w:rPr>
                <w:rFonts w:eastAsia="Calibri" w:cs="Times New Roman"/>
              </w:rPr>
              <w:t xml:space="preserve">6 </w:t>
            </w:r>
            <w:r w:rsidR="00215516" w:rsidRPr="00706AFB">
              <w:rPr>
                <w:rFonts w:eastAsia="Calibri" w:cs="Times New Roman"/>
              </w:rPr>
              <w:t>years</w:t>
            </w:r>
            <w:r w:rsidR="000A1EC6" w:rsidRPr="00706AFB">
              <w:rPr>
                <w:rFonts w:eastAsia="Calibri" w:cs="Times New Roman"/>
              </w:rPr>
              <w:t>.</w:t>
            </w:r>
          </w:p>
        </w:tc>
      </w:tr>
    </w:tbl>
    <w:p w14:paraId="4E803A39" w14:textId="07EF3B84" w:rsidR="00636080" w:rsidRDefault="00636080" w:rsidP="00D47D7B">
      <w:pPr>
        <w:pStyle w:val="FooterTableFigure"/>
      </w:pPr>
      <w:r w:rsidRPr="00E82C2F">
        <w:t xml:space="preserve">Source: </w:t>
      </w:r>
      <w:r w:rsidR="00895FFC" w:rsidRPr="00895FFC">
        <w:t xml:space="preserve">para. </w:t>
      </w:r>
      <w:r w:rsidR="00F55FEF">
        <w:t xml:space="preserve">3.3, </w:t>
      </w:r>
      <w:r w:rsidR="00895FFC" w:rsidRPr="00895FFC">
        <w:t>7.4, 7.6, 7.8, 7.9,</w:t>
      </w:r>
      <w:r w:rsidR="00895FFC">
        <w:t xml:space="preserve"> </w:t>
      </w:r>
      <w:r w:rsidR="00686EB7">
        <w:t xml:space="preserve">7.10, </w:t>
      </w:r>
      <w:r w:rsidR="00FC57AC" w:rsidRPr="00E82C2F">
        <w:t>mavacamten</w:t>
      </w:r>
      <w:r w:rsidR="00895FFC">
        <w:t>,</w:t>
      </w:r>
      <w:r w:rsidR="00FC57AC" w:rsidRPr="00E82C2F">
        <w:t xml:space="preserve"> P</w:t>
      </w:r>
      <w:r w:rsidR="00895FFC">
        <w:t xml:space="preserve">ublic </w:t>
      </w:r>
      <w:r w:rsidR="00FC57AC" w:rsidRPr="00E82C2F">
        <w:t>S</w:t>
      </w:r>
      <w:r w:rsidR="00895FFC">
        <w:t xml:space="preserve">ummary </w:t>
      </w:r>
      <w:r w:rsidR="00FC57AC" w:rsidRPr="00E82C2F">
        <w:t>D</w:t>
      </w:r>
      <w:r w:rsidR="00895FFC">
        <w:t>ocument,</w:t>
      </w:r>
      <w:r w:rsidR="00FC57AC" w:rsidRPr="00E82C2F">
        <w:t xml:space="preserve"> November 2022</w:t>
      </w:r>
      <w:r w:rsidR="00895FFC">
        <w:t xml:space="preserve"> PBAC meeting</w:t>
      </w:r>
      <w:r w:rsidR="00804C42">
        <w:t xml:space="preserve">, and the main body of the resubmission. </w:t>
      </w:r>
    </w:p>
    <w:p w14:paraId="28468E86" w14:textId="619B035B" w:rsidR="00F4650F" w:rsidRDefault="00243969" w:rsidP="00D47D7B">
      <w:pPr>
        <w:pStyle w:val="FooterTableFigure"/>
      </w:pPr>
      <w:bookmarkStart w:id="17" w:name="_Hlk132560224"/>
      <w:r>
        <w:t>ACC =</w:t>
      </w:r>
      <w:r w:rsidR="005C60F7">
        <w:t xml:space="preserve"> </w:t>
      </w:r>
      <w:r>
        <w:t xml:space="preserve">American College of Cardiology; AHS = American Heart Association; </w:t>
      </w:r>
      <w:r w:rsidRPr="00CF5C1F">
        <w:t>BB= beta-blockers;</w:t>
      </w:r>
      <w:r>
        <w:t xml:space="preserve"> DPMQ = dispensed price per maximum quantity; ESC = Economic Sub Committee; HCM = hypertrophic cardiomyopathy; </w:t>
      </w:r>
      <w:r w:rsidR="00895FFC">
        <w:t xml:space="preserve">LVOT = left ventricular outflow tract; </w:t>
      </w:r>
      <w:r>
        <w:t xml:space="preserve">PBAC = Pharmaceutical Benefits Advisory Committee; PBS = Pharmaceutical Benefits Scheme; </w:t>
      </w:r>
      <w:r w:rsidR="00895FFC">
        <w:t xml:space="preserve">RSA= Risk Share Agreement; </w:t>
      </w:r>
      <w:r w:rsidR="007D30E4">
        <w:t xml:space="preserve">SAE = serious adverse events; </w:t>
      </w:r>
      <w:r w:rsidR="00895FFC">
        <w:t xml:space="preserve">SOC = Standard of Care; </w:t>
      </w:r>
      <w:r>
        <w:t>SRT = Septal Reduction Therapy.</w:t>
      </w:r>
      <w:bookmarkEnd w:id="17"/>
    </w:p>
    <w:p w14:paraId="12DC93C0" w14:textId="6C62F3B5" w:rsidR="00A24DA5" w:rsidRPr="00585419" w:rsidRDefault="00A24DA5" w:rsidP="00D47D7B">
      <w:pPr>
        <w:pStyle w:val="FooterTableFigure"/>
        <w:rPr>
          <w:i/>
          <w:iCs/>
        </w:rPr>
      </w:pPr>
      <w:r w:rsidRPr="00585419">
        <w:rPr>
          <w:i/>
          <w:iCs/>
        </w:rPr>
        <w:t>The redacted values correspond to the following ranges:</w:t>
      </w:r>
    </w:p>
    <w:p w14:paraId="2B2C5919" w14:textId="5CB066BF" w:rsidR="00A24DA5" w:rsidRDefault="00A24DA5" w:rsidP="00D47D7B">
      <w:pPr>
        <w:pStyle w:val="FooterTableFigure"/>
        <w:rPr>
          <w:i/>
          <w:iCs/>
        </w:rPr>
      </w:pPr>
      <w:r w:rsidRPr="00585419">
        <w:rPr>
          <w:i/>
          <w:iCs/>
          <w:vertAlign w:val="superscript"/>
        </w:rPr>
        <w:t>1</w:t>
      </w:r>
      <w:r w:rsidRPr="00585419">
        <w:rPr>
          <w:i/>
          <w:iCs/>
        </w:rPr>
        <w:t xml:space="preserve"> $400 million to &lt; $500 million</w:t>
      </w:r>
    </w:p>
    <w:p w14:paraId="7662850D" w14:textId="0D665768" w:rsidR="001A046A" w:rsidRPr="001A046A" w:rsidRDefault="001A046A" w:rsidP="00D47D7B">
      <w:pPr>
        <w:pStyle w:val="FooterTableFigure"/>
        <w:rPr>
          <w:i/>
          <w:iCs/>
        </w:rPr>
      </w:pPr>
      <w:r>
        <w:rPr>
          <w:i/>
          <w:iCs/>
          <w:vertAlign w:val="superscript"/>
        </w:rPr>
        <w:t>2</w:t>
      </w:r>
      <w:r>
        <w:rPr>
          <w:i/>
          <w:iCs/>
        </w:rPr>
        <w:t xml:space="preserve"> $300 million to &lt; $400 million</w:t>
      </w:r>
    </w:p>
    <w:p w14:paraId="564F139C" w14:textId="77777777" w:rsidR="00E21322" w:rsidRPr="00C33D30" w:rsidRDefault="00E21322" w:rsidP="00E21322">
      <w:pPr>
        <w:rPr>
          <w:rFonts w:asciiTheme="minorHAnsi" w:hAnsiTheme="minorHAnsi"/>
          <w:i/>
        </w:rPr>
      </w:pPr>
      <w:bookmarkStart w:id="18" w:name="_Hlk76375324"/>
      <w:r w:rsidRPr="00C33D30">
        <w:rPr>
          <w:rFonts w:asciiTheme="minorHAnsi" w:hAnsiTheme="minorHAnsi"/>
          <w:i/>
        </w:rPr>
        <w:t>For more detail on PBAC’s view, see section 7 PBAC outcome.</w:t>
      </w:r>
    </w:p>
    <w:p w14:paraId="35D68126" w14:textId="55085481" w:rsidR="00636080" w:rsidRDefault="00636080" w:rsidP="00636080">
      <w:pPr>
        <w:pStyle w:val="2-SectionHeading"/>
        <w:numPr>
          <w:ilvl w:val="0"/>
          <w:numId w:val="1"/>
        </w:numPr>
      </w:pPr>
      <w:bookmarkStart w:id="19" w:name="_Toc107902078"/>
      <w:bookmarkStart w:id="20" w:name="_Toc107927622"/>
      <w:bookmarkStart w:id="21" w:name="_Toc135223322"/>
      <w:bookmarkEnd w:id="18"/>
      <w:bookmarkEnd w:id="19"/>
      <w:r w:rsidRPr="00407F2D">
        <w:t xml:space="preserve">Requested </w:t>
      </w:r>
      <w:proofErr w:type="gramStart"/>
      <w:r w:rsidRPr="00407F2D">
        <w:t>listing</w:t>
      </w:r>
      <w:bookmarkEnd w:id="20"/>
      <w:bookmarkEnd w:id="21"/>
      <w:proofErr w:type="gramEnd"/>
    </w:p>
    <w:p w14:paraId="3B9ECC67" w14:textId="34BCC25F" w:rsidR="00301A08" w:rsidRDefault="00301A08" w:rsidP="00301A08">
      <w:pPr>
        <w:pStyle w:val="3-BodyText"/>
      </w:pPr>
      <w:r w:rsidRPr="00301A08">
        <w:t>Suggestions and additions proposed by the Secretariat are added in italics and suggested deletions are crossed out with strikethrough</w:t>
      </w:r>
      <w: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820"/>
        <w:gridCol w:w="821"/>
        <w:gridCol w:w="820"/>
        <w:gridCol w:w="821"/>
        <w:gridCol w:w="1813"/>
      </w:tblGrid>
      <w:tr w:rsidR="00111671" w:rsidRPr="00111671" w14:paraId="503AEC31" w14:textId="77777777" w:rsidTr="00111671">
        <w:trPr>
          <w:cantSplit/>
          <w:trHeight w:val="20"/>
        </w:trPr>
        <w:tc>
          <w:tcPr>
            <w:tcW w:w="2190" w:type="pct"/>
            <w:vAlign w:val="center"/>
          </w:tcPr>
          <w:p w14:paraId="0A52C6D0" w14:textId="77777777" w:rsidR="00111671" w:rsidRPr="00111671" w:rsidRDefault="00111671" w:rsidP="00745EDE">
            <w:pPr>
              <w:keepLines/>
              <w:rPr>
                <w:rFonts w:ascii="Arial Narrow" w:hAnsi="Arial Narrow"/>
                <w:b/>
                <w:bCs/>
                <w:sz w:val="20"/>
                <w:szCs w:val="20"/>
              </w:rPr>
            </w:pPr>
            <w:r w:rsidRPr="00111671">
              <w:rPr>
                <w:rFonts w:ascii="Arial Narrow" w:hAnsi="Arial Narrow"/>
                <w:b/>
                <w:bCs/>
                <w:sz w:val="20"/>
                <w:szCs w:val="20"/>
              </w:rPr>
              <w:t>MEDICINAL PRODUCT</w:t>
            </w:r>
          </w:p>
          <w:p w14:paraId="24A1BDAE" w14:textId="77777777" w:rsidR="00111671" w:rsidRPr="00111671" w:rsidRDefault="00111671" w:rsidP="00745EDE">
            <w:pPr>
              <w:keepLines/>
              <w:rPr>
                <w:rFonts w:ascii="Arial Narrow" w:hAnsi="Arial Narrow"/>
                <w:b/>
                <w:sz w:val="20"/>
                <w:szCs w:val="20"/>
              </w:rPr>
            </w:pPr>
            <w:r w:rsidRPr="00111671">
              <w:rPr>
                <w:rFonts w:ascii="Arial Narrow" w:hAnsi="Arial Narrow"/>
                <w:b/>
                <w:bCs/>
                <w:sz w:val="20"/>
                <w:szCs w:val="20"/>
              </w:rPr>
              <w:t>medicinal product pack</w:t>
            </w:r>
          </w:p>
        </w:tc>
        <w:tc>
          <w:tcPr>
            <w:tcW w:w="452" w:type="pct"/>
            <w:vAlign w:val="center"/>
          </w:tcPr>
          <w:p w14:paraId="6BF684D0" w14:textId="77777777" w:rsidR="00111671" w:rsidRPr="00111671" w:rsidRDefault="00111671" w:rsidP="00745EDE">
            <w:pPr>
              <w:keepLines/>
              <w:jc w:val="center"/>
              <w:rPr>
                <w:rFonts w:ascii="Arial Narrow" w:hAnsi="Arial Narrow"/>
                <w:b/>
                <w:sz w:val="20"/>
                <w:szCs w:val="20"/>
              </w:rPr>
            </w:pPr>
            <w:r w:rsidRPr="00111671">
              <w:rPr>
                <w:rFonts w:ascii="Arial Narrow" w:hAnsi="Arial Narrow"/>
                <w:b/>
                <w:sz w:val="20"/>
                <w:szCs w:val="20"/>
              </w:rPr>
              <w:t>PBS item code</w:t>
            </w:r>
          </w:p>
        </w:tc>
        <w:tc>
          <w:tcPr>
            <w:tcW w:w="453" w:type="pct"/>
            <w:vAlign w:val="center"/>
          </w:tcPr>
          <w:p w14:paraId="6B522023" w14:textId="77777777" w:rsidR="00111671" w:rsidRPr="00111671" w:rsidRDefault="00111671" w:rsidP="00745EDE">
            <w:pPr>
              <w:keepLines/>
              <w:jc w:val="center"/>
              <w:rPr>
                <w:rFonts w:ascii="Arial Narrow" w:hAnsi="Arial Narrow"/>
                <w:b/>
                <w:sz w:val="20"/>
                <w:szCs w:val="20"/>
              </w:rPr>
            </w:pPr>
            <w:r w:rsidRPr="00111671">
              <w:rPr>
                <w:rFonts w:ascii="Arial Narrow" w:hAnsi="Arial Narrow"/>
                <w:b/>
                <w:sz w:val="20"/>
                <w:szCs w:val="20"/>
              </w:rPr>
              <w:t>Max. qty packs</w:t>
            </w:r>
          </w:p>
        </w:tc>
        <w:tc>
          <w:tcPr>
            <w:tcW w:w="452" w:type="pct"/>
            <w:vAlign w:val="center"/>
          </w:tcPr>
          <w:p w14:paraId="48A7D33A" w14:textId="77777777" w:rsidR="00111671" w:rsidRPr="00111671" w:rsidRDefault="00111671" w:rsidP="00745EDE">
            <w:pPr>
              <w:keepLines/>
              <w:jc w:val="center"/>
              <w:rPr>
                <w:rFonts w:ascii="Arial Narrow" w:hAnsi="Arial Narrow"/>
                <w:b/>
                <w:sz w:val="20"/>
                <w:szCs w:val="20"/>
              </w:rPr>
            </w:pPr>
            <w:r w:rsidRPr="00111671">
              <w:rPr>
                <w:rFonts w:ascii="Arial Narrow" w:hAnsi="Arial Narrow"/>
                <w:b/>
                <w:sz w:val="20"/>
                <w:szCs w:val="20"/>
              </w:rPr>
              <w:t>Max. qty units</w:t>
            </w:r>
          </w:p>
        </w:tc>
        <w:tc>
          <w:tcPr>
            <w:tcW w:w="453" w:type="pct"/>
            <w:vAlign w:val="center"/>
          </w:tcPr>
          <w:p w14:paraId="695F434A" w14:textId="77777777" w:rsidR="00111671" w:rsidRPr="00111671" w:rsidRDefault="00111671" w:rsidP="00745EDE">
            <w:pPr>
              <w:keepLines/>
              <w:jc w:val="center"/>
              <w:rPr>
                <w:rFonts w:ascii="Arial Narrow" w:hAnsi="Arial Narrow"/>
                <w:b/>
                <w:sz w:val="20"/>
                <w:szCs w:val="20"/>
              </w:rPr>
            </w:pPr>
            <w:proofErr w:type="gramStart"/>
            <w:r w:rsidRPr="00111671">
              <w:rPr>
                <w:rFonts w:ascii="Arial Narrow" w:hAnsi="Arial Narrow"/>
                <w:b/>
                <w:sz w:val="20"/>
                <w:szCs w:val="20"/>
              </w:rPr>
              <w:t>№.of</w:t>
            </w:r>
            <w:proofErr w:type="gramEnd"/>
          </w:p>
          <w:p w14:paraId="06A56B51" w14:textId="77777777" w:rsidR="00111671" w:rsidRPr="00111671" w:rsidRDefault="00111671" w:rsidP="00745EDE">
            <w:pPr>
              <w:keepLines/>
              <w:jc w:val="center"/>
              <w:rPr>
                <w:rFonts w:ascii="Arial Narrow" w:hAnsi="Arial Narrow"/>
                <w:b/>
                <w:sz w:val="20"/>
                <w:szCs w:val="20"/>
              </w:rPr>
            </w:pPr>
            <w:r w:rsidRPr="00111671">
              <w:rPr>
                <w:rFonts w:ascii="Arial Narrow" w:hAnsi="Arial Narrow"/>
                <w:b/>
                <w:sz w:val="20"/>
                <w:szCs w:val="20"/>
              </w:rPr>
              <w:t>Rpts</w:t>
            </w:r>
          </w:p>
        </w:tc>
        <w:tc>
          <w:tcPr>
            <w:tcW w:w="1000" w:type="pct"/>
            <w:vAlign w:val="center"/>
          </w:tcPr>
          <w:p w14:paraId="1312B874" w14:textId="77777777" w:rsidR="00111671" w:rsidRPr="00111671" w:rsidRDefault="00111671" w:rsidP="00745EDE">
            <w:pPr>
              <w:keepLines/>
              <w:rPr>
                <w:rFonts w:ascii="Arial Narrow" w:hAnsi="Arial Narrow"/>
                <w:b/>
                <w:sz w:val="20"/>
                <w:szCs w:val="20"/>
                <w:lang w:val="fr-FR"/>
              </w:rPr>
            </w:pPr>
            <w:r w:rsidRPr="00111671">
              <w:rPr>
                <w:rFonts w:ascii="Arial Narrow" w:hAnsi="Arial Narrow"/>
                <w:b/>
                <w:sz w:val="20"/>
                <w:szCs w:val="20"/>
              </w:rPr>
              <w:t>Available brands</w:t>
            </w:r>
          </w:p>
        </w:tc>
      </w:tr>
      <w:tr w:rsidR="00111671" w:rsidRPr="00111671" w14:paraId="052EE803" w14:textId="77777777" w:rsidTr="00111671">
        <w:trPr>
          <w:cantSplit/>
          <w:trHeight w:val="20"/>
        </w:trPr>
        <w:tc>
          <w:tcPr>
            <w:tcW w:w="5000" w:type="pct"/>
            <w:gridSpan w:val="6"/>
            <w:vAlign w:val="center"/>
          </w:tcPr>
          <w:p w14:paraId="7F83FA86" w14:textId="77777777" w:rsidR="00111671" w:rsidRPr="00111671" w:rsidRDefault="00111671" w:rsidP="00745EDE">
            <w:pPr>
              <w:keepLines/>
              <w:rPr>
                <w:rFonts w:ascii="Arial Narrow" w:hAnsi="Arial Narrow"/>
                <w:sz w:val="20"/>
                <w:szCs w:val="20"/>
              </w:rPr>
            </w:pPr>
            <w:r w:rsidRPr="00111671">
              <w:rPr>
                <w:rFonts w:ascii="Arial Narrow" w:hAnsi="Arial Narrow"/>
                <w:sz w:val="20"/>
                <w:szCs w:val="20"/>
              </w:rPr>
              <w:t>MAVACAMTEN</w:t>
            </w:r>
          </w:p>
        </w:tc>
      </w:tr>
      <w:tr w:rsidR="00111671" w:rsidRPr="00111671" w14:paraId="4C5F2CD7" w14:textId="77777777" w:rsidTr="00111671">
        <w:trPr>
          <w:cantSplit/>
          <w:trHeight w:val="20"/>
        </w:trPr>
        <w:tc>
          <w:tcPr>
            <w:tcW w:w="2190" w:type="pct"/>
            <w:vAlign w:val="center"/>
          </w:tcPr>
          <w:p w14:paraId="73875BFB" w14:textId="77777777" w:rsidR="00111671" w:rsidRPr="00111671" w:rsidRDefault="00111671" w:rsidP="00745EDE">
            <w:pPr>
              <w:keepLines/>
              <w:rPr>
                <w:rFonts w:ascii="Arial Narrow" w:hAnsi="Arial Narrow"/>
                <w:sz w:val="20"/>
                <w:szCs w:val="20"/>
              </w:rPr>
            </w:pPr>
            <w:r w:rsidRPr="00111671">
              <w:rPr>
                <w:rFonts w:ascii="Arial Narrow" w:hAnsi="Arial Narrow"/>
                <w:sz w:val="20"/>
                <w:szCs w:val="20"/>
              </w:rPr>
              <w:t xml:space="preserve">mavacamten 2.5 mg capsule, 28 </w:t>
            </w:r>
          </w:p>
        </w:tc>
        <w:tc>
          <w:tcPr>
            <w:tcW w:w="452" w:type="pct"/>
            <w:vAlign w:val="center"/>
          </w:tcPr>
          <w:p w14:paraId="2AE0A26C"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NEW</w:t>
            </w:r>
          </w:p>
        </w:tc>
        <w:tc>
          <w:tcPr>
            <w:tcW w:w="453" w:type="pct"/>
            <w:vAlign w:val="center"/>
          </w:tcPr>
          <w:p w14:paraId="06C3D4FE"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1</w:t>
            </w:r>
          </w:p>
        </w:tc>
        <w:tc>
          <w:tcPr>
            <w:tcW w:w="452" w:type="pct"/>
            <w:vAlign w:val="center"/>
          </w:tcPr>
          <w:p w14:paraId="21CEB9E4"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28</w:t>
            </w:r>
          </w:p>
        </w:tc>
        <w:tc>
          <w:tcPr>
            <w:tcW w:w="453" w:type="pct"/>
            <w:vAlign w:val="center"/>
          </w:tcPr>
          <w:p w14:paraId="12BE1A5A"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2</w:t>
            </w:r>
          </w:p>
        </w:tc>
        <w:tc>
          <w:tcPr>
            <w:tcW w:w="1000" w:type="pct"/>
            <w:vAlign w:val="center"/>
          </w:tcPr>
          <w:p w14:paraId="22059CDA" w14:textId="77777777" w:rsidR="00111671" w:rsidRPr="00111671" w:rsidRDefault="00111671" w:rsidP="00745EDE">
            <w:pPr>
              <w:keepLines/>
              <w:rPr>
                <w:rFonts w:ascii="Arial Narrow" w:hAnsi="Arial Narrow"/>
                <w:sz w:val="20"/>
                <w:szCs w:val="20"/>
              </w:rPr>
            </w:pPr>
            <w:r w:rsidRPr="00111671">
              <w:rPr>
                <w:rFonts w:ascii="Arial Narrow" w:hAnsi="Arial Narrow"/>
                <w:sz w:val="20"/>
                <w:szCs w:val="20"/>
              </w:rPr>
              <w:t>Camzyos®</w:t>
            </w:r>
          </w:p>
        </w:tc>
      </w:tr>
      <w:tr w:rsidR="00111671" w:rsidRPr="00111671" w14:paraId="0E93FDD3" w14:textId="77777777" w:rsidTr="00111671">
        <w:trPr>
          <w:cantSplit/>
          <w:trHeight w:val="20"/>
        </w:trPr>
        <w:tc>
          <w:tcPr>
            <w:tcW w:w="2190" w:type="pct"/>
            <w:vAlign w:val="center"/>
          </w:tcPr>
          <w:p w14:paraId="7A47FF2E" w14:textId="77777777" w:rsidR="00111671" w:rsidRPr="00111671" w:rsidRDefault="00111671" w:rsidP="00745EDE">
            <w:pPr>
              <w:keepLines/>
              <w:rPr>
                <w:rFonts w:ascii="Arial Narrow" w:hAnsi="Arial Narrow"/>
                <w:sz w:val="20"/>
                <w:szCs w:val="20"/>
              </w:rPr>
            </w:pPr>
            <w:r w:rsidRPr="00111671">
              <w:rPr>
                <w:rFonts w:ascii="Arial Narrow" w:hAnsi="Arial Narrow"/>
                <w:sz w:val="20"/>
                <w:szCs w:val="20"/>
              </w:rPr>
              <w:t>mavacamten 5 mg capsule, 28</w:t>
            </w:r>
          </w:p>
        </w:tc>
        <w:tc>
          <w:tcPr>
            <w:tcW w:w="452" w:type="pct"/>
            <w:vAlign w:val="center"/>
          </w:tcPr>
          <w:p w14:paraId="37158810"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NEW</w:t>
            </w:r>
          </w:p>
        </w:tc>
        <w:tc>
          <w:tcPr>
            <w:tcW w:w="453" w:type="pct"/>
            <w:vAlign w:val="center"/>
          </w:tcPr>
          <w:p w14:paraId="5011AD7F"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1</w:t>
            </w:r>
          </w:p>
        </w:tc>
        <w:tc>
          <w:tcPr>
            <w:tcW w:w="452" w:type="pct"/>
            <w:vAlign w:val="center"/>
          </w:tcPr>
          <w:p w14:paraId="5139B940"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28</w:t>
            </w:r>
          </w:p>
        </w:tc>
        <w:tc>
          <w:tcPr>
            <w:tcW w:w="453" w:type="pct"/>
            <w:vAlign w:val="center"/>
          </w:tcPr>
          <w:p w14:paraId="2E84BD78" w14:textId="77777777" w:rsidR="00111671" w:rsidRPr="00111671" w:rsidRDefault="00111671" w:rsidP="00745EDE">
            <w:pPr>
              <w:keepLines/>
              <w:jc w:val="center"/>
              <w:rPr>
                <w:rFonts w:ascii="Arial Narrow" w:hAnsi="Arial Narrow"/>
                <w:sz w:val="20"/>
                <w:szCs w:val="20"/>
              </w:rPr>
            </w:pPr>
            <w:r w:rsidRPr="00111671">
              <w:rPr>
                <w:rFonts w:ascii="Arial Narrow" w:hAnsi="Arial Narrow"/>
                <w:sz w:val="20"/>
                <w:szCs w:val="20"/>
              </w:rPr>
              <w:t>2</w:t>
            </w:r>
          </w:p>
        </w:tc>
        <w:tc>
          <w:tcPr>
            <w:tcW w:w="1000" w:type="pct"/>
            <w:vAlign w:val="center"/>
          </w:tcPr>
          <w:p w14:paraId="356569AE" w14:textId="77777777" w:rsidR="00111671" w:rsidRPr="00111671" w:rsidRDefault="00111671" w:rsidP="00745EDE">
            <w:pPr>
              <w:keepLines/>
              <w:rPr>
                <w:rFonts w:ascii="Arial Narrow" w:hAnsi="Arial Narrow"/>
                <w:sz w:val="20"/>
                <w:szCs w:val="20"/>
              </w:rPr>
            </w:pPr>
            <w:r w:rsidRPr="00111671">
              <w:rPr>
                <w:rFonts w:ascii="Arial Narrow" w:hAnsi="Arial Narrow"/>
                <w:sz w:val="20"/>
                <w:szCs w:val="20"/>
              </w:rPr>
              <w:t>Camzyos®</w:t>
            </w:r>
          </w:p>
        </w:tc>
      </w:tr>
      <w:tr w:rsidR="00111671" w:rsidRPr="00111671" w14:paraId="03D9A39B"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E7D3150" w14:textId="77777777" w:rsidR="00111671" w:rsidRPr="00111671" w:rsidRDefault="00111671" w:rsidP="00745EDE">
            <w:pPr>
              <w:rPr>
                <w:rFonts w:ascii="Arial Narrow" w:hAnsi="Arial Narrow"/>
                <w:sz w:val="20"/>
                <w:szCs w:val="20"/>
              </w:rPr>
            </w:pPr>
          </w:p>
        </w:tc>
      </w:tr>
      <w:tr w:rsidR="00111671" w:rsidRPr="00111671" w14:paraId="1CF720AF"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4F66271B" w14:textId="77777777" w:rsidR="00111671" w:rsidRPr="00111671" w:rsidRDefault="00111671" w:rsidP="00745EDE">
            <w:pPr>
              <w:keepLines/>
              <w:rPr>
                <w:rFonts w:ascii="Arial Narrow" w:hAnsi="Arial Narrow"/>
                <w:b/>
                <w:sz w:val="20"/>
                <w:szCs w:val="20"/>
              </w:rPr>
            </w:pPr>
            <w:r w:rsidRPr="00111671">
              <w:rPr>
                <w:rFonts w:ascii="Arial Narrow" w:hAnsi="Arial Narrow"/>
                <w:b/>
                <w:sz w:val="20"/>
                <w:szCs w:val="20"/>
              </w:rPr>
              <w:t xml:space="preserve">Restriction Summary [new 1] / Treatment of Concept: [new 2] </w:t>
            </w:r>
          </w:p>
        </w:tc>
      </w:tr>
      <w:tr w:rsidR="00111671" w:rsidRPr="00111671" w14:paraId="2E9F4A3C"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3D1B1D0" w14:textId="77777777" w:rsidR="00111671" w:rsidRPr="00111671" w:rsidRDefault="00111671" w:rsidP="00745EDE">
            <w:pPr>
              <w:keepLines/>
              <w:rPr>
                <w:rFonts w:ascii="Arial Narrow" w:hAnsi="Arial Narrow"/>
                <w:sz w:val="20"/>
                <w:szCs w:val="20"/>
              </w:rPr>
            </w:pPr>
            <w:r w:rsidRPr="00111671">
              <w:rPr>
                <w:rFonts w:ascii="Arial Narrow" w:hAnsi="Arial Narrow"/>
                <w:b/>
                <w:sz w:val="20"/>
                <w:szCs w:val="20"/>
              </w:rPr>
              <w:t xml:space="preserve">Category / Program: </w:t>
            </w:r>
            <w:r w:rsidRPr="00111671">
              <w:rPr>
                <w:rFonts w:ascii="Arial Narrow" w:hAnsi="Arial Narrow"/>
                <w:sz w:val="20"/>
                <w:szCs w:val="20"/>
              </w:rPr>
              <w:t>GENERAL – General Schedule (Code GE)</w:t>
            </w:r>
            <w:r w:rsidRPr="00111671">
              <w:rPr>
                <w:rFonts w:ascii="Arial Narrow" w:hAnsi="Arial Narrow"/>
                <w:color w:val="FF0000"/>
                <w:sz w:val="20"/>
                <w:szCs w:val="20"/>
              </w:rPr>
              <w:t xml:space="preserve"> </w:t>
            </w:r>
          </w:p>
        </w:tc>
      </w:tr>
      <w:tr w:rsidR="00111671" w:rsidRPr="00111671" w14:paraId="0F112983"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AA034AA" w14:textId="77777777" w:rsidR="00111671" w:rsidRPr="00111671" w:rsidRDefault="00111671" w:rsidP="00745EDE">
            <w:pPr>
              <w:keepLines/>
              <w:rPr>
                <w:rFonts w:ascii="Arial Narrow" w:hAnsi="Arial Narrow"/>
                <w:b/>
                <w:sz w:val="20"/>
                <w:szCs w:val="20"/>
              </w:rPr>
            </w:pPr>
            <w:r w:rsidRPr="00111671">
              <w:rPr>
                <w:rFonts w:ascii="Arial Narrow" w:hAnsi="Arial Narrow"/>
                <w:b/>
                <w:sz w:val="20"/>
                <w:szCs w:val="20"/>
              </w:rPr>
              <w:t xml:space="preserve">Prescriber type: </w:t>
            </w:r>
            <w:r w:rsidRPr="00111671">
              <w:rPr>
                <w:rFonts w:ascii="Arial Narrow" w:hAnsi="Arial Narrow"/>
                <w:sz w:val="20"/>
                <w:szCs w:val="20"/>
              </w:rPr>
              <w:fldChar w:fldCharType="begin">
                <w:ffData>
                  <w:name w:val="Check1"/>
                  <w:enabled/>
                  <w:calcOnExit w:val="0"/>
                  <w:checkBox>
                    <w:sizeAuto/>
                    <w:default w:val="0"/>
                  </w:checkBox>
                </w:ffData>
              </w:fldChar>
            </w:r>
            <w:r w:rsidRPr="00111671">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111671">
              <w:rPr>
                <w:rFonts w:ascii="Arial Narrow" w:hAnsi="Arial Narrow"/>
                <w:sz w:val="20"/>
                <w:szCs w:val="20"/>
              </w:rPr>
              <w:fldChar w:fldCharType="end"/>
            </w:r>
            <w:r w:rsidRPr="00111671">
              <w:rPr>
                <w:rFonts w:ascii="Arial Narrow" w:hAnsi="Arial Narrow"/>
                <w:sz w:val="20"/>
                <w:szCs w:val="20"/>
              </w:rPr>
              <w:t xml:space="preserve">Dental </w:t>
            </w:r>
            <w:r w:rsidRPr="00111671">
              <w:rPr>
                <w:rFonts w:ascii="Arial Narrow" w:hAnsi="Arial Narrow"/>
                <w:sz w:val="20"/>
                <w:szCs w:val="20"/>
              </w:rPr>
              <w:fldChar w:fldCharType="begin">
                <w:ffData>
                  <w:name w:val=""/>
                  <w:enabled/>
                  <w:calcOnExit w:val="0"/>
                  <w:checkBox>
                    <w:sizeAuto/>
                    <w:default w:val="1"/>
                  </w:checkBox>
                </w:ffData>
              </w:fldChar>
            </w:r>
            <w:r w:rsidRPr="00111671">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111671">
              <w:rPr>
                <w:rFonts w:ascii="Arial Narrow" w:hAnsi="Arial Narrow"/>
                <w:sz w:val="20"/>
                <w:szCs w:val="20"/>
              </w:rPr>
              <w:fldChar w:fldCharType="end"/>
            </w:r>
            <w:r w:rsidRPr="00111671">
              <w:rPr>
                <w:rFonts w:ascii="Arial Narrow" w:hAnsi="Arial Narrow"/>
                <w:sz w:val="20"/>
                <w:szCs w:val="20"/>
              </w:rPr>
              <w:t xml:space="preserve">Medical Practitioners </w:t>
            </w:r>
            <w:r w:rsidRPr="00111671">
              <w:rPr>
                <w:rFonts w:ascii="Arial Narrow" w:hAnsi="Arial Narrow"/>
                <w:sz w:val="20"/>
                <w:szCs w:val="20"/>
              </w:rPr>
              <w:fldChar w:fldCharType="begin">
                <w:ffData>
                  <w:name w:val="Check3"/>
                  <w:enabled/>
                  <w:calcOnExit w:val="0"/>
                  <w:checkBox>
                    <w:sizeAuto/>
                    <w:default w:val="0"/>
                  </w:checkBox>
                </w:ffData>
              </w:fldChar>
            </w:r>
            <w:r w:rsidRPr="00111671">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111671">
              <w:rPr>
                <w:rFonts w:ascii="Arial Narrow" w:hAnsi="Arial Narrow"/>
                <w:sz w:val="20"/>
                <w:szCs w:val="20"/>
              </w:rPr>
              <w:fldChar w:fldCharType="end"/>
            </w:r>
            <w:r w:rsidRPr="00111671">
              <w:rPr>
                <w:rFonts w:ascii="Arial Narrow" w:hAnsi="Arial Narrow"/>
                <w:sz w:val="20"/>
                <w:szCs w:val="20"/>
              </w:rPr>
              <w:t xml:space="preserve">Nurse practitioners </w:t>
            </w:r>
            <w:r w:rsidRPr="00111671">
              <w:rPr>
                <w:rFonts w:ascii="Arial Narrow" w:hAnsi="Arial Narrow"/>
                <w:sz w:val="20"/>
                <w:szCs w:val="20"/>
              </w:rPr>
              <w:fldChar w:fldCharType="begin">
                <w:ffData>
                  <w:name w:val=""/>
                  <w:enabled/>
                  <w:calcOnExit w:val="0"/>
                  <w:checkBox>
                    <w:sizeAuto/>
                    <w:default w:val="0"/>
                  </w:checkBox>
                </w:ffData>
              </w:fldChar>
            </w:r>
            <w:r w:rsidRPr="00111671">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111671">
              <w:rPr>
                <w:rFonts w:ascii="Arial Narrow" w:hAnsi="Arial Narrow"/>
                <w:sz w:val="20"/>
                <w:szCs w:val="20"/>
              </w:rPr>
              <w:fldChar w:fldCharType="end"/>
            </w:r>
            <w:r w:rsidRPr="00111671">
              <w:rPr>
                <w:rFonts w:ascii="Arial Narrow" w:hAnsi="Arial Narrow"/>
                <w:sz w:val="20"/>
                <w:szCs w:val="20"/>
              </w:rPr>
              <w:t xml:space="preserve">Optometrists </w:t>
            </w:r>
            <w:r w:rsidRPr="00111671">
              <w:rPr>
                <w:rFonts w:ascii="Arial Narrow" w:hAnsi="Arial Narrow"/>
                <w:sz w:val="20"/>
                <w:szCs w:val="20"/>
              </w:rPr>
              <w:fldChar w:fldCharType="begin">
                <w:ffData>
                  <w:name w:val="Check5"/>
                  <w:enabled/>
                  <w:calcOnExit w:val="0"/>
                  <w:checkBox>
                    <w:sizeAuto/>
                    <w:default w:val="0"/>
                  </w:checkBox>
                </w:ffData>
              </w:fldChar>
            </w:r>
            <w:r w:rsidRPr="00111671">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111671">
              <w:rPr>
                <w:rFonts w:ascii="Arial Narrow" w:hAnsi="Arial Narrow"/>
                <w:sz w:val="20"/>
                <w:szCs w:val="20"/>
              </w:rPr>
              <w:fldChar w:fldCharType="end"/>
            </w:r>
            <w:r w:rsidRPr="00111671">
              <w:rPr>
                <w:rFonts w:ascii="Arial Narrow" w:hAnsi="Arial Narrow"/>
                <w:sz w:val="20"/>
                <w:szCs w:val="20"/>
              </w:rPr>
              <w:t>Midwives</w:t>
            </w:r>
            <w:r w:rsidRPr="00111671">
              <w:rPr>
                <w:rFonts w:ascii="Arial Narrow" w:hAnsi="Arial Narrow"/>
                <w:color w:val="FF0000"/>
                <w:sz w:val="20"/>
                <w:szCs w:val="20"/>
              </w:rPr>
              <w:t xml:space="preserve"> </w:t>
            </w:r>
          </w:p>
        </w:tc>
      </w:tr>
      <w:tr w:rsidR="00111671" w:rsidRPr="00111671" w14:paraId="2802F378"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CD6658E" w14:textId="77777777" w:rsidR="00111671" w:rsidRPr="00111671" w:rsidRDefault="00111671" w:rsidP="00745EDE">
            <w:pPr>
              <w:rPr>
                <w:rFonts w:ascii="Arial Narrow" w:eastAsia="Calibri" w:hAnsi="Arial Narrow"/>
                <w:color w:val="FF0000"/>
                <w:sz w:val="20"/>
                <w:szCs w:val="20"/>
              </w:rPr>
            </w:pPr>
            <w:r w:rsidRPr="00111671">
              <w:rPr>
                <w:rFonts w:ascii="Arial Narrow" w:hAnsi="Arial Narrow"/>
                <w:b/>
                <w:sz w:val="20"/>
                <w:szCs w:val="20"/>
              </w:rPr>
              <w:t xml:space="preserve">Restriction Type: </w:t>
            </w:r>
            <w:r w:rsidRPr="00111671">
              <w:rPr>
                <w:rFonts w:ascii="Arial Narrow" w:eastAsia="Calibri" w:hAnsi="Arial Narrow"/>
                <w:sz w:val="20"/>
                <w:szCs w:val="20"/>
              </w:rPr>
              <w:fldChar w:fldCharType="begin">
                <w:ffData>
                  <w:name w:val=""/>
                  <w:enabled/>
                  <w:calcOnExit w:val="0"/>
                  <w:checkBox>
                    <w:sizeAuto/>
                    <w:default w:val="1"/>
                  </w:checkBox>
                </w:ffData>
              </w:fldChar>
            </w:r>
            <w:r w:rsidRPr="00111671">
              <w:rPr>
                <w:rFonts w:ascii="Arial Narrow" w:eastAsia="Calibri" w:hAnsi="Arial Narrow"/>
                <w:sz w:val="20"/>
                <w:szCs w:val="20"/>
              </w:rPr>
              <w:instrText xml:space="preserve"> FORMCHECKBOX </w:instrText>
            </w:r>
            <w:r w:rsidR="00F84C70">
              <w:rPr>
                <w:rFonts w:ascii="Arial Narrow" w:eastAsia="Calibri" w:hAnsi="Arial Narrow"/>
                <w:sz w:val="20"/>
                <w:szCs w:val="20"/>
              </w:rPr>
            </w:r>
            <w:r w:rsidR="00F84C70">
              <w:rPr>
                <w:rFonts w:ascii="Arial Narrow" w:eastAsia="Calibri" w:hAnsi="Arial Narrow"/>
                <w:sz w:val="20"/>
                <w:szCs w:val="20"/>
              </w:rPr>
              <w:fldChar w:fldCharType="separate"/>
            </w:r>
            <w:r w:rsidRPr="00111671">
              <w:rPr>
                <w:rFonts w:ascii="Arial Narrow" w:eastAsia="Calibri" w:hAnsi="Arial Narrow"/>
                <w:sz w:val="20"/>
                <w:szCs w:val="20"/>
              </w:rPr>
              <w:fldChar w:fldCharType="end"/>
            </w:r>
            <w:r w:rsidRPr="00111671">
              <w:rPr>
                <w:rFonts w:ascii="Arial Narrow" w:eastAsia="Calibri" w:hAnsi="Arial Narrow"/>
                <w:sz w:val="20"/>
                <w:szCs w:val="20"/>
              </w:rPr>
              <w:t xml:space="preserve"> Authority Required – non-immediate/delayed assessment by Services Australia (in-writing only via mail/postal service or electronic upload to Hobart; requires at least one concept ID to be marked as ‘FULL’ for full assessment by Services Australia)</w:t>
            </w:r>
          </w:p>
        </w:tc>
      </w:tr>
      <w:tr w:rsidR="00111671" w:rsidRPr="00111671" w14:paraId="65C2F186"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CEDA927" w14:textId="77777777" w:rsidR="00111671" w:rsidRPr="00111671" w:rsidRDefault="00111671" w:rsidP="00745EDE">
            <w:pPr>
              <w:rPr>
                <w:rFonts w:ascii="Arial Narrow" w:hAnsi="Arial Narrow"/>
                <w:color w:val="333333"/>
                <w:sz w:val="20"/>
                <w:szCs w:val="20"/>
              </w:rPr>
            </w:pPr>
            <w:r w:rsidRPr="00111671">
              <w:rPr>
                <w:rFonts w:ascii="Arial Narrow" w:hAnsi="Arial Narrow"/>
                <w:b/>
                <w:bCs/>
                <w:color w:val="333333"/>
                <w:sz w:val="20"/>
                <w:szCs w:val="20"/>
              </w:rPr>
              <w:t>Administrative Advice:</w:t>
            </w:r>
          </w:p>
          <w:p w14:paraId="147EF67E" w14:textId="77777777" w:rsidR="00111671" w:rsidRPr="00111671" w:rsidRDefault="00111671" w:rsidP="00745EDE">
            <w:pPr>
              <w:rPr>
                <w:rFonts w:ascii="Arial Narrow" w:hAnsi="Arial Narrow"/>
                <w:color w:val="333333"/>
                <w:sz w:val="20"/>
                <w:szCs w:val="20"/>
              </w:rPr>
            </w:pPr>
            <w:r w:rsidRPr="00111671">
              <w:rPr>
                <w:rFonts w:ascii="Arial Narrow" w:hAnsi="Arial Narrow"/>
                <w:color w:val="333333"/>
                <w:sz w:val="20"/>
                <w:szCs w:val="20"/>
              </w:rPr>
              <w:t>No increase in the maximum number of repeats may be authorised.</w:t>
            </w:r>
          </w:p>
        </w:tc>
      </w:tr>
      <w:tr w:rsidR="00111671" w:rsidRPr="00111671" w14:paraId="553C9CB4"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2EAC730" w14:textId="77777777" w:rsidR="00111671" w:rsidRPr="00111671" w:rsidRDefault="00111671" w:rsidP="00745EDE">
            <w:pPr>
              <w:rPr>
                <w:rFonts w:ascii="Arial Narrow" w:hAnsi="Arial Narrow"/>
                <w:b/>
                <w:bCs/>
                <w:color w:val="333333"/>
                <w:sz w:val="20"/>
                <w:szCs w:val="20"/>
              </w:rPr>
            </w:pPr>
            <w:r w:rsidRPr="00111671">
              <w:rPr>
                <w:rFonts w:ascii="Arial Narrow" w:hAnsi="Arial Narrow"/>
                <w:b/>
                <w:bCs/>
                <w:color w:val="333333"/>
                <w:sz w:val="20"/>
                <w:szCs w:val="20"/>
              </w:rPr>
              <w:t>Administrative Advice:</w:t>
            </w:r>
          </w:p>
          <w:p w14:paraId="13E86378" w14:textId="77777777" w:rsidR="00111671" w:rsidRPr="00111671" w:rsidRDefault="00111671" w:rsidP="00745EDE">
            <w:pPr>
              <w:rPr>
                <w:rFonts w:ascii="Arial Narrow" w:hAnsi="Arial Narrow"/>
                <w:color w:val="333333"/>
                <w:sz w:val="20"/>
                <w:szCs w:val="20"/>
              </w:rPr>
            </w:pPr>
            <w:r w:rsidRPr="00111671">
              <w:rPr>
                <w:rFonts w:ascii="Arial Narrow" w:hAnsi="Arial Narrow"/>
                <w:color w:val="333333"/>
                <w:sz w:val="20"/>
                <w:szCs w:val="20"/>
              </w:rPr>
              <w:t>Special Pricing Arrangements apply.</w:t>
            </w:r>
          </w:p>
        </w:tc>
      </w:tr>
      <w:tr w:rsidR="00111671" w:rsidRPr="00111671" w14:paraId="68C7204F"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EAD609A" w14:textId="77777777" w:rsidR="00111671" w:rsidRPr="00111671" w:rsidRDefault="00111671" w:rsidP="00745EDE">
            <w:pPr>
              <w:rPr>
                <w:rFonts w:ascii="Arial Narrow" w:hAnsi="Arial Narrow"/>
                <w:b/>
                <w:bCs/>
                <w:color w:val="333333"/>
                <w:sz w:val="20"/>
                <w:szCs w:val="20"/>
              </w:rPr>
            </w:pPr>
            <w:r w:rsidRPr="00111671">
              <w:rPr>
                <w:rFonts w:ascii="Arial Narrow" w:hAnsi="Arial Narrow"/>
                <w:b/>
                <w:bCs/>
                <w:color w:val="333333"/>
                <w:sz w:val="20"/>
                <w:szCs w:val="20"/>
              </w:rPr>
              <w:t>Administrative Advice:</w:t>
            </w:r>
          </w:p>
          <w:p w14:paraId="5C5FF858" w14:textId="77777777" w:rsidR="00111671" w:rsidRPr="00111671" w:rsidRDefault="00111671" w:rsidP="00745EDE">
            <w:pPr>
              <w:rPr>
                <w:rFonts w:ascii="Arial Narrow" w:hAnsi="Arial Narrow"/>
                <w:b/>
                <w:bCs/>
                <w:color w:val="333333"/>
                <w:sz w:val="20"/>
                <w:szCs w:val="20"/>
              </w:rPr>
            </w:pPr>
            <w:r w:rsidRPr="00111671">
              <w:rPr>
                <w:rFonts w:ascii="Arial Narrow" w:hAnsi="Arial Narrow"/>
                <w:color w:val="333333"/>
                <w:sz w:val="20"/>
                <w:szCs w:val="20"/>
              </w:rPr>
              <w:t>Confirmation of eligibility for treatment with diagnostic reports must be documented in the patient’s medical records.</w:t>
            </w:r>
          </w:p>
        </w:tc>
      </w:tr>
      <w:tr w:rsidR="00111671" w:rsidRPr="00111671" w14:paraId="7C3F0B82" w14:textId="77777777" w:rsidTr="00111671">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4215896" w14:textId="77777777" w:rsidR="00111671" w:rsidRPr="00111671" w:rsidRDefault="00111671" w:rsidP="00745EDE">
            <w:pPr>
              <w:rPr>
                <w:rFonts w:ascii="Arial Narrow" w:hAnsi="Arial Narrow"/>
                <w:b/>
                <w:bCs/>
                <w:i/>
                <w:iCs/>
                <w:color w:val="333333"/>
                <w:sz w:val="20"/>
                <w:szCs w:val="20"/>
              </w:rPr>
            </w:pPr>
            <w:r w:rsidRPr="00111671">
              <w:rPr>
                <w:rFonts w:ascii="Arial Narrow" w:hAnsi="Arial Narrow"/>
                <w:b/>
                <w:bCs/>
                <w:i/>
                <w:iCs/>
                <w:color w:val="333333"/>
                <w:sz w:val="20"/>
                <w:szCs w:val="20"/>
              </w:rPr>
              <w:t xml:space="preserve">Caution: </w:t>
            </w:r>
          </w:p>
          <w:p w14:paraId="4E505E50" w14:textId="77777777" w:rsidR="00111671" w:rsidRPr="00111671" w:rsidRDefault="00111671" w:rsidP="00745EDE">
            <w:pPr>
              <w:rPr>
                <w:rFonts w:ascii="Arial Narrow" w:hAnsi="Arial Narrow"/>
                <w:b/>
                <w:bCs/>
                <w:i/>
                <w:iCs/>
                <w:color w:val="333333"/>
                <w:sz w:val="20"/>
                <w:szCs w:val="20"/>
              </w:rPr>
            </w:pPr>
            <w:r w:rsidRPr="00111671">
              <w:rPr>
                <w:rFonts w:ascii="Arial Narrow" w:hAnsi="Arial Narrow"/>
                <w:i/>
                <w:iCs/>
                <w:color w:val="333333"/>
                <w:sz w:val="20"/>
                <w:szCs w:val="20"/>
              </w:rPr>
              <w:t xml:space="preserve">The patient’s condition should be assessed prior to receiving treatment and closely monitored throughout the treatment period. </w:t>
            </w:r>
          </w:p>
        </w:tc>
      </w:tr>
      <w:tr w:rsidR="00111671" w:rsidRPr="00111671" w14:paraId="42859B86" w14:textId="77777777" w:rsidTr="00111671">
        <w:tblPrEx>
          <w:tblCellMar>
            <w:top w:w="15" w:type="dxa"/>
            <w:bottom w:w="15" w:type="dxa"/>
          </w:tblCellMar>
          <w:tblLook w:val="04A0" w:firstRow="1" w:lastRow="0" w:firstColumn="1" w:lastColumn="0" w:noHBand="0" w:noVBand="1"/>
        </w:tblPrEx>
        <w:trPr>
          <w:cantSplit/>
          <w:trHeight w:val="116"/>
        </w:trPr>
        <w:tc>
          <w:tcPr>
            <w:tcW w:w="5000" w:type="pct"/>
            <w:gridSpan w:val="6"/>
            <w:vAlign w:val="center"/>
          </w:tcPr>
          <w:p w14:paraId="16FB5201" w14:textId="77777777" w:rsidR="00111671" w:rsidRPr="00111671" w:rsidRDefault="00111671" w:rsidP="00745EDE">
            <w:pPr>
              <w:keepLines/>
              <w:rPr>
                <w:rFonts w:ascii="Arial Narrow" w:hAnsi="Arial Narrow"/>
                <w:bCs/>
                <w:color w:val="333333"/>
                <w:sz w:val="20"/>
                <w:szCs w:val="20"/>
              </w:rPr>
            </w:pPr>
            <w:r w:rsidRPr="00111671">
              <w:rPr>
                <w:rFonts w:ascii="Arial Narrow" w:hAnsi="Arial Narrow"/>
                <w:b/>
                <w:bCs/>
                <w:color w:val="333333"/>
                <w:sz w:val="20"/>
                <w:szCs w:val="20"/>
              </w:rPr>
              <w:t xml:space="preserve">Condition: </w:t>
            </w:r>
            <w:r w:rsidRPr="00111671">
              <w:rPr>
                <w:rFonts w:ascii="Arial Narrow" w:hAnsi="Arial Narrow"/>
                <w:bCs/>
                <w:color w:val="333333"/>
                <w:sz w:val="20"/>
                <w:szCs w:val="20"/>
              </w:rPr>
              <w:t>Symptomatic obstructive hypertrophic cardiomyopathy</w:t>
            </w:r>
          </w:p>
        </w:tc>
      </w:tr>
      <w:tr w:rsidR="00111671" w:rsidRPr="00111671" w14:paraId="3AE7A04B"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A9901D1" w14:textId="77777777" w:rsidR="00111671" w:rsidRPr="00111671" w:rsidRDefault="00111671" w:rsidP="00745EDE">
            <w:pPr>
              <w:keepLines/>
              <w:rPr>
                <w:rFonts w:ascii="Arial Narrow" w:hAnsi="Arial Narrow"/>
                <w:color w:val="333333"/>
                <w:sz w:val="20"/>
                <w:szCs w:val="20"/>
              </w:rPr>
            </w:pPr>
            <w:r w:rsidRPr="00111671">
              <w:rPr>
                <w:rFonts w:ascii="Arial Narrow" w:hAnsi="Arial Narrow"/>
                <w:b/>
                <w:bCs/>
                <w:color w:val="333333"/>
                <w:sz w:val="20"/>
                <w:szCs w:val="20"/>
              </w:rPr>
              <w:t>Indication:</w:t>
            </w:r>
            <w:r w:rsidRPr="00111671">
              <w:rPr>
                <w:rFonts w:ascii="Arial Narrow" w:hAnsi="Arial Narrow"/>
                <w:color w:val="333333"/>
                <w:sz w:val="20"/>
                <w:szCs w:val="20"/>
              </w:rPr>
              <w:t xml:space="preserve"> Symptomatic obstructive hypertrophic cardiomyopathy</w:t>
            </w:r>
          </w:p>
        </w:tc>
      </w:tr>
      <w:tr w:rsidR="00111671" w:rsidRPr="00111671" w14:paraId="54B26719"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631846F"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 xml:space="preserve">Treatment Phase: </w:t>
            </w:r>
            <w:r w:rsidRPr="00111671">
              <w:rPr>
                <w:rFonts w:ascii="Arial Narrow" w:hAnsi="Arial Narrow"/>
                <w:color w:val="333333"/>
                <w:sz w:val="20"/>
                <w:szCs w:val="20"/>
              </w:rPr>
              <w:t>Initial treatment</w:t>
            </w:r>
          </w:p>
        </w:tc>
      </w:tr>
      <w:tr w:rsidR="00111671" w:rsidRPr="00111671" w14:paraId="40D653E3"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4CB9314" w14:textId="77777777" w:rsidR="00111671" w:rsidRPr="00111671" w:rsidRDefault="00111671" w:rsidP="00745EDE">
            <w:pPr>
              <w:keepLines/>
              <w:rPr>
                <w:rFonts w:ascii="Arial Narrow" w:hAnsi="Arial Narrow"/>
                <w:b/>
                <w:bCs/>
                <w:color w:val="333333"/>
                <w:sz w:val="20"/>
                <w:szCs w:val="20"/>
              </w:rPr>
            </w:pPr>
          </w:p>
        </w:tc>
      </w:tr>
      <w:tr w:rsidR="00111671" w:rsidRPr="00111671" w14:paraId="6BABB3B2"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F25E413"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Clinical criteria:</w:t>
            </w:r>
          </w:p>
        </w:tc>
      </w:tr>
      <w:tr w:rsidR="00111671" w:rsidRPr="00111671" w14:paraId="0ED93258"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4C8AC66" w14:textId="77777777" w:rsidR="00111671" w:rsidRPr="00111671" w:rsidRDefault="00111671" w:rsidP="00745EDE">
            <w:pPr>
              <w:keepLines/>
              <w:rPr>
                <w:rFonts w:ascii="Arial Narrow" w:hAnsi="Arial Narrow"/>
                <w:bCs/>
                <w:color w:val="333333"/>
                <w:sz w:val="20"/>
                <w:szCs w:val="20"/>
              </w:rPr>
            </w:pPr>
            <w:r w:rsidRPr="00111671">
              <w:rPr>
                <w:rFonts w:ascii="Arial Narrow" w:hAnsi="Arial Narrow"/>
                <w:bCs/>
                <w:color w:val="333333"/>
                <w:sz w:val="20"/>
                <w:szCs w:val="20"/>
              </w:rPr>
              <w:t xml:space="preserve">Patient must have confirmed left ventricular hypertrophy due to hypertrophic cardiomyopathy with maximal left ventricular wall thickness which is </w:t>
            </w:r>
            <w:r w:rsidRPr="00111671">
              <w:rPr>
                <w:rFonts w:ascii="Arial Narrow" w:hAnsi="Arial Narrow"/>
                <w:bCs/>
                <w:strike/>
                <w:color w:val="333333"/>
                <w:sz w:val="20"/>
                <w:szCs w:val="20"/>
              </w:rPr>
              <w:t>either</w:t>
            </w:r>
            <w:r w:rsidRPr="00111671">
              <w:rPr>
                <w:rFonts w:ascii="Arial Narrow" w:hAnsi="Arial Narrow"/>
                <w:bCs/>
                <w:color w:val="333333"/>
                <w:sz w:val="20"/>
                <w:szCs w:val="20"/>
              </w:rPr>
              <w:t xml:space="preserve"> </w:t>
            </w:r>
            <w:r w:rsidRPr="00111671">
              <w:rPr>
                <w:rFonts w:ascii="Arial Narrow" w:hAnsi="Arial Narrow"/>
                <w:bCs/>
                <w:i/>
                <w:iCs/>
                <w:color w:val="333333"/>
                <w:sz w:val="20"/>
                <w:szCs w:val="20"/>
              </w:rPr>
              <w:t>at least one of:</w:t>
            </w:r>
          </w:p>
          <w:p w14:paraId="118A90BC" w14:textId="77777777" w:rsidR="00111671" w:rsidRPr="00111671" w:rsidRDefault="00111671" w:rsidP="00111671">
            <w:pPr>
              <w:pStyle w:val="ListParagraph"/>
              <w:keepLines/>
              <w:numPr>
                <w:ilvl w:val="0"/>
                <w:numId w:val="33"/>
              </w:numPr>
              <w:spacing w:after="0" w:line="259" w:lineRule="auto"/>
              <w:contextualSpacing/>
              <w:jc w:val="left"/>
              <w:rPr>
                <w:rFonts w:ascii="Arial Narrow" w:hAnsi="Arial Narrow"/>
                <w:bCs/>
                <w:color w:val="333333"/>
                <w:sz w:val="20"/>
                <w:szCs w:val="20"/>
              </w:rPr>
            </w:pPr>
            <w:r w:rsidRPr="00111671">
              <w:rPr>
                <w:rFonts w:ascii="Arial Narrow" w:hAnsi="Arial Narrow"/>
                <w:bCs/>
                <w:strike/>
                <w:color w:val="333333"/>
                <w:sz w:val="20"/>
                <w:szCs w:val="20"/>
              </w:rPr>
              <w:t>greater than or equal to</w:t>
            </w:r>
            <w:r w:rsidRPr="00111671">
              <w:rPr>
                <w:rFonts w:ascii="Arial Narrow" w:hAnsi="Arial Narrow"/>
                <w:bCs/>
                <w:color w:val="333333"/>
                <w:sz w:val="20"/>
                <w:szCs w:val="20"/>
              </w:rPr>
              <w:t xml:space="preserve"> </w:t>
            </w:r>
            <w:r w:rsidRPr="00111671">
              <w:rPr>
                <w:rFonts w:ascii="Arial Narrow" w:hAnsi="Arial Narrow"/>
                <w:bCs/>
                <w:i/>
                <w:iCs/>
                <w:color w:val="333333"/>
                <w:sz w:val="20"/>
                <w:szCs w:val="20"/>
              </w:rPr>
              <w:t>no less than</w:t>
            </w:r>
            <w:r w:rsidRPr="00111671">
              <w:rPr>
                <w:rFonts w:ascii="Arial Narrow" w:hAnsi="Arial Narrow"/>
                <w:bCs/>
                <w:color w:val="333333"/>
                <w:sz w:val="20"/>
                <w:szCs w:val="20"/>
              </w:rPr>
              <w:t xml:space="preserve"> 15 mm, </w:t>
            </w:r>
            <w:r w:rsidRPr="00111671">
              <w:rPr>
                <w:rFonts w:ascii="Arial Narrow" w:hAnsi="Arial Narrow"/>
                <w:bCs/>
                <w:strike/>
                <w:color w:val="333333"/>
                <w:sz w:val="20"/>
                <w:szCs w:val="20"/>
              </w:rPr>
              <w:t xml:space="preserve">or </w:t>
            </w:r>
          </w:p>
          <w:p w14:paraId="0BDF414F" w14:textId="77777777" w:rsidR="00111671" w:rsidRPr="00111671" w:rsidRDefault="00111671" w:rsidP="00111671">
            <w:pPr>
              <w:pStyle w:val="ListParagraph"/>
              <w:keepLines/>
              <w:numPr>
                <w:ilvl w:val="0"/>
                <w:numId w:val="33"/>
              </w:numPr>
              <w:spacing w:after="0" w:line="259" w:lineRule="auto"/>
              <w:contextualSpacing/>
              <w:jc w:val="left"/>
              <w:rPr>
                <w:rFonts w:ascii="Arial Narrow" w:hAnsi="Arial Narrow"/>
                <w:bCs/>
                <w:color w:val="333333"/>
                <w:sz w:val="20"/>
                <w:szCs w:val="20"/>
              </w:rPr>
            </w:pPr>
            <w:r w:rsidRPr="00111671">
              <w:rPr>
                <w:rFonts w:ascii="Arial Narrow" w:hAnsi="Arial Narrow"/>
                <w:bCs/>
                <w:strike/>
                <w:color w:val="333333"/>
                <w:sz w:val="20"/>
                <w:szCs w:val="20"/>
              </w:rPr>
              <w:t>greater than or equal to</w:t>
            </w:r>
            <w:r w:rsidRPr="00111671">
              <w:rPr>
                <w:rFonts w:ascii="Arial Narrow" w:hAnsi="Arial Narrow"/>
                <w:bCs/>
                <w:color w:val="333333"/>
                <w:sz w:val="20"/>
                <w:szCs w:val="20"/>
              </w:rPr>
              <w:t xml:space="preserve"> </w:t>
            </w:r>
            <w:r w:rsidRPr="00111671">
              <w:rPr>
                <w:rFonts w:ascii="Arial Narrow" w:hAnsi="Arial Narrow"/>
                <w:bCs/>
                <w:i/>
                <w:iCs/>
                <w:color w:val="333333"/>
                <w:sz w:val="20"/>
                <w:szCs w:val="20"/>
              </w:rPr>
              <w:t>no less than</w:t>
            </w:r>
            <w:r w:rsidRPr="00111671">
              <w:rPr>
                <w:rFonts w:ascii="Arial Narrow" w:hAnsi="Arial Narrow"/>
                <w:bCs/>
                <w:color w:val="333333"/>
                <w:sz w:val="20"/>
                <w:szCs w:val="20"/>
              </w:rPr>
              <w:t xml:space="preserve"> 13 mm if patient has familial hypertrophic cardiomyopathy</w:t>
            </w:r>
            <w:r w:rsidRPr="00111671">
              <w:rPr>
                <w:rFonts w:ascii="Arial Narrow" w:hAnsi="Arial Narrow"/>
                <w:b/>
                <w:bCs/>
                <w:color w:val="333333"/>
                <w:sz w:val="20"/>
                <w:szCs w:val="20"/>
              </w:rPr>
              <w:t xml:space="preserve"> </w:t>
            </w:r>
            <w:r w:rsidRPr="00111671">
              <w:rPr>
                <w:rFonts w:ascii="Arial Narrow" w:hAnsi="Arial Narrow"/>
                <w:i/>
                <w:iCs/>
                <w:color w:val="333333"/>
                <w:sz w:val="20"/>
                <w:szCs w:val="20"/>
              </w:rPr>
              <w:t>(at least one first degree relative with a diagnosis of hypertrophic cardiomyopathy)</w:t>
            </w:r>
          </w:p>
        </w:tc>
      </w:tr>
      <w:tr w:rsidR="00111671" w:rsidRPr="00111671" w14:paraId="1887D5B2"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ACF29EB"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AND</w:t>
            </w:r>
          </w:p>
        </w:tc>
      </w:tr>
      <w:tr w:rsidR="00111671" w:rsidRPr="00111671" w14:paraId="685142A7"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64536B9"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Clinical criteria:</w:t>
            </w:r>
          </w:p>
        </w:tc>
      </w:tr>
      <w:tr w:rsidR="00111671" w:rsidRPr="00111671" w14:paraId="68929820"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D611F9A" w14:textId="77777777" w:rsidR="00111671" w:rsidRPr="00111671" w:rsidRDefault="00111671" w:rsidP="00745EDE">
            <w:pPr>
              <w:keepLines/>
              <w:rPr>
                <w:rFonts w:ascii="Arial Narrow" w:hAnsi="Arial Narrow"/>
                <w:bCs/>
                <w:color w:val="333333"/>
                <w:sz w:val="20"/>
                <w:szCs w:val="20"/>
              </w:rPr>
            </w:pPr>
            <w:r w:rsidRPr="00111671">
              <w:rPr>
                <w:rFonts w:ascii="Arial Narrow" w:hAnsi="Arial Narrow"/>
                <w:bCs/>
                <w:color w:val="333333"/>
                <w:sz w:val="20"/>
                <w:szCs w:val="20"/>
              </w:rPr>
              <w:t xml:space="preserve">Patient must have confirmed peak left ventricular outflow tract (LVOT) gradient of </w:t>
            </w:r>
            <w:r w:rsidRPr="00111671">
              <w:rPr>
                <w:rFonts w:ascii="Arial Narrow" w:hAnsi="Arial Narrow"/>
                <w:bCs/>
                <w:strike/>
                <w:color w:val="333333"/>
                <w:sz w:val="20"/>
                <w:szCs w:val="20"/>
              </w:rPr>
              <w:t>greater than or equal to</w:t>
            </w:r>
            <w:r w:rsidRPr="00111671">
              <w:rPr>
                <w:rFonts w:ascii="Arial Narrow" w:hAnsi="Arial Narrow"/>
                <w:bCs/>
                <w:color w:val="333333"/>
                <w:sz w:val="20"/>
                <w:szCs w:val="20"/>
              </w:rPr>
              <w:t xml:space="preserve"> </w:t>
            </w:r>
            <w:r w:rsidRPr="00111671">
              <w:rPr>
                <w:rFonts w:ascii="Arial Narrow" w:hAnsi="Arial Narrow"/>
                <w:bCs/>
                <w:i/>
                <w:iCs/>
                <w:color w:val="333333"/>
                <w:sz w:val="20"/>
                <w:szCs w:val="20"/>
              </w:rPr>
              <w:t>no less than</w:t>
            </w:r>
            <w:r w:rsidRPr="00111671">
              <w:rPr>
                <w:rFonts w:ascii="Arial Narrow" w:hAnsi="Arial Narrow"/>
                <w:bCs/>
                <w:i/>
                <w:iCs/>
                <w:strike/>
                <w:color w:val="333333"/>
                <w:sz w:val="20"/>
                <w:szCs w:val="20"/>
              </w:rPr>
              <w:t xml:space="preserve"> 30 </w:t>
            </w:r>
            <w:r w:rsidRPr="00111671">
              <w:rPr>
                <w:rFonts w:ascii="Arial Narrow" w:hAnsi="Arial Narrow"/>
                <w:bCs/>
                <w:i/>
                <w:iCs/>
                <w:color w:val="333333"/>
                <w:sz w:val="20"/>
                <w:szCs w:val="20"/>
              </w:rPr>
              <w:t>50mm</w:t>
            </w:r>
            <w:r w:rsidRPr="00111671">
              <w:rPr>
                <w:rFonts w:ascii="Arial Narrow" w:hAnsi="Arial Narrow"/>
                <w:bCs/>
                <w:color w:val="333333"/>
                <w:sz w:val="20"/>
                <w:szCs w:val="20"/>
              </w:rPr>
              <w:t xml:space="preserve"> Hg </w:t>
            </w:r>
            <w:r w:rsidRPr="00111671">
              <w:rPr>
                <w:rFonts w:ascii="Arial Narrow" w:hAnsi="Arial Narrow"/>
                <w:bCs/>
                <w:i/>
                <w:iCs/>
                <w:color w:val="333333"/>
                <w:sz w:val="20"/>
                <w:szCs w:val="20"/>
              </w:rPr>
              <w:t>which is measured either:</w:t>
            </w:r>
          </w:p>
          <w:p w14:paraId="5206307C" w14:textId="77777777" w:rsidR="00111671" w:rsidRPr="00111671" w:rsidRDefault="00111671" w:rsidP="00111671">
            <w:pPr>
              <w:pStyle w:val="ListParagraph"/>
              <w:keepLines/>
              <w:numPr>
                <w:ilvl w:val="0"/>
                <w:numId w:val="34"/>
              </w:numPr>
              <w:spacing w:after="0" w:line="259" w:lineRule="auto"/>
              <w:contextualSpacing/>
              <w:jc w:val="left"/>
              <w:rPr>
                <w:rFonts w:ascii="Arial Narrow" w:hAnsi="Arial Narrow"/>
                <w:bCs/>
                <w:color w:val="333333"/>
                <w:sz w:val="20"/>
                <w:szCs w:val="20"/>
              </w:rPr>
            </w:pPr>
            <w:r w:rsidRPr="00111671">
              <w:rPr>
                <w:rFonts w:ascii="Arial Narrow" w:hAnsi="Arial Narrow"/>
                <w:bCs/>
                <w:color w:val="333333"/>
                <w:sz w:val="20"/>
                <w:szCs w:val="20"/>
              </w:rPr>
              <w:t xml:space="preserve">at rest, </w:t>
            </w:r>
            <w:r w:rsidRPr="00111671">
              <w:rPr>
                <w:rFonts w:ascii="Arial Narrow" w:hAnsi="Arial Narrow"/>
                <w:bCs/>
                <w:strike/>
                <w:color w:val="333333"/>
                <w:sz w:val="20"/>
                <w:szCs w:val="20"/>
              </w:rPr>
              <w:t>or</w:t>
            </w:r>
          </w:p>
          <w:p w14:paraId="527EE135" w14:textId="77777777" w:rsidR="00111671" w:rsidRPr="00111671" w:rsidRDefault="00111671" w:rsidP="00111671">
            <w:pPr>
              <w:pStyle w:val="ListParagraph"/>
              <w:keepLines/>
              <w:numPr>
                <w:ilvl w:val="0"/>
                <w:numId w:val="34"/>
              </w:numPr>
              <w:spacing w:after="0" w:line="259" w:lineRule="auto"/>
              <w:contextualSpacing/>
              <w:jc w:val="left"/>
              <w:rPr>
                <w:rFonts w:ascii="Arial Narrow" w:hAnsi="Arial Narrow"/>
                <w:bCs/>
                <w:color w:val="333333"/>
                <w:sz w:val="20"/>
                <w:szCs w:val="20"/>
              </w:rPr>
            </w:pPr>
            <w:r w:rsidRPr="00111671">
              <w:rPr>
                <w:rFonts w:ascii="Arial Narrow" w:hAnsi="Arial Narrow"/>
                <w:bCs/>
                <w:color w:val="333333"/>
                <w:sz w:val="20"/>
                <w:szCs w:val="20"/>
              </w:rPr>
              <w:t xml:space="preserve">after provocation with </w:t>
            </w:r>
            <w:r w:rsidRPr="00111671">
              <w:rPr>
                <w:rFonts w:ascii="Arial Narrow" w:hAnsi="Arial Narrow"/>
                <w:bCs/>
                <w:strike/>
                <w:color w:val="333333"/>
                <w:sz w:val="20"/>
                <w:szCs w:val="20"/>
              </w:rPr>
              <w:t xml:space="preserve">either </w:t>
            </w:r>
            <w:r w:rsidRPr="00111671">
              <w:rPr>
                <w:rFonts w:ascii="Arial Narrow" w:hAnsi="Arial Narrow"/>
                <w:bCs/>
                <w:i/>
                <w:iCs/>
                <w:color w:val="333333"/>
                <w:sz w:val="20"/>
                <w:szCs w:val="20"/>
              </w:rPr>
              <w:t>at least one of</w:t>
            </w:r>
            <w:r w:rsidRPr="00111671">
              <w:rPr>
                <w:rFonts w:ascii="Arial Narrow" w:hAnsi="Arial Narrow"/>
                <w:bCs/>
                <w:color w:val="333333"/>
                <w:sz w:val="20"/>
                <w:szCs w:val="20"/>
              </w:rPr>
              <w:t xml:space="preserve"> (i) Valsalva manoeuvre, </w:t>
            </w:r>
            <w:r w:rsidRPr="00111671">
              <w:rPr>
                <w:rFonts w:ascii="Arial Narrow" w:hAnsi="Arial Narrow"/>
                <w:bCs/>
                <w:strike/>
                <w:color w:val="333333"/>
                <w:sz w:val="20"/>
                <w:szCs w:val="20"/>
              </w:rPr>
              <w:t>or</w:t>
            </w:r>
            <w:r w:rsidRPr="00111671">
              <w:rPr>
                <w:rFonts w:ascii="Arial Narrow" w:hAnsi="Arial Narrow"/>
                <w:bCs/>
                <w:color w:val="333333"/>
                <w:sz w:val="20"/>
                <w:szCs w:val="20"/>
              </w:rPr>
              <w:t xml:space="preserve"> (ii) exercise.</w:t>
            </w:r>
          </w:p>
        </w:tc>
      </w:tr>
      <w:tr w:rsidR="00111671" w:rsidRPr="00111671" w14:paraId="68EFAF75"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01FA452"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AND</w:t>
            </w:r>
          </w:p>
        </w:tc>
      </w:tr>
      <w:tr w:rsidR="00111671" w:rsidRPr="00111671" w14:paraId="288673A5"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6C18133"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Clinical criteria:</w:t>
            </w:r>
          </w:p>
        </w:tc>
      </w:tr>
      <w:tr w:rsidR="00111671" w:rsidRPr="00111671" w14:paraId="7B3DF621"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B06B440" w14:textId="1C4F2C74" w:rsidR="00111671" w:rsidRPr="00111671" w:rsidRDefault="00111671" w:rsidP="00745EDE">
            <w:pPr>
              <w:keepLines/>
              <w:rPr>
                <w:rFonts w:ascii="Arial Narrow" w:hAnsi="Arial Narrow"/>
                <w:b/>
                <w:bCs/>
                <w:color w:val="333333"/>
                <w:sz w:val="20"/>
                <w:szCs w:val="20"/>
              </w:rPr>
            </w:pPr>
            <w:bookmarkStart w:id="22" w:name="_Hlk135143560"/>
            <w:r w:rsidRPr="00111671">
              <w:rPr>
                <w:rFonts w:ascii="Arial Narrow" w:hAnsi="Arial Narrow"/>
                <w:bCs/>
                <w:color w:val="333333"/>
                <w:sz w:val="20"/>
                <w:szCs w:val="20"/>
              </w:rPr>
              <w:t xml:space="preserve">Patient must have a documented left ventricular ejection fraction (LVEF) of </w:t>
            </w:r>
            <w:r w:rsidRPr="00111671">
              <w:rPr>
                <w:rFonts w:ascii="Arial Narrow" w:hAnsi="Arial Narrow"/>
                <w:bCs/>
                <w:strike/>
                <w:color w:val="333333"/>
                <w:sz w:val="20"/>
                <w:szCs w:val="20"/>
              </w:rPr>
              <w:t>greater than or equal to</w:t>
            </w:r>
            <w:r w:rsidRPr="00111671">
              <w:rPr>
                <w:rFonts w:ascii="Arial Narrow" w:hAnsi="Arial Narrow"/>
                <w:bCs/>
                <w:color w:val="333333"/>
                <w:sz w:val="20"/>
                <w:szCs w:val="20"/>
              </w:rPr>
              <w:t xml:space="preserve"> </w:t>
            </w:r>
            <w:r w:rsidRPr="00111671">
              <w:rPr>
                <w:rFonts w:ascii="Arial Narrow" w:hAnsi="Arial Narrow"/>
                <w:bCs/>
                <w:i/>
                <w:iCs/>
                <w:color w:val="333333"/>
                <w:sz w:val="20"/>
                <w:szCs w:val="20"/>
              </w:rPr>
              <w:t>no less than</w:t>
            </w:r>
            <w:r w:rsidRPr="00111671">
              <w:rPr>
                <w:rFonts w:ascii="Arial Narrow" w:hAnsi="Arial Narrow"/>
                <w:bCs/>
                <w:color w:val="333333"/>
                <w:sz w:val="20"/>
                <w:szCs w:val="20"/>
              </w:rPr>
              <w:t xml:space="preserve"> 55%,</w:t>
            </w:r>
            <w:bookmarkEnd w:id="22"/>
          </w:p>
        </w:tc>
      </w:tr>
      <w:tr w:rsidR="00111671" w:rsidRPr="00111671" w14:paraId="714A6656"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62840CB"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AND</w:t>
            </w:r>
          </w:p>
        </w:tc>
      </w:tr>
      <w:tr w:rsidR="00111671" w:rsidRPr="00111671" w14:paraId="085542DA"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62EB151"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Clinical criteria:</w:t>
            </w:r>
          </w:p>
        </w:tc>
      </w:tr>
      <w:tr w:rsidR="00111671" w:rsidRPr="00111671" w14:paraId="758AA616"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0211D16" w14:textId="65ADC155" w:rsidR="00111671" w:rsidRPr="00111671" w:rsidRDefault="00111671" w:rsidP="00745EDE">
            <w:pPr>
              <w:keepLines/>
              <w:rPr>
                <w:rFonts w:ascii="Arial Narrow" w:hAnsi="Arial Narrow"/>
                <w:color w:val="333333"/>
                <w:sz w:val="20"/>
                <w:szCs w:val="20"/>
              </w:rPr>
            </w:pPr>
            <w:r w:rsidRPr="00111671">
              <w:rPr>
                <w:rFonts w:ascii="Arial Narrow" w:hAnsi="Arial Narrow"/>
                <w:color w:val="333333"/>
                <w:sz w:val="20"/>
                <w:szCs w:val="20"/>
              </w:rPr>
              <w:t xml:space="preserve">Patient must </w:t>
            </w:r>
            <w:r w:rsidRPr="00111671">
              <w:rPr>
                <w:rFonts w:ascii="Arial Narrow" w:hAnsi="Arial Narrow"/>
                <w:i/>
                <w:iCs/>
                <w:color w:val="333333"/>
                <w:sz w:val="20"/>
                <w:szCs w:val="20"/>
              </w:rPr>
              <w:t>be undergoing</w:t>
            </w:r>
            <w:r w:rsidRPr="00111671">
              <w:rPr>
                <w:rFonts w:ascii="Arial Narrow" w:hAnsi="Arial Narrow"/>
                <w:color w:val="333333"/>
                <w:sz w:val="20"/>
                <w:szCs w:val="20"/>
              </w:rPr>
              <w:t xml:space="preserve"> </w:t>
            </w:r>
            <w:r w:rsidRPr="00111671">
              <w:rPr>
                <w:rFonts w:ascii="Arial Narrow" w:hAnsi="Arial Narrow"/>
                <w:strike/>
                <w:color w:val="333333"/>
                <w:sz w:val="20"/>
                <w:szCs w:val="20"/>
              </w:rPr>
              <w:t>have received prior</w:t>
            </w:r>
            <w:r w:rsidRPr="00111671">
              <w:rPr>
                <w:rFonts w:ascii="Arial Narrow" w:hAnsi="Arial Narrow"/>
                <w:color w:val="333333"/>
                <w:sz w:val="20"/>
                <w:szCs w:val="20"/>
              </w:rPr>
              <w:t xml:space="preserve"> treatment with </w:t>
            </w:r>
            <w:r w:rsidRPr="00111671">
              <w:rPr>
                <w:rFonts w:ascii="Arial Narrow" w:hAnsi="Arial Narrow"/>
                <w:strike/>
                <w:color w:val="333333"/>
                <w:sz w:val="20"/>
                <w:szCs w:val="20"/>
              </w:rPr>
              <w:t>either a</w:t>
            </w:r>
            <w:r w:rsidRPr="00111671">
              <w:rPr>
                <w:rFonts w:ascii="Arial Narrow" w:hAnsi="Arial Narrow"/>
                <w:color w:val="333333"/>
                <w:sz w:val="20"/>
                <w:szCs w:val="20"/>
              </w:rPr>
              <w:t xml:space="preserve"> </w:t>
            </w:r>
            <w:r w:rsidR="00D31136">
              <w:rPr>
                <w:rFonts w:ascii="Arial Narrow" w:hAnsi="Arial Narrow"/>
                <w:color w:val="333333"/>
                <w:sz w:val="20"/>
                <w:szCs w:val="20"/>
              </w:rPr>
              <w:t xml:space="preserve">either a </w:t>
            </w:r>
            <w:r w:rsidRPr="00111671">
              <w:rPr>
                <w:rFonts w:ascii="Arial Narrow" w:hAnsi="Arial Narrow"/>
                <w:i/>
                <w:iCs/>
                <w:color w:val="333333"/>
                <w:sz w:val="20"/>
                <w:szCs w:val="20"/>
              </w:rPr>
              <w:t>(i)</w:t>
            </w:r>
            <w:r w:rsidRPr="00111671">
              <w:rPr>
                <w:rFonts w:ascii="Arial Narrow" w:hAnsi="Arial Narrow"/>
                <w:color w:val="333333"/>
                <w:sz w:val="20"/>
                <w:szCs w:val="20"/>
              </w:rPr>
              <w:t xml:space="preserve"> a beta-blocker </w:t>
            </w:r>
            <w:r w:rsidRPr="00111671">
              <w:rPr>
                <w:rFonts w:ascii="Arial Narrow" w:hAnsi="Arial Narrow"/>
                <w:strike/>
                <w:color w:val="333333"/>
                <w:sz w:val="20"/>
                <w:szCs w:val="20"/>
              </w:rPr>
              <w:t>or</w:t>
            </w:r>
            <w:r w:rsidRPr="00111671">
              <w:rPr>
                <w:rFonts w:ascii="Arial Narrow" w:hAnsi="Arial Narrow"/>
                <w:color w:val="333333"/>
                <w:sz w:val="20"/>
                <w:szCs w:val="20"/>
              </w:rPr>
              <w:t xml:space="preserve"> (ii) non-dihydropyridine calcium channel blocker, unless at least one of the following is </w:t>
            </w:r>
            <w:proofErr w:type="gramStart"/>
            <w:r w:rsidRPr="00111671">
              <w:rPr>
                <w:rFonts w:ascii="Arial Narrow" w:hAnsi="Arial Narrow"/>
                <w:color w:val="333333"/>
                <w:sz w:val="20"/>
                <w:szCs w:val="20"/>
              </w:rPr>
              <w:t>present</w:t>
            </w:r>
            <w:proofErr w:type="gramEnd"/>
            <w:r w:rsidRPr="00111671">
              <w:rPr>
                <w:rFonts w:ascii="Arial Narrow" w:hAnsi="Arial Narrow"/>
                <w:color w:val="333333"/>
                <w:sz w:val="20"/>
                <w:szCs w:val="20"/>
              </w:rPr>
              <w:t xml:space="preserve"> </w:t>
            </w:r>
          </w:p>
          <w:p w14:paraId="4165CADB" w14:textId="77777777" w:rsidR="00111671" w:rsidRPr="00111671" w:rsidRDefault="00111671" w:rsidP="00111671">
            <w:pPr>
              <w:pStyle w:val="ListParagraph"/>
              <w:numPr>
                <w:ilvl w:val="0"/>
                <w:numId w:val="32"/>
              </w:numPr>
              <w:spacing w:after="0" w:line="259" w:lineRule="auto"/>
              <w:ind w:left="1077"/>
              <w:contextualSpacing/>
              <w:jc w:val="left"/>
              <w:rPr>
                <w:rFonts w:ascii="Arial Narrow" w:hAnsi="Arial Narrow"/>
                <w:color w:val="333333"/>
                <w:sz w:val="20"/>
                <w:szCs w:val="20"/>
              </w:rPr>
            </w:pPr>
            <w:r w:rsidRPr="00111671">
              <w:rPr>
                <w:rFonts w:ascii="Arial Narrow" w:hAnsi="Arial Narrow"/>
                <w:color w:val="333333"/>
                <w:sz w:val="20"/>
                <w:szCs w:val="20"/>
              </w:rPr>
              <w:t xml:space="preserve">a contraindication to beta-blocker / non-dihydropyridine calcium channel blocker therapy as listed in the </w:t>
            </w:r>
            <w:r w:rsidRPr="00111671">
              <w:rPr>
                <w:rFonts w:ascii="Arial Narrow" w:hAnsi="Arial Narrow"/>
                <w:i/>
                <w:iCs/>
                <w:color w:val="333333"/>
                <w:sz w:val="20"/>
                <w:szCs w:val="20"/>
              </w:rPr>
              <w:t>TGA approved</w:t>
            </w:r>
            <w:r w:rsidRPr="00111671">
              <w:rPr>
                <w:rFonts w:ascii="Arial Narrow" w:hAnsi="Arial Narrow"/>
                <w:color w:val="333333"/>
                <w:sz w:val="20"/>
                <w:szCs w:val="20"/>
              </w:rPr>
              <w:t xml:space="preserve"> Product Information,</w:t>
            </w:r>
          </w:p>
          <w:p w14:paraId="792402C1" w14:textId="77777777" w:rsidR="00111671" w:rsidRPr="00111671" w:rsidRDefault="00111671" w:rsidP="00111671">
            <w:pPr>
              <w:numPr>
                <w:ilvl w:val="0"/>
                <w:numId w:val="32"/>
              </w:numPr>
              <w:ind w:left="1077"/>
              <w:contextualSpacing/>
              <w:jc w:val="left"/>
              <w:rPr>
                <w:rFonts w:ascii="Arial Narrow" w:hAnsi="Arial Narrow"/>
                <w:b/>
                <w:bCs/>
                <w:color w:val="333333"/>
                <w:sz w:val="20"/>
                <w:szCs w:val="20"/>
              </w:rPr>
            </w:pPr>
            <w:r w:rsidRPr="00111671">
              <w:rPr>
                <w:rFonts w:ascii="Arial Narrow" w:hAnsi="Arial Narrow"/>
                <w:color w:val="333333"/>
                <w:sz w:val="20"/>
                <w:szCs w:val="20"/>
              </w:rPr>
              <w:t xml:space="preserve">an </w:t>
            </w:r>
            <w:r w:rsidRPr="00111671">
              <w:rPr>
                <w:rFonts w:ascii="Arial Narrow" w:hAnsi="Arial Narrow"/>
                <w:strike/>
                <w:color w:val="333333"/>
                <w:sz w:val="20"/>
                <w:szCs w:val="20"/>
              </w:rPr>
              <w:t>existing / expected</w:t>
            </w:r>
            <w:r w:rsidRPr="00111671">
              <w:rPr>
                <w:rFonts w:ascii="Arial Narrow" w:hAnsi="Arial Narrow"/>
                <w:color w:val="333333"/>
                <w:sz w:val="20"/>
                <w:szCs w:val="20"/>
              </w:rPr>
              <w:t xml:space="preserve"> intolerance to beta-blocker / non-dihydropyridine calcium channel blocker therapy.</w:t>
            </w:r>
          </w:p>
        </w:tc>
      </w:tr>
      <w:tr w:rsidR="00111671" w:rsidRPr="00111671" w14:paraId="4AB2B272"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D16B1DF"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AND</w:t>
            </w:r>
          </w:p>
        </w:tc>
      </w:tr>
      <w:tr w:rsidR="00111671" w:rsidRPr="00111671" w14:paraId="56F6AD0F"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702F17A"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Clinical criteria:</w:t>
            </w:r>
          </w:p>
        </w:tc>
      </w:tr>
      <w:tr w:rsidR="00111671" w:rsidRPr="00111671" w14:paraId="3048E9BA"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9B8C421" w14:textId="77777777" w:rsidR="00111671" w:rsidRPr="00111671" w:rsidRDefault="00111671" w:rsidP="00745EDE">
            <w:pPr>
              <w:keepLines/>
              <w:rPr>
                <w:rFonts w:ascii="Arial Narrow" w:hAnsi="Arial Narrow"/>
                <w:color w:val="333333"/>
                <w:sz w:val="20"/>
                <w:szCs w:val="20"/>
              </w:rPr>
            </w:pPr>
            <w:r w:rsidRPr="00111671">
              <w:rPr>
                <w:rFonts w:ascii="Arial Narrow" w:hAnsi="Arial Narrow"/>
                <w:color w:val="333333"/>
                <w:sz w:val="20"/>
                <w:szCs w:val="20"/>
              </w:rPr>
              <w:t xml:space="preserve">Patient must be symptomatic with NYHA classes </w:t>
            </w:r>
            <w:bookmarkStart w:id="23" w:name="_Hlk135143713"/>
            <w:r w:rsidRPr="00111671">
              <w:rPr>
                <w:rFonts w:ascii="Arial Narrow" w:hAnsi="Arial Narrow"/>
                <w:color w:val="333333"/>
                <w:sz w:val="20"/>
                <w:szCs w:val="20"/>
              </w:rPr>
              <w:t>II or III</w:t>
            </w:r>
            <w:bookmarkEnd w:id="23"/>
          </w:p>
        </w:tc>
      </w:tr>
      <w:tr w:rsidR="00111671" w:rsidRPr="00111671" w14:paraId="4E436F13"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40CE896"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Treatment criteria:</w:t>
            </w:r>
          </w:p>
        </w:tc>
      </w:tr>
      <w:tr w:rsidR="00111671" w:rsidRPr="00111671" w14:paraId="3DA376CA"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19E36A7" w14:textId="77777777" w:rsidR="00111671" w:rsidRPr="00111671" w:rsidRDefault="00111671" w:rsidP="00745EDE">
            <w:pPr>
              <w:keepLines/>
              <w:rPr>
                <w:rFonts w:ascii="Arial Narrow" w:hAnsi="Arial Narrow"/>
                <w:color w:val="333333"/>
                <w:sz w:val="20"/>
                <w:szCs w:val="20"/>
              </w:rPr>
            </w:pPr>
            <w:r w:rsidRPr="00111671">
              <w:rPr>
                <w:rFonts w:ascii="Arial Narrow" w:hAnsi="Arial Narrow"/>
                <w:color w:val="333333"/>
                <w:sz w:val="20"/>
                <w:szCs w:val="20"/>
              </w:rPr>
              <w:t xml:space="preserve">Must be treated by a cardiologist; or </w:t>
            </w:r>
          </w:p>
        </w:tc>
      </w:tr>
      <w:tr w:rsidR="00111671" w:rsidRPr="00111671" w14:paraId="4EA5FF41"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E424034" w14:textId="77777777" w:rsidR="00111671" w:rsidRPr="00111671" w:rsidRDefault="00111671" w:rsidP="00745EDE">
            <w:pPr>
              <w:keepLines/>
              <w:rPr>
                <w:rFonts w:ascii="Arial Narrow" w:hAnsi="Arial Narrow"/>
                <w:color w:val="333333"/>
                <w:sz w:val="20"/>
                <w:szCs w:val="20"/>
              </w:rPr>
            </w:pPr>
            <w:r w:rsidRPr="00111671">
              <w:rPr>
                <w:rFonts w:ascii="Arial Narrow" w:hAnsi="Arial Narrow"/>
                <w:color w:val="333333"/>
                <w:sz w:val="20"/>
                <w:szCs w:val="20"/>
              </w:rPr>
              <w:t>Must be treated by a consultant physician with experience in the management of hypertrophic cardiomyopathy</w:t>
            </w:r>
          </w:p>
        </w:tc>
      </w:tr>
      <w:tr w:rsidR="00111671" w:rsidRPr="00111671" w14:paraId="420B1CEC"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BD97FDD" w14:textId="77777777" w:rsidR="00111671" w:rsidRPr="00111671" w:rsidRDefault="00111671" w:rsidP="00745EDE">
            <w:pPr>
              <w:keepLines/>
              <w:rPr>
                <w:rFonts w:ascii="Arial Narrow" w:hAnsi="Arial Narrow"/>
                <w:b/>
                <w:bCs/>
                <w:color w:val="333333"/>
                <w:sz w:val="20"/>
                <w:szCs w:val="20"/>
              </w:rPr>
            </w:pPr>
            <w:r w:rsidRPr="00111671">
              <w:rPr>
                <w:rFonts w:ascii="Arial Narrow" w:hAnsi="Arial Narrow"/>
                <w:b/>
                <w:bCs/>
                <w:color w:val="333333"/>
                <w:sz w:val="20"/>
                <w:szCs w:val="20"/>
              </w:rPr>
              <w:t>Population criteria:</w:t>
            </w:r>
          </w:p>
        </w:tc>
      </w:tr>
      <w:tr w:rsidR="00111671" w:rsidRPr="00111671" w14:paraId="781D4817"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70D6661" w14:textId="77777777" w:rsidR="00111671" w:rsidRPr="00111671" w:rsidRDefault="00111671" w:rsidP="00745EDE">
            <w:pPr>
              <w:keepLines/>
              <w:rPr>
                <w:rFonts w:ascii="Arial Narrow" w:hAnsi="Arial Narrow"/>
                <w:color w:val="333333"/>
                <w:sz w:val="20"/>
                <w:szCs w:val="20"/>
              </w:rPr>
            </w:pPr>
            <w:r w:rsidRPr="00111671">
              <w:rPr>
                <w:rFonts w:ascii="Arial Narrow" w:hAnsi="Arial Narrow"/>
                <w:color w:val="333333"/>
                <w:sz w:val="20"/>
                <w:szCs w:val="20"/>
              </w:rPr>
              <w:t>Patient must be at least 18 years of age.</w:t>
            </w:r>
          </w:p>
        </w:tc>
      </w:tr>
      <w:tr w:rsidR="00111671" w:rsidRPr="00111671" w14:paraId="6A574A60"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8791F3" w14:textId="77777777" w:rsidR="00111671" w:rsidRPr="00111671" w:rsidRDefault="00111671" w:rsidP="00745EDE">
            <w:pPr>
              <w:rPr>
                <w:rFonts w:ascii="Arial Narrow" w:hAnsi="Arial Narrow"/>
                <w:i/>
                <w:iCs/>
                <w:color w:val="333333"/>
                <w:sz w:val="20"/>
                <w:szCs w:val="20"/>
              </w:rPr>
            </w:pPr>
            <w:r w:rsidRPr="00111671">
              <w:rPr>
                <w:rFonts w:ascii="Arial Narrow" w:hAnsi="Arial Narrow"/>
                <w:b/>
                <w:bCs/>
                <w:i/>
                <w:iCs/>
                <w:color w:val="333333"/>
                <w:sz w:val="20"/>
                <w:szCs w:val="20"/>
              </w:rPr>
              <w:lastRenderedPageBreak/>
              <w:t>Administrative Advice</w:t>
            </w:r>
            <w:r w:rsidRPr="00111671">
              <w:rPr>
                <w:rFonts w:ascii="Arial Narrow" w:hAnsi="Arial Narrow"/>
                <w:i/>
                <w:iCs/>
                <w:color w:val="333333"/>
                <w:sz w:val="20"/>
                <w:szCs w:val="20"/>
              </w:rPr>
              <w:t>:</w:t>
            </w:r>
          </w:p>
          <w:p w14:paraId="59F6E714" w14:textId="77777777" w:rsidR="00111671" w:rsidRPr="00111671" w:rsidRDefault="00111671" w:rsidP="00745EDE">
            <w:pPr>
              <w:keepLines/>
              <w:rPr>
                <w:rFonts w:ascii="Arial Narrow" w:hAnsi="Arial Narrow"/>
                <w:i/>
                <w:iCs/>
                <w:color w:val="333333"/>
                <w:sz w:val="20"/>
                <w:szCs w:val="20"/>
              </w:rPr>
            </w:pPr>
            <w:r w:rsidRPr="00111671">
              <w:rPr>
                <w:rFonts w:ascii="Arial Narrow" w:hAnsi="Arial Narrow"/>
                <w:i/>
                <w:iCs/>
                <w:color w:val="333333"/>
                <w:sz w:val="20"/>
                <w:szCs w:val="20"/>
              </w:rPr>
              <w:t>The authority application must be made in writing and must include:</w:t>
            </w:r>
          </w:p>
          <w:p w14:paraId="700BC5E6" w14:textId="77777777" w:rsidR="00111671" w:rsidRPr="00111671" w:rsidRDefault="00111671" w:rsidP="00745EDE">
            <w:pPr>
              <w:keepLines/>
              <w:rPr>
                <w:rFonts w:ascii="Arial Narrow" w:hAnsi="Arial Narrow"/>
                <w:i/>
                <w:iCs/>
                <w:color w:val="333333"/>
                <w:sz w:val="20"/>
                <w:szCs w:val="20"/>
              </w:rPr>
            </w:pPr>
          </w:p>
          <w:p w14:paraId="0EB40E61" w14:textId="77777777" w:rsidR="00111671" w:rsidRPr="00111671" w:rsidRDefault="00111671" w:rsidP="00745EDE">
            <w:pPr>
              <w:keepLines/>
              <w:rPr>
                <w:rFonts w:ascii="Arial Narrow" w:hAnsi="Arial Narrow"/>
                <w:i/>
                <w:iCs/>
                <w:color w:val="333333"/>
                <w:sz w:val="20"/>
                <w:szCs w:val="20"/>
              </w:rPr>
            </w:pPr>
            <w:r w:rsidRPr="00111671">
              <w:rPr>
                <w:rFonts w:ascii="Arial Narrow" w:hAnsi="Arial Narrow"/>
                <w:i/>
                <w:iCs/>
                <w:color w:val="333333"/>
                <w:sz w:val="20"/>
                <w:szCs w:val="20"/>
              </w:rPr>
              <w:t>(1) a completed authority prescription form; and</w:t>
            </w:r>
          </w:p>
          <w:p w14:paraId="2C98629A" w14:textId="77777777" w:rsidR="00111671" w:rsidRPr="00111671" w:rsidRDefault="00111671" w:rsidP="00745EDE">
            <w:pPr>
              <w:keepLines/>
              <w:rPr>
                <w:rFonts w:ascii="Arial Narrow" w:hAnsi="Arial Narrow"/>
                <w:i/>
                <w:iCs/>
                <w:color w:val="333333"/>
                <w:sz w:val="20"/>
                <w:szCs w:val="20"/>
              </w:rPr>
            </w:pPr>
          </w:p>
          <w:p w14:paraId="6D0B6CBC" w14:textId="77777777" w:rsidR="00111671" w:rsidRPr="00111671" w:rsidRDefault="00111671" w:rsidP="00745EDE">
            <w:pPr>
              <w:keepLines/>
              <w:rPr>
                <w:rFonts w:ascii="Arial Narrow" w:hAnsi="Arial Narrow"/>
                <w:i/>
                <w:iCs/>
                <w:color w:val="333333"/>
                <w:sz w:val="20"/>
                <w:szCs w:val="20"/>
              </w:rPr>
            </w:pPr>
            <w:r w:rsidRPr="00111671">
              <w:rPr>
                <w:rFonts w:ascii="Arial Narrow" w:hAnsi="Arial Narrow"/>
                <w:i/>
                <w:iCs/>
                <w:color w:val="333333"/>
                <w:sz w:val="20"/>
                <w:szCs w:val="20"/>
              </w:rPr>
              <w:t>(2) a completed authority application form relevant to the indication and treatment phase (the latest version is located on the website specified in the Administrative Advice).</w:t>
            </w:r>
          </w:p>
        </w:tc>
      </w:tr>
      <w:tr w:rsidR="00111671" w:rsidRPr="00E21322" w14:paraId="30C5D30B" w14:textId="77777777" w:rsidTr="00111671">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576BE7B"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b/>
                <w:bCs/>
                <w:i/>
                <w:iCs/>
                <w:color w:val="333333"/>
                <w:sz w:val="20"/>
                <w:szCs w:val="20"/>
              </w:rPr>
              <w:t>Administrative Advice</w:t>
            </w:r>
            <w:r w:rsidRPr="00111671">
              <w:rPr>
                <w:rFonts w:ascii="Arial Narrow" w:hAnsi="Arial Narrow"/>
                <w:i/>
                <w:iCs/>
                <w:color w:val="333333"/>
                <w:sz w:val="20"/>
                <w:szCs w:val="20"/>
              </w:rPr>
              <w:t>:</w:t>
            </w:r>
          </w:p>
          <w:p w14:paraId="07763D11"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Any queries concerning the arrangements to prescribe may be directed to Services Australia on 1800 700 270 (hours of operation 8 a.m. to 5 p.m. Monday to Friday).</w:t>
            </w:r>
          </w:p>
          <w:p w14:paraId="5E117A7C" w14:textId="77777777" w:rsidR="00111671" w:rsidRPr="00111671" w:rsidRDefault="00111671" w:rsidP="00745EDE">
            <w:pPr>
              <w:ind w:left="113"/>
              <w:rPr>
                <w:rFonts w:ascii="Arial Narrow" w:hAnsi="Arial Narrow"/>
                <w:i/>
                <w:iCs/>
                <w:color w:val="333333"/>
                <w:sz w:val="20"/>
                <w:szCs w:val="20"/>
              </w:rPr>
            </w:pPr>
          </w:p>
          <w:p w14:paraId="5F94C18F"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 xml:space="preserve">Prescribing information (including Authority Application forms and other relevant documentation as applicable) is available on the Services Australia website at </w:t>
            </w:r>
            <w:proofErr w:type="gramStart"/>
            <w:r w:rsidRPr="00111671">
              <w:rPr>
                <w:rFonts w:ascii="Arial Narrow" w:hAnsi="Arial Narrow"/>
                <w:i/>
                <w:iCs/>
                <w:color w:val="333333"/>
                <w:sz w:val="20"/>
                <w:szCs w:val="20"/>
              </w:rPr>
              <w:t>www.servicesaustralia.gov.au</w:t>
            </w:r>
            <w:proofErr w:type="gramEnd"/>
          </w:p>
          <w:p w14:paraId="68D274F8" w14:textId="77777777" w:rsidR="00111671" w:rsidRPr="00111671" w:rsidRDefault="00111671" w:rsidP="00745EDE">
            <w:pPr>
              <w:ind w:left="113"/>
              <w:rPr>
                <w:rFonts w:ascii="Arial Narrow" w:hAnsi="Arial Narrow"/>
                <w:i/>
                <w:iCs/>
                <w:color w:val="333333"/>
                <w:sz w:val="20"/>
                <w:szCs w:val="20"/>
              </w:rPr>
            </w:pPr>
          </w:p>
          <w:p w14:paraId="6CDE4F1E"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 xml:space="preserve">Applications for authority to prescribe should be submitted online using the form upload facility in Health Professional Online Services (HPOS) at </w:t>
            </w:r>
            <w:proofErr w:type="gramStart"/>
            <w:r w:rsidRPr="00111671">
              <w:rPr>
                <w:rFonts w:ascii="Arial Narrow" w:hAnsi="Arial Narrow"/>
                <w:i/>
                <w:iCs/>
                <w:color w:val="333333"/>
                <w:sz w:val="20"/>
                <w:szCs w:val="20"/>
              </w:rPr>
              <w:t>www.servicesaustralia.gov.au/hpos</w:t>
            </w:r>
            <w:proofErr w:type="gramEnd"/>
          </w:p>
          <w:p w14:paraId="278E29DC" w14:textId="77777777" w:rsidR="00111671" w:rsidRPr="00111671" w:rsidRDefault="00111671" w:rsidP="00745EDE">
            <w:pPr>
              <w:ind w:left="113"/>
              <w:rPr>
                <w:rFonts w:ascii="Arial Narrow" w:hAnsi="Arial Narrow"/>
                <w:i/>
                <w:iCs/>
                <w:color w:val="333333"/>
                <w:sz w:val="20"/>
                <w:szCs w:val="20"/>
              </w:rPr>
            </w:pPr>
          </w:p>
          <w:p w14:paraId="13E8AF6C"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Or mailed to:</w:t>
            </w:r>
          </w:p>
          <w:p w14:paraId="609E752F" w14:textId="77777777" w:rsidR="00111671" w:rsidRPr="00111671" w:rsidRDefault="00111671" w:rsidP="00745EDE">
            <w:pPr>
              <w:ind w:left="113"/>
              <w:rPr>
                <w:rFonts w:ascii="Arial Narrow" w:hAnsi="Arial Narrow"/>
                <w:i/>
                <w:iCs/>
                <w:color w:val="333333"/>
                <w:sz w:val="20"/>
                <w:szCs w:val="20"/>
              </w:rPr>
            </w:pPr>
          </w:p>
          <w:p w14:paraId="3A0279B2"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Services Australia</w:t>
            </w:r>
          </w:p>
          <w:p w14:paraId="0C03718B" w14:textId="77777777" w:rsidR="00111671" w:rsidRPr="00111671" w:rsidRDefault="00111671" w:rsidP="00745EDE">
            <w:pPr>
              <w:ind w:left="113"/>
              <w:rPr>
                <w:rFonts w:ascii="Arial Narrow" w:hAnsi="Arial Narrow"/>
                <w:i/>
                <w:iCs/>
                <w:color w:val="333333"/>
                <w:sz w:val="20"/>
                <w:szCs w:val="20"/>
              </w:rPr>
            </w:pPr>
          </w:p>
          <w:p w14:paraId="7B2786BB"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Complex Drugs</w:t>
            </w:r>
          </w:p>
          <w:p w14:paraId="3668BEB4" w14:textId="77777777" w:rsidR="00111671" w:rsidRPr="00111671" w:rsidRDefault="00111671" w:rsidP="00745EDE">
            <w:pPr>
              <w:ind w:left="113"/>
              <w:rPr>
                <w:rFonts w:ascii="Arial Narrow" w:hAnsi="Arial Narrow"/>
                <w:i/>
                <w:iCs/>
                <w:color w:val="333333"/>
                <w:sz w:val="20"/>
                <w:szCs w:val="20"/>
              </w:rPr>
            </w:pPr>
          </w:p>
          <w:p w14:paraId="6B68C226" w14:textId="77777777" w:rsidR="00111671" w:rsidRPr="00111671" w:rsidRDefault="00111671" w:rsidP="00745EDE">
            <w:pPr>
              <w:ind w:left="113"/>
              <w:rPr>
                <w:rFonts w:ascii="Arial Narrow" w:hAnsi="Arial Narrow"/>
                <w:i/>
                <w:iCs/>
                <w:color w:val="333333"/>
                <w:sz w:val="20"/>
                <w:szCs w:val="20"/>
              </w:rPr>
            </w:pPr>
            <w:r w:rsidRPr="00111671">
              <w:rPr>
                <w:rFonts w:ascii="Arial Narrow" w:hAnsi="Arial Narrow"/>
                <w:i/>
                <w:iCs/>
                <w:color w:val="333333"/>
                <w:sz w:val="20"/>
                <w:szCs w:val="20"/>
              </w:rPr>
              <w:t>Reply Paid 9826</w:t>
            </w:r>
          </w:p>
          <w:p w14:paraId="2CED25F0" w14:textId="77777777" w:rsidR="00111671" w:rsidRPr="00111671" w:rsidRDefault="00111671" w:rsidP="00745EDE">
            <w:pPr>
              <w:ind w:left="113"/>
              <w:rPr>
                <w:rFonts w:ascii="Arial Narrow" w:hAnsi="Arial Narrow"/>
                <w:i/>
                <w:iCs/>
                <w:color w:val="333333"/>
                <w:sz w:val="20"/>
                <w:szCs w:val="20"/>
              </w:rPr>
            </w:pPr>
          </w:p>
          <w:p w14:paraId="20D54507" w14:textId="77777777" w:rsidR="00111671" w:rsidRPr="00111671" w:rsidRDefault="00111671" w:rsidP="00745EDE">
            <w:pPr>
              <w:keepLines/>
              <w:rPr>
                <w:rFonts w:ascii="Arial Narrow" w:hAnsi="Arial Narrow"/>
                <w:i/>
                <w:iCs/>
                <w:color w:val="333333"/>
                <w:sz w:val="20"/>
                <w:szCs w:val="20"/>
              </w:rPr>
            </w:pPr>
            <w:r w:rsidRPr="00111671">
              <w:rPr>
                <w:rFonts w:ascii="Arial Narrow" w:hAnsi="Arial Narrow"/>
                <w:i/>
                <w:iCs/>
                <w:color w:val="333333"/>
                <w:sz w:val="20"/>
                <w:szCs w:val="20"/>
              </w:rPr>
              <w:t>HOBART TAS 7001</w:t>
            </w:r>
          </w:p>
        </w:tc>
      </w:tr>
    </w:tbl>
    <w:p w14:paraId="2AF3AB39" w14:textId="77777777" w:rsidR="00301A08" w:rsidRPr="00E21322" w:rsidRDefault="00301A08" w:rsidP="00421E13">
      <w:pPr>
        <w:pStyle w:val="Commentitalics"/>
        <w:rPr>
          <w:highlight w:val="yellow"/>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736"/>
        <w:gridCol w:w="738"/>
        <w:gridCol w:w="738"/>
        <w:gridCol w:w="738"/>
        <w:gridCol w:w="2408"/>
      </w:tblGrid>
      <w:tr w:rsidR="00301A08" w:rsidRPr="00737236" w14:paraId="0BEE3CDF" w14:textId="77777777" w:rsidTr="00B80723">
        <w:trPr>
          <w:cantSplit/>
          <w:trHeight w:val="20"/>
        </w:trPr>
        <w:tc>
          <w:tcPr>
            <w:tcW w:w="2045" w:type="pct"/>
            <w:vAlign w:val="center"/>
          </w:tcPr>
          <w:p w14:paraId="60FC7515" w14:textId="77777777" w:rsidR="00301A08" w:rsidRPr="00737236" w:rsidRDefault="00301A08" w:rsidP="006628A7">
            <w:pPr>
              <w:keepLines/>
              <w:rPr>
                <w:rFonts w:ascii="Arial Narrow" w:hAnsi="Arial Narrow"/>
                <w:b/>
                <w:bCs/>
                <w:sz w:val="20"/>
                <w:szCs w:val="20"/>
              </w:rPr>
            </w:pPr>
            <w:r w:rsidRPr="00737236">
              <w:rPr>
                <w:rFonts w:ascii="Arial Narrow" w:hAnsi="Arial Narrow"/>
                <w:b/>
                <w:bCs/>
                <w:sz w:val="20"/>
                <w:szCs w:val="20"/>
              </w:rPr>
              <w:t>MEDICINAL PRODUCT</w:t>
            </w:r>
          </w:p>
          <w:p w14:paraId="50249C7E" w14:textId="77777777" w:rsidR="00301A08" w:rsidRPr="00737236" w:rsidRDefault="00301A08" w:rsidP="006628A7">
            <w:pPr>
              <w:keepLines/>
              <w:rPr>
                <w:rFonts w:ascii="Arial Narrow" w:hAnsi="Arial Narrow"/>
                <w:b/>
                <w:sz w:val="20"/>
                <w:szCs w:val="20"/>
              </w:rPr>
            </w:pPr>
            <w:r w:rsidRPr="00737236">
              <w:rPr>
                <w:rFonts w:ascii="Arial Narrow" w:hAnsi="Arial Narrow"/>
                <w:b/>
                <w:bCs/>
                <w:sz w:val="20"/>
                <w:szCs w:val="20"/>
              </w:rPr>
              <w:t>medicinal product pack</w:t>
            </w:r>
          </w:p>
        </w:tc>
        <w:tc>
          <w:tcPr>
            <w:tcW w:w="406" w:type="pct"/>
            <w:vAlign w:val="center"/>
          </w:tcPr>
          <w:p w14:paraId="27945CE6"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PBS item code</w:t>
            </w:r>
          </w:p>
        </w:tc>
        <w:tc>
          <w:tcPr>
            <w:tcW w:w="407" w:type="pct"/>
            <w:vAlign w:val="center"/>
          </w:tcPr>
          <w:p w14:paraId="01BCB634"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Max. qty packs</w:t>
            </w:r>
          </w:p>
        </w:tc>
        <w:tc>
          <w:tcPr>
            <w:tcW w:w="407" w:type="pct"/>
            <w:vAlign w:val="center"/>
          </w:tcPr>
          <w:p w14:paraId="3FA6A9C7"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Max. qty units</w:t>
            </w:r>
          </w:p>
        </w:tc>
        <w:tc>
          <w:tcPr>
            <w:tcW w:w="407" w:type="pct"/>
            <w:vAlign w:val="center"/>
          </w:tcPr>
          <w:p w14:paraId="77CC1CAC" w14:textId="77777777" w:rsidR="00301A08" w:rsidRPr="00737236" w:rsidRDefault="00301A08" w:rsidP="006628A7">
            <w:pPr>
              <w:keepLines/>
              <w:jc w:val="center"/>
              <w:rPr>
                <w:rFonts w:ascii="Arial Narrow" w:hAnsi="Arial Narrow"/>
                <w:b/>
                <w:sz w:val="20"/>
                <w:szCs w:val="20"/>
              </w:rPr>
            </w:pPr>
            <w:proofErr w:type="gramStart"/>
            <w:r w:rsidRPr="00737236">
              <w:rPr>
                <w:rFonts w:ascii="Arial Narrow" w:hAnsi="Arial Narrow"/>
                <w:b/>
                <w:sz w:val="20"/>
                <w:szCs w:val="20"/>
              </w:rPr>
              <w:t>№.of</w:t>
            </w:r>
            <w:proofErr w:type="gramEnd"/>
          </w:p>
          <w:p w14:paraId="6C74DA1C"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Rpts</w:t>
            </w:r>
          </w:p>
        </w:tc>
        <w:tc>
          <w:tcPr>
            <w:tcW w:w="1328" w:type="pct"/>
            <w:vAlign w:val="center"/>
          </w:tcPr>
          <w:p w14:paraId="59E0461A" w14:textId="77777777" w:rsidR="00301A08" w:rsidRPr="00737236" w:rsidRDefault="00301A08" w:rsidP="006628A7">
            <w:pPr>
              <w:keepLines/>
              <w:rPr>
                <w:rFonts w:ascii="Arial Narrow" w:hAnsi="Arial Narrow"/>
                <w:b/>
                <w:sz w:val="20"/>
                <w:szCs w:val="20"/>
                <w:lang w:val="fr-FR"/>
              </w:rPr>
            </w:pPr>
            <w:r w:rsidRPr="00737236">
              <w:rPr>
                <w:rFonts w:ascii="Arial Narrow" w:hAnsi="Arial Narrow"/>
                <w:b/>
                <w:sz w:val="20"/>
                <w:szCs w:val="20"/>
              </w:rPr>
              <w:t>Available brands</w:t>
            </w:r>
          </w:p>
        </w:tc>
      </w:tr>
      <w:tr w:rsidR="00301A08" w:rsidRPr="00737236" w14:paraId="5AF20972" w14:textId="77777777" w:rsidTr="00B80723">
        <w:trPr>
          <w:cantSplit/>
          <w:trHeight w:val="20"/>
        </w:trPr>
        <w:tc>
          <w:tcPr>
            <w:tcW w:w="5000" w:type="pct"/>
            <w:gridSpan w:val="6"/>
            <w:vAlign w:val="center"/>
          </w:tcPr>
          <w:p w14:paraId="4DA2004B"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w:t>
            </w:r>
          </w:p>
        </w:tc>
      </w:tr>
      <w:tr w:rsidR="00301A08" w:rsidRPr="00737236" w14:paraId="270D5619" w14:textId="77777777" w:rsidTr="00B80723">
        <w:trPr>
          <w:cantSplit/>
          <w:trHeight w:val="20"/>
        </w:trPr>
        <w:tc>
          <w:tcPr>
            <w:tcW w:w="2045" w:type="pct"/>
            <w:vAlign w:val="center"/>
          </w:tcPr>
          <w:p w14:paraId="12615034"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 xml:space="preserve">mavacamten 2.5 mg capsule, 28 </w:t>
            </w:r>
          </w:p>
        </w:tc>
        <w:tc>
          <w:tcPr>
            <w:tcW w:w="406" w:type="pct"/>
            <w:vAlign w:val="center"/>
          </w:tcPr>
          <w:p w14:paraId="3A4EA30C"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7" w:type="pct"/>
            <w:vAlign w:val="center"/>
          </w:tcPr>
          <w:p w14:paraId="75D1DA20"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7" w:type="pct"/>
            <w:vAlign w:val="center"/>
          </w:tcPr>
          <w:p w14:paraId="0EA9E481"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7" w:type="pct"/>
            <w:vAlign w:val="center"/>
          </w:tcPr>
          <w:p w14:paraId="26AFEB7A"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328" w:type="pct"/>
            <w:vAlign w:val="center"/>
          </w:tcPr>
          <w:p w14:paraId="45E96D27"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603CEB30" w14:textId="77777777" w:rsidTr="00B80723">
        <w:trPr>
          <w:cantSplit/>
          <w:trHeight w:val="20"/>
        </w:trPr>
        <w:tc>
          <w:tcPr>
            <w:tcW w:w="2045" w:type="pct"/>
            <w:vAlign w:val="center"/>
          </w:tcPr>
          <w:p w14:paraId="45ACCA42"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5 mg capsule, 28</w:t>
            </w:r>
          </w:p>
        </w:tc>
        <w:tc>
          <w:tcPr>
            <w:tcW w:w="406" w:type="pct"/>
            <w:vAlign w:val="center"/>
          </w:tcPr>
          <w:p w14:paraId="10D8234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7" w:type="pct"/>
            <w:vAlign w:val="center"/>
          </w:tcPr>
          <w:p w14:paraId="4ECDA0A6"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7" w:type="pct"/>
            <w:vAlign w:val="center"/>
          </w:tcPr>
          <w:p w14:paraId="4198DBF1"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7" w:type="pct"/>
            <w:vAlign w:val="center"/>
          </w:tcPr>
          <w:p w14:paraId="203A8C03"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328" w:type="pct"/>
            <w:vAlign w:val="center"/>
          </w:tcPr>
          <w:p w14:paraId="011A124E"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464C37D8" w14:textId="77777777" w:rsidTr="00B80723">
        <w:trPr>
          <w:cantSplit/>
          <w:trHeight w:val="20"/>
        </w:trPr>
        <w:tc>
          <w:tcPr>
            <w:tcW w:w="2045" w:type="pct"/>
            <w:vAlign w:val="center"/>
          </w:tcPr>
          <w:p w14:paraId="1C177AC4"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10 mg capsule, 28</w:t>
            </w:r>
          </w:p>
        </w:tc>
        <w:tc>
          <w:tcPr>
            <w:tcW w:w="406" w:type="pct"/>
            <w:vAlign w:val="center"/>
          </w:tcPr>
          <w:p w14:paraId="4BCD667A"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7" w:type="pct"/>
            <w:vAlign w:val="center"/>
          </w:tcPr>
          <w:p w14:paraId="21E135C8"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7" w:type="pct"/>
            <w:vAlign w:val="center"/>
          </w:tcPr>
          <w:p w14:paraId="57D8FCDE"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7" w:type="pct"/>
            <w:vAlign w:val="center"/>
          </w:tcPr>
          <w:p w14:paraId="3A69A7DE"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328" w:type="pct"/>
            <w:vAlign w:val="center"/>
          </w:tcPr>
          <w:p w14:paraId="0259B39D"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6945EAB7" w14:textId="77777777" w:rsidTr="00B80723">
        <w:trPr>
          <w:cantSplit/>
          <w:trHeight w:val="20"/>
        </w:trPr>
        <w:tc>
          <w:tcPr>
            <w:tcW w:w="2045" w:type="pct"/>
            <w:vAlign w:val="center"/>
          </w:tcPr>
          <w:p w14:paraId="750740F2"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15 mg capsule, 28</w:t>
            </w:r>
          </w:p>
        </w:tc>
        <w:tc>
          <w:tcPr>
            <w:tcW w:w="406" w:type="pct"/>
            <w:vAlign w:val="center"/>
          </w:tcPr>
          <w:p w14:paraId="32536ED7"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7" w:type="pct"/>
            <w:vAlign w:val="center"/>
          </w:tcPr>
          <w:p w14:paraId="45CFE960"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7" w:type="pct"/>
            <w:vAlign w:val="center"/>
          </w:tcPr>
          <w:p w14:paraId="5438D55A"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7" w:type="pct"/>
            <w:vAlign w:val="center"/>
          </w:tcPr>
          <w:p w14:paraId="235DB07E"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328" w:type="pct"/>
            <w:vAlign w:val="center"/>
          </w:tcPr>
          <w:p w14:paraId="5C48A099"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53402FDC"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3A4A6637" w14:textId="77777777" w:rsidR="00301A08" w:rsidRPr="00737236" w:rsidRDefault="00301A08" w:rsidP="006628A7">
            <w:pPr>
              <w:rPr>
                <w:rFonts w:ascii="Arial Narrow" w:hAnsi="Arial Narrow"/>
                <w:sz w:val="20"/>
                <w:szCs w:val="20"/>
              </w:rPr>
            </w:pPr>
          </w:p>
        </w:tc>
      </w:tr>
      <w:tr w:rsidR="00301A08" w:rsidRPr="00737236" w14:paraId="19A7B61C"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078E9A1" w14:textId="77777777" w:rsidR="00301A08" w:rsidRPr="00737236" w:rsidRDefault="00301A08" w:rsidP="006628A7">
            <w:pPr>
              <w:rPr>
                <w:rFonts w:ascii="Arial Narrow" w:hAnsi="Arial Narrow"/>
                <w:sz w:val="20"/>
                <w:szCs w:val="20"/>
              </w:rPr>
            </w:pPr>
            <w:r w:rsidRPr="00737236">
              <w:rPr>
                <w:rFonts w:ascii="Arial Narrow" w:hAnsi="Arial Narrow"/>
                <w:sz w:val="20"/>
                <w:szCs w:val="20"/>
              </w:rPr>
              <w:t xml:space="preserve">Restriction Summary [new 3] / Treatment of Concept: [new 4] </w:t>
            </w:r>
          </w:p>
        </w:tc>
      </w:tr>
      <w:tr w:rsidR="00B80723" w:rsidRPr="00737236" w14:paraId="77C835E1"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25B6897" w14:textId="77777777" w:rsidR="00B80723" w:rsidRPr="00737236" w:rsidRDefault="00B80723" w:rsidP="006628A7">
            <w:pPr>
              <w:keepLines/>
              <w:rPr>
                <w:rFonts w:ascii="Arial Narrow" w:hAnsi="Arial Narrow"/>
                <w:sz w:val="20"/>
                <w:szCs w:val="20"/>
              </w:rPr>
            </w:pPr>
            <w:r w:rsidRPr="00737236">
              <w:rPr>
                <w:rFonts w:ascii="Arial Narrow" w:hAnsi="Arial Narrow"/>
                <w:b/>
                <w:sz w:val="20"/>
                <w:szCs w:val="20"/>
              </w:rPr>
              <w:t xml:space="preserve">Category / Program: </w:t>
            </w:r>
            <w:r w:rsidRPr="00737236">
              <w:rPr>
                <w:rFonts w:ascii="Arial Narrow" w:hAnsi="Arial Narrow"/>
                <w:sz w:val="20"/>
                <w:szCs w:val="20"/>
              </w:rPr>
              <w:t>GENERAL – General Schedule (Code GE)</w:t>
            </w:r>
            <w:r w:rsidRPr="00737236">
              <w:rPr>
                <w:rFonts w:ascii="Arial Narrow" w:hAnsi="Arial Narrow"/>
                <w:color w:val="FF0000"/>
                <w:sz w:val="20"/>
                <w:szCs w:val="20"/>
              </w:rPr>
              <w:t xml:space="preserve"> </w:t>
            </w:r>
          </w:p>
        </w:tc>
      </w:tr>
      <w:tr w:rsidR="00B80723" w:rsidRPr="00737236" w14:paraId="3DF0E646"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F139967" w14:textId="77777777" w:rsidR="00B80723" w:rsidRPr="00737236" w:rsidRDefault="00B80723" w:rsidP="006628A7">
            <w:pPr>
              <w:keepLines/>
              <w:rPr>
                <w:rFonts w:ascii="Arial Narrow" w:hAnsi="Arial Narrow"/>
                <w:b/>
                <w:sz w:val="20"/>
                <w:szCs w:val="20"/>
              </w:rPr>
            </w:pPr>
            <w:r w:rsidRPr="00737236">
              <w:rPr>
                <w:rFonts w:ascii="Arial Narrow" w:hAnsi="Arial Narrow"/>
                <w:b/>
                <w:sz w:val="20"/>
                <w:szCs w:val="20"/>
              </w:rPr>
              <w:t xml:space="preserve">Prescriber type: </w:t>
            </w:r>
            <w:r w:rsidRPr="00737236">
              <w:rPr>
                <w:rFonts w:ascii="Arial Narrow" w:hAnsi="Arial Narrow"/>
                <w:sz w:val="20"/>
                <w:szCs w:val="20"/>
              </w:rPr>
              <w:fldChar w:fldCharType="begin">
                <w:ffData>
                  <w:name w:val=""/>
                  <w:enabled/>
                  <w:calcOnExit w:val="0"/>
                  <w:checkBox>
                    <w:sizeAuto/>
                    <w:default w:val="1"/>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 xml:space="preserve">Medical Practitioners </w:t>
            </w:r>
          </w:p>
        </w:tc>
      </w:tr>
      <w:tr w:rsidR="00B80723" w:rsidRPr="00737236" w14:paraId="62D0A895"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0B60B00" w14:textId="77777777" w:rsidR="00B80723" w:rsidRPr="00737236" w:rsidRDefault="00B80723" w:rsidP="006628A7">
            <w:pPr>
              <w:rPr>
                <w:rFonts w:ascii="Arial Narrow" w:eastAsia="Calibri" w:hAnsi="Arial Narrow"/>
                <w:sz w:val="20"/>
                <w:szCs w:val="20"/>
              </w:rPr>
            </w:pPr>
            <w:r w:rsidRPr="00737236">
              <w:rPr>
                <w:rFonts w:ascii="Arial Narrow" w:hAnsi="Arial Narrow"/>
                <w:b/>
                <w:sz w:val="20"/>
                <w:szCs w:val="20"/>
              </w:rPr>
              <w:t xml:space="preserve">Restriction type: </w:t>
            </w:r>
            <w:r w:rsidRPr="00737236">
              <w:rPr>
                <w:rFonts w:ascii="Arial Narrow" w:eastAsia="Calibri" w:hAnsi="Arial Narrow"/>
                <w:sz w:val="20"/>
                <w:szCs w:val="20"/>
              </w:rPr>
              <w:fldChar w:fldCharType="begin">
                <w:ffData>
                  <w:name w:val=""/>
                  <w:enabled/>
                  <w:calcOnExit w:val="0"/>
                  <w:checkBox>
                    <w:sizeAuto/>
                    <w:default w:val="1"/>
                  </w:checkBox>
                </w:ffData>
              </w:fldChar>
            </w:r>
            <w:r w:rsidRPr="00737236">
              <w:rPr>
                <w:rFonts w:ascii="Arial Narrow" w:eastAsia="Calibri" w:hAnsi="Arial Narrow"/>
                <w:sz w:val="20"/>
                <w:szCs w:val="20"/>
              </w:rPr>
              <w:instrText xml:space="preserve"> FORMCHECKBOX </w:instrText>
            </w:r>
            <w:r w:rsidR="00F84C70">
              <w:rPr>
                <w:rFonts w:ascii="Arial Narrow" w:eastAsia="Calibri" w:hAnsi="Arial Narrow"/>
                <w:sz w:val="20"/>
                <w:szCs w:val="20"/>
              </w:rPr>
            </w:r>
            <w:r w:rsidR="00F84C70">
              <w:rPr>
                <w:rFonts w:ascii="Arial Narrow" w:eastAsia="Calibri" w:hAnsi="Arial Narrow"/>
                <w:sz w:val="20"/>
                <w:szCs w:val="20"/>
              </w:rPr>
              <w:fldChar w:fldCharType="separate"/>
            </w:r>
            <w:r w:rsidRPr="00737236">
              <w:rPr>
                <w:rFonts w:ascii="Arial Narrow" w:eastAsia="Calibri" w:hAnsi="Arial Narrow"/>
                <w:sz w:val="20"/>
                <w:szCs w:val="20"/>
              </w:rPr>
              <w:fldChar w:fldCharType="end"/>
            </w:r>
            <w:r w:rsidRPr="00737236">
              <w:rPr>
                <w:rFonts w:ascii="Arial Narrow" w:eastAsia="Calibri" w:hAnsi="Arial Narrow"/>
                <w:sz w:val="20"/>
                <w:szCs w:val="20"/>
              </w:rPr>
              <w:t>Authority Required – immediate/real time assessment by Services Australia (telephone/online application avenues)</w:t>
            </w:r>
          </w:p>
        </w:tc>
      </w:tr>
      <w:tr w:rsidR="00B80723" w:rsidRPr="00737236" w14:paraId="64FD0B41"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09C7994" w14:textId="77777777" w:rsidR="00B80723" w:rsidRPr="00737236" w:rsidRDefault="00B80723" w:rsidP="006628A7">
            <w:pPr>
              <w:rPr>
                <w:rFonts w:ascii="Arial Narrow" w:hAnsi="Arial Narrow"/>
                <w:color w:val="333333"/>
                <w:sz w:val="20"/>
                <w:szCs w:val="20"/>
              </w:rPr>
            </w:pPr>
            <w:r w:rsidRPr="00737236">
              <w:rPr>
                <w:rFonts w:ascii="Arial Narrow" w:hAnsi="Arial Narrow"/>
                <w:b/>
                <w:bCs/>
                <w:color w:val="333333"/>
                <w:sz w:val="20"/>
                <w:szCs w:val="20"/>
              </w:rPr>
              <w:t>Administrative Advice</w:t>
            </w:r>
            <w:r w:rsidRPr="00737236">
              <w:rPr>
                <w:rFonts w:ascii="Arial Narrow" w:hAnsi="Arial Narrow"/>
                <w:color w:val="333333"/>
                <w:sz w:val="20"/>
                <w:szCs w:val="20"/>
              </w:rPr>
              <w:t>:</w:t>
            </w:r>
          </w:p>
          <w:p w14:paraId="3DF1169B" w14:textId="77777777" w:rsidR="00B80723" w:rsidRPr="00737236" w:rsidRDefault="00B80723" w:rsidP="006628A7">
            <w:pPr>
              <w:keepLines/>
              <w:rPr>
                <w:rFonts w:ascii="Arial Narrow" w:hAnsi="Arial Narrow"/>
                <w:b/>
                <w:sz w:val="20"/>
                <w:szCs w:val="20"/>
              </w:rPr>
            </w:pPr>
            <w:r w:rsidRPr="00737236">
              <w:rPr>
                <w:rFonts w:ascii="Arial Narrow" w:hAnsi="Arial Narrow"/>
                <w:color w:val="333333"/>
                <w:sz w:val="20"/>
                <w:szCs w:val="20"/>
              </w:rPr>
              <w:t>No increase in the maximum number of repeats may be authorised.</w:t>
            </w:r>
          </w:p>
        </w:tc>
      </w:tr>
      <w:tr w:rsidR="00B80723" w:rsidRPr="00737236" w14:paraId="2C0D9ECB"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33173B1"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6B3003C5" w14:textId="77777777" w:rsidR="00B80723" w:rsidRPr="00737236" w:rsidRDefault="00B80723" w:rsidP="006628A7">
            <w:pPr>
              <w:keepLines/>
              <w:rPr>
                <w:rFonts w:ascii="Arial Narrow" w:hAnsi="Arial Narrow"/>
                <w:b/>
                <w:sz w:val="20"/>
                <w:szCs w:val="20"/>
              </w:rPr>
            </w:pPr>
            <w:r w:rsidRPr="00737236">
              <w:rPr>
                <w:rFonts w:ascii="Arial Narrow" w:hAnsi="Arial Narrow"/>
                <w:color w:val="333333"/>
                <w:sz w:val="20"/>
                <w:szCs w:val="20"/>
              </w:rPr>
              <w:t>Special Pricing Arrangements apply.</w:t>
            </w:r>
          </w:p>
        </w:tc>
      </w:tr>
      <w:tr w:rsidR="00B80723" w:rsidRPr="00737236" w14:paraId="68078098"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CE37CB3" w14:textId="77777777" w:rsidR="00B80723" w:rsidRPr="00737236" w:rsidRDefault="00B80723" w:rsidP="006628A7">
            <w:pPr>
              <w:rPr>
                <w:rFonts w:ascii="Arial Narrow" w:hAnsi="Arial Narrow"/>
                <w:b/>
                <w:bCs/>
                <w:i/>
                <w:iCs/>
                <w:color w:val="333333"/>
                <w:sz w:val="20"/>
                <w:szCs w:val="20"/>
              </w:rPr>
            </w:pPr>
            <w:r w:rsidRPr="00737236">
              <w:rPr>
                <w:rFonts w:ascii="Arial Narrow" w:hAnsi="Arial Narrow"/>
                <w:b/>
                <w:bCs/>
                <w:i/>
                <w:iCs/>
                <w:color w:val="333333"/>
                <w:sz w:val="20"/>
                <w:szCs w:val="20"/>
              </w:rPr>
              <w:t>Administrative Advice:</w:t>
            </w:r>
          </w:p>
          <w:p w14:paraId="3E33E5E6"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i/>
                <w:iCs/>
                <w:color w:val="333333"/>
                <w:sz w:val="20"/>
                <w:szCs w:val="20"/>
              </w:rPr>
              <w:t>Confirmation of eligibility for treatment with diagnostic reports must be documented in the patient's medical records.</w:t>
            </w:r>
          </w:p>
        </w:tc>
      </w:tr>
      <w:tr w:rsidR="00B80723" w:rsidRPr="00737236" w14:paraId="22492AB6"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ABF91CC" w14:textId="77777777" w:rsidR="00B80723" w:rsidRPr="00737236" w:rsidRDefault="00B80723" w:rsidP="006628A7">
            <w:pPr>
              <w:keepLines/>
              <w:rPr>
                <w:rFonts w:ascii="Arial Narrow" w:hAnsi="Arial Narrow"/>
                <w:b/>
                <w:sz w:val="20"/>
                <w:szCs w:val="20"/>
              </w:rPr>
            </w:pPr>
          </w:p>
        </w:tc>
      </w:tr>
      <w:tr w:rsidR="00B80723" w:rsidRPr="00737236" w14:paraId="4BBF36E0" w14:textId="77777777" w:rsidTr="00B80723">
        <w:tblPrEx>
          <w:tblCellMar>
            <w:top w:w="15" w:type="dxa"/>
            <w:bottom w:w="15" w:type="dxa"/>
          </w:tblCellMar>
          <w:tblLook w:val="04A0" w:firstRow="1" w:lastRow="0" w:firstColumn="1" w:lastColumn="0" w:noHBand="0" w:noVBand="1"/>
        </w:tblPrEx>
        <w:trPr>
          <w:cantSplit/>
          <w:trHeight w:val="102"/>
        </w:trPr>
        <w:tc>
          <w:tcPr>
            <w:tcW w:w="5000" w:type="pct"/>
            <w:gridSpan w:val="6"/>
            <w:vAlign w:val="center"/>
          </w:tcPr>
          <w:p w14:paraId="2F96EAEC" w14:textId="77777777" w:rsidR="00B80723" w:rsidRPr="00737236" w:rsidRDefault="00B80723" w:rsidP="006628A7">
            <w:pPr>
              <w:keepLines/>
              <w:rPr>
                <w:rFonts w:ascii="Arial Narrow" w:hAnsi="Arial Narrow"/>
                <w:bCs/>
                <w:color w:val="333333"/>
                <w:sz w:val="20"/>
                <w:szCs w:val="20"/>
              </w:rPr>
            </w:pPr>
            <w:r w:rsidRPr="00737236">
              <w:rPr>
                <w:rFonts w:ascii="Arial Narrow" w:hAnsi="Arial Narrow"/>
                <w:b/>
                <w:bCs/>
                <w:color w:val="333333"/>
                <w:sz w:val="20"/>
                <w:szCs w:val="20"/>
              </w:rPr>
              <w:t xml:space="preserve">Condition: </w:t>
            </w:r>
            <w:r w:rsidRPr="00737236">
              <w:rPr>
                <w:rFonts w:ascii="Arial Narrow" w:hAnsi="Arial Narrow"/>
                <w:color w:val="333333"/>
                <w:sz w:val="20"/>
                <w:szCs w:val="20"/>
              </w:rPr>
              <w:t>Symptomatic obstructive hypertrophic cardiomyopathy</w:t>
            </w:r>
          </w:p>
        </w:tc>
      </w:tr>
      <w:tr w:rsidR="00B80723" w:rsidRPr="00737236" w14:paraId="1751EC2D"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E40643A" w14:textId="77777777" w:rsidR="00B80723" w:rsidRPr="00737236" w:rsidRDefault="00B80723" w:rsidP="006628A7">
            <w:pPr>
              <w:keepLines/>
              <w:rPr>
                <w:rFonts w:ascii="Arial Narrow" w:hAnsi="Arial Narrow"/>
                <w:color w:val="333333"/>
                <w:sz w:val="20"/>
                <w:szCs w:val="20"/>
              </w:rPr>
            </w:pPr>
            <w:r w:rsidRPr="00737236">
              <w:rPr>
                <w:rFonts w:ascii="Arial Narrow" w:hAnsi="Arial Narrow"/>
                <w:b/>
                <w:bCs/>
                <w:color w:val="333333"/>
                <w:sz w:val="20"/>
                <w:szCs w:val="20"/>
              </w:rPr>
              <w:t>Indication:</w:t>
            </w:r>
            <w:r w:rsidRPr="00737236">
              <w:rPr>
                <w:rFonts w:ascii="Arial Narrow" w:hAnsi="Arial Narrow"/>
                <w:color w:val="333333"/>
                <w:sz w:val="20"/>
                <w:szCs w:val="20"/>
              </w:rPr>
              <w:t xml:space="preserve"> Symptomatic obstructive hypertrophic cardiomyopathy</w:t>
            </w:r>
          </w:p>
        </w:tc>
      </w:tr>
      <w:tr w:rsidR="00B80723" w:rsidRPr="00737236" w14:paraId="16D05B51"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3EC99AD" w14:textId="77777777" w:rsidR="00B80723" w:rsidRPr="00737236" w:rsidRDefault="00B80723" w:rsidP="006628A7">
            <w:pPr>
              <w:rPr>
                <w:rFonts w:ascii="Arial Narrow" w:hAnsi="Arial Narrow"/>
                <w:sz w:val="20"/>
                <w:szCs w:val="20"/>
              </w:rPr>
            </w:pPr>
            <w:r w:rsidRPr="00737236">
              <w:rPr>
                <w:rFonts w:ascii="Arial Narrow" w:hAnsi="Arial Narrow"/>
                <w:b/>
                <w:bCs/>
                <w:color w:val="333333"/>
                <w:sz w:val="20"/>
                <w:szCs w:val="20"/>
              </w:rPr>
              <w:t>Treatment Phase:</w:t>
            </w:r>
            <w:r w:rsidRPr="00737236">
              <w:rPr>
                <w:rFonts w:ascii="Arial Narrow" w:hAnsi="Arial Narrow"/>
                <w:color w:val="FF0000"/>
                <w:sz w:val="20"/>
                <w:szCs w:val="20"/>
              </w:rPr>
              <w:t xml:space="preserve"> </w:t>
            </w:r>
            <w:r w:rsidRPr="00737236">
              <w:rPr>
                <w:rFonts w:ascii="Arial Narrow" w:hAnsi="Arial Narrow"/>
                <w:sz w:val="20"/>
                <w:szCs w:val="20"/>
              </w:rPr>
              <w:t>Continuing treatment</w:t>
            </w:r>
          </w:p>
        </w:tc>
      </w:tr>
      <w:tr w:rsidR="00B80723" w:rsidRPr="00737236" w14:paraId="5172F506"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40D689C"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2BB33BAA"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736C86A"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color w:val="333333"/>
                <w:sz w:val="20"/>
                <w:szCs w:val="20"/>
              </w:rPr>
              <w:lastRenderedPageBreak/>
              <w:t>Patient must have previously received PBS-subsidised treatment with this drug for this condition,</w:t>
            </w:r>
          </w:p>
        </w:tc>
      </w:tr>
      <w:tr w:rsidR="00B80723" w:rsidRPr="00737236" w14:paraId="39909B3D"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AD0711F"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AND</w:t>
            </w:r>
          </w:p>
        </w:tc>
      </w:tr>
      <w:tr w:rsidR="00B80723" w:rsidRPr="00737236" w14:paraId="2F199125"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CB74D34"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047541FF"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1B3F611" w14:textId="77777777" w:rsidR="00B80723" w:rsidRPr="00737236" w:rsidRDefault="00B80723" w:rsidP="006628A7">
            <w:pPr>
              <w:ind w:left="99"/>
              <w:rPr>
                <w:rFonts w:ascii="Arial Narrow" w:hAnsi="Arial Narrow"/>
                <w:strike/>
                <w:color w:val="333333"/>
                <w:sz w:val="20"/>
                <w:szCs w:val="20"/>
              </w:rPr>
            </w:pPr>
            <w:r w:rsidRPr="00737236">
              <w:rPr>
                <w:rFonts w:ascii="Arial Narrow" w:hAnsi="Arial Narrow"/>
                <w:strike/>
                <w:color w:val="333333"/>
                <w:sz w:val="20"/>
                <w:szCs w:val="20"/>
              </w:rPr>
              <w:t>The treatment must be administered in combination with either a beta blocker and/or a non-dihydropyridine CCB unless intolerant or contra-indicated.</w:t>
            </w:r>
          </w:p>
          <w:p w14:paraId="5FF3C630" w14:textId="78AF43F6" w:rsidR="00B80723" w:rsidRPr="00737236" w:rsidRDefault="00B80723" w:rsidP="006628A7">
            <w:pPr>
              <w:keepLines/>
              <w:ind w:left="113"/>
              <w:rPr>
                <w:rFonts w:ascii="Arial Narrow" w:hAnsi="Arial Narrow"/>
                <w:i/>
                <w:iCs/>
                <w:color w:val="333333"/>
                <w:sz w:val="20"/>
                <w:szCs w:val="20"/>
              </w:rPr>
            </w:pPr>
            <w:r w:rsidRPr="00737236">
              <w:rPr>
                <w:rFonts w:ascii="Arial Narrow" w:hAnsi="Arial Narrow"/>
                <w:i/>
                <w:iCs/>
                <w:color w:val="333333"/>
                <w:sz w:val="20"/>
                <w:szCs w:val="20"/>
              </w:rPr>
              <w:t xml:space="preserve">Patient must be undergoing treatment with </w:t>
            </w:r>
            <w:r w:rsidR="00D31136">
              <w:rPr>
                <w:rFonts w:ascii="Arial Narrow" w:hAnsi="Arial Narrow"/>
                <w:i/>
                <w:iCs/>
                <w:color w:val="333333"/>
                <w:sz w:val="20"/>
                <w:szCs w:val="20"/>
              </w:rPr>
              <w:t>either a</w:t>
            </w:r>
            <w:r w:rsidRPr="00737236">
              <w:rPr>
                <w:rFonts w:ascii="Arial Narrow" w:hAnsi="Arial Narrow"/>
                <w:i/>
                <w:iCs/>
                <w:color w:val="333333"/>
                <w:sz w:val="20"/>
                <w:szCs w:val="20"/>
              </w:rPr>
              <w:t xml:space="preserve"> (i) a beta-blocker (ii) non-dihydropyridine calcium channel blocker, unless at least one of the following is </w:t>
            </w:r>
            <w:proofErr w:type="gramStart"/>
            <w:r w:rsidRPr="00737236">
              <w:rPr>
                <w:rFonts w:ascii="Arial Narrow" w:hAnsi="Arial Narrow"/>
                <w:i/>
                <w:iCs/>
                <w:color w:val="333333"/>
                <w:sz w:val="20"/>
                <w:szCs w:val="20"/>
              </w:rPr>
              <w:t>present</w:t>
            </w:r>
            <w:proofErr w:type="gramEnd"/>
            <w:r w:rsidRPr="00737236">
              <w:rPr>
                <w:rFonts w:ascii="Arial Narrow" w:hAnsi="Arial Narrow"/>
                <w:i/>
                <w:iCs/>
                <w:color w:val="333333"/>
                <w:sz w:val="20"/>
                <w:szCs w:val="20"/>
              </w:rPr>
              <w:t xml:space="preserve"> </w:t>
            </w:r>
          </w:p>
          <w:p w14:paraId="26071261" w14:textId="77777777" w:rsidR="00B80723" w:rsidRPr="00737236" w:rsidRDefault="00B80723" w:rsidP="00EE280A">
            <w:pPr>
              <w:pStyle w:val="ListParagraph"/>
              <w:numPr>
                <w:ilvl w:val="0"/>
                <w:numId w:val="17"/>
              </w:numPr>
              <w:spacing w:after="0" w:line="259" w:lineRule="auto"/>
              <w:ind w:left="1077"/>
              <w:contextualSpacing/>
              <w:jc w:val="left"/>
              <w:rPr>
                <w:rFonts w:ascii="Arial Narrow" w:hAnsi="Arial Narrow"/>
                <w:i/>
                <w:iCs/>
                <w:color w:val="333333"/>
                <w:sz w:val="20"/>
                <w:szCs w:val="20"/>
              </w:rPr>
            </w:pPr>
            <w:r w:rsidRPr="00737236">
              <w:rPr>
                <w:rFonts w:ascii="Arial Narrow" w:hAnsi="Arial Narrow"/>
                <w:i/>
                <w:iCs/>
                <w:color w:val="333333"/>
                <w:sz w:val="20"/>
                <w:szCs w:val="20"/>
              </w:rPr>
              <w:t>a contraindication to beta-blocker / non-dihydropyridine calcium channel blocker therapy as listed in the TGA approved Product Information,</w:t>
            </w:r>
          </w:p>
          <w:p w14:paraId="7858DF23" w14:textId="77777777" w:rsidR="00B80723" w:rsidRPr="00737236" w:rsidRDefault="00B80723" w:rsidP="00EE280A">
            <w:pPr>
              <w:pStyle w:val="ListParagraph"/>
              <w:numPr>
                <w:ilvl w:val="0"/>
                <w:numId w:val="17"/>
              </w:numPr>
              <w:spacing w:after="0" w:line="259" w:lineRule="auto"/>
              <w:ind w:left="1077"/>
              <w:contextualSpacing/>
              <w:jc w:val="left"/>
              <w:rPr>
                <w:rFonts w:ascii="Arial Narrow" w:hAnsi="Arial Narrow"/>
                <w:color w:val="333333"/>
                <w:sz w:val="20"/>
                <w:szCs w:val="20"/>
              </w:rPr>
            </w:pPr>
            <w:r w:rsidRPr="00737236">
              <w:rPr>
                <w:rFonts w:ascii="Arial Narrow" w:hAnsi="Arial Narrow"/>
                <w:i/>
                <w:iCs/>
                <w:color w:val="333333"/>
                <w:sz w:val="20"/>
                <w:szCs w:val="20"/>
              </w:rPr>
              <w:t>an intolerance to beta-blocker / non-dihydropyridine calcium channel blocker therapy.</w:t>
            </w:r>
          </w:p>
        </w:tc>
      </w:tr>
      <w:tr w:rsidR="00B80723" w:rsidRPr="00737236" w14:paraId="63F46D64"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B2B3747"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AND</w:t>
            </w:r>
          </w:p>
        </w:tc>
      </w:tr>
      <w:tr w:rsidR="00B80723" w:rsidRPr="00737236" w14:paraId="5F012859"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B72D278"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36B7D8E6"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3776704"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color w:val="333333"/>
                <w:sz w:val="20"/>
                <w:szCs w:val="20"/>
              </w:rPr>
              <w:t xml:space="preserve">Patient must have a documented left ventricular ejection fraction (LVEF) of </w:t>
            </w:r>
            <w:r w:rsidRPr="00737236">
              <w:rPr>
                <w:rFonts w:ascii="Arial Narrow" w:hAnsi="Arial Narrow"/>
                <w:strike/>
                <w:color w:val="333333"/>
                <w:sz w:val="20"/>
                <w:szCs w:val="20"/>
              </w:rPr>
              <w:t>greater than or equal to</w:t>
            </w:r>
            <w:r w:rsidRPr="00737236">
              <w:rPr>
                <w:rFonts w:ascii="Arial Narrow" w:hAnsi="Arial Narrow"/>
                <w:color w:val="333333"/>
                <w:sz w:val="20"/>
                <w:szCs w:val="20"/>
              </w:rPr>
              <w:t xml:space="preserve"> </w:t>
            </w:r>
            <w:r w:rsidRPr="00737236">
              <w:rPr>
                <w:rFonts w:ascii="Arial Narrow" w:hAnsi="Arial Narrow"/>
                <w:i/>
                <w:iCs/>
                <w:color w:val="333333"/>
                <w:sz w:val="20"/>
                <w:szCs w:val="20"/>
              </w:rPr>
              <w:t xml:space="preserve">no less than </w:t>
            </w:r>
            <w:r w:rsidRPr="00737236">
              <w:rPr>
                <w:rFonts w:ascii="Arial Narrow" w:hAnsi="Arial Narrow"/>
                <w:color w:val="333333"/>
                <w:sz w:val="20"/>
                <w:szCs w:val="20"/>
              </w:rPr>
              <w:t>55%,</w:t>
            </w:r>
          </w:p>
        </w:tc>
      </w:tr>
      <w:tr w:rsidR="00B80723" w:rsidRPr="00737236" w14:paraId="5BC99C77"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876ACA2"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Treatment criteria:</w:t>
            </w:r>
          </w:p>
        </w:tc>
      </w:tr>
      <w:tr w:rsidR="00B80723" w:rsidRPr="00737236" w14:paraId="0B85A274"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20B032C"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color w:val="333333"/>
                <w:sz w:val="20"/>
                <w:szCs w:val="20"/>
              </w:rPr>
              <w:t>Must be treated by a cardiologist; or</w:t>
            </w:r>
          </w:p>
        </w:tc>
      </w:tr>
      <w:tr w:rsidR="00B80723" w:rsidRPr="00737236" w14:paraId="7489E511"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E2F3825" w14:textId="77777777" w:rsidR="00B80723" w:rsidRPr="00737236" w:rsidRDefault="00B80723" w:rsidP="006628A7">
            <w:pPr>
              <w:ind w:left="94"/>
              <w:rPr>
                <w:rFonts w:ascii="Arial Narrow" w:hAnsi="Arial Narrow"/>
                <w:color w:val="333333"/>
                <w:sz w:val="20"/>
                <w:szCs w:val="20"/>
              </w:rPr>
            </w:pPr>
            <w:r w:rsidRPr="00737236">
              <w:rPr>
                <w:rFonts w:ascii="Arial Narrow" w:hAnsi="Arial Narrow"/>
                <w:color w:val="333333"/>
                <w:sz w:val="20"/>
                <w:szCs w:val="20"/>
              </w:rPr>
              <w:t>Must be treated by a consultant physician with experience in the management of hypertrophic cardiomyopathy</w:t>
            </w:r>
          </w:p>
        </w:tc>
      </w:tr>
      <w:tr w:rsidR="00B80723" w:rsidRPr="00737236" w14:paraId="4EF03D54"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6383B629"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b/>
                <w:bCs/>
                <w:color w:val="333333"/>
                <w:sz w:val="20"/>
                <w:szCs w:val="20"/>
              </w:rPr>
              <w:t>Population criteria:</w:t>
            </w:r>
          </w:p>
        </w:tc>
      </w:tr>
      <w:tr w:rsidR="00B80723" w:rsidRPr="00737236" w14:paraId="10F0F37B"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37BD6ED" w14:textId="77777777" w:rsidR="00B80723" w:rsidRPr="00737236" w:rsidRDefault="00B80723" w:rsidP="006628A7">
            <w:pPr>
              <w:ind w:left="99"/>
              <w:rPr>
                <w:rFonts w:ascii="Arial Narrow" w:hAnsi="Arial Narrow"/>
                <w:color w:val="333333"/>
                <w:sz w:val="20"/>
                <w:szCs w:val="20"/>
              </w:rPr>
            </w:pPr>
            <w:r w:rsidRPr="00737236">
              <w:rPr>
                <w:rFonts w:ascii="Arial Narrow" w:hAnsi="Arial Narrow"/>
                <w:color w:val="333333"/>
                <w:sz w:val="20"/>
                <w:szCs w:val="20"/>
              </w:rPr>
              <w:t xml:space="preserve">Patient must be aged </w:t>
            </w:r>
            <w:r w:rsidRPr="00737236">
              <w:rPr>
                <w:rFonts w:ascii="Arial Narrow" w:hAnsi="Arial Narrow"/>
                <w:i/>
                <w:iCs/>
                <w:color w:val="333333"/>
                <w:sz w:val="20"/>
                <w:szCs w:val="20"/>
              </w:rPr>
              <w:t xml:space="preserve">at least </w:t>
            </w:r>
            <w:r w:rsidRPr="00737236">
              <w:rPr>
                <w:rFonts w:ascii="Arial Narrow" w:hAnsi="Arial Narrow"/>
                <w:color w:val="333333"/>
                <w:sz w:val="20"/>
                <w:szCs w:val="20"/>
              </w:rPr>
              <w:t xml:space="preserve">18 years </w:t>
            </w:r>
            <w:r w:rsidRPr="00737236">
              <w:rPr>
                <w:rFonts w:ascii="Arial Narrow" w:hAnsi="Arial Narrow"/>
                <w:i/>
                <w:iCs/>
                <w:color w:val="333333"/>
                <w:sz w:val="20"/>
                <w:szCs w:val="20"/>
              </w:rPr>
              <w:t xml:space="preserve">of age </w:t>
            </w:r>
            <w:r w:rsidRPr="00737236">
              <w:rPr>
                <w:rFonts w:ascii="Arial Narrow" w:hAnsi="Arial Narrow"/>
                <w:strike/>
                <w:color w:val="333333"/>
                <w:sz w:val="20"/>
                <w:szCs w:val="20"/>
              </w:rPr>
              <w:t>or older</w:t>
            </w:r>
            <w:r w:rsidRPr="00737236">
              <w:rPr>
                <w:rFonts w:ascii="Arial Narrow" w:hAnsi="Arial Narrow"/>
                <w:color w:val="333333"/>
                <w:sz w:val="20"/>
                <w:szCs w:val="20"/>
              </w:rPr>
              <w:t>.</w:t>
            </w:r>
          </w:p>
        </w:tc>
      </w:tr>
      <w:tr w:rsidR="00B80723" w:rsidRPr="00737236" w14:paraId="384B855C" w14:textId="77777777" w:rsidTr="00B80723">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281F0B7" w14:textId="77777777" w:rsidR="00B80723" w:rsidRPr="00737236" w:rsidRDefault="00B80723" w:rsidP="006628A7">
            <w:pPr>
              <w:ind w:left="113"/>
              <w:rPr>
                <w:rFonts w:ascii="Arial Narrow" w:hAnsi="Arial Narrow"/>
                <w:b/>
                <w:bCs/>
                <w:i/>
                <w:iCs/>
                <w:color w:val="333333"/>
                <w:sz w:val="20"/>
                <w:szCs w:val="20"/>
              </w:rPr>
            </w:pPr>
            <w:r w:rsidRPr="00737236">
              <w:rPr>
                <w:rFonts w:ascii="Arial Narrow" w:hAnsi="Arial Narrow"/>
                <w:b/>
                <w:bCs/>
                <w:i/>
                <w:iCs/>
                <w:color w:val="333333"/>
                <w:sz w:val="20"/>
                <w:szCs w:val="20"/>
              </w:rPr>
              <w:t>Administrative Advice:</w:t>
            </w:r>
          </w:p>
          <w:p w14:paraId="5DFC6F6D" w14:textId="77777777" w:rsidR="00B80723" w:rsidRPr="00737236" w:rsidRDefault="00B80723" w:rsidP="006628A7">
            <w:pPr>
              <w:ind w:left="99"/>
              <w:rPr>
                <w:rFonts w:ascii="Arial Narrow" w:hAnsi="Arial Narrow"/>
                <w:i/>
                <w:iCs/>
                <w:color w:val="333333"/>
                <w:sz w:val="20"/>
                <w:szCs w:val="20"/>
              </w:rPr>
            </w:pPr>
            <w:r w:rsidRPr="00737236">
              <w:rPr>
                <w:rFonts w:ascii="Arial Narrow" w:hAnsi="Arial Narrow"/>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4447EF51" w14:textId="77777777" w:rsidR="00301A08" w:rsidRPr="00737236" w:rsidRDefault="00301A08" w:rsidP="00301A08"/>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732"/>
        <w:gridCol w:w="733"/>
        <w:gridCol w:w="733"/>
        <w:gridCol w:w="733"/>
        <w:gridCol w:w="2550"/>
      </w:tblGrid>
      <w:tr w:rsidR="00301A08" w:rsidRPr="00737236" w14:paraId="225F8162" w14:textId="77777777" w:rsidTr="00B80723">
        <w:trPr>
          <w:cantSplit/>
          <w:trHeight w:val="20"/>
        </w:trPr>
        <w:tc>
          <w:tcPr>
            <w:tcW w:w="1978" w:type="pct"/>
            <w:vAlign w:val="center"/>
          </w:tcPr>
          <w:p w14:paraId="16B4C88D" w14:textId="77777777" w:rsidR="00301A08" w:rsidRPr="00737236" w:rsidRDefault="00301A08" w:rsidP="006628A7">
            <w:pPr>
              <w:keepLines/>
              <w:rPr>
                <w:rFonts w:ascii="Arial Narrow" w:hAnsi="Arial Narrow"/>
                <w:b/>
                <w:bCs/>
                <w:sz w:val="20"/>
                <w:szCs w:val="20"/>
              </w:rPr>
            </w:pPr>
            <w:r w:rsidRPr="00737236">
              <w:rPr>
                <w:rFonts w:ascii="Arial Narrow" w:hAnsi="Arial Narrow"/>
                <w:b/>
                <w:bCs/>
                <w:sz w:val="20"/>
                <w:szCs w:val="20"/>
              </w:rPr>
              <w:t>MEDICINAL PRODUCT</w:t>
            </w:r>
          </w:p>
          <w:p w14:paraId="307E7FB2" w14:textId="77777777" w:rsidR="00301A08" w:rsidRPr="00737236" w:rsidRDefault="00301A08" w:rsidP="006628A7">
            <w:pPr>
              <w:keepLines/>
              <w:rPr>
                <w:rFonts w:ascii="Arial Narrow" w:hAnsi="Arial Narrow"/>
                <w:b/>
                <w:sz w:val="20"/>
                <w:szCs w:val="20"/>
              </w:rPr>
            </w:pPr>
            <w:r w:rsidRPr="00737236">
              <w:rPr>
                <w:rFonts w:ascii="Arial Narrow" w:hAnsi="Arial Narrow"/>
                <w:b/>
                <w:bCs/>
                <w:sz w:val="20"/>
                <w:szCs w:val="20"/>
              </w:rPr>
              <w:t>medicinal product pack</w:t>
            </w:r>
          </w:p>
        </w:tc>
        <w:tc>
          <w:tcPr>
            <w:tcW w:w="404" w:type="pct"/>
            <w:vAlign w:val="center"/>
          </w:tcPr>
          <w:p w14:paraId="7FF5AB86"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PBS item code</w:t>
            </w:r>
          </w:p>
        </w:tc>
        <w:tc>
          <w:tcPr>
            <w:tcW w:w="404" w:type="pct"/>
            <w:vAlign w:val="center"/>
          </w:tcPr>
          <w:p w14:paraId="0EC2280C"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Max. qty packs</w:t>
            </w:r>
          </w:p>
        </w:tc>
        <w:tc>
          <w:tcPr>
            <w:tcW w:w="404" w:type="pct"/>
            <w:vAlign w:val="center"/>
          </w:tcPr>
          <w:p w14:paraId="49870B48"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Max. qty units</w:t>
            </w:r>
          </w:p>
        </w:tc>
        <w:tc>
          <w:tcPr>
            <w:tcW w:w="404" w:type="pct"/>
            <w:vAlign w:val="center"/>
          </w:tcPr>
          <w:p w14:paraId="5CC8A877" w14:textId="77777777" w:rsidR="00301A08" w:rsidRPr="00737236" w:rsidRDefault="00301A08" w:rsidP="006628A7">
            <w:pPr>
              <w:keepLines/>
              <w:jc w:val="center"/>
              <w:rPr>
                <w:rFonts w:ascii="Arial Narrow" w:hAnsi="Arial Narrow"/>
                <w:b/>
                <w:sz w:val="20"/>
                <w:szCs w:val="20"/>
              </w:rPr>
            </w:pPr>
            <w:proofErr w:type="gramStart"/>
            <w:r w:rsidRPr="00737236">
              <w:rPr>
                <w:rFonts w:ascii="Arial Narrow" w:hAnsi="Arial Narrow"/>
                <w:b/>
                <w:sz w:val="20"/>
                <w:szCs w:val="20"/>
              </w:rPr>
              <w:t>№.of</w:t>
            </w:r>
            <w:proofErr w:type="gramEnd"/>
          </w:p>
          <w:p w14:paraId="18F3B8DF"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Rpts</w:t>
            </w:r>
          </w:p>
        </w:tc>
        <w:tc>
          <w:tcPr>
            <w:tcW w:w="1406" w:type="pct"/>
            <w:vAlign w:val="center"/>
          </w:tcPr>
          <w:p w14:paraId="5907FC1B" w14:textId="77777777" w:rsidR="00301A08" w:rsidRPr="00737236" w:rsidRDefault="00301A08" w:rsidP="006628A7">
            <w:pPr>
              <w:keepLines/>
              <w:rPr>
                <w:rFonts w:ascii="Arial Narrow" w:hAnsi="Arial Narrow"/>
                <w:b/>
                <w:sz w:val="20"/>
                <w:szCs w:val="20"/>
                <w:lang w:val="fr-FR"/>
              </w:rPr>
            </w:pPr>
            <w:r w:rsidRPr="00737236">
              <w:rPr>
                <w:rFonts w:ascii="Arial Narrow" w:hAnsi="Arial Narrow"/>
                <w:b/>
                <w:sz w:val="20"/>
                <w:szCs w:val="20"/>
              </w:rPr>
              <w:t>Available brands</w:t>
            </w:r>
          </w:p>
        </w:tc>
      </w:tr>
      <w:tr w:rsidR="00301A08" w:rsidRPr="00737236" w14:paraId="48493340" w14:textId="77777777" w:rsidTr="00B80723">
        <w:trPr>
          <w:cantSplit/>
          <w:trHeight w:val="20"/>
        </w:trPr>
        <w:tc>
          <w:tcPr>
            <w:tcW w:w="5000" w:type="pct"/>
            <w:gridSpan w:val="6"/>
            <w:vAlign w:val="center"/>
          </w:tcPr>
          <w:p w14:paraId="44F363D1"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w:t>
            </w:r>
          </w:p>
        </w:tc>
      </w:tr>
      <w:tr w:rsidR="00301A08" w:rsidRPr="00737236" w14:paraId="21231E92" w14:textId="77777777" w:rsidTr="00B80723">
        <w:trPr>
          <w:cantSplit/>
          <w:trHeight w:val="20"/>
        </w:trPr>
        <w:tc>
          <w:tcPr>
            <w:tcW w:w="1978" w:type="pct"/>
            <w:vAlign w:val="center"/>
          </w:tcPr>
          <w:p w14:paraId="3B3FEE6D"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 xml:space="preserve">mavacamten 2.5 mg capsule, 28 </w:t>
            </w:r>
          </w:p>
        </w:tc>
        <w:tc>
          <w:tcPr>
            <w:tcW w:w="404" w:type="pct"/>
            <w:vAlign w:val="center"/>
          </w:tcPr>
          <w:p w14:paraId="1EAA8CB6"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4" w:type="pct"/>
            <w:vAlign w:val="center"/>
          </w:tcPr>
          <w:p w14:paraId="0FE4F60A"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4" w:type="pct"/>
            <w:vAlign w:val="center"/>
          </w:tcPr>
          <w:p w14:paraId="5DBFA1E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4" w:type="pct"/>
            <w:vAlign w:val="center"/>
          </w:tcPr>
          <w:p w14:paraId="1BB293E1"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406" w:type="pct"/>
            <w:vAlign w:val="center"/>
          </w:tcPr>
          <w:p w14:paraId="2CDFCF5E"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23CD94E7" w14:textId="77777777" w:rsidTr="00B80723">
        <w:trPr>
          <w:cantSplit/>
          <w:trHeight w:val="20"/>
        </w:trPr>
        <w:tc>
          <w:tcPr>
            <w:tcW w:w="1978" w:type="pct"/>
            <w:vAlign w:val="center"/>
          </w:tcPr>
          <w:p w14:paraId="5B587D36"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5 mg capsule, 28</w:t>
            </w:r>
          </w:p>
        </w:tc>
        <w:tc>
          <w:tcPr>
            <w:tcW w:w="404" w:type="pct"/>
            <w:vAlign w:val="center"/>
          </w:tcPr>
          <w:p w14:paraId="6CC866F8"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4" w:type="pct"/>
            <w:vAlign w:val="center"/>
          </w:tcPr>
          <w:p w14:paraId="5F23169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4" w:type="pct"/>
            <w:vAlign w:val="center"/>
          </w:tcPr>
          <w:p w14:paraId="6026078D"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4" w:type="pct"/>
            <w:vAlign w:val="center"/>
          </w:tcPr>
          <w:p w14:paraId="2DFC999F"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406" w:type="pct"/>
            <w:vAlign w:val="center"/>
          </w:tcPr>
          <w:p w14:paraId="4E9E23BB"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7FCCC291" w14:textId="77777777" w:rsidTr="00B80723">
        <w:trPr>
          <w:cantSplit/>
          <w:trHeight w:val="20"/>
        </w:trPr>
        <w:tc>
          <w:tcPr>
            <w:tcW w:w="1978" w:type="pct"/>
            <w:vAlign w:val="center"/>
          </w:tcPr>
          <w:p w14:paraId="20D61ED6"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10 mg capsule, 28</w:t>
            </w:r>
          </w:p>
        </w:tc>
        <w:tc>
          <w:tcPr>
            <w:tcW w:w="404" w:type="pct"/>
            <w:vAlign w:val="center"/>
          </w:tcPr>
          <w:p w14:paraId="5169C511"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4" w:type="pct"/>
            <w:vAlign w:val="center"/>
          </w:tcPr>
          <w:p w14:paraId="61BA0865"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4" w:type="pct"/>
            <w:vAlign w:val="center"/>
          </w:tcPr>
          <w:p w14:paraId="38E1081F"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4" w:type="pct"/>
            <w:vAlign w:val="center"/>
          </w:tcPr>
          <w:p w14:paraId="2C0169A6"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406" w:type="pct"/>
            <w:vAlign w:val="center"/>
          </w:tcPr>
          <w:p w14:paraId="4D3EDDB8"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42CE7580" w14:textId="77777777" w:rsidTr="00B80723">
        <w:trPr>
          <w:cantSplit/>
          <w:trHeight w:val="20"/>
        </w:trPr>
        <w:tc>
          <w:tcPr>
            <w:tcW w:w="1978" w:type="pct"/>
            <w:vAlign w:val="center"/>
          </w:tcPr>
          <w:p w14:paraId="6D513600"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15 mg capsule, 28</w:t>
            </w:r>
          </w:p>
        </w:tc>
        <w:tc>
          <w:tcPr>
            <w:tcW w:w="404" w:type="pct"/>
            <w:vAlign w:val="center"/>
          </w:tcPr>
          <w:p w14:paraId="5F918B9E"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04" w:type="pct"/>
            <w:vAlign w:val="center"/>
          </w:tcPr>
          <w:p w14:paraId="6DA622B5"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04" w:type="pct"/>
            <w:vAlign w:val="center"/>
          </w:tcPr>
          <w:p w14:paraId="198E72B1"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04" w:type="pct"/>
            <w:vAlign w:val="center"/>
          </w:tcPr>
          <w:p w14:paraId="08D2AA60"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1406" w:type="pct"/>
            <w:vAlign w:val="center"/>
          </w:tcPr>
          <w:p w14:paraId="14DECF96"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5FDB1DA2"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57E7856" w14:textId="77777777" w:rsidR="00301A08" w:rsidRPr="00737236" w:rsidRDefault="00301A08" w:rsidP="006628A7">
            <w:pPr>
              <w:rPr>
                <w:rFonts w:ascii="Arial Narrow" w:hAnsi="Arial Narrow"/>
                <w:sz w:val="20"/>
                <w:szCs w:val="20"/>
              </w:rPr>
            </w:pPr>
          </w:p>
        </w:tc>
      </w:tr>
      <w:tr w:rsidR="00301A08" w:rsidRPr="00737236" w14:paraId="26FBC446"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40CB800" w14:textId="77777777" w:rsidR="00301A08" w:rsidRPr="00737236" w:rsidRDefault="00301A08" w:rsidP="006628A7">
            <w:pPr>
              <w:rPr>
                <w:rFonts w:ascii="Arial Narrow" w:hAnsi="Arial Narrow"/>
                <w:sz w:val="20"/>
                <w:szCs w:val="20"/>
              </w:rPr>
            </w:pPr>
            <w:r w:rsidRPr="00737236">
              <w:rPr>
                <w:rFonts w:ascii="Arial Narrow" w:hAnsi="Arial Narrow"/>
                <w:sz w:val="20"/>
                <w:szCs w:val="20"/>
              </w:rPr>
              <w:t xml:space="preserve">Restriction Summary [new 5] / Treatment of Concept: [new 6] </w:t>
            </w:r>
          </w:p>
        </w:tc>
      </w:tr>
      <w:tr w:rsidR="00B80723" w:rsidRPr="00737236" w14:paraId="7DD82891"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DD48AA9" w14:textId="77777777" w:rsidR="00B80723" w:rsidRPr="00737236" w:rsidRDefault="00B80723" w:rsidP="006628A7">
            <w:pPr>
              <w:keepLines/>
              <w:rPr>
                <w:rFonts w:ascii="Arial Narrow" w:hAnsi="Arial Narrow"/>
                <w:sz w:val="20"/>
                <w:szCs w:val="20"/>
              </w:rPr>
            </w:pPr>
            <w:r w:rsidRPr="00737236">
              <w:rPr>
                <w:rFonts w:ascii="Arial Narrow" w:hAnsi="Arial Narrow"/>
                <w:b/>
                <w:sz w:val="20"/>
                <w:szCs w:val="20"/>
              </w:rPr>
              <w:t xml:space="preserve">Category / Program: </w:t>
            </w:r>
            <w:r w:rsidRPr="00737236">
              <w:rPr>
                <w:rFonts w:ascii="Arial Narrow" w:hAnsi="Arial Narrow"/>
                <w:sz w:val="20"/>
                <w:szCs w:val="20"/>
              </w:rPr>
              <w:t>GENERAL – General Schedule (Code GE)</w:t>
            </w:r>
            <w:r w:rsidRPr="00737236">
              <w:rPr>
                <w:rFonts w:ascii="Arial Narrow" w:hAnsi="Arial Narrow"/>
                <w:color w:val="FF0000"/>
                <w:sz w:val="20"/>
                <w:szCs w:val="20"/>
              </w:rPr>
              <w:t xml:space="preserve"> </w:t>
            </w:r>
          </w:p>
        </w:tc>
      </w:tr>
      <w:tr w:rsidR="00B80723" w:rsidRPr="00737236" w14:paraId="41F5BEE3"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B009F8D" w14:textId="77777777" w:rsidR="00B80723" w:rsidRPr="00737236" w:rsidRDefault="00B80723" w:rsidP="006628A7">
            <w:pPr>
              <w:keepLines/>
              <w:rPr>
                <w:rFonts w:ascii="Arial Narrow" w:hAnsi="Arial Narrow"/>
                <w:b/>
                <w:sz w:val="20"/>
                <w:szCs w:val="20"/>
              </w:rPr>
            </w:pPr>
            <w:r w:rsidRPr="00737236">
              <w:rPr>
                <w:rFonts w:ascii="Arial Narrow" w:hAnsi="Arial Narrow"/>
                <w:b/>
                <w:sz w:val="20"/>
                <w:szCs w:val="20"/>
              </w:rPr>
              <w:t xml:space="preserve">Prescriber type: </w:t>
            </w:r>
            <w:r w:rsidRPr="00737236">
              <w:rPr>
                <w:rFonts w:ascii="Arial Narrow" w:hAnsi="Arial Narrow"/>
                <w:sz w:val="20"/>
                <w:szCs w:val="20"/>
              </w:rPr>
              <w:fldChar w:fldCharType="begin">
                <w:ffData>
                  <w:name w:val="Check1"/>
                  <w:enabled/>
                  <w:calcOnExit w:val="0"/>
                  <w:checkBox>
                    <w:sizeAuto/>
                    <w:default w:val="0"/>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 xml:space="preserve">Dental </w:t>
            </w:r>
            <w:r w:rsidRPr="00737236">
              <w:rPr>
                <w:rFonts w:ascii="Arial Narrow" w:hAnsi="Arial Narrow"/>
                <w:sz w:val="20"/>
                <w:szCs w:val="20"/>
              </w:rPr>
              <w:fldChar w:fldCharType="begin">
                <w:ffData>
                  <w:name w:val=""/>
                  <w:enabled/>
                  <w:calcOnExit w:val="0"/>
                  <w:checkBox>
                    <w:sizeAuto/>
                    <w:default w:val="1"/>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 xml:space="preserve">Medical Practitioners </w:t>
            </w:r>
            <w:r w:rsidRPr="00737236">
              <w:rPr>
                <w:rFonts w:ascii="Arial Narrow" w:hAnsi="Arial Narrow"/>
                <w:sz w:val="20"/>
                <w:szCs w:val="20"/>
              </w:rPr>
              <w:fldChar w:fldCharType="begin">
                <w:ffData>
                  <w:name w:val="Check3"/>
                  <w:enabled/>
                  <w:calcOnExit w:val="0"/>
                  <w:checkBox>
                    <w:sizeAuto/>
                    <w:default w:val="0"/>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 xml:space="preserve">Nurse practitioners </w:t>
            </w:r>
            <w:r w:rsidRPr="00737236">
              <w:rPr>
                <w:rFonts w:ascii="Arial Narrow" w:hAnsi="Arial Narrow"/>
                <w:sz w:val="20"/>
                <w:szCs w:val="20"/>
              </w:rPr>
              <w:fldChar w:fldCharType="begin">
                <w:ffData>
                  <w:name w:val=""/>
                  <w:enabled/>
                  <w:calcOnExit w:val="0"/>
                  <w:checkBox>
                    <w:sizeAuto/>
                    <w:default w:val="0"/>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 xml:space="preserve">Optometrists </w:t>
            </w:r>
            <w:r w:rsidRPr="00737236">
              <w:rPr>
                <w:rFonts w:ascii="Arial Narrow" w:hAnsi="Arial Narrow"/>
                <w:sz w:val="20"/>
                <w:szCs w:val="20"/>
              </w:rPr>
              <w:fldChar w:fldCharType="begin">
                <w:ffData>
                  <w:name w:val="Check5"/>
                  <w:enabled/>
                  <w:calcOnExit w:val="0"/>
                  <w:checkBox>
                    <w:sizeAuto/>
                    <w:default w:val="0"/>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Midwives</w:t>
            </w:r>
            <w:r w:rsidRPr="00737236">
              <w:rPr>
                <w:rFonts w:ascii="Arial Narrow" w:hAnsi="Arial Narrow"/>
                <w:color w:val="FF0000"/>
                <w:sz w:val="20"/>
                <w:szCs w:val="20"/>
              </w:rPr>
              <w:t xml:space="preserve"> </w:t>
            </w:r>
          </w:p>
        </w:tc>
      </w:tr>
      <w:tr w:rsidR="00B80723" w:rsidRPr="00737236" w14:paraId="27EDE425"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0F243B" w14:textId="77777777" w:rsidR="00B80723" w:rsidRPr="00737236" w:rsidRDefault="00B80723" w:rsidP="006628A7">
            <w:pPr>
              <w:rPr>
                <w:rFonts w:ascii="Arial Narrow" w:eastAsia="Calibri" w:hAnsi="Arial Narrow"/>
                <w:color w:val="FF0000"/>
                <w:sz w:val="20"/>
                <w:szCs w:val="20"/>
              </w:rPr>
            </w:pPr>
            <w:r w:rsidRPr="00737236">
              <w:rPr>
                <w:rFonts w:ascii="Arial Narrow" w:hAnsi="Arial Narrow"/>
                <w:b/>
                <w:sz w:val="20"/>
                <w:szCs w:val="20"/>
              </w:rPr>
              <w:t xml:space="preserve">Restriction Type: </w:t>
            </w:r>
            <w:r w:rsidRPr="00737236">
              <w:rPr>
                <w:rFonts w:ascii="Arial Narrow" w:eastAsia="Calibri" w:hAnsi="Arial Narrow"/>
                <w:sz w:val="20"/>
                <w:szCs w:val="20"/>
              </w:rPr>
              <w:fldChar w:fldCharType="begin">
                <w:ffData>
                  <w:name w:val=""/>
                  <w:enabled/>
                  <w:calcOnExit w:val="0"/>
                  <w:checkBox>
                    <w:sizeAuto/>
                    <w:default w:val="1"/>
                  </w:checkBox>
                </w:ffData>
              </w:fldChar>
            </w:r>
            <w:r w:rsidRPr="00737236">
              <w:rPr>
                <w:rFonts w:ascii="Arial Narrow" w:eastAsia="Calibri" w:hAnsi="Arial Narrow"/>
                <w:sz w:val="20"/>
                <w:szCs w:val="20"/>
              </w:rPr>
              <w:instrText xml:space="preserve"> FORMCHECKBOX </w:instrText>
            </w:r>
            <w:r w:rsidR="00F84C70">
              <w:rPr>
                <w:rFonts w:ascii="Arial Narrow" w:eastAsia="Calibri" w:hAnsi="Arial Narrow"/>
                <w:sz w:val="20"/>
                <w:szCs w:val="20"/>
              </w:rPr>
            </w:r>
            <w:r w:rsidR="00F84C70">
              <w:rPr>
                <w:rFonts w:ascii="Arial Narrow" w:eastAsia="Calibri" w:hAnsi="Arial Narrow"/>
                <w:sz w:val="20"/>
                <w:szCs w:val="20"/>
              </w:rPr>
              <w:fldChar w:fldCharType="separate"/>
            </w:r>
            <w:r w:rsidRPr="00737236">
              <w:rPr>
                <w:rFonts w:ascii="Arial Narrow" w:eastAsia="Calibri" w:hAnsi="Arial Narrow"/>
                <w:sz w:val="20"/>
                <w:szCs w:val="20"/>
              </w:rPr>
              <w:fldChar w:fldCharType="end"/>
            </w:r>
            <w:r w:rsidRPr="00737236">
              <w:rPr>
                <w:rFonts w:ascii="Arial Narrow" w:eastAsia="Calibri" w:hAnsi="Arial Narrow"/>
                <w:sz w:val="20"/>
                <w:szCs w:val="20"/>
              </w:rPr>
              <w:t xml:space="preserve"> Authority Required – non-immediate/delayed assessment by Services Australia (in-writing only via mail/postal service or electronic upload to Hobart; requires at least one concept ID to be marked as ‘FULL’ for full assessment by Services Australia)</w:t>
            </w:r>
          </w:p>
        </w:tc>
      </w:tr>
      <w:tr w:rsidR="00B80723" w:rsidRPr="00737236" w14:paraId="3FC91627"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F73D996" w14:textId="77777777" w:rsidR="00B80723" w:rsidRPr="00737236" w:rsidRDefault="00B80723" w:rsidP="006628A7">
            <w:pPr>
              <w:rPr>
                <w:rFonts w:ascii="Arial Narrow" w:hAnsi="Arial Narrow"/>
                <w:color w:val="333333"/>
                <w:sz w:val="20"/>
                <w:szCs w:val="20"/>
              </w:rPr>
            </w:pPr>
            <w:r w:rsidRPr="00737236">
              <w:rPr>
                <w:rFonts w:ascii="Arial Narrow" w:hAnsi="Arial Narrow"/>
                <w:b/>
                <w:bCs/>
                <w:color w:val="333333"/>
                <w:sz w:val="20"/>
                <w:szCs w:val="20"/>
              </w:rPr>
              <w:t>Administrative Advice:</w:t>
            </w:r>
          </w:p>
          <w:p w14:paraId="6A6F02BE" w14:textId="77777777" w:rsidR="00B80723" w:rsidRPr="00737236" w:rsidRDefault="00B80723" w:rsidP="006628A7">
            <w:pPr>
              <w:rPr>
                <w:rFonts w:ascii="Arial Narrow" w:hAnsi="Arial Narrow"/>
                <w:color w:val="333333"/>
                <w:sz w:val="20"/>
                <w:szCs w:val="20"/>
              </w:rPr>
            </w:pPr>
            <w:r w:rsidRPr="00737236">
              <w:rPr>
                <w:rFonts w:ascii="Arial Narrow" w:hAnsi="Arial Narrow"/>
                <w:color w:val="333333"/>
                <w:sz w:val="20"/>
                <w:szCs w:val="20"/>
              </w:rPr>
              <w:t>Patients may qualify for PBS-subsidised treatment under this restriction once only. For continuing PBS-subsidised treatment, a ‘Grandfathered’ patient must qualify under the ‘Continuing treatment’ criteria.</w:t>
            </w:r>
          </w:p>
        </w:tc>
      </w:tr>
      <w:tr w:rsidR="00B80723" w:rsidRPr="00737236" w14:paraId="7CAD91FF"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644FD0F"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0FAD0BE2" w14:textId="77777777" w:rsidR="00B80723" w:rsidRPr="00737236" w:rsidRDefault="00B80723" w:rsidP="006628A7">
            <w:pPr>
              <w:rPr>
                <w:rFonts w:ascii="Arial Narrow" w:hAnsi="Arial Narrow"/>
                <w:color w:val="333333"/>
                <w:sz w:val="20"/>
                <w:szCs w:val="20"/>
              </w:rPr>
            </w:pPr>
            <w:r w:rsidRPr="00737236">
              <w:rPr>
                <w:rFonts w:ascii="Arial Narrow" w:hAnsi="Arial Narrow"/>
                <w:color w:val="333333"/>
                <w:sz w:val="20"/>
                <w:szCs w:val="20"/>
              </w:rPr>
              <w:t>No increase in the maximum number of repeats may be authorised.</w:t>
            </w:r>
          </w:p>
        </w:tc>
      </w:tr>
      <w:tr w:rsidR="00B80723" w:rsidRPr="00737236" w14:paraId="7BB2C571"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72D8237"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67E9496D" w14:textId="77777777" w:rsidR="00B80723" w:rsidRPr="00737236" w:rsidRDefault="00B80723" w:rsidP="006628A7">
            <w:pPr>
              <w:rPr>
                <w:rFonts w:ascii="Arial Narrow" w:hAnsi="Arial Narrow"/>
                <w:b/>
                <w:bCs/>
                <w:color w:val="333333"/>
                <w:sz w:val="20"/>
                <w:szCs w:val="20"/>
              </w:rPr>
            </w:pPr>
            <w:r w:rsidRPr="00737236">
              <w:rPr>
                <w:rFonts w:ascii="Arial Narrow" w:hAnsi="Arial Narrow"/>
                <w:color w:val="333333"/>
                <w:sz w:val="20"/>
                <w:szCs w:val="20"/>
              </w:rPr>
              <w:t>Special Pricing Arrangements apply.</w:t>
            </w:r>
          </w:p>
        </w:tc>
      </w:tr>
      <w:tr w:rsidR="00B80723" w:rsidRPr="00737236" w14:paraId="6868E4A8"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2A03FB0" w14:textId="77777777" w:rsidR="00B80723" w:rsidRPr="00737236" w:rsidRDefault="00B80723" w:rsidP="006628A7">
            <w:pPr>
              <w:rPr>
                <w:rFonts w:ascii="Arial Narrow" w:hAnsi="Arial Narrow"/>
                <w:b/>
                <w:bCs/>
                <w:i/>
                <w:iCs/>
                <w:color w:val="333333"/>
                <w:sz w:val="20"/>
                <w:szCs w:val="20"/>
              </w:rPr>
            </w:pPr>
            <w:r w:rsidRPr="00737236">
              <w:rPr>
                <w:rFonts w:ascii="Arial Narrow" w:hAnsi="Arial Narrow"/>
                <w:b/>
                <w:bCs/>
                <w:i/>
                <w:iCs/>
                <w:color w:val="333333"/>
                <w:sz w:val="20"/>
                <w:szCs w:val="20"/>
              </w:rPr>
              <w:t>Administrative Advice:</w:t>
            </w:r>
          </w:p>
          <w:p w14:paraId="18B810CA" w14:textId="77777777" w:rsidR="00B80723" w:rsidRPr="00737236" w:rsidRDefault="00B80723" w:rsidP="006628A7">
            <w:pPr>
              <w:rPr>
                <w:rFonts w:ascii="Arial Narrow" w:hAnsi="Arial Narrow"/>
                <w:b/>
                <w:bCs/>
                <w:color w:val="333333"/>
                <w:sz w:val="20"/>
                <w:szCs w:val="20"/>
              </w:rPr>
            </w:pPr>
            <w:r w:rsidRPr="00737236">
              <w:rPr>
                <w:rFonts w:ascii="Arial Narrow" w:hAnsi="Arial Narrow"/>
                <w:i/>
                <w:iCs/>
                <w:color w:val="333333"/>
                <w:sz w:val="20"/>
                <w:szCs w:val="20"/>
              </w:rPr>
              <w:t>Confirmation of eligibility for treatment with diagnostic reports must be documented in the patient's medical records.</w:t>
            </w:r>
          </w:p>
        </w:tc>
      </w:tr>
      <w:tr w:rsidR="00B80723" w:rsidRPr="00737236" w14:paraId="479A6EF7"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211431F" w14:textId="77777777" w:rsidR="00B80723" w:rsidRPr="00737236" w:rsidRDefault="00B80723" w:rsidP="006628A7">
            <w:pPr>
              <w:rPr>
                <w:rFonts w:ascii="Arial Narrow" w:hAnsi="Arial Narrow"/>
                <w:b/>
                <w:bCs/>
                <w:i/>
                <w:iCs/>
                <w:color w:val="333333"/>
                <w:sz w:val="20"/>
                <w:szCs w:val="20"/>
              </w:rPr>
            </w:pPr>
            <w:r w:rsidRPr="00737236">
              <w:rPr>
                <w:rFonts w:ascii="Arial Narrow" w:hAnsi="Arial Narrow"/>
                <w:b/>
                <w:bCs/>
                <w:i/>
                <w:iCs/>
                <w:color w:val="333333"/>
                <w:sz w:val="20"/>
                <w:szCs w:val="20"/>
              </w:rPr>
              <w:t>Administrative Advice:</w:t>
            </w:r>
          </w:p>
          <w:p w14:paraId="4B48EC34" w14:textId="77777777" w:rsidR="00B80723" w:rsidRPr="00737236" w:rsidRDefault="00B80723" w:rsidP="006628A7">
            <w:pPr>
              <w:rPr>
                <w:rFonts w:ascii="Arial Narrow" w:hAnsi="Arial Narrow"/>
                <w:i/>
                <w:iCs/>
                <w:color w:val="333333"/>
                <w:sz w:val="20"/>
                <w:szCs w:val="20"/>
              </w:rPr>
            </w:pPr>
            <w:r w:rsidRPr="00737236">
              <w:rPr>
                <w:rFonts w:ascii="Arial Narrow" w:hAnsi="Arial Narrow"/>
                <w:i/>
                <w:iCs/>
                <w:color w:val="333333"/>
                <w:sz w:val="20"/>
                <w:szCs w:val="20"/>
              </w:rPr>
              <w:t>This Grandfather restriction will cease to operate 12 months after the date specified in the clinical criteria.</w:t>
            </w:r>
          </w:p>
        </w:tc>
      </w:tr>
      <w:tr w:rsidR="00B80723" w:rsidRPr="00737236" w14:paraId="4887BDC7"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23C25ED" w14:textId="77777777" w:rsidR="00B80723" w:rsidRPr="00737236" w:rsidRDefault="00B80723" w:rsidP="006628A7">
            <w:pPr>
              <w:keepLines/>
              <w:ind w:left="113"/>
              <w:rPr>
                <w:rFonts w:ascii="Arial Narrow" w:hAnsi="Arial Narrow"/>
                <w:b/>
                <w:sz w:val="20"/>
                <w:szCs w:val="20"/>
              </w:rPr>
            </w:pPr>
          </w:p>
        </w:tc>
      </w:tr>
      <w:tr w:rsidR="00B80723" w:rsidRPr="00737236" w14:paraId="370C07DB" w14:textId="77777777" w:rsidTr="00B80723">
        <w:tblPrEx>
          <w:tblCellMar>
            <w:top w:w="15" w:type="dxa"/>
            <w:bottom w:w="15" w:type="dxa"/>
          </w:tblCellMar>
          <w:tblLook w:val="04A0" w:firstRow="1" w:lastRow="0" w:firstColumn="1" w:lastColumn="0" w:noHBand="0" w:noVBand="1"/>
        </w:tblPrEx>
        <w:trPr>
          <w:cantSplit/>
          <w:trHeight w:val="102"/>
        </w:trPr>
        <w:tc>
          <w:tcPr>
            <w:tcW w:w="5000" w:type="pct"/>
            <w:gridSpan w:val="6"/>
            <w:vAlign w:val="center"/>
          </w:tcPr>
          <w:p w14:paraId="7C507E59" w14:textId="77777777" w:rsidR="00B80723" w:rsidRPr="00737236" w:rsidRDefault="00B80723" w:rsidP="006628A7">
            <w:pPr>
              <w:keepLines/>
              <w:rPr>
                <w:rFonts w:ascii="Arial Narrow" w:hAnsi="Arial Narrow"/>
                <w:bCs/>
                <w:color w:val="333333"/>
                <w:sz w:val="20"/>
                <w:szCs w:val="20"/>
              </w:rPr>
            </w:pPr>
            <w:r w:rsidRPr="00737236">
              <w:rPr>
                <w:rFonts w:ascii="Arial Narrow" w:hAnsi="Arial Narrow"/>
                <w:b/>
                <w:bCs/>
                <w:color w:val="333333"/>
                <w:sz w:val="20"/>
                <w:szCs w:val="20"/>
              </w:rPr>
              <w:lastRenderedPageBreak/>
              <w:t xml:space="preserve">Condition: </w:t>
            </w:r>
            <w:r w:rsidRPr="00737236">
              <w:rPr>
                <w:rFonts w:ascii="Arial Narrow" w:hAnsi="Arial Narrow"/>
                <w:color w:val="333333"/>
                <w:sz w:val="20"/>
                <w:szCs w:val="20"/>
              </w:rPr>
              <w:t>Symptomatic obstructive hypertrophic cardiomyopathy</w:t>
            </w:r>
          </w:p>
        </w:tc>
      </w:tr>
      <w:tr w:rsidR="00B80723" w:rsidRPr="00737236" w14:paraId="309FC434"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2B7CF7E" w14:textId="77777777" w:rsidR="00B80723" w:rsidRPr="00737236" w:rsidRDefault="00B80723" w:rsidP="006628A7">
            <w:pPr>
              <w:keepLines/>
              <w:rPr>
                <w:rFonts w:ascii="Arial Narrow" w:hAnsi="Arial Narrow"/>
                <w:color w:val="333333"/>
                <w:sz w:val="20"/>
                <w:szCs w:val="20"/>
              </w:rPr>
            </w:pPr>
            <w:r w:rsidRPr="00737236">
              <w:rPr>
                <w:rFonts w:ascii="Arial Narrow" w:hAnsi="Arial Narrow"/>
                <w:b/>
                <w:bCs/>
                <w:color w:val="333333"/>
                <w:sz w:val="20"/>
                <w:szCs w:val="20"/>
              </w:rPr>
              <w:t>Indication:</w:t>
            </w:r>
            <w:r w:rsidRPr="00737236">
              <w:rPr>
                <w:rFonts w:ascii="Arial Narrow" w:hAnsi="Arial Narrow"/>
                <w:color w:val="333333"/>
                <w:sz w:val="20"/>
                <w:szCs w:val="20"/>
              </w:rPr>
              <w:t xml:space="preserve"> Symptomatic obstructive hypertrophic cardiomyopathy</w:t>
            </w:r>
          </w:p>
        </w:tc>
      </w:tr>
      <w:tr w:rsidR="00B80723" w:rsidRPr="00737236" w14:paraId="786539F9" w14:textId="77777777" w:rsidTr="00B80723">
        <w:tblPrEx>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05B107"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Treatment Phase:</w:t>
            </w:r>
            <w:r w:rsidRPr="00737236">
              <w:rPr>
                <w:rFonts w:ascii="Arial Narrow" w:hAnsi="Arial Narrow"/>
                <w:color w:val="333333"/>
                <w:sz w:val="20"/>
                <w:szCs w:val="20"/>
              </w:rPr>
              <w:t xml:space="preserve"> Transitioning from non-PBS to PBS-subsidised treatment – ‘grandfather’ arrangements</w:t>
            </w:r>
          </w:p>
        </w:tc>
      </w:tr>
      <w:tr w:rsidR="00B80723" w:rsidRPr="00737236" w14:paraId="54531E19" w14:textId="77777777" w:rsidTr="00B80723">
        <w:tblPrEx>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BA559"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4DC26925"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5D241EE7"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color w:val="333333"/>
                <w:sz w:val="20"/>
                <w:szCs w:val="20"/>
              </w:rPr>
              <w:t>Patient must be receiving non-PBS-subsidised treatment with this drug for this indication which commenced prior to [1 Month 20XX]</w:t>
            </w:r>
          </w:p>
        </w:tc>
      </w:tr>
      <w:tr w:rsidR="00B80723" w:rsidRPr="00737236" w14:paraId="086E3F37"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1A354394"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b/>
                <w:bCs/>
                <w:i/>
                <w:iCs/>
                <w:color w:val="333333"/>
                <w:sz w:val="20"/>
                <w:szCs w:val="20"/>
              </w:rPr>
              <w:t>AND</w:t>
            </w:r>
          </w:p>
        </w:tc>
      </w:tr>
      <w:tr w:rsidR="00B80723" w:rsidRPr="00737236" w14:paraId="1217E7AC"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0FBAF363"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b/>
                <w:bCs/>
                <w:i/>
                <w:iCs/>
                <w:color w:val="333333"/>
                <w:sz w:val="20"/>
                <w:szCs w:val="20"/>
              </w:rPr>
              <w:t>Clinical criteria:</w:t>
            </w:r>
          </w:p>
        </w:tc>
      </w:tr>
      <w:tr w:rsidR="00B80723" w:rsidRPr="00737236" w14:paraId="241DEE9E"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61FDDCB3" w14:textId="77777777" w:rsidR="00B80723" w:rsidRPr="00737236" w:rsidRDefault="00B80723" w:rsidP="006628A7">
            <w:pPr>
              <w:keepLines/>
              <w:ind w:left="113"/>
              <w:rPr>
                <w:rFonts w:ascii="Arial Narrow" w:hAnsi="Arial Narrow"/>
                <w:bCs/>
                <w:i/>
                <w:iCs/>
                <w:color w:val="333333"/>
                <w:sz w:val="20"/>
                <w:szCs w:val="20"/>
              </w:rPr>
            </w:pPr>
            <w:r w:rsidRPr="00737236">
              <w:rPr>
                <w:rFonts w:ascii="Arial Narrow" w:hAnsi="Arial Narrow"/>
                <w:bCs/>
                <w:i/>
                <w:iCs/>
                <w:color w:val="333333"/>
                <w:sz w:val="20"/>
                <w:szCs w:val="20"/>
              </w:rPr>
              <w:t>Patient must have confirmed left ventricular hypertrophy due to hypertrophic cardiomyopathy with maximal left ventricular wall thickness prior to commencing non-PBS subsidised treatment which is at least one of:</w:t>
            </w:r>
          </w:p>
          <w:p w14:paraId="6308B4AA" w14:textId="77777777" w:rsidR="00B80723" w:rsidRPr="00737236" w:rsidRDefault="00B80723" w:rsidP="00EE280A">
            <w:pPr>
              <w:pStyle w:val="ListParagraph"/>
              <w:keepLines/>
              <w:numPr>
                <w:ilvl w:val="0"/>
                <w:numId w:val="20"/>
              </w:numPr>
              <w:spacing w:after="0" w:line="259" w:lineRule="auto"/>
              <w:contextualSpacing/>
              <w:jc w:val="left"/>
              <w:rPr>
                <w:rFonts w:ascii="Arial Narrow" w:hAnsi="Arial Narrow"/>
                <w:bCs/>
                <w:i/>
                <w:iCs/>
                <w:color w:val="333333"/>
                <w:sz w:val="20"/>
                <w:szCs w:val="20"/>
              </w:rPr>
            </w:pPr>
            <w:r w:rsidRPr="00737236">
              <w:rPr>
                <w:rFonts w:ascii="Arial Narrow" w:hAnsi="Arial Narrow"/>
                <w:bCs/>
                <w:i/>
                <w:iCs/>
                <w:color w:val="333333"/>
                <w:sz w:val="20"/>
                <w:szCs w:val="20"/>
              </w:rPr>
              <w:t xml:space="preserve">no less than 15 mm, </w:t>
            </w:r>
          </w:p>
          <w:p w14:paraId="6007BE57" w14:textId="047ECB48" w:rsidR="00B80723" w:rsidRPr="00737236" w:rsidRDefault="00B80723" w:rsidP="00EE280A">
            <w:pPr>
              <w:pStyle w:val="ListParagraph"/>
              <w:keepLines/>
              <w:numPr>
                <w:ilvl w:val="0"/>
                <w:numId w:val="20"/>
              </w:numPr>
              <w:spacing w:after="0" w:line="259" w:lineRule="auto"/>
              <w:contextualSpacing/>
              <w:jc w:val="left"/>
              <w:rPr>
                <w:rFonts w:ascii="Arial Narrow" w:hAnsi="Arial Narrow"/>
                <w:bCs/>
                <w:i/>
                <w:iCs/>
                <w:color w:val="333333"/>
                <w:sz w:val="20"/>
                <w:szCs w:val="20"/>
              </w:rPr>
            </w:pPr>
            <w:r w:rsidRPr="00737236">
              <w:rPr>
                <w:rFonts w:ascii="Arial Narrow" w:hAnsi="Arial Narrow"/>
                <w:bCs/>
                <w:i/>
                <w:iCs/>
                <w:color w:val="333333"/>
                <w:sz w:val="20"/>
                <w:szCs w:val="20"/>
              </w:rPr>
              <w:t xml:space="preserve">no less than 13 mm if patient has familial hypertrophic </w:t>
            </w:r>
            <w:proofErr w:type="gramStart"/>
            <w:r w:rsidRPr="00737236">
              <w:rPr>
                <w:rFonts w:ascii="Arial Narrow" w:hAnsi="Arial Narrow"/>
                <w:bCs/>
                <w:i/>
                <w:iCs/>
                <w:color w:val="333333"/>
                <w:sz w:val="20"/>
                <w:szCs w:val="20"/>
              </w:rPr>
              <w:t>cardiomyopathy</w:t>
            </w:r>
            <w:r w:rsidRPr="00737236">
              <w:rPr>
                <w:rFonts w:ascii="Arial Narrow" w:hAnsi="Arial Narrow"/>
                <w:b/>
                <w:bCs/>
                <w:i/>
                <w:iCs/>
                <w:color w:val="333333"/>
                <w:sz w:val="20"/>
                <w:szCs w:val="20"/>
              </w:rPr>
              <w:t xml:space="preserve">  </w:t>
            </w:r>
            <w:r w:rsidR="00D31136" w:rsidRPr="00111671">
              <w:rPr>
                <w:rFonts w:ascii="Arial Narrow" w:hAnsi="Arial Narrow"/>
                <w:i/>
                <w:iCs/>
                <w:color w:val="333333"/>
                <w:sz w:val="20"/>
                <w:szCs w:val="20"/>
              </w:rPr>
              <w:t>(</w:t>
            </w:r>
            <w:proofErr w:type="gramEnd"/>
            <w:r w:rsidR="00D31136" w:rsidRPr="00111671">
              <w:rPr>
                <w:rFonts w:ascii="Arial Narrow" w:hAnsi="Arial Narrow"/>
                <w:i/>
                <w:iCs/>
                <w:color w:val="333333"/>
                <w:sz w:val="20"/>
                <w:szCs w:val="20"/>
              </w:rPr>
              <w:t>at least one first degree relative with a diagnosis of hypertrophic cardiomyopathy)</w:t>
            </w:r>
          </w:p>
        </w:tc>
      </w:tr>
      <w:tr w:rsidR="00B80723" w:rsidRPr="00737236" w14:paraId="0DAB78D2"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65B28BD6"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b/>
                <w:bCs/>
                <w:i/>
                <w:iCs/>
                <w:color w:val="333333"/>
                <w:sz w:val="20"/>
                <w:szCs w:val="20"/>
              </w:rPr>
              <w:t>AND</w:t>
            </w:r>
          </w:p>
        </w:tc>
      </w:tr>
      <w:tr w:rsidR="00B80723" w:rsidRPr="00737236" w14:paraId="4D3D3F09"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6588D416"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b/>
                <w:bCs/>
                <w:i/>
                <w:iCs/>
                <w:color w:val="333333"/>
                <w:sz w:val="20"/>
                <w:szCs w:val="20"/>
              </w:rPr>
              <w:t>Clinical criteria:</w:t>
            </w:r>
          </w:p>
        </w:tc>
      </w:tr>
      <w:tr w:rsidR="00B80723" w:rsidRPr="00737236" w14:paraId="568611B8"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697EB52B" w14:textId="77777777" w:rsidR="00B80723" w:rsidRPr="00737236" w:rsidRDefault="00B80723" w:rsidP="006628A7">
            <w:pPr>
              <w:keepLines/>
              <w:ind w:left="113"/>
              <w:rPr>
                <w:rFonts w:ascii="Arial Narrow" w:hAnsi="Arial Narrow"/>
                <w:bCs/>
                <w:i/>
                <w:iCs/>
                <w:color w:val="333333"/>
                <w:sz w:val="20"/>
                <w:szCs w:val="20"/>
              </w:rPr>
            </w:pPr>
            <w:r w:rsidRPr="00737236">
              <w:rPr>
                <w:rFonts w:ascii="Arial Narrow" w:hAnsi="Arial Narrow"/>
                <w:bCs/>
                <w:i/>
                <w:iCs/>
                <w:color w:val="333333"/>
                <w:sz w:val="20"/>
                <w:szCs w:val="20"/>
              </w:rPr>
              <w:t>Patient must have confirmed peak left ventricular outflow tract (LVOT) gradient of no less than 50mm Hg prior commencing non-PBS subsidised treatment which is measured either:</w:t>
            </w:r>
          </w:p>
          <w:p w14:paraId="3CF91E25" w14:textId="77777777" w:rsidR="00B80723" w:rsidRPr="00737236" w:rsidRDefault="00B80723" w:rsidP="00EE280A">
            <w:pPr>
              <w:pStyle w:val="ListParagraph"/>
              <w:keepLines/>
              <w:numPr>
                <w:ilvl w:val="0"/>
                <w:numId w:val="21"/>
              </w:numPr>
              <w:spacing w:after="0" w:line="259" w:lineRule="auto"/>
              <w:contextualSpacing/>
              <w:jc w:val="left"/>
              <w:rPr>
                <w:rFonts w:ascii="Arial Narrow" w:hAnsi="Arial Narrow"/>
                <w:bCs/>
                <w:i/>
                <w:iCs/>
                <w:color w:val="333333"/>
                <w:sz w:val="20"/>
                <w:szCs w:val="20"/>
              </w:rPr>
            </w:pPr>
            <w:r w:rsidRPr="00737236">
              <w:rPr>
                <w:rFonts w:ascii="Arial Narrow" w:hAnsi="Arial Narrow"/>
                <w:bCs/>
                <w:i/>
                <w:iCs/>
                <w:color w:val="333333"/>
                <w:sz w:val="20"/>
                <w:szCs w:val="20"/>
              </w:rPr>
              <w:t xml:space="preserve">at rest, </w:t>
            </w:r>
          </w:p>
          <w:p w14:paraId="3C063E05" w14:textId="77777777" w:rsidR="00B80723" w:rsidRPr="00737236" w:rsidRDefault="00B80723" w:rsidP="00EE280A">
            <w:pPr>
              <w:pStyle w:val="ListParagraph"/>
              <w:keepLines/>
              <w:numPr>
                <w:ilvl w:val="0"/>
                <w:numId w:val="21"/>
              </w:numPr>
              <w:spacing w:after="0" w:line="259" w:lineRule="auto"/>
              <w:contextualSpacing/>
              <w:jc w:val="left"/>
              <w:rPr>
                <w:rFonts w:ascii="Arial Narrow" w:hAnsi="Arial Narrow"/>
                <w:bCs/>
                <w:i/>
                <w:iCs/>
                <w:color w:val="333333"/>
                <w:sz w:val="20"/>
                <w:szCs w:val="20"/>
              </w:rPr>
            </w:pPr>
            <w:r w:rsidRPr="00737236">
              <w:rPr>
                <w:rFonts w:ascii="Arial Narrow" w:hAnsi="Arial Narrow"/>
                <w:bCs/>
                <w:i/>
                <w:iCs/>
                <w:color w:val="333333"/>
                <w:sz w:val="20"/>
                <w:szCs w:val="20"/>
              </w:rPr>
              <w:t>after provocation with at least one of (i) Valsalva manoeuvre, (ii) exercise.</w:t>
            </w:r>
          </w:p>
        </w:tc>
      </w:tr>
      <w:tr w:rsidR="00B80723" w:rsidRPr="00737236" w14:paraId="618CD43D"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hideMark/>
          </w:tcPr>
          <w:p w14:paraId="11B1801F"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AND</w:t>
            </w:r>
          </w:p>
        </w:tc>
      </w:tr>
      <w:tr w:rsidR="00B80723" w:rsidRPr="00737236" w14:paraId="01255334"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hideMark/>
          </w:tcPr>
          <w:p w14:paraId="76F070D3"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30D5834F"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5FB3035A" w14:textId="77777777" w:rsidR="00B80723" w:rsidRPr="00737236" w:rsidRDefault="00B80723" w:rsidP="006628A7">
            <w:pPr>
              <w:ind w:left="113"/>
              <w:rPr>
                <w:rFonts w:ascii="Arial Narrow" w:hAnsi="Arial Narrow"/>
                <w:strike/>
                <w:color w:val="333333"/>
                <w:sz w:val="20"/>
                <w:szCs w:val="20"/>
              </w:rPr>
            </w:pPr>
            <w:r w:rsidRPr="00737236">
              <w:rPr>
                <w:rFonts w:ascii="Arial Narrow" w:hAnsi="Arial Narrow"/>
                <w:strike/>
                <w:color w:val="333333"/>
                <w:sz w:val="20"/>
                <w:szCs w:val="20"/>
              </w:rPr>
              <w:t>The treatment must be administered in combination with either a beta blocker and/or a non-dihydropyridine CCB unless intolerant or contra-indicated.</w:t>
            </w:r>
          </w:p>
          <w:p w14:paraId="71947F07" w14:textId="76CF1CE4" w:rsidR="00B80723" w:rsidRPr="00737236" w:rsidRDefault="00B80723" w:rsidP="006628A7">
            <w:pPr>
              <w:keepLines/>
              <w:ind w:left="113"/>
              <w:rPr>
                <w:rFonts w:ascii="Arial Narrow" w:hAnsi="Arial Narrow"/>
                <w:i/>
                <w:iCs/>
                <w:color w:val="333333"/>
                <w:sz w:val="20"/>
                <w:szCs w:val="20"/>
              </w:rPr>
            </w:pPr>
            <w:r w:rsidRPr="00737236">
              <w:rPr>
                <w:rFonts w:ascii="Arial Narrow" w:hAnsi="Arial Narrow"/>
                <w:i/>
                <w:iCs/>
                <w:color w:val="333333"/>
                <w:sz w:val="20"/>
                <w:szCs w:val="20"/>
              </w:rPr>
              <w:t xml:space="preserve">Patient must be undergoing treatment with </w:t>
            </w:r>
            <w:r w:rsidR="00D31136">
              <w:rPr>
                <w:rFonts w:ascii="Arial Narrow" w:hAnsi="Arial Narrow"/>
                <w:i/>
                <w:iCs/>
                <w:color w:val="333333"/>
                <w:sz w:val="20"/>
                <w:szCs w:val="20"/>
              </w:rPr>
              <w:t>either a</w:t>
            </w:r>
            <w:r w:rsidRPr="00737236">
              <w:rPr>
                <w:rFonts w:ascii="Arial Narrow" w:hAnsi="Arial Narrow"/>
                <w:i/>
                <w:iCs/>
                <w:color w:val="333333"/>
                <w:sz w:val="20"/>
                <w:szCs w:val="20"/>
              </w:rPr>
              <w:t xml:space="preserve"> (i) a beta-blocker (ii) non-dihydropyridine calcium channel blocker, unless at least one of the following is </w:t>
            </w:r>
            <w:proofErr w:type="gramStart"/>
            <w:r w:rsidRPr="00737236">
              <w:rPr>
                <w:rFonts w:ascii="Arial Narrow" w:hAnsi="Arial Narrow"/>
                <w:i/>
                <w:iCs/>
                <w:color w:val="333333"/>
                <w:sz w:val="20"/>
                <w:szCs w:val="20"/>
              </w:rPr>
              <w:t>present</w:t>
            </w:r>
            <w:proofErr w:type="gramEnd"/>
            <w:r w:rsidRPr="00737236">
              <w:rPr>
                <w:rFonts w:ascii="Arial Narrow" w:hAnsi="Arial Narrow"/>
                <w:i/>
                <w:iCs/>
                <w:color w:val="333333"/>
                <w:sz w:val="20"/>
                <w:szCs w:val="20"/>
              </w:rPr>
              <w:t xml:space="preserve"> </w:t>
            </w:r>
          </w:p>
          <w:p w14:paraId="68DA2447" w14:textId="77777777" w:rsidR="00B80723" w:rsidRPr="00737236" w:rsidRDefault="00B80723" w:rsidP="00EE280A">
            <w:pPr>
              <w:pStyle w:val="ListParagraph"/>
              <w:numPr>
                <w:ilvl w:val="0"/>
                <w:numId w:val="18"/>
              </w:numPr>
              <w:spacing w:after="160" w:line="259" w:lineRule="auto"/>
              <w:contextualSpacing/>
              <w:jc w:val="left"/>
              <w:rPr>
                <w:rFonts w:ascii="Arial Narrow" w:hAnsi="Arial Narrow"/>
                <w:i/>
                <w:iCs/>
                <w:color w:val="333333"/>
                <w:sz w:val="20"/>
                <w:szCs w:val="20"/>
              </w:rPr>
            </w:pPr>
            <w:r w:rsidRPr="00737236">
              <w:rPr>
                <w:rFonts w:ascii="Arial Narrow" w:hAnsi="Arial Narrow"/>
                <w:i/>
                <w:iCs/>
                <w:color w:val="333333"/>
                <w:sz w:val="20"/>
                <w:szCs w:val="20"/>
              </w:rPr>
              <w:t>a contraindication to beta-blocker / non-dihydropyridine calcium channel blocker therapy as listed in the TGA approved Product Information,</w:t>
            </w:r>
          </w:p>
          <w:p w14:paraId="13AEB800" w14:textId="77777777" w:rsidR="00B80723" w:rsidRPr="00737236" w:rsidRDefault="00B80723" w:rsidP="00EE280A">
            <w:pPr>
              <w:pStyle w:val="ListParagraph"/>
              <w:numPr>
                <w:ilvl w:val="0"/>
                <w:numId w:val="18"/>
              </w:numPr>
              <w:spacing w:after="0" w:line="259" w:lineRule="auto"/>
              <w:ind w:left="714" w:hanging="357"/>
              <w:contextualSpacing/>
              <w:jc w:val="left"/>
              <w:rPr>
                <w:rFonts w:ascii="Arial Narrow" w:hAnsi="Arial Narrow"/>
                <w:b/>
                <w:bCs/>
                <w:color w:val="333333"/>
                <w:sz w:val="20"/>
                <w:szCs w:val="20"/>
              </w:rPr>
            </w:pPr>
            <w:r w:rsidRPr="00737236">
              <w:rPr>
                <w:rFonts w:ascii="Arial Narrow" w:hAnsi="Arial Narrow"/>
                <w:i/>
                <w:iCs/>
                <w:color w:val="333333"/>
                <w:sz w:val="20"/>
                <w:szCs w:val="20"/>
              </w:rPr>
              <w:t>an intolerance to beta-blocker / non-dihydropyridine calcium channel blocker therapy.</w:t>
            </w:r>
          </w:p>
        </w:tc>
      </w:tr>
      <w:tr w:rsidR="00B80723" w:rsidRPr="00737236" w14:paraId="65601EE1"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53830B94"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AND</w:t>
            </w:r>
          </w:p>
        </w:tc>
      </w:tr>
      <w:tr w:rsidR="00B80723" w:rsidRPr="00737236" w14:paraId="388CF653" w14:textId="77777777" w:rsidTr="00B80723">
        <w:tblPrEx>
          <w:tblLook w:val="04A0" w:firstRow="1" w:lastRow="0" w:firstColumn="1" w:lastColumn="0" w:noHBand="0" w:noVBand="1"/>
        </w:tblPrEx>
        <w:trPr>
          <w:trHeight w:val="120"/>
        </w:trPr>
        <w:tc>
          <w:tcPr>
            <w:tcW w:w="5000" w:type="pct"/>
            <w:gridSpan w:val="6"/>
            <w:tcMar>
              <w:top w:w="15" w:type="dxa"/>
              <w:left w:w="15" w:type="dxa"/>
              <w:bottom w:w="15" w:type="dxa"/>
              <w:right w:w="15" w:type="dxa"/>
            </w:tcMar>
            <w:vAlign w:val="center"/>
          </w:tcPr>
          <w:p w14:paraId="58DD3026"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505BCF6D"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35E29430"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color w:val="333333"/>
                <w:sz w:val="20"/>
                <w:szCs w:val="20"/>
              </w:rPr>
              <w:t xml:space="preserve">Patient must have a documented left ventricular ejection fraction (LVEF) of </w:t>
            </w:r>
            <w:r w:rsidRPr="00737236">
              <w:rPr>
                <w:rFonts w:ascii="Arial Narrow" w:hAnsi="Arial Narrow"/>
                <w:strike/>
                <w:color w:val="333333"/>
                <w:sz w:val="20"/>
                <w:szCs w:val="20"/>
              </w:rPr>
              <w:t>greater than or equal to</w:t>
            </w:r>
            <w:r w:rsidRPr="00737236">
              <w:rPr>
                <w:rFonts w:ascii="Arial Narrow" w:hAnsi="Arial Narrow"/>
                <w:color w:val="333333"/>
                <w:sz w:val="20"/>
                <w:szCs w:val="20"/>
              </w:rPr>
              <w:t xml:space="preserve"> </w:t>
            </w:r>
            <w:r w:rsidRPr="00737236">
              <w:rPr>
                <w:rFonts w:ascii="Arial Narrow" w:hAnsi="Arial Narrow"/>
                <w:i/>
                <w:iCs/>
                <w:color w:val="333333"/>
                <w:sz w:val="20"/>
                <w:szCs w:val="20"/>
              </w:rPr>
              <w:t>no less than</w:t>
            </w:r>
            <w:r w:rsidRPr="00737236">
              <w:rPr>
                <w:rFonts w:ascii="Arial Narrow" w:hAnsi="Arial Narrow"/>
                <w:color w:val="333333"/>
                <w:sz w:val="20"/>
                <w:szCs w:val="20"/>
              </w:rPr>
              <w:t xml:space="preserve"> 55%,</w:t>
            </w:r>
          </w:p>
        </w:tc>
      </w:tr>
      <w:tr w:rsidR="00B80723" w:rsidRPr="00737236" w14:paraId="54056077"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1B778A67"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AND</w:t>
            </w:r>
          </w:p>
        </w:tc>
      </w:tr>
      <w:tr w:rsidR="00B80723" w:rsidRPr="00737236" w14:paraId="5A8CC6C4"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16E7ED71"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Clinical criteria:</w:t>
            </w:r>
          </w:p>
        </w:tc>
      </w:tr>
      <w:tr w:rsidR="00B80723" w:rsidRPr="00737236" w14:paraId="606A5BA6"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7EC18077"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 xml:space="preserve">Patient must have been symptomatic with NYHA classes II or III prior to commencing non-PBS subsidised treatment </w:t>
            </w:r>
          </w:p>
        </w:tc>
      </w:tr>
      <w:tr w:rsidR="00B80723" w:rsidRPr="00737236" w14:paraId="57C77387"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hideMark/>
          </w:tcPr>
          <w:p w14:paraId="340FA8B2"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Treatment criteria:</w:t>
            </w:r>
          </w:p>
        </w:tc>
      </w:tr>
      <w:tr w:rsidR="00B80723" w:rsidRPr="00737236" w14:paraId="516A031F"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59F2C485" w14:textId="77777777" w:rsidR="00B80723" w:rsidRPr="00737236" w:rsidRDefault="00B80723" w:rsidP="006628A7">
            <w:pPr>
              <w:ind w:left="113"/>
              <w:rPr>
                <w:rFonts w:ascii="Arial Narrow" w:hAnsi="Arial Narrow"/>
                <w:strike/>
                <w:sz w:val="20"/>
                <w:szCs w:val="20"/>
              </w:rPr>
            </w:pPr>
            <w:r w:rsidRPr="00737236">
              <w:rPr>
                <w:rFonts w:ascii="Arial Narrow" w:hAnsi="Arial Narrow"/>
                <w:color w:val="333333"/>
                <w:sz w:val="20"/>
                <w:szCs w:val="20"/>
              </w:rPr>
              <w:t xml:space="preserve">Must be treated by a cardiologist; </w:t>
            </w:r>
            <w:r w:rsidRPr="00737236">
              <w:rPr>
                <w:rFonts w:ascii="Arial Narrow" w:hAnsi="Arial Narrow"/>
                <w:sz w:val="20"/>
                <w:szCs w:val="20"/>
              </w:rPr>
              <w:t>or</w:t>
            </w:r>
          </w:p>
        </w:tc>
      </w:tr>
      <w:tr w:rsidR="00B80723" w:rsidRPr="00737236" w14:paraId="21EF8B64" w14:textId="77777777" w:rsidTr="00B80723">
        <w:tblPrEx>
          <w:tblLook w:val="04A0" w:firstRow="1" w:lastRow="0" w:firstColumn="1" w:lastColumn="0" w:noHBand="0" w:noVBand="1"/>
        </w:tblPrEx>
        <w:tc>
          <w:tcPr>
            <w:tcW w:w="5000" w:type="pct"/>
            <w:gridSpan w:val="6"/>
            <w:tcMar>
              <w:top w:w="15" w:type="dxa"/>
              <w:left w:w="15" w:type="dxa"/>
              <w:bottom w:w="15" w:type="dxa"/>
              <w:right w:w="15" w:type="dxa"/>
            </w:tcMar>
            <w:vAlign w:val="center"/>
          </w:tcPr>
          <w:p w14:paraId="7AA1881C"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color w:val="333333"/>
                <w:sz w:val="20"/>
                <w:szCs w:val="20"/>
              </w:rPr>
              <w:t>Must be treated by a consultant physician with experience in the management of hypertrophic cardiomyopathy.</w:t>
            </w:r>
          </w:p>
        </w:tc>
      </w:tr>
      <w:tr w:rsidR="00B80723" w:rsidRPr="00737236" w14:paraId="483E00F6" w14:textId="77777777" w:rsidTr="00B80723">
        <w:tblPrEx>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DC7FD" w14:textId="77777777" w:rsidR="00B80723" w:rsidRPr="00737236" w:rsidRDefault="00B80723" w:rsidP="006628A7">
            <w:pPr>
              <w:ind w:left="113"/>
              <w:rPr>
                <w:rFonts w:ascii="Arial Narrow" w:hAnsi="Arial Narrow"/>
                <w:b/>
                <w:bCs/>
                <w:color w:val="333333"/>
                <w:sz w:val="20"/>
                <w:szCs w:val="20"/>
              </w:rPr>
            </w:pPr>
          </w:p>
        </w:tc>
      </w:tr>
      <w:tr w:rsidR="00B80723" w:rsidRPr="00737236" w14:paraId="044FE00C" w14:textId="77777777" w:rsidTr="00B80723">
        <w:tblPrEx>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5C5BE"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b/>
                <w:bCs/>
                <w:color w:val="333333"/>
                <w:sz w:val="20"/>
                <w:szCs w:val="20"/>
              </w:rPr>
              <w:t>Population criteria:</w:t>
            </w:r>
          </w:p>
        </w:tc>
      </w:tr>
      <w:tr w:rsidR="00B80723" w:rsidRPr="00737236" w14:paraId="58B45C93" w14:textId="77777777" w:rsidTr="00B80723">
        <w:tblPrEx>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485F9" w14:textId="77777777" w:rsidR="00B80723" w:rsidRPr="00737236" w:rsidRDefault="00B80723" w:rsidP="006628A7">
            <w:pPr>
              <w:ind w:left="113"/>
              <w:rPr>
                <w:rFonts w:ascii="Arial Narrow" w:hAnsi="Arial Narrow"/>
                <w:color w:val="333333"/>
                <w:sz w:val="20"/>
                <w:szCs w:val="20"/>
              </w:rPr>
            </w:pPr>
            <w:r w:rsidRPr="00737236">
              <w:rPr>
                <w:rFonts w:ascii="Arial Narrow" w:hAnsi="Arial Narrow"/>
                <w:color w:val="333333"/>
                <w:sz w:val="20"/>
                <w:szCs w:val="20"/>
              </w:rPr>
              <w:t xml:space="preserve">Patient must be at least aged 18 years of age </w:t>
            </w:r>
            <w:r w:rsidRPr="00737236">
              <w:rPr>
                <w:rFonts w:ascii="Arial Narrow" w:hAnsi="Arial Narrow"/>
                <w:strike/>
                <w:color w:val="333333"/>
                <w:sz w:val="20"/>
                <w:szCs w:val="20"/>
              </w:rPr>
              <w:t>or older</w:t>
            </w:r>
            <w:r w:rsidRPr="00737236">
              <w:rPr>
                <w:rFonts w:ascii="Arial Narrow" w:hAnsi="Arial Narrow"/>
                <w:color w:val="333333"/>
                <w:sz w:val="20"/>
                <w:szCs w:val="20"/>
              </w:rPr>
              <w:t>.</w:t>
            </w:r>
          </w:p>
        </w:tc>
      </w:tr>
      <w:tr w:rsidR="00B80723" w:rsidRPr="00737236" w14:paraId="7A89953C" w14:textId="77777777" w:rsidTr="00B80723">
        <w:tblPrEx>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290F2"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b/>
                <w:bCs/>
                <w:i/>
                <w:iCs/>
                <w:color w:val="333333"/>
                <w:sz w:val="20"/>
                <w:szCs w:val="20"/>
              </w:rPr>
              <w:t>Administrative Advice</w:t>
            </w:r>
            <w:r w:rsidRPr="00737236">
              <w:rPr>
                <w:rFonts w:ascii="Arial Narrow" w:hAnsi="Arial Narrow"/>
                <w:i/>
                <w:iCs/>
                <w:color w:val="333333"/>
                <w:sz w:val="20"/>
                <w:szCs w:val="20"/>
              </w:rPr>
              <w:t>:</w:t>
            </w:r>
          </w:p>
          <w:p w14:paraId="3B2F9E75"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Any queries concerning the arrangements to prescribe may be directed to Services Australia on 1800 700 270 (hours of operation 8 a.m. to 5 p.m. Monday to Friday).</w:t>
            </w:r>
          </w:p>
          <w:p w14:paraId="2CDEC2CD" w14:textId="77777777" w:rsidR="00B80723" w:rsidRPr="00737236" w:rsidRDefault="00B80723" w:rsidP="006628A7">
            <w:pPr>
              <w:ind w:left="113"/>
              <w:rPr>
                <w:rFonts w:ascii="Arial Narrow" w:hAnsi="Arial Narrow"/>
                <w:i/>
                <w:iCs/>
                <w:color w:val="333333"/>
                <w:sz w:val="20"/>
                <w:szCs w:val="20"/>
              </w:rPr>
            </w:pPr>
          </w:p>
          <w:p w14:paraId="78E3F335"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 xml:space="preserve">Prescribing information (including Authority Application forms and other relevant documentation as applicable) is available on the Services Australia website at </w:t>
            </w:r>
            <w:proofErr w:type="gramStart"/>
            <w:r w:rsidRPr="00737236">
              <w:rPr>
                <w:rFonts w:ascii="Arial Narrow" w:hAnsi="Arial Narrow"/>
                <w:i/>
                <w:iCs/>
                <w:color w:val="333333"/>
                <w:sz w:val="20"/>
                <w:szCs w:val="20"/>
              </w:rPr>
              <w:t>www.servicesaustralia.gov.au</w:t>
            </w:r>
            <w:proofErr w:type="gramEnd"/>
          </w:p>
          <w:p w14:paraId="5BF6360F" w14:textId="77777777" w:rsidR="00B80723" w:rsidRPr="00737236" w:rsidRDefault="00B80723" w:rsidP="006628A7">
            <w:pPr>
              <w:ind w:left="113"/>
              <w:rPr>
                <w:rFonts w:ascii="Arial Narrow" w:hAnsi="Arial Narrow"/>
                <w:i/>
                <w:iCs/>
                <w:color w:val="333333"/>
                <w:sz w:val="20"/>
                <w:szCs w:val="20"/>
              </w:rPr>
            </w:pPr>
          </w:p>
          <w:p w14:paraId="0F84B664"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 xml:space="preserve">Applications for authority to prescribe should be submitted online using the form upload facility in Health Professional Online Services (HPOS) at </w:t>
            </w:r>
            <w:proofErr w:type="gramStart"/>
            <w:r w:rsidRPr="00737236">
              <w:rPr>
                <w:rFonts w:ascii="Arial Narrow" w:hAnsi="Arial Narrow"/>
                <w:i/>
                <w:iCs/>
                <w:color w:val="333333"/>
                <w:sz w:val="20"/>
                <w:szCs w:val="20"/>
              </w:rPr>
              <w:t>www.servicesaustralia.gov.au/hpos</w:t>
            </w:r>
            <w:proofErr w:type="gramEnd"/>
          </w:p>
          <w:p w14:paraId="7155E51B" w14:textId="77777777" w:rsidR="00B80723" w:rsidRPr="00737236" w:rsidRDefault="00B80723" w:rsidP="006628A7">
            <w:pPr>
              <w:ind w:left="113"/>
              <w:rPr>
                <w:rFonts w:ascii="Arial Narrow" w:hAnsi="Arial Narrow"/>
                <w:i/>
                <w:iCs/>
                <w:color w:val="333333"/>
                <w:sz w:val="20"/>
                <w:szCs w:val="20"/>
              </w:rPr>
            </w:pPr>
          </w:p>
          <w:p w14:paraId="0743214B"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lastRenderedPageBreak/>
              <w:t>Or mailed to:</w:t>
            </w:r>
          </w:p>
          <w:p w14:paraId="3560DDB0" w14:textId="77777777" w:rsidR="00B80723" w:rsidRPr="00737236" w:rsidRDefault="00B80723" w:rsidP="006628A7">
            <w:pPr>
              <w:ind w:left="113"/>
              <w:rPr>
                <w:rFonts w:ascii="Arial Narrow" w:hAnsi="Arial Narrow"/>
                <w:i/>
                <w:iCs/>
                <w:color w:val="333333"/>
                <w:sz w:val="20"/>
                <w:szCs w:val="20"/>
              </w:rPr>
            </w:pPr>
          </w:p>
          <w:p w14:paraId="60257F8E"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Services Australia</w:t>
            </w:r>
          </w:p>
          <w:p w14:paraId="199B4387" w14:textId="77777777" w:rsidR="00B80723" w:rsidRPr="00737236" w:rsidRDefault="00B80723" w:rsidP="006628A7">
            <w:pPr>
              <w:ind w:left="113"/>
              <w:rPr>
                <w:rFonts w:ascii="Arial Narrow" w:hAnsi="Arial Narrow"/>
                <w:i/>
                <w:iCs/>
                <w:color w:val="333333"/>
                <w:sz w:val="20"/>
                <w:szCs w:val="20"/>
              </w:rPr>
            </w:pPr>
          </w:p>
          <w:p w14:paraId="747A5CD2"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Complex Drugs</w:t>
            </w:r>
          </w:p>
          <w:p w14:paraId="1547C8C5" w14:textId="77777777" w:rsidR="00B80723" w:rsidRPr="00737236" w:rsidRDefault="00B80723" w:rsidP="006628A7">
            <w:pPr>
              <w:ind w:left="113"/>
              <w:rPr>
                <w:rFonts w:ascii="Arial Narrow" w:hAnsi="Arial Narrow"/>
                <w:i/>
                <w:iCs/>
                <w:color w:val="333333"/>
                <w:sz w:val="20"/>
                <w:szCs w:val="20"/>
              </w:rPr>
            </w:pPr>
          </w:p>
          <w:p w14:paraId="7DEDF75E"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Reply Paid 9826</w:t>
            </w:r>
          </w:p>
          <w:p w14:paraId="2D37CE21" w14:textId="77777777" w:rsidR="00B80723" w:rsidRPr="00737236" w:rsidRDefault="00B80723" w:rsidP="006628A7">
            <w:pPr>
              <w:ind w:left="113"/>
              <w:rPr>
                <w:rFonts w:ascii="Arial Narrow" w:hAnsi="Arial Narrow"/>
                <w:i/>
                <w:iCs/>
                <w:color w:val="333333"/>
                <w:sz w:val="20"/>
                <w:szCs w:val="20"/>
              </w:rPr>
            </w:pPr>
          </w:p>
          <w:p w14:paraId="50EBA0ED" w14:textId="77777777" w:rsidR="00B80723" w:rsidRPr="00737236" w:rsidRDefault="00B80723" w:rsidP="006628A7">
            <w:pPr>
              <w:ind w:left="113"/>
              <w:rPr>
                <w:rFonts w:ascii="Arial Narrow" w:hAnsi="Arial Narrow"/>
                <w:i/>
                <w:iCs/>
                <w:color w:val="333333"/>
                <w:sz w:val="20"/>
                <w:szCs w:val="20"/>
              </w:rPr>
            </w:pPr>
            <w:r w:rsidRPr="00737236">
              <w:rPr>
                <w:rFonts w:ascii="Arial Narrow" w:hAnsi="Arial Narrow"/>
                <w:i/>
                <w:iCs/>
                <w:color w:val="333333"/>
                <w:sz w:val="20"/>
                <w:szCs w:val="20"/>
              </w:rPr>
              <w:t>HOBART TAS 7001</w:t>
            </w:r>
          </w:p>
        </w:tc>
      </w:tr>
    </w:tbl>
    <w:p w14:paraId="53CF99AE" w14:textId="77777777" w:rsidR="008B57E0" w:rsidRDefault="008B57E0" w:rsidP="00301A08"/>
    <w:p w14:paraId="61AD2506" w14:textId="437576D2" w:rsidR="008B57E0" w:rsidRPr="00737236" w:rsidRDefault="008B57E0" w:rsidP="00301A08">
      <w:r>
        <w:t xml:space="preserve">Another option: </w:t>
      </w:r>
    </w:p>
    <w:p w14:paraId="2B5D4262" w14:textId="03F85F00" w:rsidR="00301A08" w:rsidRPr="00737236" w:rsidRDefault="008B57E0" w:rsidP="00301A08">
      <w:r>
        <w:t>O</w:t>
      </w:r>
      <w:r w:rsidR="00301A08" w:rsidRPr="00737236">
        <w:t>ne restriction for all treatment phases</w:t>
      </w:r>
      <w:r>
        <w:t xml:space="preserve"> as per the secretariat suggestion</w:t>
      </w:r>
      <w:r w:rsidR="00301A08" w:rsidRPr="00737236">
        <w:t xml:space="preserve">: </w:t>
      </w:r>
    </w:p>
    <w:p w14:paraId="33C88038" w14:textId="77777777" w:rsidR="00301A08" w:rsidRPr="00737236" w:rsidRDefault="00301A08" w:rsidP="00301A08"/>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820"/>
        <w:gridCol w:w="821"/>
        <w:gridCol w:w="820"/>
        <w:gridCol w:w="821"/>
        <w:gridCol w:w="1810"/>
      </w:tblGrid>
      <w:tr w:rsidR="00301A08" w:rsidRPr="00737236" w14:paraId="3F4E1631" w14:textId="77777777" w:rsidTr="00B80723">
        <w:trPr>
          <w:cantSplit/>
          <w:trHeight w:val="20"/>
        </w:trPr>
        <w:tc>
          <w:tcPr>
            <w:tcW w:w="2192" w:type="pct"/>
            <w:vAlign w:val="center"/>
          </w:tcPr>
          <w:p w14:paraId="2DEBBD49" w14:textId="77777777" w:rsidR="00301A08" w:rsidRPr="00737236" w:rsidRDefault="00301A08" w:rsidP="006628A7">
            <w:pPr>
              <w:keepLines/>
              <w:rPr>
                <w:rFonts w:ascii="Arial Narrow" w:hAnsi="Arial Narrow"/>
                <w:b/>
                <w:bCs/>
                <w:sz w:val="20"/>
                <w:szCs w:val="20"/>
              </w:rPr>
            </w:pPr>
            <w:r w:rsidRPr="00737236">
              <w:rPr>
                <w:rFonts w:ascii="Arial Narrow" w:hAnsi="Arial Narrow"/>
                <w:b/>
                <w:bCs/>
                <w:sz w:val="20"/>
                <w:szCs w:val="20"/>
              </w:rPr>
              <w:t>MEDICINAL PRODUCT</w:t>
            </w:r>
          </w:p>
          <w:p w14:paraId="47C9644C" w14:textId="77777777" w:rsidR="00301A08" w:rsidRPr="00737236" w:rsidRDefault="00301A08" w:rsidP="006628A7">
            <w:pPr>
              <w:keepLines/>
              <w:rPr>
                <w:rFonts w:ascii="Arial Narrow" w:hAnsi="Arial Narrow"/>
                <w:b/>
                <w:sz w:val="20"/>
                <w:szCs w:val="20"/>
              </w:rPr>
            </w:pPr>
            <w:r w:rsidRPr="00737236">
              <w:rPr>
                <w:rFonts w:ascii="Arial Narrow" w:hAnsi="Arial Narrow"/>
                <w:b/>
                <w:bCs/>
                <w:sz w:val="20"/>
                <w:szCs w:val="20"/>
              </w:rPr>
              <w:t>medicinal product pack</w:t>
            </w:r>
          </w:p>
        </w:tc>
        <w:tc>
          <w:tcPr>
            <w:tcW w:w="452" w:type="pct"/>
            <w:vAlign w:val="center"/>
          </w:tcPr>
          <w:p w14:paraId="14199C17"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PBS item code</w:t>
            </w:r>
          </w:p>
        </w:tc>
        <w:tc>
          <w:tcPr>
            <w:tcW w:w="453" w:type="pct"/>
            <w:vAlign w:val="center"/>
          </w:tcPr>
          <w:p w14:paraId="3585E816"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Max. qty packs</w:t>
            </w:r>
          </w:p>
        </w:tc>
        <w:tc>
          <w:tcPr>
            <w:tcW w:w="452" w:type="pct"/>
            <w:vAlign w:val="center"/>
          </w:tcPr>
          <w:p w14:paraId="6D2563A3"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Max. qty units</w:t>
            </w:r>
          </w:p>
        </w:tc>
        <w:tc>
          <w:tcPr>
            <w:tcW w:w="453" w:type="pct"/>
            <w:vAlign w:val="center"/>
          </w:tcPr>
          <w:p w14:paraId="4E6C67A3" w14:textId="77777777" w:rsidR="00301A08" w:rsidRPr="00737236" w:rsidRDefault="00301A08" w:rsidP="006628A7">
            <w:pPr>
              <w:keepLines/>
              <w:jc w:val="center"/>
              <w:rPr>
                <w:rFonts w:ascii="Arial Narrow" w:hAnsi="Arial Narrow"/>
                <w:b/>
                <w:sz w:val="20"/>
                <w:szCs w:val="20"/>
              </w:rPr>
            </w:pPr>
            <w:proofErr w:type="gramStart"/>
            <w:r w:rsidRPr="00737236">
              <w:rPr>
                <w:rFonts w:ascii="Arial Narrow" w:hAnsi="Arial Narrow"/>
                <w:b/>
                <w:sz w:val="20"/>
                <w:szCs w:val="20"/>
              </w:rPr>
              <w:t>№.of</w:t>
            </w:r>
            <w:proofErr w:type="gramEnd"/>
          </w:p>
          <w:p w14:paraId="2FD0C922" w14:textId="77777777" w:rsidR="00301A08" w:rsidRPr="00737236" w:rsidRDefault="00301A08" w:rsidP="006628A7">
            <w:pPr>
              <w:keepLines/>
              <w:jc w:val="center"/>
              <w:rPr>
                <w:rFonts w:ascii="Arial Narrow" w:hAnsi="Arial Narrow"/>
                <w:b/>
                <w:sz w:val="20"/>
                <w:szCs w:val="20"/>
              </w:rPr>
            </w:pPr>
            <w:r w:rsidRPr="00737236">
              <w:rPr>
                <w:rFonts w:ascii="Arial Narrow" w:hAnsi="Arial Narrow"/>
                <w:b/>
                <w:sz w:val="20"/>
                <w:szCs w:val="20"/>
              </w:rPr>
              <w:t>Rpts</w:t>
            </w:r>
          </w:p>
        </w:tc>
        <w:tc>
          <w:tcPr>
            <w:tcW w:w="998" w:type="pct"/>
            <w:vAlign w:val="center"/>
          </w:tcPr>
          <w:p w14:paraId="77C0ECEC" w14:textId="77777777" w:rsidR="00301A08" w:rsidRPr="00737236" w:rsidRDefault="00301A08" w:rsidP="006628A7">
            <w:pPr>
              <w:keepLines/>
              <w:rPr>
                <w:rFonts w:ascii="Arial Narrow" w:hAnsi="Arial Narrow"/>
                <w:b/>
                <w:sz w:val="20"/>
                <w:szCs w:val="20"/>
                <w:lang w:val="fr-FR"/>
              </w:rPr>
            </w:pPr>
            <w:r w:rsidRPr="00737236">
              <w:rPr>
                <w:rFonts w:ascii="Arial Narrow" w:hAnsi="Arial Narrow"/>
                <w:b/>
                <w:sz w:val="20"/>
                <w:szCs w:val="20"/>
              </w:rPr>
              <w:t>Available brands</w:t>
            </w:r>
          </w:p>
        </w:tc>
      </w:tr>
      <w:tr w:rsidR="00301A08" w:rsidRPr="00737236" w14:paraId="339F4BA6" w14:textId="77777777" w:rsidTr="00B80723">
        <w:trPr>
          <w:cantSplit/>
          <w:trHeight w:val="20"/>
        </w:trPr>
        <w:tc>
          <w:tcPr>
            <w:tcW w:w="5000" w:type="pct"/>
            <w:gridSpan w:val="6"/>
            <w:vAlign w:val="center"/>
          </w:tcPr>
          <w:p w14:paraId="31B62467"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w:t>
            </w:r>
          </w:p>
        </w:tc>
      </w:tr>
      <w:tr w:rsidR="00301A08" w:rsidRPr="00737236" w14:paraId="12855713" w14:textId="77777777" w:rsidTr="00B80723">
        <w:trPr>
          <w:cantSplit/>
          <w:trHeight w:val="20"/>
        </w:trPr>
        <w:tc>
          <w:tcPr>
            <w:tcW w:w="2192" w:type="pct"/>
            <w:vAlign w:val="center"/>
          </w:tcPr>
          <w:p w14:paraId="0125FD0B"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 xml:space="preserve">mavacamten 2.5 mg capsule, 28 </w:t>
            </w:r>
          </w:p>
        </w:tc>
        <w:tc>
          <w:tcPr>
            <w:tcW w:w="452" w:type="pct"/>
            <w:vAlign w:val="center"/>
          </w:tcPr>
          <w:p w14:paraId="29694B6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53" w:type="pct"/>
            <w:vAlign w:val="center"/>
          </w:tcPr>
          <w:p w14:paraId="477DFE3D"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52" w:type="pct"/>
            <w:vAlign w:val="center"/>
          </w:tcPr>
          <w:p w14:paraId="478F575E"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53" w:type="pct"/>
            <w:vAlign w:val="center"/>
          </w:tcPr>
          <w:p w14:paraId="6117943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998" w:type="pct"/>
            <w:vAlign w:val="center"/>
          </w:tcPr>
          <w:p w14:paraId="609D6DAC"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575DA8AF" w14:textId="77777777" w:rsidTr="00B80723">
        <w:trPr>
          <w:cantSplit/>
          <w:trHeight w:val="20"/>
        </w:trPr>
        <w:tc>
          <w:tcPr>
            <w:tcW w:w="2192" w:type="pct"/>
            <w:vAlign w:val="center"/>
          </w:tcPr>
          <w:p w14:paraId="206A237C"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5 mg capsule, 28</w:t>
            </w:r>
          </w:p>
        </w:tc>
        <w:tc>
          <w:tcPr>
            <w:tcW w:w="452" w:type="pct"/>
            <w:vAlign w:val="center"/>
          </w:tcPr>
          <w:p w14:paraId="22E00CA3"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53" w:type="pct"/>
            <w:vAlign w:val="center"/>
          </w:tcPr>
          <w:p w14:paraId="085192B9"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52" w:type="pct"/>
            <w:vAlign w:val="center"/>
          </w:tcPr>
          <w:p w14:paraId="3C767DF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53" w:type="pct"/>
            <w:vAlign w:val="center"/>
          </w:tcPr>
          <w:p w14:paraId="28CABCB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998" w:type="pct"/>
            <w:vAlign w:val="center"/>
          </w:tcPr>
          <w:p w14:paraId="04B60EAD"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073ECF37" w14:textId="77777777" w:rsidTr="00B80723">
        <w:trPr>
          <w:cantSplit/>
          <w:trHeight w:val="20"/>
        </w:trPr>
        <w:tc>
          <w:tcPr>
            <w:tcW w:w="2192" w:type="pct"/>
            <w:vAlign w:val="center"/>
          </w:tcPr>
          <w:p w14:paraId="3F1D375D"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10 mg capsule, 28</w:t>
            </w:r>
          </w:p>
        </w:tc>
        <w:tc>
          <w:tcPr>
            <w:tcW w:w="452" w:type="pct"/>
            <w:vAlign w:val="center"/>
          </w:tcPr>
          <w:p w14:paraId="5EE1B2F1"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53" w:type="pct"/>
            <w:vAlign w:val="center"/>
          </w:tcPr>
          <w:p w14:paraId="139A9E52"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52" w:type="pct"/>
            <w:vAlign w:val="center"/>
          </w:tcPr>
          <w:p w14:paraId="2DB8704E"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53" w:type="pct"/>
            <w:vAlign w:val="center"/>
          </w:tcPr>
          <w:p w14:paraId="17B922E0"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998" w:type="pct"/>
            <w:vAlign w:val="center"/>
          </w:tcPr>
          <w:p w14:paraId="347BAA3E"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54C40CCB" w14:textId="77777777" w:rsidTr="00B80723">
        <w:trPr>
          <w:cantSplit/>
          <w:trHeight w:val="20"/>
        </w:trPr>
        <w:tc>
          <w:tcPr>
            <w:tcW w:w="2192" w:type="pct"/>
            <w:vAlign w:val="center"/>
          </w:tcPr>
          <w:p w14:paraId="0FA0176C"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mavacamten 15 mg capsule, 28</w:t>
            </w:r>
          </w:p>
        </w:tc>
        <w:tc>
          <w:tcPr>
            <w:tcW w:w="452" w:type="pct"/>
            <w:vAlign w:val="center"/>
          </w:tcPr>
          <w:p w14:paraId="0BAF44AF"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NEW</w:t>
            </w:r>
          </w:p>
        </w:tc>
        <w:tc>
          <w:tcPr>
            <w:tcW w:w="453" w:type="pct"/>
            <w:vAlign w:val="center"/>
          </w:tcPr>
          <w:p w14:paraId="5DEA94C3"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1</w:t>
            </w:r>
          </w:p>
        </w:tc>
        <w:tc>
          <w:tcPr>
            <w:tcW w:w="452" w:type="pct"/>
            <w:vAlign w:val="center"/>
          </w:tcPr>
          <w:p w14:paraId="0B59D69C"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28</w:t>
            </w:r>
          </w:p>
        </w:tc>
        <w:tc>
          <w:tcPr>
            <w:tcW w:w="453" w:type="pct"/>
            <w:vAlign w:val="center"/>
          </w:tcPr>
          <w:p w14:paraId="108AC304" w14:textId="77777777" w:rsidR="00301A08" w:rsidRPr="00737236" w:rsidRDefault="00301A08" w:rsidP="006628A7">
            <w:pPr>
              <w:keepLines/>
              <w:jc w:val="center"/>
              <w:rPr>
                <w:rFonts w:ascii="Arial Narrow" w:hAnsi="Arial Narrow"/>
                <w:sz w:val="20"/>
                <w:szCs w:val="20"/>
              </w:rPr>
            </w:pPr>
            <w:r w:rsidRPr="00737236">
              <w:rPr>
                <w:rFonts w:ascii="Arial Narrow" w:hAnsi="Arial Narrow"/>
                <w:sz w:val="20"/>
                <w:szCs w:val="20"/>
              </w:rPr>
              <w:t>5</w:t>
            </w:r>
          </w:p>
        </w:tc>
        <w:tc>
          <w:tcPr>
            <w:tcW w:w="998" w:type="pct"/>
            <w:vAlign w:val="center"/>
          </w:tcPr>
          <w:p w14:paraId="3668279A" w14:textId="77777777" w:rsidR="00301A08" w:rsidRPr="00737236" w:rsidRDefault="00301A08" w:rsidP="006628A7">
            <w:pPr>
              <w:keepLines/>
              <w:rPr>
                <w:rFonts w:ascii="Arial Narrow" w:hAnsi="Arial Narrow"/>
                <w:sz w:val="20"/>
                <w:szCs w:val="20"/>
              </w:rPr>
            </w:pPr>
            <w:r w:rsidRPr="00737236">
              <w:rPr>
                <w:rFonts w:ascii="Arial Narrow" w:hAnsi="Arial Narrow"/>
                <w:sz w:val="20"/>
                <w:szCs w:val="20"/>
              </w:rPr>
              <w:t>Camzyos®</w:t>
            </w:r>
          </w:p>
        </w:tc>
      </w:tr>
      <w:tr w:rsidR="00301A08" w:rsidRPr="00737236" w14:paraId="290D3930"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02BBD63" w14:textId="77777777" w:rsidR="00301A08" w:rsidRPr="00737236" w:rsidRDefault="00301A08" w:rsidP="006628A7">
            <w:pPr>
              <w:rPr>
                <w:rFonts w:ascii="Arial Narrow" w:hAnsi="Arial Narrow"/>
                <w:sz w:val="20"/>
                <w:szCs w:val="20"/>
              </w:rPr>
            </w:pPr>
          </w:p>
        </w:tc>
      </w:tr>
      <w:tr w:rsidR="00301A08" w:rsidRPr="00737236" w14:paraId="6B7EDD24"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7B579F15" w14:textId="77777777" w:rsidR="00301A08" w:rsidRPr="00737236" w:rsidRDefault="00301A08" w:rsidP="006628A7">
            <w:pPr>
              <w:keepLines/>
              <w:rPr>
                <w:rFonts w:ascii="Arial Narrow" w:hAnsi="Arial Narrow"/>
                <w:b/>
                <w:sz w:val="20"/>
                <w:szCs w:val="20"/>
              </w:rPr>
            </w:pPr>
            <w:r w:rsidRPr="00737236">
              <w:rPr>
                <w:rFonts w:ascii="Arial Narrow" w:hAnsi="Arial Narrow"/>
                <w:b/>
                <w:sz w:val="20"/>
                <w:szCs w:val="20"/>
              </w:rPr>
              <w:t xml:space="preserve">Restriction Summary [new 1] / Treatment of Concept: [new 2] </w:t>
            </w:r>
          </w:p>
        </w:tc>
      </w:tr>
      <w:tr w:rsidR="00B80723" w:rsidRPr="00737236" w14:paraId="64E599F7"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B63F61E" w14:textId="77777777" w:rsidR="00B80723" w:rsidRPr="00737236" w:rsidRDefault="00B80723" w:rsidP="006628A7">
            <w:pPr>
              <w:keepLines/>
              <w:rPr>
                <w:rFonts w:ascii="Arial Narrow" w:hAnsi="Arial Narrow"/>
                <w:sz w:val="20"/>
                <w:szCs w:val="20"/>
              </w:rPr>
            </w:pPr>
            <w:r w:rsidRPr="00737236">
              <w:rPr>
                <w:rFonts w:ascii="Arial Narrow" w:hAnsi="Arial Narrow"/>
                <w:b/>
                <w:sz w:val="20"/>
                <w:szCs w:val="20"/>
              </w:rPr>
              <w:t xml:space="preserve">Category / Program: </w:t>
            </w:r>
            <w:r w:rsidRPr="00737236">
              <w:rPr>
                <w:rFonts w:ascii="Arial Narrow" w:hAnsi="Arial Narrow"/>
                <w:sz w:val="20"/>
                <w:szCs w:val="20"/>
              </w:rPr>
              <w:t>GENERAL – General Schedule (Code GE)</w:t>
            </w:r>
            <w:r w:rsidRPr="00737236">
              <w:rPr>
                <w:rFonts w:ascii="Arial Narrow" w:hAnsi="Arial Narrow"/>
                <w:color w:val="FF0000"/>
                <w:sz w:val="20"/>
                <w:szCs w:val="20"/>
              </w:rPr>
              <w:t xml:space="preserve"> </w:t>
            </w:r>
          </w:p>
        </w:tc>
      </w:tr>
      <w:tr w:rsidR="00B80723" w:rsidRPr="00737236" w14:paraId="4CBC276E"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47EBA41" w14:textId="77777777" w:rsidR="00B80723" w:rsidRPr="00737236" w:rsidRDefault="00B80723" w:rsidP="006628A7">
            <w:pPr>
              <w:keepLines/>
              <w:rPr>
                <w:rFonts w:ascii="Arial Narrow" w:hAnsi="Arial Narrow"/>
                <w:b/>
                <w:sz w:val="20"/>
                <w:szCs w:val="20"/>
              </w:rPr>
            </w:pPr>
            <w:r w:rsidRPr="00737236">
              <w:rPr>
                <w:rFonts w:ascii="Arial Narrow" w:hAnsi="Arial Narrow"/>
                <w:b/>
                <w:sz w:val="20"/>
                <w:szCs w:val="20"/>
              </w:rPr>
              <w:t xml:space="preserve">Prescriber type: </w:t>
            </w:r>
            <w:r w:rsidRPr="00737236">
              <w:rPr>
                <w:rFonts w:ascii="Arial Narrow" w:hAnsi="Arial Narrow"/>
                <w:sz w:val="20"/>
                <w:szCs w:val="20"/>
              </w:rPr>
              <w:fldChar w:fldCharType="begin">
                <w:ffData>
                  <w:name w:val=""/>
                  <w:enabled/>
                  <w:calcOnExit w:val="0"/>
                  <w:checkBox>
                    <w:sizeAuto/>
                    <w:default w:val="1"/>
                  </w:checkBox>
                </w:ffData>
              </w:fldChar>
            </w:r>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r w:rsidRPr="00737236">
              <w:rPr>
                <w:rFonts w:ascii="Arial Narrow" w:hAnsi="Arial Narrow"/>
                <w:sz w:val="20"/>
                <w:szCs w:val="20"/>
              </w:rPr>
              <w:t xml:space="preserve">Medical Practitioners </w:t>
            </w:r>
            <w:r w:rsidRPr="00737236">
              <w:rPr>
                <w:rFonts w:ascii="Arial Narrow" w:hAnsi="Arial Narrow"/>
                <w:sz w:val="20"/>
                <w:szCs w:val="20"/>
              </w:rPr>
              <w:fldChar w:fldCharType="begin">
                <w:ffData>
                  <w:name w:val="Check3"/>
                  <w:enabled/>
                  <w:calcOnExit w:val="0"/>
                  <w:checkBox>
                    <w:sizeAuto/>
                    <w:default w:val="1"/>
                  </w:checkBox>
                </w:ffData>
              </w:fldChar>
            </w:r>
            <w:bookmarkStart w:id="24" w:name="Check3"/>
            <w:r w:rsidRPr="00737236">
              <w:rPr>
                <w:rFonts w:ascii="Arial Narrow" w:hAnsi="Arial Narrow"/>
                <w:sz w:val="20"/>
                <w:szCs w:val="20"/>
              </w:rPr>
              <w:instrText xml:space="preserve"> FORMCHECKBOX </w:instrText>
            </w:r>
            <w:r w:rsidR="00F84C70">
              <w:rPr>
                <w:rFonts w:ascii="Arial Narrow" w:hAnsi="Arial Narrow"/>
                <w:sz w:val="20"/>
                <w:szCs w:val="20"/>
              </w:rPr>
            </w:r>
            <w:r w:rsidR="00F84C70">
              <w:rPr>
                <w:rFonts w:ascii="Arial Narrow" w:hAnsi="Arial Narrow"/>
                <w:sz w:val="20"/>
                <w:szCs w:val="20"/>
              </w:rPr>
              <w:fldChar w:fldCharType="separate"/>
            </w:r>
            <w:r w:rsidRPr="00737236">
              <w:rPr>
                <w:rFonts w:ascii="Arial Narrow" w:hAnsi="Arial Narrow"/>
                <w:sz w:val="20"/>
                <w:szCs w:val="20"/>
              </w:rPr>
              <w:fldChar w:fldCharType="end"/>
            </w:r>
            <w:bookmarkEnd w:id="24"/>
            <w:r w:rsidRPr="00737236">
              <w:rPr>
                <w:rFonts w:ascii="Arial Narrow" w:hAnsi="Arial Narrow"/>
                <w:sz w:val="20"/>
                <w:szCs w:val="20"/>
              </w:rPr>
              <w:t xml:space="preserve">Nurse practitioners </w:t>
            </w:r>
          </w:p>
        </w:tc>
      </w:tr>
      <w:tr w:rsidR="00B80723" w:rsidRPr="00737236" w14:paraId="17CC3565"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04A91E8" w14:textId="77777777" w:rsidR="00B80723" w:rsidRPr="00737236" w:rsidRDefault="00B80723" w:rsidP="006628A7">
            <w:pPr>
              <w:rPr>
                <w:rFonts w:ascii="Arial Narrow" w:eastAsia="Calibri" w:hAnsi="Arial Narrow"/>
                <w:color w:val="FF0000"/>
                <w:sz w:val="20"/>
                <w:szCs w:val="20"/>
              </w:rPr>
            </w:pPr>
            <w:r w:rsidRPr="00737236">
              <w:rPr>
                <w:rFonts w:ascii="Arial Narrow" w:hAnsi="Arial Narrow"/>
                <w:b/>
                <w:sz w:val="20"/>
                <w:szCs w:val="20"/>
              </w:rPr>
              <w:t xml:space="preserve">Restriction Type: </w:t>
            </w:r>
            <w:r w:rsidRPr="00737236">
              <w:rPr>
                <w:rFonts w:ascii="Arial Narrow" w:eastAsia="Calibri" w:hAnsi="Arial Narrow"/>
                <w:sz w:val="20"/>
                <w:szCs w:val="20"/>
              </w:rPr>
              <w:fldChar w:fldCharType="begin">
                <w:ffData>
                  <w:name w:val=""/>
                  <w:enabled/>
                  <w:calcOnExit w:val="0"/>
                  <w:checkBox>
                    <w:sizeAuto/>
                    <w:default w:val="1"/>
                  </w:checkBox>
                </w:ffData>
              </w:fldChar>
            </w:r>
            <w:r w:rsidRPr="00737236">
              <w:rPr>
                <w:rFonts w:ascii="Arial Narrow" w:eastAsia="Calibri" w:hAnsi="Arial Narrow"/>
                <w:sz w:val="20"/>
                <w:szCs w:val="20"/>
              </w:rPr>
              <w:instrText xml:space="preserve"> FORMCHECKBOX </w:instrText>
            </w:r>
            <w:r w:rsidR="00F84C70">
              <w:rPr>
                <w:rFonts w:ascii="Arial Narrow" w:eastAsia="Calibri" w:hAnsi="Arial Narrow"/>
                <w:sz w:val="20"/>
                <w:szCs w:val="20"/>
              </w:rPr>
            </w:r>
            <w:r w:rsidR="00F84C70">
              <w:rPr>
                <w:rFonts w:ascii="Arial Narrow" w:eastAsia="Calibri" w:hAnsi="Arial Narrow"/>
                <w:sz w:val="20"/>
                <w:szCs w:val="20"/>
              </w:rPr>
              <w:fldChar w:fldCharType="separate"/>
            </w:r>
            <w:r w:rsidRPr="00737236">
              <w:rPr>
                <w:rFonts w:ascii="Arial Narrow" w:eastAsia="Calibri" w:hAnsi="Arial Narrow"/>
                <w:sz w:val="20"/>
                <w:szCs w:val="20"/>
              </w:rPr>
              <w:fldChar w:fldCharType="end"/>
            </w:r>
            <w:r w:rsidRPr="00737236">
              <w:rPr>
                <w:rFonts w:ascii="Arial Narrow" w:eastAsia="Calibri" w:hAnsi="Arial Narrow"/>
                <w:sz w:val="20"/>
                <w:szCs w:val="20"/>
              </w:rPr>
              <w:t>Authority Required – immediate/real time assessment by Services Australia (telephone/online application avenues)</w:t>
            </w:r>
          </w:p>
        </w:tc>
      </w:tr>
      <w:tr w:rsidR="00B80723" w:rsidRPr="00737236" w14:paraId="56E279D6"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9F51068" w14:textId="77777777" w:rsidR="00B80723" w:rsidRPr="00737236" w:rsidRDefault="00B80723" w:rsidP="006628A7">
            <w:pPr>
              <w:rPr>
                <w:rFonts w:ascii="Arial Narrow" w:hAnsi="Arial Narrow"/>
                <w:color w:val="333333"/>
                <w:sz w:val="20"/>
                <w:szCs w:val="20"/>
              </w:rPr>
            </w:pPr>
            <w:r w:rsidRPr="00737236">
              <w:rPr>
                <w:rFonts w:ascii="Arial Narrow" w:hAnsi="Arial Narrow"/>
                <w:b/>
                <w:bCs/>
                <w:color w:val="333333"/>
                <w:sz w:val="20"/>
                <w:szCs w:val="20"/>
              </w:rPr>
              <w:t>Administrative Advice:</w:t>
            </w:r>
          </w:p>
          <w:p w14:paraId="19832300" w14:textId="77777777" w:rsidR="00B80723" w:rsidRPr="00737236" w:rsidRDefault="00B80723" w:rsidP="006628A7">
            <w:pPr>
              <w:rPr>
                <w:rFonts w:ascii="Arial Narrow" w:hAnsi="Arial Narrow"/>
                <w:color w:val="333333"/>
                <w:sz w:val="20"/>
                <w:szCs w:val="20"/>
              </w:rPr>
            </w:pPr>
            <w:r w:rsidRPr="00737236">
              <w:rPr>
                <w:rFonts w:ascii="Arial Narrow" w:hAnsi="Arial Narrow"/>
                <w:color w:val="333333"/>
                <w:sz w:val="20"/>
                <w:szCs w:val="20"/>
              </w:rPr>
              <w:t>No increase in the maximum quantity or number of units may be authorised.</w:t>
            </w:r>
          </w:p>
        </w:tc>
      </w:tr>
      <w:tr w:rsidR="00B80723" w:rsidRPr="00737236" w14:paraId="65F9B3C5"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A72D98E" w14:textId="77777777" w:rsidR="00B80723" w:rsidRPr="00737236" w:rsidRDefault="00B80723" w:rsidP="006628A7">
            <w:pPr>
              <w:rPr>
                <w:rFonts w:ascii="Arial Narrow" w:hAnsi="Arial Narrow"/>
                <w:color w:val="333333"/>
                <w:sz w:val="20"/>
                <w:szCs w:val="20"/>
              </w:rPr>
            </w:pPr>
            <w:r w:rsidRPr="00737236">
              <w:rPr>
                <w:rFonts w:ascii="Arial Narrow" w:hAnsi="Arial Narrow"/>
                <w:b/>
                <w:bCs/>
                <w:color w:val="333333"/>
                <w:sz w:val="20"/>
                <w:szCs w:val="20"/>
              </w:rPr>
              <w:t>Administrative Advice:</w:t>
            </w:r>
          </w:p>
          <w:p w14:paraId="7310C8F1" w14:textId="77777777" w:rsidR="00B80723" w:rsidRPr="00737236" w:rsidRDefault="00B80723" w:rsidP="006628A7">
            <w:pPr>
              <w:rPr>
                <w:rFonts w:ascii="Arial Narrow" w:hAnsi="Arial Narrow"/>
                <w:b/>
                <w:bCs/>
                <w:color w:val="333333"/>
                <w:sz w:val="20"/>
                <w:szCs w:val="20"/>
              </w:rPr>
            </w:pPr>
            <w:r w:rsidRPr="00737236">
              <w:rPr>
                <w:rFonts w:ascii="Arial Narrow" w:hAnsi="Arial Narrow"/>
                <w:color w:val="333333"/>
                <w:sz w:val="20"/>
                <w:szCs w:val="20"/>
              </w:rPr>
              <w:t>No increase in the maximum number of repeats may be authorised</w:t>
            </w:r>
          </w:p>
        </w:tc>
      </w:tr>
      <w:tr w:rsidR="00B80723" w:rsidRPr="00737236" w14:paraId="43C1E281"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75B1998"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5CF1CFE8" w14:textId="77777777" w:rsidR="00B80723" w:rsidRPr="00737236" w:rsidRDefault="00B80723" w:rsidP="006628A7">
            <w:pPr>
              <w:rPr>
                <w:rFonts w:ascii="Arial Narrow" w:hAnsi="Arial Narrow"/>
                <w:color w:val="333333"/>
                <w:sz w:val="20"/>
                <w:szCs w:val="20"/>
              </w:rPr>
            </w:pPr>
            <w:r w:rsidRPr="00737236">
              <w:rPr>
                <w:rFonts w:ascii="Arial Narrow" w:hAnsi="Arial Narrow"/>
                <w:color w:val="333333"/>
                <w:sz w:val="20"/>
                <w:szCs w:val="20"/>
              </w:rPr>
              <w:t>Special Pricing Arrangements apply.</w:t>
            </w:r>
          </w:p>
        </w:tc>
      </w:tr>
      <w:tr w:rsidR="00B80723" w:rsidRPr="00737236" w14:paraId="0E43DC2C" w14:textId="77777777" w:rsidTr="00B8072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20C383F"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09D6BE01" w14:textId="77777777" w:rsidR="00B80723" w:rsidRPr="00737236" w:rsidRDefault="00B80723" w:rsidP="006628A7">
            <w:pPr>
              <w:rPr>
                <w:rFonts w:ascii="Arial Narrow" w:hAnsi="Arial Narrow"/>
                <w:b/>
                <w:bCs/>
                <w:color w:val="333333"/>
                <w:sz w:val="20"/>
                <w:szCs w:val="20"/>
              </w:rPr>
            </w:pPr>
            <w:r w:rsidRPr="00737236">
              <w:rPr>
                <w:rFonts w:ascii="Arial Narrow" w:hAnsi="Arial Narrow"/>
                <w:color w:val="333333"/>
                <w:sz w:val="20"/>
                <w:szCs w:val="20"/>
              </w:rPr>
              <w:t>Confirmation of eligibility for treatment with diagnostic reports must be documented in the patient’s medical records.</w:t>
            </w:r>
          </w:p>
        </w:tc>
      </w:tr>
      <w:tr w:rsidR="00B80723" w:rsidRPr="00737236" w14:paraId="7414C9CF" w14:textId="77777777" w:rsidTr="00B80723">
        <w:tblPrEx>
          <w:tblCellMar>
            <w:top w:w="15" w:type="dxa"/>
            <w:bottom w:w="15" w:type="dxa"/>
          </w:tblCellMar>
          <w:tblLook w:val="04A0" w:firstRow="1" w:lastRow="0" w:firstColumn="1" w:lastColumn="0" w:noHBand="0" w:noVBand="1"/>
        </w:tblPrEx>
        <w:trPr>
          <w:cantSplit/>
          <w:trHeight w:val="116"/>
        </w:trPr>
        <w:tc>
          <w:tcPr>
            <w:tcW w:w="5000" w:type="pct"/>
            <w:gridSpan w:val="6"/>
            <w:vAlign w:val="center"/>
          </w:tcPr>
          <w:p w14:paraId="14FA38DE"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5E645525" w14:textId="77777777" w:rsidR="00B80723" w:rsidRPr="00737236" w:rsidRDefault="00B80723" w:rsidP="006628A7">
            <w:pPr>
              <w:keepLines/>
              <w:rPr>
                <w:rFonts w:ascii="Arial Narrow" w:hAnsi="Arial Narrow"/>
                <w:bCs/>
                <w:color w:val="333333"/>
                <w:sz w:val="20"/>
                <w:szCs w:val="20"/>
              </w:rPr>
            </w:pPr>
            <w:r w:rsidRPr="00737236">
              <w:rPr>
                <w:rFonts w:ascii="Arial Narrow" w:hAnsi="Arial Narrow"/>
                <w:bCs/>
                <w:color w:val="333333"/>
                <w:sz w:val="20"/>
                <w:szCs w:val="20"/>
              </w:rPr>
              <w:t>Continuing Therapy Only:</w:t>
            </w:r>
          </w:p>
          <w:p w14:paraId="4A2344A2" w14:textId="77777777" w:rsidR="00B80723" w:rsidRPr="00737236" w:rsidRDefault="00B80723" w:rsidP="006628A7">
            <w:pPr>
              <w:keepLines/>
              <w:rPr>
                <w:rFonts w:ascii="Arial Narrow" w:hAnsi="Arial Narrow"/>
                <w:bCs/>
                <w:color w:val="333333"/>
                <w:sz w:val="20"/>
                <w:szCs w:val="20"/>
              </w:rPr>
            </w:pPr>
          </w:p>
          <w:p w14:paraId="460CCCAC" w14:textId="77777777" w:rsidR="00B80723" w:rsidRPr="00737236" w:rsidRDefault="00B80723" w:rsidP="006628A7">
            <w:pPr>
              <w:keepLines/>
              <w:rPr>
                <w:rFonts w:ascii="Arial Narrow" w:hAnsi="Arial Narrow"/>
                <w:bCs/>
                <w:color w:val="333333"/>
                <w:sz w:val="20"/>
                <w:szCs w:val="20"/>
              </w:rPr>
            </w:pPr>
            <w:r w:rsidRPr="00737236">
              <w:rPr>
                <w:rFonts w:ascii="Arial Narrow" w:hAnsi="Arial Narrow"/>
                <w:bC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80723" w:rsidRPr="00737236" w14:paraId="10CAAD27" w14:textId="77777777" w:rsidTr="00B80723">
        <w:tblPrEx>
          <w:tblCellMar>
            <w:top w:w="15" w:type="dxa"/>
            <w:bottom w:w="15" w:type="dxa"/>
          </w:tblCellMar>
          <w:tblLook w:val="04A0" w:firstRow="1" w:lastRow="0" w:firstColumn="1" w:lastColumn="0" w:noHBand="0" w:noVBand="1"/>
        </w:tblPrEx>
        <w:trPr>
          <w:cantSplit/>
          <w:trHeight w:val="116"/>
        </w:trPr>
        <w:tc>
          <w:tcPr>
            <w:tcW w:w="5000" w:type="pct"/>
            <w:gridSpan w:val="6"/>
            <w:vAlign w:val="center"/>
          </w:tcPr>
          <w:p w14:paraId="3BCCE576"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 xml:space="preserve">Caution: </w:t>
            </w:r>
          </w:p>
          <w:p w14:paraId="3E8BB5CF" w14:textId="77777777" w:rsidR="00B80723" w:rsidRPr="00737236" w:rsidRDefault="00B80723" w:rsidP="006628A7">
            <w:pPr>
              <w:rPr>
                <w:rFonts w:ascii="Arial Narrow" w:hAnsi="Arial Narrow"/>
                <w:color w:val="333333"/>
                <w:sz w:val="20"/>
                <w:szCs w:val="20"/>
              </w:rPr>
            </w:pPr>
            <w:r w:rsidRPr="00737236">
              <w:rPr>
                <w:rFonts w:ascii="Arial Narrow" w:hAnsi="Arial Narrow"/>
                <w:color w:val="333333"/>
                <w:sz w:val="20"/>
                <w:szCs w:val="20"/>
              </w:rPr>
              <w:t xml:space="preserve">The patient’s condition should be assessed prior to receiving treatment and closely monitored throughout the treatment period. </w:t>
            </w:r>
          </w:p>
        </w:tc>
      </w:tr>
      <w:tr w:rsidR="00B80723" w:rsidRPr="00737236" w14:paraId="1892FF48"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8ABF998" w14:textId="77777777" w:rsidR="00B80723" w:rsidRPr="00737236" w:rsidRDefault="00B80723" w:rsidP="006628A7">
            <w:pPr>
              <w:keepLines/>
              <w:rPr>
                <w:rFonts w:ascii="Arial Narrow" w:hAnsi="Arial Narrow"/>
                <w:color w:val="333333"/>
                <w:sz w:val="20"/>
                <w:szCs w:val="20"/>
              </w:rPr>
            </w:pPr>
            <w:r w:rsidRPr="00737236">
              <w:rPr>
                <w:rFonts w:ascii="Arial Narrow" w:hAnsi="Arial Narrow"/>
                <w:b/>
                <w:bCs/>
                <w:color w:val="333333"/>
                <w:sz w:val="20"/>
                <w:szCs w:val="20"/>
              </w:rPr>
              <w:t>Indication:</w:t>
            </w:r>
            <w:r w:rsidRPr="00737236">
              <w:rPr>
                <w:rFonts w:ascii="Arial Narrow" w:hAnsi="Arial Narrow"/>
                <w:color w:val="333333"/>
                <w:sz w:val="20"/>
                <w:szCs w:val="20"/>
              </w:rPr>
              <w:t xml:space="preserve"> Symptomatic obstructive hypertrophic cardiomyopathy</w:t>
            </w:r>
          </w:p>
        </w:tc>
      </w:tr>
      <w:tr w:rsidR="00B80723" w:rsidRPr="00737236" w14:paraId="32062441"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52D32E5" w14:textId="77777777" w:rsidR="00B80723" w:rsidRPr="00737236" w:rsidRDefault="00B80723" w:rsidP="006628A7">
            <w:pPr>
              <w:keepLines/>
              <w:rPr>
                <w:rFonts w:ascii="Arial Narrow" w:hAnsi="Arial Narrow"/>
                <w:b/>
                <w:bCs/>
                <w:color w:val="333333"/>
                <w:sz w:val="20"/>
                <w:szCs w:val="20"/>
              </w:rPr>
            </w:pPr>
          </w:p>
        </w:tc>
      </w:tr>
      <w:tr w:rsidR="00B80723" w:rsidRPr="00737236" w14:paraId="554330C1"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57CF155"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Clinical criteria:</w:t>
            </w:r>
          </w:p>
        </w:tc>
      </w:tr>
      <w:tr w:rsidR="00B80723" w:rsidRPr="00737236" w14:paraId="55F17770"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B114931" w14:textId="77777777" w:rsidR="00B80723" w:rsidRPr="00737236" w:rsidRDefault="00B80723" w:rsidP="006628A7">
            <w:pPr>
              <w:keepLines/>
              <w:rPr>
                <w:rFonts w:ascii="Arial Narrow" w:hAnsi="Arial Narrow"/>
                <w:bCs/>
                <w:color w:val="333333"/>
                <w:sz w:val="20"/>
                <w:szCs w:val="20"/>
              </w:rPr>
            </w:pPr>
            <w:r w:rsidRPr="00737236">
              <w:rPr>
                <w:rFonts w:ascii="Arial Narrow" w:hAnsi="Arial Narrow"/>
                <w:bCs/>
                <w:color w:val="333333"/>
                <w:sz w:val="20"/>
                <w:szCs w:val="20"/>
              </w:rPr>
              <w:t xml:space="preserve">Patient must have confirmed left ventricular hypertrophy due to hypertrophic cardiomyopathy with maximal left ventricular wall thickness which is at least one of: </w:t>
            </w:r>
          </w:p>
          <w:p w14:paraId="31319B5E" w14:textId="77777777" w:rsidR="00B80723" w:rsidRPr="00737236" w:rsidRDefault="00B80723" w:rsidP="00EE280A">
            <w:pPr>
              <w:pStyle w:val="ListParagraph"/>
              <w:keepLines/>
              <w:numPr>
                <w:ilvl w:val="0"/>
                <w:numId w:val="19"/>
              </w:numPr>
              <w:spacing w:after="160" w:line="259" w:lineRule="auto"/>
              <w:contextualSpacing/>
              <w:jc w:val="left"/>
              <w:rPr>
                <w:rFonts w:ascii="Arial Narrow" w:hAnsi="Arial Narrow"/>
                <w:bCs/>
                <w:color w:val="333333"/>
                <w:sz w:val="20"/>
                <w:szCs w:val="20"/>
              </w:rPr>
            </w:pPr>
            <w:r w:rsidRPr="00737236">
              <w:rPr>
                <w:rFonts w:ascii="Arial Narrow" w:hAnsi="Arial Narrow"/>
                <w:bCs/>
                <w:color w:val="333333"/>
                <w:sz w:val="20"/>
                <w:szCs w:val="20"/>
              </w:rPr>
              <w:t xml:space="preserve">no less than 15 mm, </w:t>
            </w:r>
          </w:p>
          <w:p w14:paraId="57223253" w14:textId="1AA8DBF0" w:rsidR="00B80723" w:rsidRPr="00737236" w:rsidRDefault="00B80723" w:rsidP="00EE280A">
            <w:pPr>
              <w:pStyle w:val="ListParagraph"/>
              <w:keepLines/>
              <w:numPr>
                <w:ilvl w:val="0"/>
                <w:numId w:val="19"/>
              </w:numPr>
              <w:spacing w:after="0" w:line="259" w:lineRule="auto"/>
              <w:ind w:left="1077"/>
              <w:contextualSpacing/>
              <w:jc w:val="left"/>
              <w:rPr>
                <w:rFonts w:ascii="Arial Narrow" w:hAnsi="Arial Narrow"/>
                <w:b/>
                <w:bCs/>
                <w:color w:val="333333"/>
                <w:sz w:val="20"/>
                <w:szCs w:val="20"/>
              </w:rPr>
            </w:pPr>
            <w:r w:rsidRPr="00737236">
              <w:rPr>
                <w:rFonts w:ascii="Arial Narrow" w:hAnsi="Arial Narrow"/>
                <w:bCs/>
                <w:color w:val="333333"/>
                <w:sz w:val="20"/>
                <w:szCs w:val="20"/>
              </w:rPr>
              <w:t>no less than 13 mm if patient has familial hypertrophic cardiomyopathy</w:t>
            </w:r>
            <w:r w:rsidRPr="00737236">
              <w:rPr>
                <w:rFonts w:ascii="Arial Narrow" w:hAnsi="Arial Narrow"/>
                <w:b/>
                <w:bCs/>
                <w:color w:val="333333"/>
                <w:sz w:val="20"/>
                <w:szCs w:val="20"/>
              </w:rPr>
              <w:t xml:space="preserve"> </w:t>
            </w:r>
            <w:r w:rsidR="00D31136" w:rsidRPr="00111671">
              <w:rPr>
                <w:rFonts w:ascii="Arial Narrow" w:hAnsi="Arial Narrow"/>
                <w:i/>
                <w:iCs/>
                <w:color w:val="333333"/>
                <w:sz w:val="20"/>
                <w:szCs w:val="20"/>
              </w:rPr>
              <w:t>(at least one first degree relative with a diagnosis of hypertrophic cardiomyopathy)</w:t>
            </w:r>
          </w:p>
        </w:tc>
      </w:tr>
      <w:tr w:rsidR="00B80723" w:rsidRPr="00737236" w14:paraId="409358E3"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4342C46"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lastRenderedPageBreak/>
              <w:t>AND</w:t>
            </w:r>
          </w:p>
        </w:tc>
      </w:tr>
      <w:tr w:rsidR="00B80723" w:rsidRPr="00737236" w14:paraId="07564329"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616E4DA"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Clinical criteria:</w:t>
            </w:r>
          </w:p>
        </w:tc>
      </w:tr>
      <w:tr w:rsidR="00B80723" w:rsidRPr="00737236" w14:paraId="4A28ADBB"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AC251DE" w14:textId="77777777" w:rsidR="00B80723" w:rsidRPr="00737236" w:rsidRDefault="00B80723" w:rsidP="006628A7">
            <w:pPr>
              <w:keepLines/>
              <w:rPr>
                <w:rFonts w:ascii="Arial Narrow" w:hAnsi="Arial Narrow"/>
                <w:bCs/>
                <w:color w:val="333333"/>
                <w:sz w:val="20"/>
                <w:szCs w:val="20"/>
              </w:rPr>
            </w:pPr>
            <w:r w:rsidRPr="00737236">
              <w:rPr>
                <w:rFonts w:ascii="Arial Narrow" w:hAnsi="Arial Narrow"/>
                <w:bCs/>
                <w:color w:val="333333"/>
                <w:sz w:val="20"/>
                <w:szCs w:val="20"/>
              </w:rPr>
              <w:t xml:space="preserve">Patient must have confirmed peak left ventricular outflow tract (LVOT) gradient of no less than 50mm Hg, prior to commencing treatment with this drug which is measured </w:t>
            </w:r>
            <w:proofErr w:type="gramStart"/>
            <w:r w:rsidRPr="00737236">
              <w:rPr>
                <w:rFonts w:ascii="Arial Narrow" w:hAnsi="Arial Narrow"/>
                <w:bCs/>
                <w:color w:val="333333"/>
                <w:sz w:val="20"/>
                <w:szCs w:val="20"/>
              </w:rPr>
              <w:t>either</w:t>
            </w:r>
            <w:proofErr w:type="gramEnd"/>
            <w:r w:rsidRPr="00737236">
              <w:rPr>
                <w:rFonts w:ascii="Arial Narrow" w:hAnsi="Arial Narrow"/>
                <w:bCs/>
                <w:color w:val="333333"/>
                <w:sz w:val="20"/>
                <w:szCs w:val="20"/>
              </w:rPr>
              <w:t xml:space="preserve"> </w:t>
            </w:r>
          </w:p>
          <w:p w14:paraId="7BCB8591" w14:textId="77777777" w:rsidR="00B80723" w:rsidRPr="00737236" w:rsidRDefault="00B80723" w:rsidP="00EE280A">
            <w:pPr>
              <w:pStyle w:val="ListParagraph"/>
              <w:keepLines/>
              <w:numPr>
                <w:ilvl w:val="0"/>
                <w:numId w:val="15"/>
              </w:numPr>
              <w:spacing w:after="160" w:line="259" w:lineRule="auto"/>
              <w:contextualSpacing/>
              <w:jc w:val="left"/>
              <w:rPr>
                <w:rFonts w:ascii="Arial Narrow" w:hAnsi="Arial Narrow"/>
                <w:bCs/>
                <w:color w:val="333333"/>
                <w:sz w:val="20"/>
                <w:szCs w:val="20"/>
              </w:rPr>
            </w:pPr>
            <w:r w:rsidRPr="00737236">
              <w:rPr>
                <w:rFonts w:ascii="Arial Narrow" w:hAnsi="Arial Narrow"/>
                <w:bCs/>
                <w:color w:val="333333"/>
                <w:sz w:val="20"/>
                <w:szCs w:val="20"/>
              </w:rPr>
              <w:t xml:space="preserve">at rest, </w:t>
            </w:r>
          </w:p>
          <w:p w14:paraId="49CFF64C" w14:textId="77777777" w:rsidR="00B80723" w:rsidRPr="00737236" w:rsidRDefault="00B80723" w:rsidP="00EE280A">
            <w:pPr>
              <w:pStyle w:val="ListParagraph"/>
              <w:keepLines/>
              <w:numPr>
                <w:ilvl w:val="0"/>
                <w:numId w:val="15"/>
              </w:numPr>
              <w:spacing w:after="0" w:line="259" w:lineRule="auto"/>
              <w:ind w:left="1077"/>
              <w:contextualSpacing/>
              <w:jc w:val="left"/>
              <w:rPr>
                <w:rFonts w:ascii="Arial Narrow" w:hAnsi="Arial Narrow"/>
                <w:b/>
                <w:bCs/>
                <w:color w:val="333333"/>
                <w:sz w:val="20"/>
                <w:szCs w:val="20"/>
              </w:rPr>
            </w:pPr>
            <w:r w:rsidRPr="00737236">
              <w:rPr>
                <w:rFonts w:ascii="Arial Narrow" w:hAnsi="Arial Narrow"/>
                <w:bCs/>
                <w:color w:val="333333"/>
                <w:sz w:val="20"/>
                <w:szCs w:val="20"/>
              </w:rPr>
              <w:t>after provocation with at least one of (a) Valsalva manoeuvre, (b) exercise.</w:t>
            </w:r>
          </w:p>
        </w:tc>
      </w:tr>
      <w:tr w:rsidR="00B80723" w:rsidRPr="00737236" w14:paraId="2AEF8E53"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F646E7D"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AND</w:t>
            </w:r>
          </w:p>
        </w:tc>
      </w:tr>
      <w:tr w:rsidR="00B80723" w:rsidRPr="00737236" w14:paraId="1E9DCC2A"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3BE17A4"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Clinical criteria:</w:t>
            </w:r>
          </w:p>
        </w:tc>
      </w:tr>
      <w:tr w:rsidR="00B80723" w:rsidRPr="00737236" w14:paraId="0CEE67D5"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543966C" w14:textId="77777777" w:rsidR="00B80723" w:rsidRPr="00737236" w:rsidRDefault="00B80723" w:rsidP="006628A7">
            <w:pPr>
              <w:keepLines/>
              <w:rPr>
                <w:rFonts w:ascii="Arial Narrow" w:hAnsi="Arial Narrow"/>
                <w:b/>
                <w:color w:val="333333"/>
                <w:sz w:val="20"/>
                <w:szCs w:val="20"/>
              </w:rPr>
            </w:pPr>
            <w:r w:rsidRPr="00737236">
              <w:rPr>
                <w:rFonts w:ascii="Arial Narrow" w:hAnsi="Arial Narrow"/>
                <w:bCs/>
                <w:color w:val="333333"/>
                <w:sz w:val="20"/>
                <w:szCs w:val="20"/>
              </w:rPr>
              <w:t xml:space="preserve">Patient must have a documented left ventricular ejection fraction (LVEF) of no less than 55%, </w:t>
            </w:r>
          </w:p>
        </w:tc>
      </w:tr>
      <w:tr w:rsidR="00B80723" w:rsidRPr="00737236" w14:paraId="49B7126B"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C502563"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AND</w:t>
            </w:r>
          </w:p>
        </w:tc>
      </w:tr>
      <w:tr w:rsidR="00B80723" w:rsidRPr="00737236" w14:paraId="10EFA8B2"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4B7F99C"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Clinical criteria:</w:t>
            </w:r>
          </w:p>
        </w:tc>
      </w:tr>
      <w:tr w:rsidR="00B80723" w:rsidRPr="00737236" w14:paraId="61D5DCCB"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54E6DAD" w14:textId="5B0A4F9E" w:rsidR="00B80723" w:rsidRPr="00737236" w:rsidRDefault="00B80723" w:rsidP="006628A7">
            <w:pPr>
              <w:keepLines/>
              <w:rPr>
                <w:rFonts w:ascii="Arial Narrow" w:hAnsi="Arial Narrow"/>
                <w:color w:val="333333"/>
                <w:sz w:val="20"/>
                <w:szCs w:val="20"/>
              </w:rPr>
            </w:pPr>
            <w:r w:rsidRPr="00737236">
              <w:rPr>
                <w:rFonts w:ascii="Arial Narrow" w:hAnsi="Arial Narrow"/>
                <w:color w:val="333333"/>
                <w:sz w:val="20"/>
                <w:szCs w:val="20"/>
              </w:rPr>
              <w:t xml:space="preserve">Patient must be undergoing treatment with </w:t>
            </w:r>
            <w:r w:rsidR="00D31136">
              <w:rPr>
                <w:rFonts w:ascii="Arial Narrow" w:hAnsi="Arial Narrow"/>
                <w:color w:val="333333"/>
                <w:sz w:val="20"/>
                <w:szCs w:val="20"/>
              </w:rPr>
              <w:t>either a</w:t>
            </w:r>
            <w:r w:rsidRPr="00737236">
              <w:rPr>
                <w:rFonts w:ascii="Arial Narrow" w:hAnsi="Arial Narrow"/>
                <w:color w:val="333333"/>
                <w:sz w:val="20"/>
                <w:szCs w:val="20"/>
              </w:rPr>
              <w:t xml:space="preserve"> (i) a beta-blocker (ii) non-dihydropyridine calcium channel blocker, unless at least one of the following is </w:t>
            </w:r>
            <w:proofErr w:type="gramStart"/>
            <w:r w:rsidRPr="00737236">
              <w:rPr>
                <w:rFonts w:ascii="Arial Narrow" w:hAnsi="Arial Narrow"/>
                <w:color w:val="333333"/>
                <w:sz w:val="20"/>
                <w:szCs w:val="20"/>
              </w:rPr>
              <w:t>present</w:t>
            </w:r>
            <w:proofErr w:type="gramEnd"/>
            <w:r w:rsidRPr="00737236">
              <w:rPr>
                <w:rFonts w:ascii="Arial Narrow" w:hAnsi="Arial Narrow"/>
                <w:color w:val="333333"/>
                <w:sz w:val="20"/>
                <w:szCs w:val="20"/>
              </w:rPr>
              <w:t xml:space="preserve"> </w:t>
            </w:r>
          </w:p>
          <w:p w14:paraId="0CD27EB6" w14:textId="77777777" w:rsidR="00B80723" w:rsidRPr="00737236" w:rsidRDefault="00B80723" w:rsidP="00EE280A">
            <w:pPr>
              <w:pStyle w:val="ListParagraph"/>
              <w:numPr>
                <w:ilvl w:val="0"/>
                <w:numId w:val="16"/>
              </w:numPr>
              <w:spacing w:after="160" w:line="259" w:lineRule="auto"/>
              <w:contextualSpacing/>
              <w:jc w:val="left"/>
              <w:rPr>
                <w:rFonts w:ascii="Arial Narrow" w:hAnsi="Arial Narrow"/>
                <w:color w:val="333333"/>
                <w:sz w:val="20"/>
                <w:szCs w:val="20"/>
              </w:rPr>
            </w:pPr>
            <w:r w:rsidRPr="00737236">
              <w:rPr>
                <w:rFonts w:ascii="Arial Narrow" w:hAnsi="Arial Narrow"/>
                <w:color w:val="333333"/>
                <w:sz w:val="20"/>
                <w:szCs w:val="20"/>
              </w:rPr>
              <w:t>a contraindication to beta-blocker / non-dihydropyridine calcium channel blocker therapy as listed in the TGA approved Product Information,</w:t>
            </w:r>
          </w:p>
          <w:p w14:paraId="0253BF13" w14:textId="77777777" w:rsidR="00B80723" w:rsidRPr="00737236" w:rsidRDefault="00B80723" w:rsidP="00EE280A">
            <w:pPr>
              <w:pStyle w:val="ListParagraph"/>
              <w:numPr>
                <w:ilvl w:val="0"/>
                <w:numId w:val="16"/>
              </w:numPr>
              <w:spacing w:after="160" w:line="259" w:lineRule="auto"/>
              <w:contextualSpacing/>
              <w:jc w:val="left"/>
              <w:rPr>
                <w:rFonts w:ascii="Arial Narrow" w:hAnsi="Arial Narrow"/>
                <w:color w:val="333333"/>
                <w:sz w:val="20"/>
                <w:szCs w:val="20"/>
              </w:rPr>
            </w:pPr>
            <w:r w:rsidRPr="00737236">
              <w:rPr>
                <w:rFonts w:ascii="Arial Narrow" w:hAnsi="Arial Narrow"/>
                <w:color w:val="333333"/>
                <w:sz w:val="20"/>
                <w:szCs w:val="20"/>
              </w:rPr>
              <w:t>an intolerance to beta-blocker / non-dihydropyridine calcium channel blocker therapy.</w:t>
            </w:r>
            <w:r w:rsidRPr="00737236">
              <w:rPr>
                <w:rFonts w:ascii="Arial Narrow" w:hAnsi="Arial Narrow"/>
                <w:b/>
                <w:bCs/>
                <w:color w:val="333333"/>
                <w:sz w:val="20"/>
                <w:szCs w:val="20"/>
              </w:rPr>
              <w:t xml:space="preserve"> </w:t>
            </w:r>
          </w:p>
        </w:tc>
      </w:tr>
      <w:tr w:rsidR="00B80723" w:rsidRPr="00737236" w14:paraId="0CD67682"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2B09F27"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AND</w:t>
            </w:r>
          </w:p>
        </w:tc>
      </w:tr>
      <w:tr w:rsidR="00B80723" w:rsidRPr="00737236" w14:paraId="6C6358B1"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2972B42"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Clinical criteria:</w:t>
            </w:r>
          </w:p>
        </w:tc>
      </w:tr>
      <w:tr w:rsidR="00B80723" w:rsidRPr="00737236" w14:paraId="2B81F867"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F2CFA0F" w14:textId="77777777" w:rsidR="00B80723" w:rsidRPr="00737236" w:rsidRDefault="00B80723" w:rsidP="006628A7">
            <w:pPr>
              <w:keepLines/>
              <w:rPr>
                <w:rFonts w:ascii="Arial Narrow" w:hAnsi="Arial Narrow"/>
                <w:color w:val="333333"/>
                <w:sz w:val="20"/>
                <w:szCs w:val="20"/>
              </w:rPr>
            </w:pPr>
            <w:r w:rsidRPr="00737236">
              <w:rPr>
                <w:rFonts w:ascii="Arial Narrow" w:hAnsi="Arial Narrow"/>
                <w:color w:val="333333"/>
                <w:sz w:val="20"/>
                <w:szCs w:val="20"/>
              </w:rPr>
              <w:t>Patient must be symptomatic with NYHA classes II or III prior to commencing treatment with this drug</w:t>
            </w:r>
          </w:p>
        </w:tc>
      </w:tr>
      <w:tr w:rsidR="00B80723" w:rsidRPr="00737236" w14:paraId="333E4B50"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EA0E95" w14:textId="77777777" w:rsidR="00B80723" w:rsidRPr="00737236" w:rsidRDefault="00B80723" w:rsidP="006628A7">
            <w:pPr>
              <w:keepLines/>
              <w:rPr>
                <w:rFonts w:ascii="Arial Narrow" w:hAnsi="Arial Narrow"/>
                <w:strike/>
                <w:color w:val="333333"/>
                <w:sz w:val="20"/>
                <w:szCs w:val="20"/>
              </w:rPr>
            </w:pPr>
          </w:p>
        </w:tc>
      </w:tr>
      <w:tr w:rsidR="00B80723" w:rsidRPr="00737236" w14:paraId="57E70852"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EE28BE1" w14:textId="77777777" w:rsidR="00B80723" w:rsidRPr="00737236" w:rsidRDefault="00B80723" w:rsidP="006628A7">
            <w:pPr>
              <w:keepLines/>
              <w:rPr>
                <w:rFonts w:ascii="Arial Narrow" w:hAnsi="Arial Narrow"/>
                <w:b/>
                <w:bCs/>
                <w:sz w:val="20"/>
                <w:szCs w:val="20"/>
              </w:rPr>
            </w:pPr>
            <w:r w:rsidRPr="00737236">
              <w:rPr>
                <w:rFonts w:ascii="Arial Narrow" w:hAnsi="Arial Narrow"/>
                <w:b/>
                <w:bCs/>
                <w:sz w:val="20"/>
                <w:szCs w:val="20"/>
              </w:rPr>
              <w:t>Prescribing instructions:</w:t>
            </w:r>
          </w:p>
          <w:p w14:paraId="641D0363" w14:textId="77777777" w:rsidR="00B80723" w:rsidRPr="00737236" w:rsidRDefault="00B80723" w:rsidP="006628A7">
            <w:pPr>
              <w:keepLines/>
              <w:rPr>
                <w:rFonts w:ascii="Arial Narrow" w:hAnsi="Arial Narrow"/>
                <w:sz w:val="20"/>
                <w:szCs w:val="20"/>
              </w:rPr>
            </w:pPr>
          </w:p>
          <w:p w14:paraId="4817E633" w14:textId="77777777" w:rsidR="00B80723" w:rsidRPr="00737236" w:rsidRDefault="00B80723" w:rsidP="006628A7">
            <w:pPr>
              <w:keepLines/>
              <w:rPr>
                <w:rFonts w:ascii="Arial Narrow" w:hAnsi="Arial Narrow"/>
                <w:strike/>
                <w:color w:val="333333"/>
                <w:sz w:val="20"/>
                <w:szCs w:val="20"/>
              </w:rPr>
            </w:pPr>
            <w:r w:rsidRPr="00737236">
              <w:rPr>
                <w:rFonts w:ascii="Arial Narrow" w:hAnsi="Arial Narrow"/>
                <w:sz w:val="20"/>
                <w:szCs w:val="20"/>
              </w:rPr>
              <w:t>Titration in the dose is expected according to the specified dosage in the approved Product Information (PI). A separate authority prescription form must be completed for each strength requested. Up to a maximum of 5 repeats will be authorised. A medical practitioner must not request the maximum listed number of repeats if lesser repeats are sufficient for the patient's needs.</w:t>
            </w:r>
          </w:p>
        </w:tc>
      </w:tr>
      <w:tr w:rsidR="00B80723" w:rsidRPr="00737236" w14:paraId="76BAFE7C"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BA65295" w14:textId="77777777" w:rsidR="00B80723" w:rsidRPr="00737236" w:rsidRDefault="00B80723" w:rsidP="006628A7">
            <w:pPr>
              <w:keepLines/>
              <w:rPr>
                <w:rFonts w:ascii="Arial Narrow" w:hAnsi="Arial Narrow"/>
                <w:b/>
                <w:bCs/>
                <w:sz w:val="20"/>
                <w:szCs w:val="20"/>
              </w:rPr>
            </w:pPr>
          </w:p>
        </w:tc>
      </w:tr>
      <w:tr w:rsidR="00B80723" w:rsidRPr="00737236" w14:paraId="59E7F507"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BA95327"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Treatment criteria:</w:t>
            </w:r>
          </w:p>
        </w:tc>
      </w:tr>
      <w:tr w:rsidR="00B80723" w:rsidRPr="00737236" w14:paraId="6DA79E5D"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573FC6D" w14:textId="77777777" w:rsidR="00B80723" w:rsidRPr="00737236" w:rsidRDefault="00B80723" w:rsidP="006628A7">
            <w:pPr>
              <w:keepLines/>
              <w:rPr>
                <w:rFonts w:ascii="Arial Narrow" w:hAnsi="Arial Narrow"/>
                <w:color w:val="333333"/>
                <w:sz w:val="20"/>
                <w:szCs w:val="20"/>
              </w:rPr>
            </w:pPr>
            <w:r w:rsidRPr="00737236">
              <w:rPr>
                <w:rFonts w:ascii="Arial Narrow" w:hAnsi="Arial Narrow"/>
                <w:color w:val="333333"/>
                <w:sz w:val="20"/>
                <w:szCs w:val="20"/>
              </w:rPr>
              <w:t xml:space="preserve">Must be treated by a cardiologist; or </w:t>
            </w:r>
          </w:p>
        </w:tc>
      </w:tr>
      <w:tr w:rsidR="00B80723" w:rsidRPr="00737236" w14:paraId="428F95DB"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9BFEA63" w14:textId="77777777" w:rsidR="00B80723" w:rsidRPr="00737236" w:rsidRDefault="00B80723" w:rsidP="006628A7">
            <w:pPr>
              <w:keepLines/>
              <w:rPr>
                <w:rFonts w:ascii="Arial Narrow" w:hAnsi="Arial Narrow"/>
                <w:color w:val="333333"/>
                <w:sz w:val="20"/>
                <w:szCs w:val="20"/>
              </w:rPr>
            </w:pPr>
            <w:r w:rsidRPr="00737236">
              <w:rPr>
                <w:rFonts w:ascii="Arial Narrow" w:hAnsi="Arial Narrow"/>
                <w:color w:val="333333"/>
                <w:sz w:val="20"/>
                <w:szCs w:val="20"/>
              </w:rPr>
              <w:t>Must be treated by a consultant physician with experience in the management of hypertrophic cardiomyopathy</w:t>
            </w:r>
          </w:p>
        </w:tc>
      </w:tr>
      <w:tr w:rsidR="00B80723" w:rsidRPr="00737236" w14:paraId="4C7DC8FE"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05F466" w14:textId="77777777" w:rsidR="00B80723" w:rsidRPr="00737236" w:rsidRDefault="00B80723" w:rsidP="006628A7">
            <w:pPr>
              <w:keepLines/>
              <w:rPr>
                <w:rFonts w:ascii="Arial Narrow" w:hAnsi="Arial Narrow"/>
                <w:color w:val="333333"/>
                <w:sz w:val="20"/>
                <w:szCs w:val="20"/>
              </w:rPr>
            </w:pPr>
          </w:p>
        </w:tc>
      </w:tr>
      <w:tr w:rsidR="00B80723" w:rsidRPr="00737236" w14:paraId="1F1CCBC1"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DFB5C9D" w14:textId="77777777" w:rsidR="00B80723" w:rsidRPr="00737236" w:rsidRDefault="00B80723" w:rsidP="006628A7">
            <w:pPr>
              <w:keepLines/>
              <w:rPr>
                <w:rFonts w:ascii="Arial Narrow" w:hAnsi="Arial Narrow"/>
                <w:b/>
                <w:bCs/>
                <w:color w:val="333333"/>
                <w:sz w:val="20"/>
                <w:szCs w:val="20"/>
              </w:rPr>
            </w:pPr>
            <w:r w:rsidRPr="00737236">
              <w:rPr>
                <w:rFonts w:ascii="Arial Narrow" w:hAnsi="Arial Narrow"/>
                <w:b/>
                <w:bCs/>
                <w:color w:val="333333"/>
                <w:sz w:val="20"/>
                <w:szCs w:val="20"/>
              </w:rPr>
              <w:t>Population criteria:</w:t>
            </w:r>
          </w:p>
        </w:tc>
      </w:tr>
      <w:tr w:rsidR="00B80723" w:rsidRPr="00737236" w14:paraId="1CF388F0"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B29463" w14:textId="77777777" w:rsidR="00B80723" w:rsidRPr="00737236" w:rsidRDefault="00B80723" w:rsidP="006628A7">
            <w:pPr>
              <w:keepLines/>
              <w:rPr>
                <w:rFonts w:ascii="Arial Narrow" w:hAnsi="Arial Narrow"/>
                <w:color w:val="333333"/>
                <w:sz w:val="20"/>
                <w:szCs w:val="20"/>
              </w:rPr>
            </w:pPr>
            <w:r w:rsidRPr="00737236">
              <w:rPr>
                <w:rFonts w:ascii="Arial Narrow" w:hAnsi="Arial Narrow"/>
                <w:color w:val="333333"/>
                <w:sz w:val="20"/>
                <w:szCs w:val="20"/>
              </w:rPr>
              <w:t>Patient must be at least 18 years of age.</w:t>
            </w:r>
          </w:p>
        </w:tc>
      </w:tr>
      <w:tr w:rsidR="00B80723" w:rsidRPr="00480807" w14:paraId="6EE9BB9E" w14:textId="77777777" w:rsidTr="00B80723">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8732655" w14:textId="77777777" w:rsidR="00B80723" w:rsidRPr="00737236" w:rsidRDefault="00B80723" w:rsidP="006628A7">
            <w:pPr>
              <w:rPr>
                <w:rFonts w:ascii="Arial Narrow" w:hAnsi="Arial Narrow"/>
                <w:b/>
                <w:bCs/>
                <w:color w:val="333333"/>
                <w:sz w:val="20"/>
                <w:szCs w:val="20"/>
              </w:rPr>
            </w:pPr>
            <w:r w:rsidRPr="00737236">
              <w:rPr>
                <w:rFonts w:ascii="Arial Narrow" w:hAnsi="Arial Narrow"/>
                <w:b/>
                <w:bCs/>
                <w:color w:val="333333"/>
                <w:sz w:val="20"/>
                <w:szCs w:val="20"/>
              </w:rPr>
              <w:t>Administrative Advice:</w:t>
            </w:r>
          </w:p>
          <w:p w14:paraId="349262EC" w14:textId="77777777" w:rsidR="00B80723" w:rsidRPr="00480807" w:rsidRDefault="00B80723" w:rsidP="006628A7">
            <w:pPr>
              <w:keepLines/>
              <w:rPr>
                <w:rFonts w:ascii="Arial Narrow" w:hAnsi="Arial Narrow"/>
                <w:color w:val="333333"/>
                <w:sz w:val="20"/>
                <w:szCs w:val="20"/>
              </w:rPr>
            </w:pPr>
            <w:r w:rsidRPr="00737236">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6B42965D" w14:textId="3CD6A75B" w:rsidR="00636080" w:rsidRPr="0014763A" w:rsidRDefault="00EC3161" w:rsidP="00737236">
      <w:pPr>
        <w:pStyle w:val="3-BodyText"/>
        <w:spacing w:before="120"/>
      </w:pPr>
      <w:r w:rsidRPr="0014763A">
        <w:t>T</w:t>
      </w:r>
      <w:r w:rsidR="00636080" w:rsidRPr="0014763A">
        <w:t>he requested effective price</w:t>
      </w:r>
      <w:r w:rsidR="008E1980" w:rsidRPr="0014763A">
        <w:t xml:space="preserve"> (AEMP $</w:t>
      </w:r>
      <w:r w:rsidR="00F5190C" w:rsidRPr="00CE4148">
        <w:rPr>
          <w:color w:val="000000"/>
          <w:w w:val="61"/>
          <w:shd w:val="solid" w:color="000000" w:fill="000000"/>
          <w:fitText w:val="478" w:id="-1167926781"/>
          <w14:textFill>
            <w14:solidFill>
              <w14:srgbClr w14:val="000000">
                <w14:alpha w14:val="100000"/>
              </w14:srgbClr>
            </w14:solidFill>
          </w14:textFill>
        </w:rPr>
        <w:t>||</w:t>
      </w:r>
      <w:proofErr w:type="gramStart"/>
      <w:r w:rsidR="00F5190C" w:rsidRPr="00CE4148">
        <w:rPr>
          <w:color w:val="000000"/>
          <w:w w:val="61"/>
          <w:shd w:val="solid" w:color="000000" w:fill="000000"/>
          <w:fitText w:val="478" w:id="-1167926781"/>
          <w14:textFill>
            <w14:solidFill>
              <w14:srgbClr w14:val="000000">
                <w14:alpha w14:val="100000"/>
              </w14:srgbClr>
            </w14:solidFill>
          </w14:textFill>
        </w:rPr>
        <w:t>|  |</w:t>
      </w:r>
      <w:proofErr w:type="gramEnd"/>
      <w:r w:rsidR="00F5190C" w:rsidRPr="00CE4148">
        <w:rPr>
          <w:color w:val="000000"/>
          <w:w w:val="61"/>
          <w:shd w:val="solid" w:color="000000" w:fill="000000"/>
          <w:fitText w:val="478" w:id="-1167926781"/>
          <w14:textFill>
            <w14:solidFill>
              <w14:srgbClr w14:val="000000">
                <w14:alpha w14:val="100000"/>
              </w14:srgbClr>
            </w14:solidFill>
          </w14:textFill>
        </w:rPr>
        <w:t>|</w:t>
      </w:r>
      <w:r w:rsidR="00F5190C" w:rsidRPr="00CE4148">
        <w:rPr>
          <w:color w:val="000000"/>
          <w:spacing w:val="8"/>
          <w:w w:val="61"/>
          <w:shd w:val="solid" w:color="000000" w:fill="000000"/>
          <w:fitText w:val="478" w:id="-1167926781"/>
          <w14:textFill>
            <w14:solidFill>
              <w14:srgbClr w14:val="000000">
                <w14:alpha w14:val="100000"/>
              </w14:srgbClr>
            </w14:solidFill>
          </w14:textFill>
        </w:rPr>
        <w:t>|</w:t>
      </w:r>
      <w:r w:rsidR="008E1980" w:rsidRPr="0014763A">
        <w:t>)</w:t>
      </w:r>
      <w:r w:rsidR="00636080" w:rsidRPr="0014763A">
        <w:t xml:space="preserve"> is </w:t>
      </w:r>
      <w:r w:rsidR="00F5190C" w:rsidRPr="00CE4148">
        <w:rPr>
          <w:color w:val="000000"/>
          <w:w w:val="62"/>
          <w:shd w:val="solid" w:color="000000" w:fill="000000"/>
          <w:fitText w:val="479" w:id="-1167926780"/>
          <w14:textFill>
            <w14:solidFill>
              <w14:srgbClr w14:val="000000">
                <w14:alpha w14:val="100000"/>
              </w14:srgbClr>
            </w14:solidFill>
          </w14:textFill>
        </w:rPr>
        <w:t>|||  ||</w:t>
      </w:r>
      <w:r w:rsidR="00F5190C" w:rsidRPr="00CE4148">
        <w:rPr>
          <w:color w:val="000000"/>
          <w:spacing w:val="1"/>
          <w:w w:val="62"/>
          <w:shd w:val="solid" w:color="000000" w:fill="000000"/>
          <w:fitText w:val="479" w:id="-1167926780"/>
          <w14:textFill>
            <w14:solidFill>
              <w14:srgbClr w14:val="000000">
                <w14:alpha w14:val="100000"/>
              </w14:srgbClr>
            </w14:solidFill>
          </w14:textFill>
        </w:rPr>
        <w:t>|</w:t>
      </w:r>
      <w:r w:rsidR="00641C7F" w:rsidRPr="0014763A">
        <w:t>%</w:t>
      </w:r>
      <w:r w:rsidR="00636080" w:rsidRPr="0014763A">
        <w:t xml:space="preserve"> lower than </w:t>
      </w:r>
      <w:r w:rsidR="00641C7F">
        <w:t xml:space="preserve">that </w:t>
      </w:r>
      <w:r w:rsidR="00D614A8" w:rsidRPr="0014763A">
        <w:t xml:space="preserve">proposed </w:t>
      </w:r>
      <w:r w:rsidR="00636080" w:rsidRPr="0014763A">
        <w:t xml:space="preserve">in the </w:t>
      </w:r>
      <w:r w:rsidRPr="0014763A">
        <w:t>November 2022</w:t>
      </w:r>
      <w:r w:rsidR="00636080" w:rsidRPr="0014763A">
        <w:t xml:space="preserve"> submission</w:t>
      </w:r>
      <w:r w:rsidR="008E1980" w:rsidRPr="0014763A">
        <w:t xml:space="preserve"> (AEMP $</w:t>
      </w:r>
      <w:r w:rsidR="00F5190C" w:rsidRPr="00F84C70">
        <w:rPr>
          <w:color w:val="000000"/>
          <w:w w:val="15"/>
          <w:shd w:val="solid" w:color="000000" w:fill="000000"/>
          <w:fitText w:val="-20" w:id="-1167926779"/>
          <w14:textFill>
            <w14:solidFill>
              <w14:srgbClr w14:val="000000">
                <w14:alpha w14:val="100000"/>
              </w14:srgbClr>
            </w14:solidFill>
          </w14:textFill>
        </w:rPr>
        <w:t xml:space="preserve">|  </w:t>
      </w:r>
      <w:r w:rsidR="00F5190C" w:rsidRPr="00F84C70">
        <w:rPr>
          <w:color w:val="000000"/>
          <w:spacing w:val="-69"/>
          <w:w w:val="15"/>
          <w:shd w:val="solid" w:color="000000" w:fill="000000"/>
          <w:fitText w:val="-20" w:id="-1167926779"/>
          <w14:textFill>
            <w14:solidFill>
              <w14:srgbClr w14:val="000000">
                <w14:alpha w14:val="100000"/>
              </w14:srgbClr>
            </w14:solidFill>
          </w14:textFill>
        </w:rPr>
        <w:t>|</w:t>
      </w:r>
      <w:r w:rsidR="008E1980" w:rsidRPr="0014763A">
        <w:t>)</w:t>
      </w:r>
      <w:r w:rsidR="00242169" w:rsidRPr="0014763A">
        <w:t xml:space="preserve">. </w:t>
      </w:r>
      <w:r w:rsidR="00783569" w:rsidRPr="0014763A">
        <w:t xml:space="preserve">The </w:t>
      </w:r>
      <w:r w:rsidR="00DB16A6" w:rsidRPr="0014763A">
        <w:t xml:space="preserve">resubmission proposed </w:t>
      </w:r>
      <w:r w:rsidR="00641C7F">
        <w:t>a</w:t>
      </w:r>
      <w:r w:rsidR="00932015">
        <w:t>n effective DPMQ of $</w:t>
      </w:r>
      <w:proofErr w:type="gramStart"/>
      <w:r w:rsidR="00F5190C" w:rsidRPr="00F84C70">
        <w:rPr>
          <w:color w:val="000000"/>
          <w:w w:val="15"/>
          <w:shd w:val="solid" w:color="000000" w:fill="000000"/>
          <w:fitText w:val="-20" w:id="-1167926778"/>
          <w14:textFill>
            <w14:solidFill>
              <w14:srgbClr w14:val="000000">
                <w14:alpha w14:val="100000"/>
              </w14:srgbClr>
            </w14:solidFill>
          </w14:textFill>
        </w:rPr>
        <w:t xml:space="preserve">|  </w:t>
      </w:r>
      <w:r w:rsidR="00F5190C" w:rsidRPr="00F84C70">
        <w:rPr>
          <w:color w:val="000000"/>
          <w:spacing w:val="-69"/>
          <w:w w:val="15"/>
          <w:shd w:val="solid" w:color="000000" w:fill="000000"/>
          <w:fitText w:val="-20" w:id="-1167926778"/>
          <w14:textFill>
            <w14:solidFill>
              <w14:srgbClr w14:val="000000">
                <w14:alpha w14:val="100000"/>
              </w14:srgbClr>
            </w14:solidFill>
          </w14:textFill>
        </w:rPr>
        <w:t>|</w:t>
      </w:r>
      <w:proofErr w:type="gramEnd"/>
      <w:r w:rsidR="00932015">
        <w:t xml:space="preserve"> and a</w:t>
      </w:r>
      <w:r w:rsidR="00641C7F" w:rsidRPr="0014763A">
        <w:t xml:space="preserve"> </w:t>
      </w:r>
      <w:r w:rsidR="00783569" w:rsidRPr="0014763A">
        <w:t xml:space="preserve">published </w:t>
      </w:r>
      <w:r w:rsidR="00217192">
        <w:t>DPMQ</w:t>
      </w:r>
      <w:r w:rsidR="00217192" w:rsidRPr="0014763A">
        <w:t xml:space="preserve"> </w:t>
      </w:r>
      <w:r w:rsidR="00783569" w:rsidRPr="0014763A">
        <w:t>of $2,31</w:t>
      </w:r>
      <w:r w:rsidR="00DA1A97" w:rsidRPr="0014763A">
        <w:t>2</w:t>
      </w:r>
      <w:r w:rsidR="00783569" w:rsidRPr="0014763A">
        <w:t>.92</w:t>
      </w:r>
      <w:r w:rsidR="00DA1A97" w:rsidRPr="0014763A">
        <w:t>.</w:t>
      </w:r>
    </w:p>
    <w:p w14:paraId="748F6059" w14:textId="72DB7546" w:rsidR="009962AC" w:rsidRPr="00A3332E" w:rsidRDefault="009962AC" w:rsidP="00636080">
      <w:pPr>
        <w:pStyle w:val="3-BodyText"/>
        <w:rPr>
          <w:color w:val="0066FF"/>
        </w:rPr>
      </w:pPr>
      <w:bookmarkStart w:id="25" w:name="_Ref137640336"/>
      <w:r w:rsidRPr="00CC1093">
        <w:t xml:space="preserve">The </w:t>
      </w:r>
      <w:r w:rsidR="008604D9">
        <w:t xml:space="preserve">proposed </w:t>
      </w:r>
      <w:r w:rsidRPr="00CC1093">
        <w:t xml:space="preserve">restriction outlined in the November 2022 submission </w:t>
      </w:r>
      <w:r w:rsidR="008604D9">
        <w:t xml:space="preserve">included a clinical criterion restricting access </w:t>
      </w:r>
      <w:r w:rsidR="00221045">
        <w:t xml:space="preserve">to </w:t>
      </w:r>
      <w:r w:rsidR="00221045" w:rsidRPr="00CC1093">
        <w:t>patients</w:t>
      </w:r>
      <w:r w:rsidRPr="00CC1093">
        <w:t xml:space="preserve"> with symptomatic obstructive </w:t>
      </w:r>
      <w:r>
        <w:t>HCM</w:t>
      </w:r>
      <w:r w:rsidRPr="00CC1093">
        <w:t xml:space="preserve"> with a peak </w:t>
      </w:r>
      <w:r w:rsidR="008604D9" w:rsidRPr="008604D9">
        <w:rPr>
          <w:iCs/>
        </w:rPr>
        <w:t>left ventricular outflow tract</w:t>
      </w:r>
      <w:r w:rsidR="008604D9" w:rsidRPr="008604D9">
        <w:rPr>
          <w:bCs/>
          <w:iCs/>
          <w:color w:val="000000"/>
        </w:rPr>
        <w:t xml:space="preserve"> (</w:t>
      </w:r>
      <w:r w:rsidRPr="008604D9">
        <w:rPr>
          <w:iCs/>
        </w:rPr>
        <w:t>LVOT</w:t>
      </w:r>
      <w:r w:rsidR="008604D9" w:rsidRPr="008604D9">
        <w:rPr>
          <w:iCs/>
        </w:rPr>
        <w:t>)</w:t>
      </w:r>
      <w:r w:rsidRPr="00CC1093">
        <w:t xml:space="preserve"> gradient ≥ 30 mmHg (at rest, after Valsalva manoeuvre or exercise). </w:t>
      </w:r>
      <w:r w:rsidRPr="00BF5BC7">
        <w:t>This remain</w:t>
      </w:r>
      <w:r w:rsidR="00932015">
        <w:t>ed</w:t>
      </w:r>
      <w:r w:rsidRPr="00BF5BC7">
        <w:t xml:space="preserve"> unchanged in the resubmission. </w:t>
      </w:r>
      <w:r w:rsidRPr="00614781">
        <w:rPr>
          <w:bCs/>
          <w:iCs/>
          <w:color w:val="000000"/>
        </w:rPr>
        <w:t xml:space="preserve">At the November 2022 meeting, the PBAC </w:t>
      </w:r>
      <w:r w:rsidR="006B437C">
        <w:rPr>
          <w:bCs/>
          <w:iCs/>
          <w:color w:val="000000"/>
        </w:rPr>
        <w:t>stated</w:t>
      </w:r>
      <w:r w:rsidR="006B437C" w:rsidRPr="00614781">
        <w:rPr>
          <w:bCs/>
          <w:iCs/>
          <w:color w:val="000000"/>
        </w:rPr>
        <w:t xml:space="preserve"> </w:t>
      </w:r>
      <w:r w:rsidRPr="00614781">
        <w:rPr>
          <w:bCs/>
          <w:iCs/>
          <w:color w:val="000000"/>
        </w:rPr>
        <w:t xml:space="preserve">that the restriction should </w:t>
      </w:r>
      <w:r w:rsidR="006B437C">
        <w:rPr>
          <w:bCs/>
          <w:iCs/>
          <w:color w:val="000000"/>
        </w:rPr>
        <w:t>include a criterion restrict</w:t>
      </w:r>
      <w:r w:rsidR="00C14041">
        <w:rPr>
          <w:bCs/>
          <w:iCs/>
          <w:color w:val="000000"/>
        </w:rPr>
        <w:t xml:space="preserve">ing access to patients with </w:t>
      </w:r>
      <w:r w:rsidRPr="00614781">
        <w:rPr>
          <w:bCs/>
          <w:iCs/>
          <w:color w:val="000000"/>
        </w:rPr>
        <w:t>peak LVOT gradient ≥ 50</w:t>
      </w:r>
      <w:r>
        <w:rPr>
          <w:bCs/>
          <w:iCs/>
          <w:color w:val="000000"/>
        </w:rPr>
        <w:t> </w:t>
      </w:r>
      <w:r w:rsidRPr="00614781">
        <w:rPr>
          <w:bCs/>
          <w:iCs/>
          <w:color w:val="000000"/>
        </w:rPr>
        <w:t xml:space="preserve">mm Hg (at rest, </w:t>
      </w:r>
      <w:r w:rsidRPr="00614781">
        <w:rPr>
          <w:bCs/>
          <w:iCs/>
          <w:color w:val="000000"/>
        </w:rPr>
        <w:lastRenderedPageBreak/>
        <w:t xml:space="preserve">after Valsalva manoeuvre or exercise). </w:t>
      </w:r>
      <w:r w:rsidRPr="00BF5BC7">
        <w:rPr>
          <w:bCs/>
          <w:color w:val="000000"/>
        </w:rPr>
        <w:t xml:space="preserve">The ESC and PBAC previously agreed with the </w:t>
      </w:r>
      <w:r w:rsidR="006A1C29">
        <w:rPr>
          <w:bCs/>
          <w:color w:val="000000"/>
        </w:rPr>
        <w:t>P</w:t>
      </w:r>
      <w:r w:rsidR="006B437C" w:rsidRPr="00BF5BC7">
        <w:rPr>
          <w:bCs/>
          <w:color w:val="000000"/>
        </w:rPr>
        <w:t>re-Sub</w:t>
      </w:r>
      <w:r w:rsidR="005E1BCA" w:rsidRPr="00BF5BC7">
        <w:rPr>
          <w:bCs/>
          <w:color w:val="000000"/>
        </w:rPr>
        <w:t>-</w:t>
      </w:r>
      <w:r w:rsidR="006B437C" w:rsidRPr="00BF5BC7">
        <w:rPr>
          <w:bCs/>
          <w:color w:val="000000"/>
        </w:rPr>
        <w:t>Committee Response (</w:t>
      </w:r>
      <w:r w:rsidRPr="00BF5BC7">
        <w:rPr>
          <w:bCs/>
          <w:color w:val="000000"/>
        </w:rPr>
        <w:t>PSCR</w:t>
      </w:r>
      <w:r w:rsidR="006B437C" w:rsidRPr="00BF5BC7">
        <w:rPr>
          <w:bCs/>
          <w:color w:val="000000"/>
        </w:rPr>
        <w:t>)</w:t>
      </w:r>
      <w:r w:rsidRPr="00BF5BC7">
        <w:rPr>
          <w:bCs/>
          <w:color w:val="000000"/>
        </w:rPr>
        <w:t xml:space="preserve">, </w:t>
      </w:r>
      <w:r w:rsidR="006B437C" w:rsidRPr="00BF5BC7">
        <w:rPr>
          <w:bCs/>
          <w:color w:val="000000"/>
        </w:rPr>
        <w:t xml:space="preserve">which stated </w:t>
      </w:r>
      <w:r w:rsidRPr="00BF5BC7">
        <w:rPr>
          <w:bCs/>
          <w:color w:val="000000"/>
        </w:rPr>
        <w:t xml:space="preserve">that peak LVOT gradient is a highly variable measure of disease severity. </w:t>
      </w:r>
      <w:r w:rsidR="00FC1A72" w:rsidRPr="00BF5BC7">
        <w:rPr>
          <w:bCs/>
          <w:color w:val="000000"/>
        </w:rPr>
        <w:t>The PBAC agreed with the ESC that the restriction should reflect the higher peak LVOT gradient from the</w:t>
      </w:r>
      <w:r w:rsidR="00B13671" w:rsidRPr="00BF5BC7">
        <w:rPr>
          <w:bCs/>
          <w:color w:val="000000"/>
        </w:rPr>
        <w:t xml:space="preserve"> pivotal trial</w:t>
      </w:r>
      <w:r w:rsidR="00FC1A72" w:rsidRPr="00BF5BC7">
        <w:rPr>
          <w:bCs/>
          <w:color w:val="000000"/>
        </w:rPr>
        <w:t xml:space="preserve"> </w:t>
      </w:r>
      <w:r w:rsidR="00B13671" w:rsidRPr="00BF5BC7">
        <w:rPr>
          <w:bCs/>
          <w:color w:val="000000"/>
        </w:rPr>
        <w:t>(</w:t>
      </w:r>
      <w:r w:rsidR="00FC1A72" w:rsidRPr="00BF5BC7">
        <w:rPr>
          <w:bCs/>
          <w:color w:val="000000"/>
        </w:rPr>
        <w:t>EXPLORER-HCM</w:t>
      </w:r>
      <w:r w:rsidR="00B13671" w:rsidRPr="00BF5BC7">
        <w:rPr>
          <w:bCs/>
          <w:color w:val="000000"/>
        </w:rPr>
        <w:t>)</w:t>
      </w:r>
      <w:r w:rsidR="00D55A81" w:rsidRPr="00BF5BC7">
        <w:rPr>
          <w:bCs/>
          <w:color w:val="000000"/>
        </w:rPr>
        <w:t>.</w:t>
      </w:r>
      <w:r w:rsidR="00FC1A72" w:rsidRPr="00BF5BC7">
        <w:rPr>
          <w:bCs/>
          <w:color w:val="000000"/>
        </w:rPr>
        <w:t xml:space="preserve"> </w:t>
      </w:r>
      <w:r w:rsidRPr="00BF5BC7">
        <w:rPr>
          <w:bCs/>
          <w:color w:val="000000"/>
        </w:rPr>
        <w:t>The PBAC stated that due to the high variability associated with the measure (LVOT), a risk sharing arrangement (RSA) should be considered given that there is a high risk of use in patients with less severe disease (</w:t>
      </w:r>
      <w:r w:rsidR="006B437C" w:rsidRPr="00BF5BC7">
        <w:rPr>
          <w:bCs/>
        </w:rPr>
        <w:t xml:space="preserve">para. 3.3, </w:t>
      </w:r>
      <w:r w:rsidRPr="00BF5BC7">
        <w:rPr>
          <w:bCs/>
        </w:rPr>
        <w:t>mavacamten</w:t>
      </w:r>
      <w:r w:rsidR="006B437C" w:rsidRPr="00BF5BC7">
        <w:rPr>
          <w:bCs/>
        </w:rPr>
        <w:t xml:space="preserve">, </w:t>
      </w:r>
      <w:r w:rsidRPr="00BF5BC7">
        <w:rPr>
          <w:bCs/>
        </w:rPr>
        <w:t>P</w:t>
      </w:r>
      <w:r w:rsidR="006B437C" w:rsidRPr="00BF5BC7">
        <w:rPr>
          <w:bCs/>
        </w:rPr>
        <w:t xml:space="preserve">ublic </w:t>
      </w:r>
      <w:r w:rsidRPr="00BF5BC7">
        <w:rPr>
          <w:bCs/>
        </w:rPr>
        <w:t>S</w:t>
      </w:r>
      <w:r w:rsidR="006B437C" w:rsidRPr="00BF5BC7">
        <w:rPr>
          <w:bCs/>
        </w:rPr>
        <w:t xml:space="preserve">ummary </w:t>
      </w:r>
      <w:r w:rsidRPr="00BF5BC7">
        <w:rPr>
          <w:bCs/>
        </w:rPr>
        <w:t>D</w:t>
      </w:r>
      <w:r w:rsidR="006B437C" w:rsidRPr="00BF5BC7">
        <w:rPr>
          <w:bCs/>
        </w:rPr>
        <w:t>ocument,</w:t>
      </w:r>
      <w:r w:rsidRPr="00BF5BC7">
        <w:rPr>
          <w:bCs/>
        </w:rPr>
        <w:t xml:space="preserve"> November 2022</w:t>
      </w:r>
      <w:r w:rsidR="006B437C" w:rsidRPr="00BF5BC7">
        <w:rPr>
          <w:bCs/>
        </w:rPr>
        <w:t xml:space="preserve"> PBAC meeting</w:t>
      </w:r>
      <w:r w:rsidRPr="00BF5BC7">
        <w:rPr>
          <w:bCs/>
          <w:color w:val="000000"/>
        </w:rPr>
        <w:t>).</w:t>
      </w:r>
      <w:bookmarkEnd w:id="25"/>
    </w:p>
    <w:p w14:paraId="3B702C32" w14:textId="32030D07" w:rsidR="00A3332E" w:rsidRPr="00964332" w:rsidRDefault="00964332" w:rsidP="00636080">
      <w:pPr>
        <w:pStyle w:val="3-BodyText"/>
        <w:rPr>
          <w:color w:val="0066FF"/>
        </w:rPr>
      </w:pPr>
      <w:bookmarkStart w:id="26" w:name="_Ref137640251"/>
      <w:r w:rsidRPr="00E92DAC">
        <w:rPr>
          <w:bCs/>
          <w:iCs/>
          <w:color w:val="000000"/>
        </w:rPr>
        <w:t xml:space="preserve">The resubmission </w:t>
      </w:r>
      <w:r>
        <w:rPr>
          <w:bCs/>
          <w:iCs/>
          <w:color w:val="000000"/>
        </w:rPr>
        <w:t>presented four main arguments</w:t>
      </w:r>
      <w:r w:rsidRPr="00E92DAC">
        <w:rPr>
          <w:bCs/>
          <w:iCs/>
          <w:color w:val="000000"/>
        </w:rPr>
        <w:t xml:space="preserve"> </w:t>
      </w:r>
      <w:r>
        <w:rPr>
          <w:bCs/>
          <w:iCs/>
          <w:color w:val="000000"/>
        </w:rPr>
        <w:t>in support of</w:t>
      </w:r>
      <w:r w:rsidRPr="00E92DAC">
        <w:rPr>
          <w:bCs/>
          <w:iCs/>
          <w:color w:val="000000"/>
        </w:rPr>
        <w:t xml:space="preserve"> </w:t>
      </w:r>
      <w:r w:rsidR="006B437C">
        <w:rPr>
          <w:bCs/>
          <w:iCs/>
          <w:color w:val="000000"/>
        </w:rPr>
        <w:t xml:space="preserve">retaining the </w:t>
      </w:r>
      <w:r w:rsidRPr="00E92DAC">
        <w:rPr>
          <w:bCs/>
          <w:iCs/>
          <w:color w:val="000000"/>
        </w:rPr>
        <w:t>LVOT gradient criteri</w:t>
      </w:r>
      <w:r w:rsidR="006220D2">
        <w:rPr>
          <w:bCs/>
          <w:iCs/>
          <w:color w:val="000000"/>
        </w:rPr>
        <w:t>on</w:t>
      </w:r>
      <w:r w:rsidRPr="00E92DAC">
        <w:rPr>
          <w:bCs/>
          <w:iCs/>
          <w:color w:val="000000"/>
        </w:rPr>
        <w:t xml:space="preserve"> </w:t>
      </w:r>
      <w:r w:rsidR="006B437C">
        <w:rPr>
          <w:bCs/>
          <w:iCs/>
          <w:color w:val="000000"/>
        </w:rPr>
        <w:t xml:space="preserve">at </w:t>
      </w:r>
      <w:r w:rsidRPr="00E92DAC">
        <w:rPr>
          <w:bCs/>
          <w:iCs/>
          <w:color w:val="000000"/>
        </w:rPr>
        <w:t>≥ 30 mmHg (</w:t>
      </w:r>
      <w:r w:rsidR="00B978DA">
        <w:rPr>
          <w:bCs/>
          <w:iCs/>
          <w:color w:val="000000"/>
        </w:rPr>
        <w:t xml:space="preserve">at rest, </w:t>
      </w:r>
      <w:r w:rsidRPr="00E92DAC">
        <w:rPr>
          <w:bCs/>
          <w:iCs/>
          <w:color w:val="000000"/>
        </w:rPr>
        <w:t>after Valsalva manoeuvre, or exercise)</w:t>
      </w:r>
      <w:r w:rsidR="000A006C">
        <w:rPr>
          <w:bCs/>
          <w:iCs/>
          <w:color w:val="000000"/>
        </w:rPr>
        <w:t>.</w:t>
      </w:r>
      <w:bookmarkEnd w:id="26"/>
      <w:r w:rsidR="000A006C">
        <w:rPr>
          <w:bCs/>
          <w:iCs/>
          <w:color w:val="000000"/>
        </w:rPr>
        <w:t xml:space="preserve"> </w:t>
      </w:r>
    </w:p>
    <w:p w14:paraId="595C495D" w14:textId="4E212ED5" w:rsidR="00215718" w:rsidRPr="00BF5BC7" w:rsidRDefault="00215718" w:rsidP="00EE280A">
      <w:pPr>
        <w:pStyle w:val="ListParagraph"/>
        <w:numPr>
          <w:ilvl w:val="0"/>
          <w:numId w:val="9"/>
        </w:numPr>
        <w:rPr>
          <w:bCs/>
          <w:iCs/>
          <w:color w:val="000000"/>
        </w:rPr>
      </w:pPr>
      <w:r w:rsidRPr="0039536A">
        <w:rPr>
          <w:bCs/>
          <w:iCs/>
          <w:color w:val="000000"/>
        </w:rPr>
        <w:t>International guidelines (European Society of Cardiology); and the American Heart Association and American College of Cardiology (AHA/ACC) (Ommen et al, 2020):</w:t>
      </w:r>
      <w:r w:rsidR="007279CA">
        <w:rPr>
          <w:bCs/>
          <w:iCs/>
          <w:color w:val="000000"/>
        </w:rPr>
        <w:t xml:space="preserve"> </w:t>
      </w:r>
      <w:r w:rsidRPr="007279CA">
        <w:rPr>
          <w:bCs/>
          <w:iCs/>
          <w:color w:val="000000"/>
        </w:rPr>
        <w:t>The resubmission stated that in these guidelines</w:t>
      </w:r>
      <w:r w:rsidR="00175A03" w:rsidRPr="007279CA">
        <w:rPr>
          <w:bCs/>
          <w:iCs/>
          <w:color w:val="000000"/>
        </w:rPr>
        <w:t>,</w:t>
      </w:r>
      <w:r w:rsidRPr="007279CA">
        <w:rPr>
          <w:bCs/>
          <w:iCs/>
          <w:color w:val="000000"/>
        </w:rPr>
        <w:t xml:space="preserve"> obstruction is defined as a peak LVOT gradient of </w:t>
      </w:r>
      <w:r w:rsidRPr="007279CA">
        <w:rPr>
          <w:rFonts w:cstheme="minorHAnsi"/>
          <w:bCs/>
          <w:iCs/>
          <w:color w:val="000000"/>
        </w:rPr>
        <w:t>≥</w:t>
      </w:r>
      <w:r w:rsidRPr="007279CA">
        <w:rPr>
          <w:bCs/>
          <w:iCs/>
          <w:color w:val="000000"/>
        </w:rPr>
        <w:t xml:space="preserve"> 30 mmHg. </w:t>
      </w:r>
      <w:r w:rsidRPr="00BF5BC7">
        <w:rPr>
          <w:bCs/>
          <w:iCs/>
          <w:color w:val="000000"/>
        </w:rPr>
        <w:t xml:space="preserve">The AHA/ACC (2020) guidelines </w:t>
      </w:r>
      <w:proofErr w:type="gramStart"/>
      <w:r w:rsidRPr="00BF5BC7">
        <w:rPr>
          <w:bCs/>
          <w:iCs/>
          <w:color w:val="000000"/>
        </w:rPr>
        <w:t>state  that</w:t>
      </w:r>
      <w:proofErr w:type="gramEnd"/>
      <w:r w:rsidRPr="00BF5BC7">
        <w:rPr>
          <w:bCs/>
          <w:iCs/>
          <w:color w:val="000000"/>
        </w:rPr>
        <w:t xml:space="preserve"> the presence of peak LVOT gradient of </w:t>
      </w:r>
      <w:r w:rsidRPr="00BF5BC7">
        <w:rPr>
          <w:rFonts w:cstheme="minorHAnsi"/>
          <w:bCs/>
          <w:iCs/>
          <w:color w:val="000000"/>
        </w:rPr>
        <w:t>≥</w:t>
      </w:r>
      <w:r w:rsidRPr="00BF5BC7">
        <w:rPr>
          <w:bCs/>
          <w:iCs/>
          <w:color w:val="000000"/>
        </w:rPr>
        <w:t xml:space="preserve"> 30 mmHg is considered to be indicative of obstruction, with resting or provoked gradients </w:t>
      </w:r>
      <w:r w:rsidRPr="00BF5BC7">
        <w:rPr>
          <w:rFonts w:cstheme="minorHAnsi"/>
          <w:bCs/>
          <w:iCs/>
          <w:color w:val="000000"/>
        </w:rPr>
        <w:t>≥</w:t>
      </w:r>
      <w:r w:rsidRPr="00BF5BC7">
        <w:rPr>
          <w:bCs/>
          <w:iCs/>
          <w:color w:val="000000"/>
        </w:rPr>
        <w:t xml:space="preserve"> 50 mmHg generally considered a threshold for septal reduction therapy (SRT) in those patients with drug-refractory symptoms. The European Society of Cardiology guidelines (2014) provide a protocol for assessment and treatment of LVOT obstruction (Figure 3), where exercise stress echocardiography is recommended in symptomatic patients if bedside manoeuvres fail to induce LVOT ≥ 50 mmHg. The European Society of Cardiology guidelines (2014) also provide recommendations for </w:t>
      </w:r>
      <w:proofErr w:type="gramStart"/>
      <w:r w:rsidRPr="00BF5BC7">
        <w:rPr>
          <w:bCs/>
          <w:iCs/>
          <w:color w:val="000000"/>
        </w:rPr>
        <w:t>SRT ,</w:t>
      </w:r>
      <w:proofErr w:type="gramEnd"/>
      <w:r w:rsidRPr="00BF5BC7">
        <w:rPr>
          <w:bCs/>
          <w:iCs/>
          <w:color w:val="000000"/>
        </w:rPr>
        <w:t xml:space="preserve"> where the threshold of a resting or maximum provoked LVOT gradient of </w:t>
      </w:r>
      <w:r w:rsidRPr="00BF5BC7">
        <w:rPr>
          <w:rFonts w:cstheme="minorHAnsi"/>
          <w:bCs/>
          <w:iCs/>
          <w:color w:val="000000"/>
        </w:rPr>
        <w:t>≥</w:t>
      </w:r>
      <w:r w:rsidRPr="00BF5BC7">
        <w:rPr>
          <w:bCs/>
          <w:iCs/>
          <w:color w:val="000000"/>
        </w:rPr>
        <w:t xml:space="preserve"> 50 mmHg is recommended. </w:t>
      </w:r>
      <w:r w:rsidR="00DE58D2" w:rsidRPr="00541454">
        <w:rPr>
          <w:bCs/>
          <w:color w:val="000000"/>
        </w:rPr>
        <w:t xml:space="preserve"> The ESC agreed</w:t>
      </w:r>
      <w:r w:rsidR="00CD778C" w:rsidRPr="00541454">
        <w:rPr>
          <w:bCs/>
          <w:color w:val="000000"/>
        </w:rPr>
        <w:t xml:space="preserve"> with the submission</w:t>
      </w:r>
      <w:r w:rsidR="00DE58D2" w:rsidRPr="00541454">
        <w:rPr>
          <w:bCs/>
          <w:color w:val="000000"/>
        </w:rPr>
        <w:t xml:space="preserve"> that </w:t>
      </w:r>
      <w:r w:rsidR="00CD778C" w:rsidRPr="00541454">
        <w:rPr>
          <w:bCs/>
          <w:color w:val="000000"/>
        </w:rPr>
        <w:t>current g</w:t>
      </w:r>
      <w:r w:rsidR="00DE58D2" w:rsidRPr="00541454">
        <w:rPr>
          <w:bCs/>
          <w:color w:val="000000"/>
        </w:rPr>
        <w:t xml:space="preserve">uidelines indicate </w:t>
      </w:r>
      <w:r w:rsidR="00CD778C" w:rsidRPr="00541454">
        <w:rPr>
          <w:bCs/>
          <w:color w:val="000000"/>
        </w:rPr>
        <w:t xml:space="preserve">that </w:t>
      </w:r>
      <w:r w:rsidR="00DE58D2" w:rsidRPr="00541454">
        <w:rPr>
          <w:bCs/>
          <w:color w:val="000000"/>
        </w:rPr>
        <w:t>a</w:t>
      </w:r>
      <w:r w:rsidR="00CD778C" w:rsidRPr="00541454">
        <w:rPr>
          <w:bCs/>
          <w:color w:val="000000"/>
        </w:rPr>
        <w:t xml:space="preserve"> peak</w:t>
      </w:r>
      <w:r w:rsidR="00DE58D2" w:rsidRPr="00541454">
        <w:rPr>
          <w:bCs/>
          <w:color w:val="000000"/>
        </w:rPr>
        <w:t xml:space="preserve"> LVOT gradient of </w:t>
      </w:r>
      <w:r w:rsidR="00CD778C" w:rsidRPr="00541454">
        <w:rPr>
          <w:iCs/>
        </w:rPr>
        <w:t>≥</w:t>
      </w:r>
      <w:r w:rsidR="00CD778C" w:rsidRPr="00541454">
        <w:rPr>
          <w:bCs/>
          <w:iCs/>
          <w:color w:val="000000"/>
        </w:rPr>
        <w:t xml:space="preserve"> </w:t>
      </w:r>
      <w:r w:rsidR="00DE58D2" w:rsidRPr="00541454">
        <w:rPr>
          <w:bCs/>
          <w:iCs/>
          <w:color w:val="000000"/>
        </w:rPr>
        <w:t xml:space="preserve">30mm </w:t>
      </w:r>
      <w:r w:rsidR="009174EF" w:rsidRPr="00541454">
        <w:rPr>
          <w:bCs/>
          <w:iCs/>
          <w:color w:val="000000"/>
        </w:rPr>
        <w:t>mm</w:t>
      </w:r>
      <w:r w:rsidR="00DE58D2" w:rsidRPr="00541454">
        <w:rPr>
          <w:bCs/>
          <w:iCs/>
          <w:color w:val="000000"/>
        </w:rPr>
        <w:t xml:space="preserve">Hg indicates obstruction, nevertheless noted that the </w:t>
      </w:r>
      <w:r w:rsidR="00CD778C" w:rsidRPr="00541454">
        <w:rPr>
          <w:bCs/>
          <w:iCs/>
          <w:color w:val="000000"/>
        </w:rPr>
        <w:t xml:space="preserve">eligibility criteria of the key clinical </w:t>
      </w:r>
      <w:r w:rsidR="00DE58D2" w:rsidRPr="00541454">
        <w:rPr>
          <w:bCs/>
          <w:iCs/>
          <w:color w:val="000000"/>
        </w:rPr>
        <w:t>tri</w:t>
      </w:r>
      <w:r w:rsidR="00CD778C" w:rsidRPr="00541454">
        <w:rPr>
          <w:bCs/>
          <w:iCs/>
          <w:color w:val="000000"/>
        </w:rPr>
        <w:t>a</w:t>
      </w:r>
      <w:r w:rsidR="00DE58D2" w:rsidRPr="00541454">
        <w:rPr>
          <w:bCs/>
          <w:iCs/>
          <w:color w:val="000000"/>
        </w:rPr>
        <w:t>l required a</w:t>
      </w:r>
      <w:r w:rsidR="00CD778C" w:rsidRPr="00541454">
        <w:rPr>
          <w:bCs/>
          <w:iCs/>
          <w:color w:val="000000"/>
        </w:rPr>
        <w:t xml:space="preserve"> peak</w:t>
      </w:r>
      <w:r w:rsidR="00DE58D2" w:rsidRPr="00541454">
        <w:rPr>
          <w:bCs/>
          <w:iCs/>
          <w:color w:val="000000"/>
        </w:rPr>
        <w:t xml:space="preserve"> LVOT gradient of </w:t>
      </w:r>
      <w:r w:rsidR="00CD778C" w:rsidRPr="00541454">
        <w:rPr>
          <w:iCs/>
        </w:rPr>
        <w:t>≥</w:t>
      </w:r>
      <w:r w:rsidR="00CD778C" w:rsidRPr="00541454">
        <w:rPr>
          <w:bCs/>
          <w:iCs/>
          <w:color w:val="000000"/>
        </w:rPr>
        <w:t xml:space="preserve"> </w:t>
      </w:r>
      <w:r w:rsidR="00DE58D2" w:rsidRPr="00541454">
        <w:rPr>
          <w:bCs/>
          <w:iCs/>
          <w:color w:val="000000"/>
        </w:rPr>
        <w:t>50mm Hg</w:t>
      </w:r>
      <w:r w:rsidR="00921C17" w:rsidRPr="00541454">
        <w:rPr>
          <w:bCs/>
          <w:iCs/>
          <w:color w:val="000000"/>
        </w:rPr>
        <w:t xml:space="preserve"> and this plausibly reflected a higher risk population</w:t>
      </w:r>
      <w:r w:rsidR="00DE58D2" w:rsidRPr="00541454">
        <w:rPr>
          <w:bCs/>
          <w:iCs/>
          <w:color w:val="000000"/>
        </w:rPr>
        <w:t>.</w:t>
      </w:r>
      <w:r w:rsidR="006935B4">
        <w:rPr>
          <w:bCs/>
          <w:iCs/>
          <w:color w:val="000000"/>
        </w:rPr>
        <w:t xml:space="preserve"> </w:t>
      </w:r>
    </w:p>
    <w:p w14:paraId="44774E66" w14:textId="18A39636" w:rsidR="00215718" w:rsidRPr="00BF5BC7" w:rsidRDefault="00215718" w:rsidP="00EE280A">
      <w:pPr>
        <w:pStyle w:val="ListParagraph"/>
        <w:numPr>
          <w:ilvl w:val="0"/>
          <w:numId w:val="9"/>
        </w:numPr>
        <w:rPr>
          <w:bCs/>
          <w:iCs/>
          <w:color w:val="000000"/>
        </w:rPr>
      </w:pPr>
      <w:r w:rsidRPr="0039536A">
        <w:rPr>
          <w:bCs/>
          <w:iCs/>
          <w:color w:val="000000"/>
        </w:rPr>
        <w:t xml:space="preserve">Eligibility criteria for EXPLORER-HCM: The resubmission </w:t>
      </w:r>
      <w:proofErr w:type="gramStart"/>
      <w:r w:rsidRPr="0039536A">
        <w:rPr>
          <w:bCs/>
          <w:iCs/>
          <w:color w:val="000000"/>
        </w:rPr>
        <w:t>stated  that</w:t>
      </w:r>
      <w:proofErr w:type="gramEnd"/>
      <w:r w:rsidRPr="0039536A">
        <w:rPr>
          <w:bCs/>
          <w:iCs/>
          <w:color w:val="000000"/>
        </w:rPr>
        <w:t xml:space="preserve"> the inclusion</w:t>
      </w:r>
      <w:r w:rsidRPr="0039536A">
        <w:t xml:space="preserve"> </w:t>
      </w:r>
      <w:r w:rsidRPr="0039536A">
        <w:rPr>
          <w:bCs/>
          <w:iCs/>
          <w:color w:val="000000"/>
        </w:rPr>
        <w:t xml:space="preserve">criteria </w:t>
      </w:r>
      <w:r w:rsidR="00641C7F">
        <w:rPr>
          <w:bCs/>
          <w:iCs/>
          <w:color w:val="000000"/>
        </w:rPr>
        <w:t xml:space="preserve">for EXPLORER-HCM (the pivotal evidence presented for </w:t>
      </w:r>
      <w:r w:rsidR="009405DB">
        <w:rPr>
          <w:bCs/>
          <w:iCs/>
          <w:color w:val="000000"/>
        </w:rPr>
        <w:t>mavacamten</w:t>
      </w:r>
      <w:r w:rsidR="00641C7F">
        <w:rPr>
          <w:bCs/>
          <w:iCs/>
          <w:color w:val="000000"/>
        </w:rPr>
        <w:t xml:space="preserve"> in HCM) </w:t>
      </w:r>
      <w:r w:rsidRPr="0039536A">
        <w:rPr>
          <w:bCs/>
          <w:iCs/>
          <w:color w:val="000000"/>
        </w:rPr>
        <w:t xml:space="preserve">were for </w:t>
      </w:r>
      <w:r w:rsidR="005C5F6E">
        <w:rPr>
          <w:bCs/>
          <w:iCs/>
          <w:color w:val="000000"/>
        </w:rPr>
        <w:t>a</w:t>
      </w:r>
      <w:r w:rsidRPr="0039536A">
        <w:rPr>
          <w:bCs/>
          <w:iCs/>
          <w:color w:val="000000"/>
        </w:rPr>
        <w:t xml:space="preserve"> </w:t>
      </w:r>
      <w:r w:rsidR="005C5F6E">
        <w:rPr>
          <w:bCs/>
          <w:iCs/>
          <w:color w:val="000000"/>
        </w:rPr>
        <w:t xml:space="preserve">baseline </w:t>
      </w:r>
      <w:r w:rsidRPr="0039536A">
        <w:rPr>
          <w:bCs/>
          <w:iCs/>
          <w:color w:val="000000"/>
        </w:rPr>
        <w:t xml:space="preserve">peak LVOT gradient </w:t>
      </w:r>
      <w:r w:rsidR="005C5F6E" w:rsidRPr="0039536A">
        <w:rPr>
          <w:bCs/>
          <w:iCs/>
          <w:color w:val="000000"/>
        </w:rPr>
        <w:t xml:space="preserve">at rest or </w:t>
      </w:r>
      <w:r w:rsidR="005C5F6E">
        <w:rPr>
          <w:bCs/>
          <w:iCs/>
          <w:color w:val="000000"/>
        </w:rPr>
        <w:t xml:space="preserve">on </w:t>
      </w:r>
      <w:r w:rsidR="005C5F6E" w:rsidRPr="0039536A">
        <w:rPr>
          <w:bCs/>
          <w:iCs/>
          <w:color w:val="000000"/>
        </w:rPr>
        <w:t>provocation (Valsalva or post-exercise) at diagnosis</w:t>
      </w:r>
      <w:r w:rsidR="005C5F6E">
        <w:rPr>
          <w:bCs/>
          <w:iCs/>
          <w:color w:val="000000"/>
        </w:rPr>
        <w:t xml:space="preserve"> to be </w:t>
      </w:r>
      <w:r w:rsidRPr="0039536A">
        <w:rPr>
          <w:bCs/>
          <w:iCs/>
          <w:color w:val="000000"/>
        </w:rPr>
        <w:t>≥ 50 mmHg</w:t>
      </w:r>
      <w:r w:rsidR="005C5F6E">
        <w:rPr>
          <w:bCs/>
          <w:iCs/>
          <w:color w:val="000000"/>
        </w:rPr>
        <w:t xml:space="preserve">.  However, </w:t>
      </w:r>
      <w:r w:rsidR="00F11580">
        <w:rPr>
          <w:bCs/>
          <w:iCs/>
          <w:color w:val="000000"/>
        </w:rPr>
        <w:t>the study recruited a ‘</w:t>
      </w:r>
      <w:r w:rsidR="00F11580" w:rsidRPr="004C049A">
        <w:t>significant proportion</w:t>
      </w:r>
      <w:r w:rsidR="00F11580">
        <w:t>’</w:t>
      </w:r>
      <w:r w:rsidR="00F11580" w:rsidRPr="004C049A">
        <w:t xml:space="preserve"> of patients with a baseline LVOT &lt;</w:t>
      </w:r>
      <w:r w:rsidR="00CD7548">
        <w:t> </w:t>
      </w:r>
      <w:r w:rsidR="00F11580" w:rsidRPr="004C049A">
        <w:t>50</w:t>
      </w:r>
      <w:r w:rsidR="00CD7548">
        <w:t> </w:t>
      </w:r>
      <w:r w:rsidR="00F11580" w:rsidRPr="004C049A">
        <w:t>mmHg</w:t>
      </w:r>
      <w:r w:rsidRPr="0039536A">
        <w:rPr>
          <w:bCs/>
          <w:iCs/>
          <w:color w:val="000000"/>
        </w:rPr>
        <w:t xml:space="preserve">. </w:t>
      </w:r>
      <w:bookmarkStart w:id="27" w:name="_Hlk137807159"/>
      <w:r w:rsidR="00641C7F" w:rsidRPr="00BF5BC7">
        <w:rPr>
          <w:iCs/>
        </w:rPr>
        <w:t xml:space="preserve">Evidence presented in the resubmission indicated that </w:t>
      </w:r>
      <w:r w:rsidR="006F60F3" w:rsidRPr="00BF5BC7">
        <w:rPr>
          <w:iCs/>
        </w:rPr>
        <w:t xml:space="preserve">approximately </w:t>
      </w:r>
      <w:r w:rsidR="003B0333" w:rsidRPr="00BF5BC7">
        <w:rPr>
          <w:iCs/>
        </w:rPr>
        <w:t xml:space="preserve">13% </w:t>
      </w:r>
      <w:r w:rsidR="0006309F" w:rsidRPr="00BF5BC7">
        <w:rPr>
          <w:iCs/>
        </w:rPr>
        <w:t xml:space="preserve">of </w:t>
      </w:r>
      <w:r w:rsidR="00641C7F" w:rsidRPr="00BF5BC7">
        <w:rPr>
          <w:iCs/>
        </w:rPr>
        <w:t xml:space="preserve">patients recruited to EXPLORER-HCM had </w:t>
      </w:r>
      <w:r w:rsidR="00005AFD" w:rsidRPr="00541454">
        <w:t>a Valsalva</w:t>
      </w:r>
      <w:r w:rsidR="00005AFD" w:rsidRPr="00BF5BC7">
        <w:rPr>
          <w:iCs/>
        </w:rPr>
        <w:t xml:space="preserve"> </w:t>
      </w:r>
      <w:r w:rsidRPr="00BF5BC7">
        <w:rPr>
          <w:iCs/>
        </w:rPr>
        <w:t xml:space="preserve">LVOT gradient </w:t>
      </w:r>
      <w:r w:rsidR="003D783F" w:rsidRPr="00BF5BC7">
        <w:rPr>
          <w:iCs/>
        </w:rPr>
        <w:t>between</w:t>
      </w:r>
      <w:r w:rsidRPr="00BF5BC7">
        <w:rPr>
          <w:iCs/>
        </w:rPr>
        <w:t xml:space="preserve"> 30 mmHg and 50 mmHg</w:t>
      </w:r>
      <w:r w:rsidR="003D783F" w:rsidRPr="00BF5BC7">
        <w:rPr>
          <w:iCs/>
        </w:rPr>
        <w:t xml:space="preserve"> at baseline</w:t>
      </w:r>
      <w:bookmarkEnd w:id="27"/>
      <w:r w:rsidRPr="00BF5BC7">
        <w:rPr>
          <w:iCs/>
        </w:rPr>
        <w:t xml:space="preserve">. </w:t>
      </w:r>
      <w:r w:rsidR="00DE58D2" w:rsidRPr="00541454">
        <w:t xml:space="preserve"> The ESC </w:t>
      </w:r>
      <w:r w:rsidR="009174EF" w:rsidRPr="00541454">
        <w:t>considered</w:t>
      </w:r>
      <w:r w:rsidR="00DE58D2" w:rsidRPr="00541454">
        <w:t xml:space="preserve"> this </w:t>
      </w:r>
      <w:r w:rsidR="009174EF" w:rsidRPr="00541454">
        <w:t>argument</w:t>
      </w:r>
      <w:r w:rsidR="00DE58D2" w:rsidRPr="00541454">
        <w:t xml:space="preserve"> </w:t>
      </w:r>
      <w:r w:rsidR="00005AFD" w:rsidRPr="00541454">
        <w:t>was not persuasive as</w:t>
      </w:r>
      <w:r w:rsidR="00DE58D2" w:rsidRPr="00541454">
        <w:t xml:space="preserve"> the </w:t>
      </w:r>
      <w:r w:rsidR="009205B6" w:rsidRPr="00541454">
        <w:t>eligibility</w:t>
      </w:r>
      <w:r w:rsidR="00DE58D2" w:rsidRPr="00541454">
        <w:t xml:space="preserve"> criteria for the trial </w:t>
      </w:r>
      <w:r w:rsidR="005C5F6E">
        <w:t>specifically required that at least one measure of baseline LVOT gradient (rest or on provocation) sh</w:t>
      </w:r>
      <w:r w:rsidR="005C5F6E" w:rsidRPr="00541454">
        <w:t xml:space="preserve">ould </w:t>
      </w:r>
      <w:r w:rsidR="00005AFD" w:rsidRPr="00541454">
        <w:t>measure ≥ 50 mmHg</w:t>
      </w:r>
      <w:r w:rsidR="00DE58D2" w:rsidRPr="00541454">
        <w:t xml:space="preserve">. </w:t>
      </w:r>
      <w:r w:rsidR="005C5F6E">
        <w:t>Hence, t</w:t>
      </w:r>
      <w:r w:rsidR="00DE58D2" w:rsidRPr="00541454">
        <w:t xml:space="preserve">he ESC </w:t>
      </w:r>
      <w:r w:rsidR="009174EF" w:rsidRPr="00541454">
        <w:t>considered</w:t>
      </w:r>
      <w:r w:rsidR="00DE58D2" w:rsidRPr="00541454">
        <w:t xml:space="preserve"> that this did not address </w:t>
      </w:r>
      <w:r w:rsidR="009205B6" w:rsidRPr="00541454">
        <w:t>its</w:t>
      </w:r>
      <w:r w:rsidR="00DE58D2" w:rsidRPr="00541454">
        <w:t xml:space="preserve"> concerns </w:t>
      </w:r>
      <w:r w:rsidR="009205B6" w:rsidRPr="00541454">
        <w:t>with regards to</w:t>
      </w:r>
      <w:r w:rsidR="00DE58D2" w:rsidRPr="00541454">
        <w:t xml:space="preserve"> reducing the restriction criteria to a</w:t>
      </w:r>
      <w:r w:rsidR="009205B6" w:rsidRPr="00541454">
        <w:t xml:space="preserve"> peak</w:t>
      </w:r>
      <w:r w:rsidR="00DE58D2" w:rsidRPr="00541454">
        <w:t xml:space="preserve"> LVOT gradient of </w:t>
      </w:r>
      <w:r w:rsidR="009205B6" w:rsidRPr="00541454">
        <w:rPr>
          <w:iCs/>
        </w:rPr>
        <w:t xml:space="preserve">≥ </w:t>
      </w:r>
      <w:r w:rsidR="00DE58D2" w:rsidRPr="00541454">
        <w:rPr>
          <w:iCs/>
        </w:rPr>
        <w:t>30mm Hg.</w:t>
      </w:r>
      <w:r w:rsidR="00DE58D2" w:rsidRPr="00541454">
        <w:t xml:space="preserve"> </w:t>
      </w:r>
    </w:p>
    <w:p w14:paraId="30078230" w14:textId="56C6433F" w:rsidR="000A006C" w:rsidRPr="00854AB2" w:rsidRDefault="00215718" w:rsidP="00EE280A">
      <w:pPr>
        <w:pStyle w:val="ListParagraph"/>
        <w:numPr>
          <w:ilvl w:val="0"/>
          <w:numId w:val="9"/>
        </w:numPr>
        <w:rPr>
          <w:iCs/>
        </w:rPr>
      </w:pPr>
      <w:r w:rsidRPr="00854AB2">
        <w:rPr>
          <w:bCs/>
          <w:iCs/>
          <w:color w:val="000000"/>
        </w:rPr>
        <w:lastRenderedPageBreak/>
        <w:t xml:space="preserve">The resubmission </w:t>
      </w:r>
      <w:proofErr w:type="gramStart"/>
      <w:r w:rsidRPr="00854AB2">
        <w:rPr>
          <w:bCs/>
          <w:iCs/>
          <w:color w:val="000000"/>
        </w:rPr>
        <w:t>argued  there</w:t>
      </w:r>
      <w:proofErr w:type="gramEnd"/>
      <w:r w:rsidRPr="00854AB2">
        <w:rPr>
          <w:bCs/>
          <w:iCs/>
          <w:color w:val="000000"/>
        </w:rPr>
        <w:t xml:space="preserve"> is likely to be an extremely small number of patients who have an LVOT gradient </w:t>
      </w:r>
      <w:r w:rsidR="00610A07" w:rsidRPr="00541454">
        <w:rPr>
          <w:bCs/>
          <w:color w:val="000000"/>
        </w:rPr>
        <w:t xml:space="preserve">at rest </w:t>
      </w:r>
      <w:r w:rsidRPr="00854AB2">
        <w:rPr>
          <w:bCs/>
          <w:iCs/>
          <w:color w:val="000000"/>
        </w:rPr>
        <w:t>between 30 mmHg and 50 mmHg based on Maron et al., (2006)</w:t>
      </w:r>
      <w:bookmarkStart w:id="28" w:name="_Ref132576193"/>
      <w:r w:rsidRPr="0039536A">
        <w:rPr>
          <w:rStyle w:val="FootnoteReference"/>
          <w:bCs/>
          <w:iCs/>
          <w:color w:val="000000"/>
        </w:rPr>
        <w:footnoteReference w:id="1"/>
      </w:r>
      <w:bookmarkEnd w:id="28"/>
      <w:r w:rsidRPr="00854AB2">
        <w:rPr>
          <w:bCs/>
          <w:iCs/>
          <w:color w:val="000000"/>
        </w:rPr>
        <w:t xml:space="preserve">. From this study, a small proportion of patients (n=11; </w:t>
      </w:r>
      <w:r w:rsidRPr="00854AB2">
        <w:rPr>
          <w:bCs/>
          <w:color w:val="000000"/>
        </w:rPr>
        <w:t>11/320=3.4%</w:t>
      </w:r>
      <w:r w:rsidRPr="00854AB2">
        <w:rPr>
          <w:bCs/>
          <w:iCs/>
          <w:color w:val="000000"/>
        </w:rPr>
        <w:t>) had an LVOT gradient between 30 mmHg and 50 mmHg.</w:t>
      </w:r>
      <w:r w:rsidRPr="00854AB2">
        <w:rPr>
          <w:iCs/>
        </w:rPr>
        <w:t xml:space="preserve"> Maron et al., (2006) was a prospective population based epidemiological study of patients with HCM conducted at three referral centres in the USA (two centres) and Italy (one centre)</w:t>
      </w:r>
      <w:r w:rsidR="00E843EB" w:rsidRPr="00854AB2">
        <w:rPr>
          <w:iCs/>
        </w:rPr>
        <w:t xml:space="preserve"> </w:t>
      </w:r>
      <w:r w:rsidRPr="00854AB2">
        <w:rPr>
          <w:iCs/>
        </w:rPr>
        <w:t>between July 2003 and November 2004</w:t>
      </w:r>
      <w:r w:rsidR="00E843EB" w:rsidRPr="00854AB2">
        <w:rPr>
          <w:iCs/>
        </w:rPr>
        <w:t xml:space="preserve">. </w:t>
      </w:r>
      <w:r w:rsidR="006935B4">
        <w:rPr>
          <w:iCs/>
        </w:rPr>
        <w:t>The evaluation considered that e</w:t>
      </w:r>
      <w:r w:rsidR="0017634C" w:rsidRPr="00854AB2">
        <w:rPr>
          <w:iCs/>
        </w:rPr>
        <w:t xml:space="preserve">pidemiologic estimates from Maron et al (2006) </w:t>
      </w:r>
      <w:r w:rsidR="006935B4">
        <w:rPr>
          <w:iCs/>
        </w:rPr>
        <w:t>were</w:t>
      </w:r>
      <w:r w:rsidR="0067451B">
        <w:rPr>
          <w:iCs/>
        </w:rPr>
        <w:t xml:space="preserve"> </w:t>
      </w:r>
      <w:r w:rsidR="0017634C" w:rsidRPr="00854AB2">
        <w:rPr>
          <w:iCs/>
        </w:rPr>
        <w:t xml:space="preserve">not </w:t>
      </w:r>
      <w:r w:rsidR="003D783F" w:rsidRPr="00854AB2">
        <w:rPr>
          <w:iCs/>
        </w:rPr>
        <w:t xml:space="preserve">a reliable basis </w:t>
      </w:r>
      <w:r w:rsidR="0017634C" w:rsidRPr="00854AB2">
        <w:rPr>
          <w:iCs/>
        </w:rPr>
        <w:t xml:space="preserve">for translation to the Australian setting, </w:t>
      </w:r>
      <w:r w:rsidR="003D783F" w:rsidRPr="00854AB2">
        <w:rPr>
          <w:iCs/>
        </w:rPr>
        <w:t>given that the study contained</w:t>
      </w:r>
      <w:r w:rsidR="0017634C" w:rsidRPr="00854AB2">
        <w:rPr>
          <w:iCs/>
        </w:rPr>
        <w:t xml:space="preserve"> a small sample size (N=320) for HCM which is a relatively common disorder. </w:t>
      </w:r>
      <w:r w:rsidR="00DE58D2" w:rsidRPr="00541454">
        <w:t xml:space="preserve">  </w:t>
      </w:r>
      <w:r w:rsidR="00854AB2" w:rsidRPr="00541454">
        <w:t xml:space="preserve">As above, the ESC considered that this did not address its concerns with regards to reducing the restriction criteria to a peak LVOT gradient of </w:t>
      </w:r>
      <w:r w:rsidR="00854AB2" w:rsidRPr="00541454">
        <w:rPr>
          <w:iCs/>
        </w:rPr>
        <w:t>≥ 30</w:t>
      </w:r>
      <w:r w:rsidR="00852EBE" w:rsidRPr="00541454">
        <w:rPr>
          <w:iCs/>
        </w:rPr>
        <w:t xml:space="preserve"> </w:t>
      </w:r>
      <w:r w:rsidR="00854AB2" w:rsidRPr="00541454">
        <w:rPr>
          <w:iCs/>
        </w:rPr>
        <w:t>mmHg.</w:t>
      </w:r>
      <w:r w:rsidR="00BC7F5B" w:rsidRPr="00541454">
        <w:rPr>
          <w:iCs/>
        </w:rPr>
        <w:t xml:space="preserve">  The ESC agree</w:t>
      </w:r>
      <w:r w:rsidR="006935B4">
        <w:rPr>
          <w:iCs/>
        </w:rPr>
        <w:t>d</w:t>
      </w:r>
      <w:r w:rsidR="00BC7F5B" w:rsidRPr="00541454">
        <w:rPr>
          <w:iCs/>
        </w:rPr>
        <w:t xml:space="preserve"> that any patients who have a rest or provocable gradient </w:t>
      </w:r>
      <w:r w:rsidR="009E35BB">
        <w:rPr>
          <w:iCs/>
        </w:rPr>
        <w:br/>
      </w:r>
      <w:r w:rsidR="00BC7F5B" w:rsidRPr="00541454">
        <w:rPr>
          <w:iCs/>
        </w:rPr>
        <w:t>&gt;</w:t>
      </w:r>
      <w:r w:rsidR="006935B4">
        <w:rPr>
          <w:iCs/>
        </w:rPr>
        <w:t xml:space="preserve"> </w:t>
      </w:r>
      <w:r w:rsidR="00BC7F5B" w:rsidRPr="00541454">
        <w:rPr>
          <w:iCs/>
        </w:rPr>
        <w:t>50</w:t>
      </w:r>
      <w:r w:rsidR="00852EBE" w:rsidRPr="00541454">
        <w:rPr>
          <w:iCs/>
        </w:rPr>
        <w:t xml:space="preserve"> </w:t>
      </w:r>
      <w:r w:rsidR="00BC7F5B" w:rsidRPr="00541454">
        <w:rPr>
          <w:iCs/>
        </w:rPr>
        <w:t xml:space="preserve">mmHg be eligible under the proposed </w:t>
      </w:r>
      <w:proofErr w:type="gramStart"/>
      <w:r w:rsidR="00BC7F5B" w:rsidRPr="00541454">
        <w:rPr>
          <w:iCs/>
        </w:rPr>
        <w:t>restriction, but</w:t>
      </w:r>
      <w:proofErr w:type="gramEnd"/>
      <w:r w:rsidR="00BC7F5B" w:rsidRPr="00541454">
        <w:rPr>
          <w:iCs/>
        </w:rPr>
        <w:t xml:space="preserve"> disagreed with the submission and the PSCR which would allow patients with </w:t>
      </w:r>
      <w:r w:rsidR="00A00A91" w:rsidRPr="00541454">
        <w:rPr>
          <w:iCs/>
        </w:rPr>
        <w:t>a rest or provocable gradient of 30-50</w:t>
      </w:r>
      <w:r w:rsidR="00852EBE" w:rsidRPr="00541454">
        <w:rPr>
          <w:iCs/>
        </w:rPr>
        <w:t xml:space="preserve"> </w:t>
      </w:r>
      <w:r w:rsidR="00A00A91" w:rsidRPr="00541454">
        <w:rPr>
          <w:iCs/>
        </w:rPr>
        <w:t xml:space="preserve">mmHg be eligible when they would not have been eligible under the clinical trial eligibility criteria. </w:t>
      </w:r>
      <w:r w:rsidR="00BC7F5B" w:rsidRPr="00541454">
        <w:rPr>
          <w:iCs/>
        </w:rPr>
        <w:t xml:space="preserve"> </w:t>
      </w:r>
      <w:r w:rsidR="00854AB2" w:rsidRPr="00541454">
        <w:t xml:space="preserve"> </w:t>
      </w:r>
    </w:p>
    <w:p w14:paraId="2B1A2AD4" w14:textId="090F871E" w:rsidR="00964332" w:rsidRPr="00F93B87" w:rsidRDefault="00215718" w:rsidP="00EE280A">
      <w:pPr>
        <w:pStyle w:val="ListParagraph"/>
        <w:numPr>
          <w:ilvl w:val="0"/>
          <w:numId w:val="9"/>
        </w:numPr>
        <w:rPr>
          <w:bCs/>
          <w:iCs/>
        </w:rPr>
      </w:pPr>
      <w:r w:rsidRPr="0039536A">
        <w:rPr>
          <w:bCs/>
          <w:iCs/>
          <w:color w:val="000000"/>
        </w:rPr>
        <w:t>The resubmission proposed an RSA as a means of addressing the potential uncertainty associated with use in patients with an LVOT lower than 50</w:t>
      </w:r>
      <w:r w:rsidR="00852EBE">
        <w:rPr>
          <w:bCs/>
          <w:iCs/>
          <w:color w:val="000000"/>
        </w:rPr>
        <w:t> </w:t>
      </w:r>
      <w:r w:rsidRPr="0039536A">
        <w:rPr>
          <w:bCs/>
          <w:iCs/>
          <w:color w:val="000000"/>
        </w:rPr>
        <w:t>mmHg</w:t>
      </w:r>
      <w:r w:rsidRPr="00F93B87">
        <w:rPr>
          <w:bCs/>
          <w:iCs/>
        </w:rPr>
        <w:t xml:space="preserve">. </w:t>
      </w:r>
      <w:r w:rsidR="00977F3A" w:rsidRPr="00541454">
        <w:rPr>
          <w:bCs/>
        </w:rPr>
        <w:t xml:space="preserve">The ESC advised that RSAs are not </w:t>
      </w:r>
      <w:r w:rsidR="009D28D9" w:rsidRPr="00541454">
        <w:rPr>
          <w:bCs/>
        </w:rPr>
        <w:t xml:space="preserve">created </w:t>
      </w:r>
      <w:r w:rsidR="00977F3A" w:rsidRPr="00541454">
        <w:rPr>
          <w:bCs/>
        </w:rPr>
        <w:t>for the purpose of broadening restrictions</w:t>
      </w:r>
      <w:r w:rsidR="009D28D9" w:rsidRPr="00541454">
        <w:rPr>
          <w:bCs/>
        </w:rPr>
        <w:t xml:space="preserve"> of medicines</w:t>
      </w:r>
      <w:r w:rsidR="00977F3A" w:rsidRPr="00541454">
        <w:rPr>
          <w:bCs/>
        </w:rPr>
        <w:t xml:space="preserve"> to patients for </w:t>
      </w:r>
      <w:r w:rsidR="009D28D9" w:rsidRPr="00541454">
        <w:rPr>
          <w:bCs/>
        </w:rPr>
        <w:t>whom</w:t>
      </w:r>
      <w:r w:rsidR="00977F3A" w:rsidRPr="00541454">
        <w:rPr>
          <w:bCs/>
        </w:rPr>
        <w:t xml:space="preserve"> there is minimal clinical evidence.</w:t>
      </w:r>
    </w:p>
    <w:p w14:paraId="3AD77129" w14:textId="5A6F2C1B" w:rsidR="00334490" w:rsidRPr="00334490" w:rsidRDefault="00610A07" w:rsidP="00A3332E">
      <w:pPr>
        <w:pStyle w:val="3-BodyText"/>
        <w:rPr>
          <w:color w:val="0066FF"/>
        </w:rPr>
      </w:pPr>
      <w:r w:rsidRPr="00541454">
        <w:rPr>
          <w:iCs/>
        </w:rPr>
        <w:t>The ESC noted t</w:t>
      </w:r>
      <w:r w:rsidR="00AA0F19" w:rsidRPr="00541454">
        <w:rPr>
          <w:iCs/>
        </w:rPr>
        <w:t xml:space="preserve">he PSCR </w:t>
      </w:r>
      <w:r w:rsidR="005C5F6E">
        <w:rPr>
          <w:iCs/>
        </w:rPr>
        <w:t xml:space="preserve">appeared to </w:t>
      </w:r>
      <w:r w:rsidR="00AA0F19" w:rsidRPr="00541454">
        <w:rPr>
          <w:iCs/>
        </w:rPr>
        <w:t>argue</w:t>
      </w:r>
      <w:r w:rsidR="005C5F6E">
        <w:rPr>
          <w:iCs/>
        </w:rPr>
        <w:t xml:space="preserve"> that</w:t>
      </w:r>
      <w:r w:rsidR="00AA0F19" w:rsidRPr="00541454">
        <w:rPr>
          <w:iCs/>
        </w:rPr>
        <w:t xml:space="preserve"> the peak LVOT criterion at screening in the EXPLORER-HCM trial was included to account for echocardiogram variations in LVOT gradient measures that occur between sites and the core lab to reduce screen failure at trial enrolment.</w:t>
      </w:r>
      <w:r w:rsidRPr="00541454">
        <w:rPr>
          <w:iCs/>
        </w:rPr>
        <w:t xml:space="preserve"> </w:t>
      </w:r>
      <w:r w:rsidR="00AA0F19" w:rsidRPr="00541454">
        <w:rPr>
          <w:iCs/>
        </w:rPr>
        <w:t>The ESC did</w:t>
      </w:r>
      <w:r w:rsidRPr="00541454">
        <w:rPr>
          <w:iCs/>
        </w:rPr>
        <w:t xml:space="preserve"> not </w:t>
      </w:r>
      <w:r w:rsidR="00AA0F19" w:rsidRPr="00541454">
        <w:rPr>
          <w:iCs/>
        </w:rPr>
        <w:t xml:space="preserve">consider the issue was </w:t>
      </w:r>
      <w:r w:rsidRPr="00541454">
        <w:rPr>
          <w:iCs/>
        </w:rPr>
        <w:t>satisfactorily addressed</w:t>
      </w:r>
      <w:r w:rsidR="00AA0F19" w:rsidRPr="00541454">
        <w:rPr>
          <w:iCs/>
        </w:rPr>
        <w:t xml:space="preserve"> in the PSCR</w:t>
      </w:r>
      <w:r w:rsidRPr="00541454">
        <w:rPr>
          <w:iCs/>
        </w:rPr>
        <w:t>.</w:t>
      </w:r>
      <w:r w:rsidR="00AA0F19" w:rsidRPr="00541454">
        <w:rPr>
          <w:iCs/>
        </w:rPr>
        <w:t xml:space="preserve"> The ESC remained concerned that the requested PBS criterion for LVOT of </w:t>
      </w:r>
      <w:r w:rsidR="00AA0F19" w:rsidRPr="00F93B87">
        <w:rPr>
          <w:bCs/>
          <w:iCs/>
        </w:rPr>
        <w:t>≥ </w:t>
      </w:r>
      <w:r w:rsidR="00AA0F19" w:rsidRPr="00541454">
        <w:rPr>
          <w:iCs/>
        </w:rPr>
        <w:t>30 mmHg would create p</w:t>
      </w:r>
      <w:r w:rsidRPr="00541454">
        <w:rPr>
          <w:iCs/>
        </w:rPr>
        <w:t xml:space="preserve">otential for extension </w:t>
      </w:r>
      <w:r w:rsidR="00AA0F19" w:rsidRPr="00541454">
        <w:rPr>
          <w:iCs/>
        </w:rPr>
        <w:t xml:space="preserve">of access </w:t>
      </w:r>
      <w:r w:rsidRPr="00541454">
        <w:rPr>
          <w:iCs/>
        </w:rPr>
        <w:t>to patients with lower gradient in whom effectiveness has not been adequately demonstrated</w:t>
      </w:r>
      <w:r w:rsidR="005C5F6E">
        <w:rPr>
          <w:iCs/>
        </w:rPr>
        <w:t xml:space="preserve"> by EXPLORER-HCM</w:t>
      </w:r>
      <w:r w:rsidR="00AA0F19" w:rsidRPr="00541454">
        <w:rPr>
          <w:iCs/>
        </w:rPr>
        <w:t>.</w:t>
      </w:r>
      <w:r w:rsidR="006B30BB">
        <w:rPr>
          <w:iCs/>
        </w:rPr>
        <w:t xml:space="preserve"> </w:t>
      </w:r>
    </w:p>
    <w:p w14:paraId="25E9D41E" w14:textId="4D515EA3" w:rsidR="00836E98" w:rsidRPr="002806FB" w:rsidRDefault="00836E98" w:rsidP="00A3332E">
      <w:pPr>
        <w:pStyle w:val="3-BodyText"/>
        <w:rPr>
          <w:color w:val="0066FF"/>
        </w:rPr>
      </w:pPr>
      <w:r w:rsidRPr="00F93B87">
        <w:t>The resubmission stated that the sponsor is considering opening a Patient Access Program (PAP)</w:t>
      </w:r>
      <w:r w:rsidR="00E1781C" w:rsidRPr="00F93B87">
        <w:t xml:space="preserve"> for approximately 3 months</w:t>
      </w:r>
      <w:r w:rsidRPr="00F93B87">
        <w:t xml:space="preserve"> to provide access to mavacamten for patients with symptomatic obstructive HCM </w:t>
      </w:r>
      <w:r w:rsidRPr="005919F5">
        <w:t xml:space="preserve">prior to PBS reimbursement. </w:t>
      </w:r>
      <w:r w:rsidR="00091399">
        <w:t xml:space="preserve">A grandfathering restriction for such a patient population </w:t>
      </w:r>
      <w:r w:rsidRPr="005919F5">
        <w:t>was not requested as part of the November 2022 submission (</w:t>
      </w:r>
      <w:r w:rsidR="006B437C" w:rsidRPr="005919F5">
        <w:t>par</w:t>
      </w:r>
      <w:r w:rsidR="006B437C">
        <w:t>a.</w:t>
      </w:r>
      <w:r w:rsidR="006B437C" w:rsidRPr="005919F5">
        <w:t xml:space="preserve"> 6.63</w:t>
      </w:r>
      <w:r w:rsidR="006B437C">
        <w:t>,</w:t>
      </w:r>
      <w:r w:rsidRPr="005919F5">
        <w:t xml:space="preserve"> mavacamten</w:t>
      </w:r>
      <w:r w:rsidR="006B437C">
        <w:t>,</w:t>
      </w:r>
      <w:r w:rsidRPr="005919F5">
        <w:t xml:space="preserve"> PBAC </w:t>
      </w:r>
      <w:r w:rsidR="00DC4420">
        <w:t>Public Summary Document (</w:t>
      </w:r>
      <w:r w:rsidR="006A1C29">
        <w:t>PSD</w:t>
      </w:r>
      <w:r w:rsidR="00DC4420">
        <w:t>)</w:t>
      </w:r>
      <w:r w:rsidR="006B437C">
        <w:t xml:space="preserve">, </w:t>
      </w:r>
      <w:r w:rsidRPr="005919F5">
        <w:t>November 2022</w:t>
      </w:r>
      <w:r w:rsidR="006B437C">
        <w:t xml:space="preserve"> PBAC meeting</w:t>
      </w:r>
      <w:r w:rsidRPr="005919F5">
        <w:t xml:space="preserve">). The proposed grandfathering listing </w:t>
      </w:r>
      <w:r w:rsidR="00EC1839">
        <w:t xml:space="preserve">in this resubmission </w:t>
      </w:r>
      <w:r w:rsidRPr="005919F5">
        <w:t xml:space="preserve">is intended for both patients who are still titrating to their individualised dose and those who have established their maintenance dose of </w:t>
      </w:r>
      <w:r w:rsidRPr="005919F5">
        <w:lastRenderedPageBreak/>
        <w:t>mavacamten (2.5</w:t>
      </w:r>
      <w:r>
        <w:t> </w:t>
      </w:r>
      <w:r w:rsidRPr="005919F5">
        <w:t>mg, 5</w:t>
      </w:r>
      <w:r>
        <w:t> </w:t>
      </w:r>
      <w:r w:rsidRPr="005919F5">
        <w:t>mg, 10</w:t>
      </w:r>
      <w:r>
        <w:t> </w:t>
      </w:r>
      <w:r w:rsidRPr="005919F5">
        <w:t>mg or 15</w:t>
      </w:r>
      <w:r>
        <w:t> </w:t>
      </w:r>
      <w:r w:rsidRPr="005919F5">
        <w:t xml:space="preserve">mg). </w:t>
      </w:r>
      <w:r w:rsidR="004D776F">
        <w:t xml:space="preserve">The evaluation considered that it was </w:t>
      </w:r>
      <w:r w:rsidRPr="00BF5BC7">
        <w:rPr>
          <w:bCs/>
          <w:color w:val="000000"/>
        </w:rPr>
        <w:t xml:space="preserve">unclear whether patients in the PAP would be eligible for initiation of treatment under the proposed </w:t>
      </w:r>
      <w:r w:rsidR="00280802" w:rsidRPr="00BF5BC7">
        <w:rPr>
          <w:bCs/>
          <w:color w:val="000000"/>
        </w:rPr>
        <w:t xml:space="preserve">initiation </w:t>
      </w:r>
      <w:r w:rsidRPr="00BF5BC7">
        <w:rPr>
          <w:bCs/>
          <w:color w:val="000000"/>
        </w:rPr>
        <w:t xml:space="preserve">restriction. For example, </w:t>
      </w:r>
      <w:r w:rsidRPr="00BF5BC7">
        <w:t xml:space="preserve">the proposed </w:t>
      </w:r>
      <w:r w:rsidR="00280802" w:rsidRPr="00BF5BC7">
        <w:t xml:space="preserve">grandfathering </w:t>
      </w:r>
      <w:r w:rsidRPr="00BF5BC7">
        <w:t xml:space="preserve">restriction does not state the peak LVOT, which increases uncertainty in the financial estimates </w:t>
      </w:r>
      <w:proofErr w:type="gramStart"/>
      <w:r w:rsidRPr="00BF5BC7">
        <w:t>with regard to</w:t>
      </w:r>
      <w:proofErr w:type="gramEnd"/>
      <w:r w:rsidRPr="00BF5BC7">
        <w:t xml:space="preserve"> the number of patients who might access treatment via the PAP. </w:t>
      </w:r>
      <w:r w:rsidR="00A76D83" w:rsidRPr="00BF5BC7">
        <w:t xml:space="preserve"> </w:t>
      </w:r>
      <w:r w:rsidR="00DD7F1D" w:rsidRPr="00541454">
        <w:rPr>
          <w:iCs/>
        </w:rPr>
        <w:t xml:space="preserve">The </w:t>
      </w:r>
      <w:proofErr w:type="gramStart"/>
      <w:r w:rsidR="00DD7F1D" w:rsidRPr="00541454">
        <w:rPr>
          <w:iCs/>
        </w:rPr>
        <w:t>PSCR  clarified</w:t>
      </w:r>
      <w:proofErr w:type="gramEnd"/>
      <w:r w:rsidR="00DD7F1D" w:rsidRPr="00541454">
        <w:rPr>
          <w:iCs/>
        </w:rPr>
        <w:t xml:space="preserve"> that the eligibility criteria for the PAP will align with the initiation</w:t>
      </w:r>
      <w:r w:rsidR="00FE7E4D" w:rsidRPr="00541454">
        <w:rPr>
          <w:iCs/>
        </w:rPr>
        <w:t xml:space="preserve"> or </w:t>
      </w:r>
      <w:r w:rsidR="00DD7F1D" w:rsidRPr="00541454">
        <w:rPr>
          <w:iCs/>
        </w:rPr>
        <w:t>all treatment phase restriction of mavacamten upon its PBS listing to ensure patients can easily transition from non-PBS to PBS-subsidised treatment.</w:t>
      </w:r>
      <w:r w:rsidR="00A76D83" w:rsidRPr="00BF5BC7">
        <w:t xml:space="preserve"> </w:t>
      </w:r>
      <w:r w:rsidR="00DE58D2" w:rsidRPr="00541454">
        <w:rPr>
          <w:iCs/>
        </w:rPr>
        <w:t xml:space="preserve">The ESC </w:t>
      </w:r>
      <w:r w:rsidR="00E857BA" w:rsidRPr="00541454">
        <w:rPr>
          <w:iCs/>
        </w:rPr>
        <w:t xml:space="preserve">considered this appropriate. </w:t>
      </w:r>
    </w:p>
    <w:p w14:paraId="155F6124" w14:textId="45A8791E" w:rsidR="002806FB" w:rsidRPr="001269BD" w:rsidRDefault="00A14743" w:rsidP="001269BD">
      <w:pPr>
        <w:pStyle w:val="3-BodyText"/>
      </w:pPr>
      <w:r w:rsidRPr="00BF5BC7">
        <w:t>Mavacamten is proposed for long term use. The resubmission did not address the ESC and the PBAC</w:t>
      </w:r>
      <w:r w:rsidR="00474792" w:rsidRPr="00BF5BC7">
        <w:t>’</w:t>
      </w:r>
      <w:r w:rsidRPr="00BF5BC7">
        <w:t xml:space="preserve">s </w:t>
      </w:r>
      <w:r w:rsidR="00AE6C49" w:rsidRPr="00BF5BC7">
        <w:t>view</w:t>
      </w:r>
      <w:r w:rsidRPr="00BF5BC7">
        <w:t xml:space="preserve"> that a stopping rule remained an important consideration, especially given that almost </w:t>
      </w:r>
      <w:r w:rsidR="00DE58D2" w:rsidRPr="00541454">
        <w:t xml:space="preserve">two-thirds (63.4%) of patients treated with mavacamten failed to meet the primary endpoint of the EXPLORER-HCM trial and </w:t>
      </w:r>
      <w:r w:rsidRPr="00BF5BC7">
        <w:t xml:space="preserve">half (49%) of patients treated with mavacamten remained symptomatic after 30 weeks of treatment (NYHA II/III) (para. 3.8 &amp; 3.9, mavacamten, Public Summary Document, November 2022 PBAC meeting). </w:t>
      </w:r>
      <w:r w:rsidR="00451D39" w:rsidRPr="00BF5BC7">
        <w:t xml:space="preserve">Previously, the ESC considered that criteria based on NYHA or the Kansas City Cardiomyopathy Questionnaire (KCCQ) and potentially LVOT gradient could also be considered as criteria for discontinuation of mavacamten treatment (para. 3.8, mavacamten, Public Summary Document, November 2022 PBAC meeting). </w:t>
      </w:r>
      <w:r w:rsidR="00F02A5C" w:rsidRPr="00541454">
        <w:t xml:space="preserve"> The ESC reiterated its concern that the lack of a stopping rule could result in </w:t>
      </w:r>
      <w:proofErr w:type="gramStart"/>
      <w:r w:rsidR="00F02A5C" w:rsidRPr="00541454">
        <w:t>a large number of</w:t>
      </w:r>
      <w:proofErr w:type="gramEnd"/>
      <w:r w:rsidR="00F02A5C" w:rsidRPr="00541454">
        <w:t xml:space="preserve"> patients who did not respond to mavacamten remaining on </w:t>
      </w:r>
      <w:r w:rsidR="00FE7E4D" w:rsidRPr="00541454">
        <w:t>treatment</w:t>
      </w:r>
      <w:r w:rsidR="00F02A5C" w:rsidRPr="00541454">
        <w:t xml:space="preserve"> indefinitely.</w:t>
      </w:r>
      <w:r w:rsidR="004D776F">
        <w:t xml:space="preserve"> The pre-PBAC </w:t>
      </w:r>
      <w:proofErr w:type="gramStart"/>
      <w:r w:rsidR="004D776F">
        <w:t>response  argued</w:t>
      </w:r>
      <w:proofErr w:type="gramEnd"/>
      <w:r w:rsidR="004D776F">
        <w:t xml:space="preserve"> that regular 12-week echocardiogram monitoring would </w:t>
      </w:r>
      <w:r w:rsidR="00052F35">
        <w:t>enable the</w:t>
      </w:r>
      <w:r w:rsidR="00325112">
        <w:t xml:space="preserve"> treating physician </w:t>
      </w:r>
      <w:r w:rsidR="00052F35">
        <w:t>to</w:t>
      </w:r>
      <w:r w:rsidR="00325112">
        <w:t xml:space="preserve"> </w:t>
      </w:r>
      <w:r w:rsidR="001269BD">
        <w:t xml:space="preserve">closely </w:t>
      </w:r>
      <w:r w:rsidR="004D776F">
        <w:t>monito</w:t>
      </w:r>
      <w:r w:rsidR="001269BD">
        <w:t>r</w:t>
      </w:r>
      <w:r w:rsidR="004D776F">
        <w:t xml:space="preserve"> </w:t>
      </w:r>
      <w:r w:rsidR="00325112">
        <w:t>a patient</w:t>
      </w:r>
      <w:r w:rsidR="00052F35">
        <w:t>’</w:t>
      </w:r>
      <w:r w:rsidR="00325112">
        <w:t>s ongoing clinical response</w:t>
      </w:r>
      <w:r w:rsidR="001269BD">
        <w:t xml:space="preserve"> to mavacamten</w:t>
      </w:r>
      <w:r w:rsidR="00325112">
        <w:t xml:space="preserve"> and </w:t>
      </w:r>
      <w:r w:rsidR="001269BD">
        <w:t>that they would</w:t>
      </w:r>
      <w:r w:rsidR="00325112">
        <w:t xml:space="preserve"> be </w:t>
      </w:r>
      <w:r w:rsidR="00052F35">
        <w:t>the best</w:t>
      </w:r>
      <w:r w:rsidR="00325112">
        <w:t xml:space="preserve"> placed to </w:t>
      </w:r>
      <w:r w:rsidR="001269BD">
        <w:t>determine whether</w:t>
      </w:r>
      <w:r w:rsidR="00052F35">
        <w:t xml:space="preserve"> treatment</w:t>
      </w:r>
      <w:r w:rsidR="001269BD">
        <w:t xml:space="preserve"> discontinuation was required</w:t>
      </w:r>
      <w:r w:rsidR="004D776F">
        <w:t xml:space="preserve">. The </w:t>
      </w:r>
      <w:r w:rsidR="001269BD">
        <w:t>sponsor</w:t>
      </w:r>
      <w:r w:rsidR="00052F35">
        <w:t xml:space="preserve"> further</w:t>
      </w:r>
      <w:r w:rsidR="001269BD">
        <w:t xml:space="preserve"> argued that </w:t>
      </w:r>
      <w:r w:rsidR="004D776F">
        <w:t xml:space="preserve">clinician judgement for assessing discontinuation </w:t>
      </w:r>
      <w:r w:rsidR="001269BD">
        <w:t xml:space="preserve">has been accepted </w:t>
      </w:r>
      <w:r w:rsidR="004D776F">
        <w:t xml:space="preserve">across </w:t>
      </w:r>
      <w:proofErr w:type="gramStart"/>
      <w:r w:rsidR="004D776F">
        <w:t>a number of</w:t>
      </w:r>
      <w:proofErr w:type="gramEnd"/>
      <w:r w:rsidR="004D776F">
        <w:t xml:space="preserve"> PBS listed cardiovascular medications </w:t>
      </w:r>
      <w:r w:rsidR="001269BD">
        <w:t xml:space="preserve">and that it appeared apparent that </w:t>
      </w:r>
      <w:r w:rsidR="004D776F">
        <w:t xml:space="preserve">no stopping rule </w:t>
      </w:r>
      <w:r w:rsidR="001269BD">
        <w:t>appl</w:t>
      </w:r>
      <w:r w:rsidR="00052F35">
        <w:t>ies</w:t>
      </w:r>
      <w:r w:rsidR="004D776F">
        <w:t xml:space="preserve"> to recently listed </w:t>
      </w:r>
      <w:r w:rsidR="001269BD">
        <w:t xml:space="preserve">cardiovascular </w:t>
      </w:r>
      <w:r w:rsidR="004D776F">
        <w:t xml:space="preserve">medicines. </w:t>
      </w:r>
      <w:r w:rsidR="001269BD">
        <w:t xml:space="preserve">The pre-PBAC response also argued that </w:t>
      </w:r>
      <w:r w:rsidR="004D776F">
        <w:t xml:space="preserve">the proportion of patients experiencing improvements of at least 1 NYHA class increased over time (Week 120: 75.9%, Week 132: 81.4%, Week 144: 89.5%, Week 156: 100%) </w:t>
      </w:r>
      <w:r w:rsidR="001269BD">
        <w:t xml:space="preserve">and </w:t>
      </w:r>
      <w:r w:rsidR="004D776F">
        <w:t xml:space="preserve">therefore </w:t>
      </w:r>
      <w:r w:rsidR="001269BD">
        <w:t>considered</w:t>
      </w:r>
      <w:r w:rsidR="004D776F">
        <w:t xml:space="preserve"> it </w:t>
      </w:r>
      <w:r w:rsidR="001269BD">
        <w:t>in</w:t>
      </w:r>
      <w:r w:rsidR="004D776F">
        <w:t>appropriate to propose a stopping rule as there is evidence that patients may achieve benefit over time.</w:t>
      </w:r>
      <w:r w:rsidR="00890942">
        <w:t xml:space="preserve"> </w:t>
      </w:r>
      <w:r w:rsidR="00890942" w:rsidRPr="00890942">
        <w:t>The PBAC remained concerned that patients may remain on mavacamten without an adequate clinical response indefinitely.  The PBAC noted th</w:t>
      </w:r>
      <w:r w:rsidR="00890942">
        <w:t xml:space="preserve">e </w:t>
      </w:r>
      <w:r w:rsidR="00890942" w:rsidRPr="00890942">
        <w:t>comment in the pre-PBAC</w:t>
      </w:r>
      <w:r w:rsidR="00890942">
        <w:t xml:space="preserve"> response</w:t>
      </w:r>
      <w:r w:rsidR="00890942" w:rsidRPr="00890942">
        <w:t xml:space="preserve"> that the proportion of patients experiencing improvements increased over time, but also noted that this data was based on a very small number of patients and was open label and </w:t>
      </w:r>
      <w:r w:rsidR="00375CFC">
        <w:t>considered the data</w:t>
      </w:r>
      <w:r w:rsidR="00890942" w:rsidRPr="00890942">
        <w:t xml:space="preserve"> unreliable for decision making.  The PBAC remained concerned that clinician discretion left open the possibility that patients who did not respond</w:t>
      </w:r>
      <w:r w:rsidR="00890942">
        <w:t xml:space="preserve"> may</w:t>
      </w:r>
      <w:r w:rsidR="00890942" w:rsidRPr="00890942">
        <w:t xml:space="preserve"> remain on mavacamten indefinitely</w:t>
      </w:r>
      <w:r w:rsidR="00890942">
        <w:t>.</w:t>
      </w:r>
    </w:p>
    <w:p w14:paraId="0901A660" w14:textId="1292044F" w:rsidR="007A406F" w:rsidRPr="00541454" w:rsidRDefault="00485C10" w:rsidP="00F51487">
      <w:pPr>
        <w:pStyle w:val="3-BodyText"/>
        <w:rPr>
          <w:color w:val="0066FF"/>
        </w:rPr>
      </w:pPr>
      <w:r w:rsidRPr="00541454">
        <w:t xml:space="preserve">The ESC </w:t>
      </w:r>
      <w:r w:rsidR="001A2190" w:rsidRPr="00541454">
        <w:t xml:space="preserve">noted that there are </w:t>
      </w:r>
      <w:proofErr w:type="gramStart"/>
      <w:r w:rsidR="001A2190" w:rsidRPr="00541454">
        <w:t>a number of</w:t>
      </w:r>
      <w:proofErr w:type="gramEnd"/>
      <w:r w:rsidR="001A2190" w:rsidRPr="00541454">
        <w:rPr>
          <w:rFonts w:cstheme="minorHAnsi"/>
          <w:iCs/>
        </w:rPr>
        <w:t xml:space="preserve"> patients with phenotypic manifestations of </w:t>
      </w:r>
      <w:r w:rsidR="00315DAB" w:rsidRPr="00541454">
        <w:rPr>
          <w:rFonts w:cstheme="minorHAnsi"/>
          <w:iCs/>
        </w:rPr>
        <w:t>HCM</w:t>
      </w:r>
      <w:r w:rsidR="001A2190" w:rsidRPr="00541454">
        <w:rPr>
          <w:rFonts w:cstheme="minorHAnsi"/>
          <w:iCs/>
        </w:rPr>
        <w:t>, especially among older patients</w:t>
      </w:r>
      <w:r w:rsidR="00563734" w:rsidRPr="00541454">
        <w:rPr>
          <w:rFonts w:cstheme="minorHAnsi"/>
          <w:iCs/>
        </w:rPr>
        <w:t xml:space="preserve"> with asymmetric left ventricular</w:t>
      </w:r>
      <w:r w:rsidR="00A03133" w:rsidRPr="00541454">
        <w:rPr>
          <w:rFonts w:cstheme="minorHAnsi"/>
          <w:iCs/>
        </w:rPr>
        <w:t xml:space="preserve"> hypertrophy</w:t>
      </w:r>
      <w:r w:rsidR="00563734" w:rsidRPr="00541454">
        <w:rPr>
          <w:rFonts w:cstheme="minorHAnsi"/>
          <w:iCs/>
        </w:rPr>
        <w:t xml:space="preserve"> </w:t>
      </w:r>
      <w:r w:rsidR="00563734" w:rsidRPr="00541454">
        <w:rPr>
          <w:rFonts w:cstheme="minorHAnsi"/>
          <w:iCs/>
        </w:rPr>
        <w:lastRenderedPageBreak/>
        <w:t>(LVH) secondary to hypertension</w:t>
      </w:r>
      <w:r w:rsidR="001A2190" w:rsidRPr="00541454">
        <w:rPr>
          <w:rFonts w:cstheme="minorHAnsi"/>
          <w:iCs/>
        </w:rPr>
        <w:t xml:space="preserve">, but do not have the </w:t>
      </w:r>
      <w:r w:rsidR="00F15C0C" w:rsidRPr="00541454">
        <w:rPr>
          <w:rFonts w:cstheme="minorHAnsi"/>
          <w:iCs/>
        </w:rPr>
        <w:t xml:space="preserve">genotype of HCM </w:t>
      </w:r>
      <w:r w:rsidR="001A2190" w:rsidRPr="00541454">
        <w:rPr>
          <w:rFonts w:cstheme="minorHAnsi"/>
          <w:iCs/>
        </w:rPr>
        <w:t xml:space="preserve">and under the proposed restriction </w:t>
      </w:r>
      <w:r w:rsidR="003478B0" w:rsidRPr="00541454">
        <w:rPr>
          <w:rFonts w:cstheme="minorHAnsi"/>
          <w:iCs/>
        </w:rPr>
        <w:t>there</w:t>
      </w:r>
      <w:r w:rsidR="001A2190" w:rsidRPr="00541454">
        <w:rPr>
          <w:rFonts w:cstheme="minorHAnsi"/>
          <w:iCs/>
        </w:rPr>
        <w:t xml:space="preserve"> is likely to be a </w:t>
      </w:r>
      <w:r w:rsidR="00573560">
        <w:rPr>
          <w:rFonts w:cstheme="minorHAnsi"/>
          <w:iCs/>
        </w:rPr>
        <w:t>substantial</w:t>
      </w:r>
      <w:r w:rsidR="00573560" w:rsidRPr="00541454">
        <w:rPr>
          <w:rFonts w:cstheme="minorHAnsi"/>
          <w:iCs/>
        </w:rPr>
        <w:t xml:space="preserve"> </w:t>
      </w:r>
      <w:r w:rsidR="001A2190" w:rsidRPr="00541454">
        <w:rPr>
          <w:rFonts w:cstheme="minorHAnsi"/>
          <w:iCs/>
        </w:rPr>
        <w:t xml:space="preserve">risk of leakage to patients without </w:t>
      </w:r>
      <w:r w:rsidR="00315DAB" w:rsidRPr="00541454">
        <w:rPr>
          <w:rFonts w:cstheme="minorHAnsi"/>
          <w:iCs/>
        </w:rPr>
        <w:t>HCM</w:t>
      </w:r>
      <w:r w:rsidR="001A2190" w:rsidRPr="00541454">
        <w:rPr>
          <w:rFonts w:cstheme="minorHAnsi"/>
          <w:iCs/>
        </w:rPr>
        <w:t xml:space="preserve">. </w:t>
      </w:r>
      <w:r w:rsidR="00A00A91" w:rsidRPr="00541454">
        <w:rPr>
          <w:rFonts w:cstheme="minorHAnsi"/>
          <w:iCs/>
        </w:rPr>
        <w:t>However, t</w:t>
      </w:r>
      <w:r w:rsidR="001A2190" w:rsidRPr="00541454">
        <w:rPr>
          <w:rFonts w:cstheme="minorHAnsi"/>
          <w:iCs/>
        </w:rPr>
        <w:t xml:space="preserve">he ESC </w:t>
      </w:r>
      <w:r w:rsidR="00A00A91" w:rsidRPr="00541454">
        <w:rPr>
          <w:rFonts w:cstheme="minorHAnsi"/>
          <w:iCs/>
        </w:rPr>
        <w:t xml:space="preserve">did not </w:t>
      </w:r>
      <w:r w:rsidR="00315DAB" w:rsidRPr="00541454">
        <w:rPr>
          <w:rFonts w:cstheme="minorHAnsi"/>
          <w:iCs/>
        </w:rPr>
        <w:t>consider that</w:t>
      </w:r>
      <w:r w:rsidR="00C81273" w:rsidRPr="00541454">
        <w:rPr>
          <w:rFonts w:cstheme="minorHAnsi"/>
          <w:iCs/>
        </w:rPr>
        <w:t xml:space="preserve"> it </w:t>
      </w:r>
      <w:r w:rsidR="00A00A91" w:rsidRPr="00541454">
        <w:rPr>
          <w:rFonts w:cstheme="minorHAnsi"/>
          <w:iCs/>
        </w:rPr>
        <w:t xml:space="preserve">would </w:t>
      </w:r>
      <w:r w:rsidR="00C81273" w:rsidRPr="00541454">
        <w:rPr>
          <w:rFonts w:cstheme="minorHAnsi"/>
          <w:iCs/>
        </w:rPr>
        <w:t>be appropriate for the restriction to specify that</w:t>
      </w:r>
      <w:r w:rsidR="00315DAB" w:rsidRPr="00541454">
        <w:rPr>
          <w:rFonts w:cstheme="minorHAnsi"/>
          <w:iCs/>
        </w:rPr>
        <w:t xml:space="preserve"> </w:t>
      </w:r>
      <w:r w:rsidR="00C81273" w:rsidRPr="00541454">
        <w:rPr>
          <w:rFonts w:cstheme="minorHAnsi"/>
          <w:iCs/>
        </w:rPr>
        <w:t xml:space="preserve">HCM </w:t>
      </w:r>
      <w:r w:rsidR="002B57D9" w:rsidRPr="00541454">
        <w:rPr>
          <w:rFonts w:cstheme="minorHAnsi"/>
          <w:iCs/>
        </w:rPr>
        <w:t>must be</w:t>
      </w:r>
      <w:r w:rsidR="00C81273" w:rsidRPr="00541454">
        <w:rPr>
          <w:rFonts w:cstheme="minorHAnsi"/>
          <w:iCs/>
        </w:rPr>
        <w:t xml:space="preserve"> confirmed by genetic testing</w:t>
      </w:r>
      <w:r w:rsidR="00A00A91" w:rsidRPr="00541454">
        <w:rPr>
          <w:rFonts w:cstheme="minorHAnsi"/>
          <w:iCs/>
        </w:rPr>
        <w:t xml:space="preserve"> for multiple reasons, including that this was not required by the clinical trial, would add significant cost and that current genetic testing is limited to only 20 of the most common genes associated with HCM.  Rather, the ESC felt that this concern would be best met with an RSA and a stopping or discontinuation rule.  </w:t>
      </w:r>
      <w:r w:rsidR="003478B0" w:rsidRPr="00541454">
        <w:rPr>
          <w:rFonts w:cstheme="minorHAnsi"/>
          <w:iCs/>
        </w:rPr>
        <w:t>Further to this, the ESC considered that the proposed restriction should include a definition of familial HCM</w:t>
      </w:r>
      <w:r w:rsidR="00A00A91" w:rsidRPr="00541454">
        <w:rPr>
          <w:rFonts w:cstheme="minorHAnsi"/>
          <w:iCs/>
        </w:rPr>
        <w:t xml:space="preserve"> (</w:t>
      </w:r>
      <w:proofErr w:type="gramStart"/>
      <w:r w:rsidR="00567BD2" w:rsidRPr="00541454">
        <w:rPr>
          <w:rFonts w:cstheme="minorHAnsi"/>
          <w:iCs/>
        </w:rPr>
        <w:t>e.g.</w:t>
      </w:r>
      <w:proofErr w:type="gramEnd"/>
      <w:r w:rsidR="00A00A91" w:rsidRPr="00541454">
        <w:rPr>
          <w:rFonts w:cstheme="minorHAnsi"/>
          <w:iCs/>
        </w:rPr>
        <w:t xml:space="preserve"> first degree relatives)</w:t>
      </w:r>
      <w:r w:rsidR="003478B0" w:rsidRPr="00541454">
        <w:rPr>
          <w:rFonts w:cstheme="minorHAnsi"/>
          <w:iCs/>
        </w:rPr>
        <w:t>.</w:t>
      </w:r>
    </w:p>
    <w:p w14:paraId="31E84D28" w14:textId="6B3B4EEF" w:rsidR="00F56B21" w:rsidRPr="00541454" w:rsidRDefault="00C316BF" w:rsidP="00F51487">
      <w:pPr>
        <w:pStyle w:val="3-BodyText"/>
        <w:rPr>
          <w:color w:val="0066FF"/>
        </w:rPr>
      </w:pPr>
      <w:r w:rsidRPr="00541454">
        <w:t>T</w:t>
      </w:r>
      <w:r w:rsidR="007A406F" w:rsidRPr="00541454">
        <w:t xml:space="preserve">he ESC noted that the submission positioned mavacamten as a second line add on treatment where patients remain symptomatic despite treatment with a CCB or BB. However, the ESC considered that it </w:t>
      </w:r>
      <w:r w:rsidR="00697243">
        <w:t>may</w:t>
      </w:r>
      <w:r w:rsidR="00697243" w:rsidRPr="00541454">
        <w:t xml:space="preserve"> </w:t>
      </w:r>
      <w:r w:rsidR="003C4124" w:rsidRPr="00541454">
        <w:t>be</w:t>
      </w:r>
      <w:r w:rsidRPr="00541454">
        <w:t xml:space="preserve"> </w:t>
      </w:r>
      <w:r w:rsidR="007A406F" w:rsidRPr="00541454">
        <w:t xml:space="preserve">more appropriate to position mavacamten </w:t>
      </w:r>
      <w:r w:rsidR="00697243">
        <w:t>for</w:t>
      </w:r>
      <w:r w:rsidRPr="00541454">
        <w:t xml:space="preserve"> patient</w:t>
      </w:r>
      <w:r w:rsidR="00697243">
        <w:t>s who</w:t>
      </w:r>
      <w:r w:rsidRPr="00541454">
        <w:t xml:space="preserve"> remained symptomatic after previously receiving </w:t>
      </w:r>
      <w:r w:rsidR="00A00A91" w:rsidRPr="00541454">
        <w:t xml:space="preserve">trials of </w:t>
      </w:r>
      <w:r w:rsidRPr="00541454">
        <w:rPr>
          <w:u w:val="single"/>
        </w:rPr>
        <w:t>both</w:t>
      </w:r>
      <w:r w:rsidRPr="00541454">
        <w:t xml:space="preserve"> a CCB and a BB</w:t>
      </w:r>
      <w:r w:rsidR="003C4124" w:rsidRPr="00541454">
        <w:t xml:space="preserve"> </w:t>
      </w:r>
      <w:r w:rsidR="003C4124" w:rsidRPr="00541454">
        <w:rPr>
          <w:rFonts w:ascii="Calibri" w:hAnsi="Calibri"/>
          <w:iCs/>
          <w:snapToGrid/>
        </w:rPr>
        <w:t>(unless intolerant/contraindicated to one or both)</w:t>
      </w:r>
      <w:r w:rsidR="00A00A91" w:rsidRPr="00541454">
        <w:rPr>
          <w:rFonts w:ascii="Calibri" w:hAnsi="Calibri"/>
          <w:iCs/>
          <w:snapToGrid/>
        </w:rPr>
        <w:t xml:space="preserve"> rather than just after a trial of either a BB or CCB</w:t>
      </w:r>
      <w:r w:rsidRPr="00541454">
        <w:t xml:space="preserve">. </w:t>
      </w:r>
      <w:r w:rsidR="00373337">
        <w:t xml:space="preserve">The pre-PBAC </w:t>
      </w:r>
      <w:proofErr w:type="gramStart"/>
      <w:r w:rsidR="00373337">
        <w:t xml:space="preserve">response </w:t>
      </w:r>
      <w:r w:rsidR="00B86FB8">
        <w:t xml:space="preserve"> maintained</w:t>
      </w:r>
      <w:proofErr w:type="gramEnd"/>
      <w:r w:rsidR="00373337">
        <w:t xml:space="preserve"> </w:t>
      </w:r>
      <w:r w:rsidR="00B86FB8">
        <w:t>that</w:t>
      </w:r>
      <w:r w:rsidR="00B86FB8" w:rsidRPr="00373337">
        <w:t xml:space="preserve"> the appropriate positioning of mavacamten</w:t>
      </w:r>
      <w:r w:rsidR="00B86FB8">
        <w:t xml:space="preserve"> is</w:t>
      </w:r>
      <w:r w:rsidR="00B86FB8" w:rsidRPr="00373337">
        <w:t xml:space="preserve"> as a second-line adjunctive therapy for patients with symptomatic obstructive HCM</w:t>
      </w:r>
      <w:r w:rsidR="00B86FB8">
        <w:t xml:space="preserve"> and argued that the positioning of mavacamten as a third-line therapy would not</w:t>
      </w:r>
      <w:r w:rsidR="00373337" w:rsidRPr="00373337">
        <w:t xml:space="preserve"> align with the clinical evidence presented in the EXPLORER-HCM trial</w:t>
      </w:r>
      <w:r w:rsidR="00B86FB8">
        <w:t>,</w:t>
      </w:r>
      <w:r w:rsidR="00373337" w:rsidRPr="00373337">
        <w:t xml:space="preserve"> </w:t>
      </w:r>
      <w:r w:rsidR="00B86FB8">
        <w:t>where</w:t>
      </w:r>
      <w:r w:rsidR="00373337" w:rsidRPr="00373337">
        <w:t xml:space="preserve"> the majority of patients had prior exposure to either a BB or a CCB, not necessarily sequential trialling both. </w:t>
      </w:r>
    </w:p>
    <w:p w14:paraId="2680A2D8" w14:textId="77777777" w:rsidR="00E21322" w:rsidRPr="00E21322" w:rsidRDefault="00E21322" w:rsidP="00E21322">
      <w:pPr>
        <w:pStyle w:val="3-BodyText"/>
        <w:numPr>
          <w:ilvl w:val="0"/>
          <w:numId w:val="0"/>
        </w:numPr>
        <w:ind w:left="720"/>
        <w:rPr>
          <w:rFonts w:ascii="Calibri" w:hAnsi="Calibri"/>
          <w:i/>
          <w:snapToGrid/>
        </w:rPr>
      </w:pPr>
      <w:r w:rsidRPr="00E21322">
        <w:rPr>
          <w:rFonts w:ascii="Calibri" w:hAnsi="Calibri"/>
          <w:i/>
          <w:snapToGrid/>
        </w:rPr>
        <w:t>For more detail on PBAC’s view, see section 7 PBAC outcome.</w:t>
      </w:r>
    </w:p>
    <w:p w14:paraId="167B5938" w14:textId="77777777" w:rsidR="00636080" w:rsidRPr="00407F2D" w:rsidDel="00195452" w:rsidRDefault="00636080" w:rsidP="00636080">
      <w:pPr>
        <w:pStyle w:val="2-SectionHeading"/>
        <w:numPr>
          <w:ilvl w:val="0"/>
          <w:numId w:val="1"/>
        </w:numPr>
      </w:pPr>
      <w:bookmarkStart w:id="29" w:name="_Toc107927623"/>
      <w:bookmarkStart w:id="30" w:name="_Toc135223323"/>
      <w:r w:rsidDel="00195452">
        <w:t>Population and disease</w:t>
      </w:r>
      <w:bookmarkEnd w:id="29"/>
      <w:bookmarkEnd w:id="30"/>
    </w:p>
    <w:p w14:paraId="151A766A" w14:textId="467AD73C" w:rsidR="00F7796E" w:rsidRPr="00F7796E" w:rsidRDefault="00F7796E" w:rsidP="00F03490">
      <w:pPr>
        <w:pStyle w:val="3-BodyText"/>
        <w:tabs>
          <w:tab w:val="left" w:pos="4111"/>
        </w:tabs>
      </w:pPr>
      <w:r w:rsidRPr="00F7796E">
        <w:t>HCM is a relatively common (1/</w:t>
      </w:r>
      <w:r w:rsidR="00F03490" w:rsidRPr="00541454">
        <w:rPr>
          <w:iCs/>
        </w:rPr>
        <w:t>200</w:t>
      </w:r>
      <w:r w:rsidRPr="00F7796E">
        <w:t xml:space="preserve">-400) genetic disorder that, in most studies, is the most common cause of sudden cardiac death in young adults (including athletes). It is characterised by (usually asymmetric) hypertrophy of the heart muscle (often the left ventricle (LV)), with normal left ventricular ejection fraction (LVEF) but impaired relaxation of the LV. Approximately two-thirds of individuals with HCM have LVOT obstruction (at rest or on provocation) and are said to have ‘obstructive HCM’. The extent of obstruction, referred to as the gradient, can show significant variability. </w:t>
      </w:r>
    </w:p>
    <w:p w14:paraId="333D7569" w14:textId="7EEE9775" w:rsidR="00F7796E" w:rsidRPr="00F7796E" w:rsidRDefault="00F7796E" w:rsidP="00F7796E">
      <w:pPr>
        <w:pStyle w:val="3-BodyText"/>
      </w:pPr>
      <w:r w:rsidRPr="00F7796E">
        <w:t>The initial treatment of HCM is usually a non-vasodilating BB titrated to maximal tolerated dose. When BB are contraindicated or ineffective, a non</w:t>
      </w:r>
      <w:r w:rsidRPr="00F7796E">
        <w:noBreakHyphen/>
        <w:t xml:space="preserve">dihydropyridine CCB, </w:t>
      </w:r>
      <w:r w:rsidR="00697243">
        <w:t>most commonly</w:t>
      </w:r>
      <w:r w:rsidRPr="00F7796E">
        <w:t xml:space="preserve"> verapamil, is used. These treatments are non</w:t>
      </w:r>
      <w:r w:rsidRPr="00F7796E">
        <w:noBreakHyphen/>
        <w:t xml:space="preserve">specific to HCM and are not effective in all patients. If symptoms persist, septal reduction therapy is considered. </w:t>
      </w:r>
      <w:r w:rsidR="000957DE" w:rsidRPr="00BF5BC7">
        <w:rPr>
          <w:iCs/>
        </w:rPr>
        <w:t>Previously the PBAC and ESC noted that there was minimal clinical usage of disopyramide (</w:t>
      </w:r>
      <w:r w:rsidR="006B437C" w:rsidRPr="00BF5BC7">
        <w:t>paras. 5.2 and 7.5,</w:t>
      </w:r>
      <w:r w:rsidR="000957DE" w:rsidRPr="00BF5BC7">
        <w:t xml:space="preserve"> mavacamten</w:t>
      </w:r>
      <w:r w:rsidR="006B437C" w:rsidRPr="00BF5BC7">
        <w:t>,</w:t>
      </w:r>
      <w:r w:rsidR="000957DE" w:rsidRPr="00BF5BC7">
        <w:t xml:space="preserve"> P</w:t>
      </w:r>
      <w:r w:rsidR="006B437C" w:rsidRPr="00BF5BC7">
        <w:t xml:space="preserve">ublic </w:t>
      </w:r>
      <w:r w:rsidR="000957DE" w:rsidRPr="00BF5BC7">
        <w:t>S</w:t>
      </w:r>
      <w:r w:rsidR="006B437C" w:rsidRPr="00BF5BC7">
        <w:t xml:space="preserve">ummary </w:t>
      </w:r>
      <w:r w:rsidR="000957DE" w:rsidRPr="00BF5BC7">
        <w:t>D</w:t>
      </w:r>
      <w:r w:rsidR="006B437C" w:rsidRPr="00BF5BC7">
        <w:t>ocument,</w:t>
      </w:r>
      <w:r w:rsidR="000957DE" w:rsidRPr="00BF5BC7">
        <w:t xml:space="preserve"> November 2022</w:t>
      </w:r>
      <w:r w:rsidR="006B437C" w:rsidRPr="00BF5BC7">
        <w:t xml:space="preserve"> PBAC meeting</w:t>
      </w:r>
      <w:r w:rsidR="000957DE" w:rsidRPr="00BF5BC7">
        <w:rPr>
          <w:iCs/>
        </w:rPr>
        <w:t>).</w:t>
      </w:r>
      <w:r w:rsidR="003A2DAD" w:rsidRPr="00BF5BC7">
        <w:rPr>
          <w:iCs/>
        </w:rPr>
        <w:t xml:space="preserve"> Disopyramide w</w:t>
      </w:r>
      <w:r w:rsidR="00112F61" w:rsidRPr="00BF5BC7">
        <w:rPr>
          <w:iCs/>
        </w:rPr>
        <w:t>as</w:t>
      </w:r>
      <w:r w:rsidR="003A2DAD" w:rsidRPr="00BF5BC7">
        <w:rPr>
          <w:iCs/>
        </w:rPr>
        <w:t xml:space="preserve"> deleted from the ARTG in </w:t>
      </w:r>
      <w:r w:rsidR="00771844" w:rsidRPr="00BF5BC7">
        <w:rPr>
          <w:iCs/>
        </w:rPr>
        <w:t>14-Dec-22</w:t>
      </w:r>
      <w:r w:rsidR="003A2DAD" w:rsidRPr="00BF5BC7">
        <w:rPr>
          <w:iCs/>
        </w:rPr>
        <w:t xml:space="preserve">. </w:t>
      </w:r>
    </w:p>
    <w:p w14:paraId="57CDF9C3" w14:textId="77777777" w:rsidR="00F7796E" w:rsidRPr="00F7796E" w:rsidDel="00195452" w:rsidRDefault="003D783F" w:rsidP="00F7796E">
      <w:pPr>
        <w:pStyle w:val="3-BodyText"/>
      </w:pPr>
      <w:r w:rsidRPr="00F7796E">
        <w:t>One of the hallmarks of HCM is an excess of myosin-actin cross bridges formed in the sarcomere</w:t>
      </w:r>
      <w:r>
        <w:t xml:space="preserve">. </w:t>
      </w:r>
      <w:r w:rsidR="00F7796E" w:rsidRPr="00F7796E">
        <w:t xml:space="preserve">Mavacamten is a selective, allosteric, and reversible cardiac myosin </w:t>
      </w:r>
      <w:r w:rsidR="00F7796E" w:rsidRPr="00F7796E">
        <w:lastRenderedPageBreak/>
        <w:t xml:space="preserve">inhibitor, developed to target the underlying pathophysiology of obstructive HCM (exaggerated myosin-actin interaction). It reduces the number of myosin heads that can enter power-generating states, normalising the systolic and diastolic cross bridge formation. </w:t>
      </w:r>
    </w:p>
    <w:p w14:paraId="13F385A9" w14:textId="77777777" w:rsidR="00636080" w:rsidRPr="000113FF" w:rsidRDefault="00636080" w:rsidP="000113FF">
      <w:pPr>
        <w:pStyle w:val="2-SectionHeading"/>
        <w:numPr>
          <w:ilvl w:val="0"/>
          <w:numId w:val="1"/>
        </w:numPr>
      </w:pPr>
      <w:bookmarkStart w:id="31" w:name="_Toc107927624"/>
      <w:bookmarkStart w:id="32" w:name="_Toc135223324"/>
      <w:r w:rsidRPr="00407F2D">
        <w:t>Comparator</w:t>
      </w:r>
      <w:bookmarkEnd w:id="31"/>
      <w:bookmarkEnd w:id="32"/>
    </w:p>
    <w:p w14:paraId="005B5361" w14:textId="1E7EC196" w:rsidR="00584117" w:rsidRDefault="00584117" w:rsidP="00636080">
      <w:pPr>
        <w:pStyle w:val="3-BodyText"/>
        <w:rPr>
          <w:snapToGrid/>
          <w:lang w:val="en-US"/>
        </w:rPr>
      </w:pPr>
      <w:r w:rsidRPr="00584117">
        <w:rPr>
          <w:snapToGrid/>
          <w:lang w:val="en-US"/>
        </w:rPr>
        <w:t>The resubmission nominated current SOC, which is a BB or non-dihydropyridine CCB</w:t>
      </w:r>
      <w:r w:rsidR="006B437C">
        <w:rPr>
          <w:snapToGrid/>
          <w:lang w:val="en-US"/>
        </w:rPr>
        <w:t>,</w:t>
      </w:r>
      <w:r w:rsidRPr="00584117">
        <w:rPr>
          <w:snapToGrid/>
          <w:lang w:val="en-US"/>
        </w:rPr>
        <w:t xml:space="preserve"> as the main comparator. The PBAC </w:t>
      </w:r>
      <w:r w:rsidR="00365A08">
        <w:rPr>
          <w:snapToGrid/>
          <w:lang w:val="en-US"/>
        </w:rPr>
        <w:t xml:space="preserve">previously </w:t>
      </w:r>
      <w:r w:rsidR="00637001">
        <w:rPr>
          <w:snapToGrid/>
          <w:lang w:val="en-US"/>
        </w:rPr>
        <w:t>accepted</w:t>
      </w:r>
      <w:r w:rsidRPr="00584117">
        <w:rPr>
          <w:snapToGrid/>
          <w:lang w:val="en-US"/>
        </w:rPr>
        <w:t xml:space="preserve"> SOC (BB or CCB) to be the appropriate comparator (</w:t>
      </w:r>
      <w:r w:rsidR="006B437C" w:rsidRPr="00584117">
        <w:rPr>
          <w:snapToGrid/>
          <w:lang w:val="en-US"/>
        </w:rPr>
        <w:t>para</w:t>
      </w:r>
      <w:r w:rsidR="006B437C">
        <w:rPr>
          <w:snapToGrid/>
          <w:lang w:val="en-US"/>
        </w:rPr>
        <w:t>.</w:t>
      </w:r>
      <w:r w:rsidR="006B437C" w:rsidRPr="00584117">
        <w:rPr>
          <w:snapToGrid/>
          <w:lang w:val="en-US"/>
        </w:rPr>
        <w:t xml:space="preserve"> 7.5</w:t>
      </w:r>
      <w:r w:rsidR="006B437C">
        <w:rPr>
          <w:snapToGrid/>
          <w:lang w:val="en-US"/>
        </w:rPr>
        <w:t>,</w:t>
      </w:r>
      <w:r w:rsidRPr="00584117">
        <w:rPr>
          <w:snapToGrid/>
          <w:lang w:val="en-US"/>
        </w:rPr>
        <w:t xml:space="preserve"> mavacamten</w:t>
      </w:r>
      <w:r w:rsidR="006B437C">
        <w:rPr>
          <w:snapToGrid/>
          <w:lang w:val="en-US"/>
        </w:rPr>
        <w:t>,</w:t>
      </w:r>
      <w:r w:rsidRPr="00584117">
        <w:rPr>
          <w:snapToGrid/>
          <w:lang w:val="en-US"/>
        </w:rPr>
        <w:t xml:space="preserve"> P</w:t>
      </w:r>
      <w:r w:rsidR="006B437C">
        <w:rPr>
          <w:snapToGrid/>
          <w:lang w:val="en-US"/>
        </w:rPr>
        <w:t xml:space="preserve">ublic </w:t>
      </w:r>
      <w:r w:rsidRPr="00584117">
        <w:rPr>
          <w:snapToGrid/>
          <w:lang w:val="en-US"/>
        </w:rPr>
        <w:t>S</w:t>
      </w:r>
      <w:r w:rsidR="006B437C">
        <w:rPr>
          <w:snapToGrid/>
          <w:lang w:val="en-US"/>
        </w:rPr>
        <w:t xml:space="preserve">ummary </w:t>
      </w:r>
      <w:r w:rsidRPr="00584117">
        <w:rPr>
          <w:snapToGrid/>
          <w:lang w:val="en-US"/>
        </w:rPr>
        <w:t>D</w:t>
      </w:r>
      <w:r w:rsidR="006B437C">
        <w:rPr>
          <w:snapToGrid/>
          <w:lang w:val="en-US"/>
        </w:rPr>
        <w:t>ocument,</w:t>
      </w:r>
      <w:r w:rsidRPr="00584117">
        <w:rPr>
          <w:snapToGrid/>
          <w:lang w:val="en-US"/>
        </w:rPr>
        <w:t xml:space="preserve"> November 2022</w:t>
      </w:r>
      <w:r w:rsidR="006B437C">
        <w:rPr>
          <w:snapToGrid/>
          <w:lang w:val="en-US"/>
        </w:rPr>
        <w:t xml:space="preserve"> PBAC meeting</w:t>
      </w:r>
      <w:r w:rsidRPr="00584117">
        <w:rPr>
          <w:snapToGrid/>
          <w:lang w:val="en-US"/>
        </w:rPr>
        <w:t>).</w:t>
      </w:r>
      <w:r w:rsidR="00F564AD">
        <w:rPr>
          <w:snapToGrid/>
          <w:lang w:val="en-US"/>
        </w:rPr>
        <w:t xml:space="preserve"> </w:t>
      </w:r>
    </w:p>
    <w:p w14:paraId="7FD54A97" w14:textId="6B2C305C" w:rsidR="00E21322" w:rsidRPr="00E21322" w:rsidRDefault="00E21322" w:rsidP="00E21322">
      <w:pPr>
        <w:pStyle w:val="3-BodyText"/>
        <w:numPr>
          <w:ilvl w:val="0"/>
          <w:numId w:val="0"/>
        </w:numPr>
        <w:ind w:left="720"/>
        <w:rPr>
          <w:i/>
          <w:iCs/>
          <w:snapToGrid/>
          <w:lang w:val="en-US"/>
        </w:rPr>
      </w:pPr>
      <w:r w:rsidRPr="00E21322">
        <w:rPr>
          <w:i/>
          <w:iCs/>
          <w:snapToGrid/>
          <w:lang w:val="en-US"/>
        </w:rPr>
        <w:t>For more detail on PBAC’s view, see section 7 PBAC outcome.</w:t>
      </w:r>
    </w:p>
    <w:p w14:paraId="4A9A5F71" w14:textId="0B525133" w:rsidR="00636080" w:rsidRDefault="00636080" w:rsidP="00636080">
      <w:pPr>
        <w:pStyle w:val="2-SectionHeading"/>
        <w:numPr>
          <w:ilvl w:val="0"/>
          <w:numId w:val="1"/>
        </w:numPr>
      </w:pPr>
      <w:bookmarkStart w:id="33" w:name="_Toc107927625"/>
      <w:bookmarkStart w:id="34" w:name="_Toc135223325"/>
      <w:bookmarkStart w:id="35" w:name="_Toc22897640"/>
      <w:r>
        <w:t>C</w:t>
      </w:r>
      <w:r w:rsidRPr="00407F2D">
        <w:t>onsideration of the evidence</w:t>
      </w:r>
      <w:bookmarkEnd w:id="33"/>
      <w:bookmarkEnd w:id="34"/>
    </w:p>
    <w:p w14:paraId="49ABB895" w14:textId="77777777" w:rsidR="004133FC" w:rsidRPr="006E1229" w:rsidRDefault="004133FC" w:rsidP="00731FB5">
      <w:pPr>
        <w:pStyle w:val="4-SubsectionHeading"/>
      </w:pPr>
      <w:bookmarkStart w:id="36" w:name="_Hlk76375935"/>
      <w:r w:rsidRPr="006E1229">
        <w:t>Sponsor hearing</w:t>
      </w:r>
    </w:p>
    <w:p w14:paraId="4F8FF420" w14:textId="180C4D20" w:rsidR="00563609" w:rsidRDefault="004133FC" w:rsidP="005D60CE">
      <w:pPr>
        <w:widowControl w:val="0"/>
        <w:numPr>
          <w:ilvl w:val="1"/>
          <w:numId w:val="1"/>
        </w:numPr>
        <w:spacing w:after="120"/>
        <w:rPr>
          <w:rFonts w:asciiTheme="minorHAnsi" w:hAnsiTheme="minorHAnsi"/>
          <w:bCs/>
          <w:snapToGrid w:val="0"/>
        </w:rPr>
      </w:pPr>
      <w:bookmarkStart w:id="37" w:name="_Hlk76382586"/>
      <w:r w:rsidRPr="00836F75">
        <w:rPr>
          <w:rFonts w:asciiTheme="minorHAnsi" w:hAnsiTheme="minorHAnsi"/>
          <w:bCs/>
          <w:snapToGrid w:val="0"/>
        </w:rPr>
        <w:t xml:space="preserve">The sponsor requested a hearing for this item.  The clinician </w:t>
      </w:r>
      <w:r w:rsidR="00C56F57">
        <w:rPr>
          <w:rFonts w:asciiTheme="minorHAnsi" w:hAnsiTheme="minorHAnsi"/>
          <w:bCs/>
          <w:snapToGrid w:val="0"/>
        </w:rPr>
        <w:t xml:space="preserve">provided a statement </w:t>
      </w:r>
      <w:r w:rsidR="00563609">
        <w:rPr>
          <w:rFonts w:asciiTheme="minorHAnsi" w:hAnsiTheme="minorHAnsi"/>
          <w:bCs/>
          <w:snapToGrid w:val="0"/>
        </w:rPr>
        <w:t xml:space="preserve">supporting the listing of mavacamten for obstructive HCM. The clinician </w:t>
      </w:r>
      <w:r w:rsidR="00C013B8">
        <w:rPr>
          <w:rFonts w:asciiTheme="minorHAnsi" w:hAnsiTheme="minorHAnsi"/>
          <w:bCs/>
          <w:snapToGrid w:val="0"/>
        </w:rPr>
        <w:t>stated that</w:t>
      </w:r>
      <w:r w:rsidR="00563609">
        <w:rPr>
          <w:rFonts w:asciiTheme="minorHAnsi" w:hAnsiTheme="minorHAnsi"/>
          <w:bCs/>
          <w:snapToGrid w:val="0"/>
        </w:rPr>
        <w:t xml:space="preserve"> the medical therapy</w:t>
      </w:r>
      <w:r w:rsidR="00563609" w:rsidRPr="00D24456">
        <w:rPr>
          <w:rFonts w:asciiTheme="minorHAnsi" w:hAnsiTheme="minorHAnsi"/>
          <w:bCs/>
          <w:snapToGrid w:val="0"/>
        </w:rPr>
        <w:t xml:space="preserve"> options (</w:t>
      </w:r>
      <w:r w:rsidR="00B66ADA" w:rsidRPr="00D24456">
        <w:rPr>
          <w:rFonts w:asciiTheme="minorHAnsi" w:hAnsiTheme="minorHAnsi"/>
          <w:bCs/>
          <w:snapToGrid w:val="0"/>
        </w:rPr>
        <w:t>i.e.,</w:t>
      </w:r>
      <w:r w:rsidR="00563609" w:rsidRPr="00D24456">
        <w:rPr>
          <w:rFonts w:asciiTheme="minorHAnsi" w:hAnsiTheme="minorHAnsi"/>
          <w:bCs/>
          <w:snapToGrid w:val="0"/>
        </w:rPr>
        <w:t xml:space="preserve"> BBs, CCBs, and disopyramide)</w:t>
      </w:r>
      <w:r w:rsidR="00563609">
        <w:rPr>
          <w:rFonts w:asciiTheme="minorHAnsi" w:hAnsiTheme="minorHAnsi"/>
          <w:bCs/>
          <w:snapToGrid w:val="0"/>
        </w:rPr>
        <w:t xml:space="preserve"> </w:t>
      </w:r>
      <w:r w:rsidR="00563609" w:rsidRPr="00D24456">
        <w:rPr>
          <w:rFonts w:asciiTheme="minorHAnsi" w:hAnsiTheme="minorHAnsi"/>
          <w:bCs/>
          <w:snapToGrid w:val="0"/>
        </w:rPr>
        <w:t xml:space="preserve">for patients with obstructive HCM </w:t>
      </w:r>
      <w:r w:rsidR="00563609">
        <w:rPr>
          <w:rFonts w:asciiTheme="minorHAnsi" w:hAnsiTheme="minorHAnsi"/>
          <w:bCs/>
          <w:snapToGrid w:val="0"/>
        </w:rPr>
        <w:t xml:space="preserve">are only partially effective </w:t>
      </w:r>
      <w:r w:rsidR="00E7609B">
        <w:rPr>
          <w:rFonts w:asciiTheme="minorHAnsi" w:hAnsiTheme="minorHAnsi"/>
          <w:bCs/>
          <w:snapToGrid w:val="0"/>
        </w:rPr>
        <w:t>at</w:t>
      </w:r>
      <w:r w:rsidR="00563609">
        <w:rPr>
          <w:rFonts w:asciiTheme="minorHAnsi" w:hAnsiTheme="minorHAnsi"/>
          <w:bCs/>
          <w:snapToGrid w:val="0"/>
        </w:rPr>
        <w:t xml:space="preserve"> relieving symptoms and noted that </w:t>
      </w:r>
      <w:r w:rsidR="00E7609B" w:rsidRPr="00E7609B">
        <w:rPr>
          <w:rFonts w:asciiTheme="minorHAnsi" w:hAnsiTheme="minorHAnsi"/>
          <w:bCs/>
          <w:snapToGrid w:val="0"/>
        </w:rPr>
        <w:t>septal reduction therapies are costly, invasive, and not widely available in Australia.</w:t>
      </w:r>
      <w:r w:rsidR="00E7609B">
        <w:rPr>
          <w:rFonts w:asciiTheme="minorHAnsi" w:hAnsiTheme="minorHAnsi"/>
          <w:bCs/>
          <w:snapToGrid w:val="0"/>
        </w:rPr>
        <w:t xml:space="preserve"> The statement</w:t>
      </w:r>
      <w:r w:rsidR="00C013B8">
        <w:rPr>
          <w:rFonts w:asciiTheme="minorHAnsi" w:hAnsiTheme="minorHAnsi"/>
          <w:bCs/>
          <w:snapToGrid w:val="0"/>
        </w:rPr>
        <w:t xml:space="preserve"> provided by the clinician</w:t>
      </w:r>
      <w:r w:rsidR="00E7609B">
        <w:rPr>
          <w:rFonts w:asciiTheme="minorHAnsi" w:hAnsiTheme="minorHAnsi"/>
          <w:bCs/>
          <w:snapToGrid w:val="0"/>
        </w:rPr>
        <w:t xml:space="preserve"> highlighted the clinical benefits of mavacamten</w:t>
      </w:r>
      <w:r w:rsidR="00C013B8">
        <w:rPr>
          <w:rFonts w:asciiTheme="minorHAnsi" w:hAnsiTheme="minorHAnsi"/>
          <w:bCs/>
          <w:snapToGrid w:val="0"/>
        </w:rPr>
        <w:t>,</w:t>
      </w:r>
      <w:r w:rsidR="00E7609B">
        <w:rPr>
          <w:rFonts w:asciiTheme="minorHAnsi" w:hAnsiTheme="minorHAnsi"/>
          <w:bCs/>
          <w:snapToGrid w:val="0"/>
        </w:rPr>
        <w:t xml:space="preserve"> as reported in the </w:t>
      </w:r>
      <w:r w:rsidR="00E7609B" w:rsidRPr="00DF0204">
        <w:rPr>
          <w:rFonts w:asciiTheme="minorHAnsi" w:hAnsiTheme="minorHAnsi"/>
          <w:bCs/>
          <w:snapToGrid w:val="0"/>
        </w:rPr>
        <w:t xml:space="preserve">EXPLORER-HCM and VALOR-HCM </w:t>
      </w:r>
      <w:r w:rsidR="00E7609B" w:rsidRPr="00E7609B">
        <w:rPr>
          <w:rFonts w:asciiTheme="minorHAnsi" w:hAnsiTheme="minorHAnsi"/>
          <w:bCs/>
          <w:snapToGrid w:val="0"/>
        </w:rPr>
        <w:t>clinical trials</w:t>
      </w:r>
      <w:r w:rsidR="00C013B8">
        <w:rPr>
          <w:rFonts w:asciiTheme="minorHAnsi" w:hAnsiTheme="minorHAnsi"/>
          <w:bCs/>
          <w:snapToGrid w:val="0"/>
        </w:rPr>
        <w:t>. The clinician</w:t>
      </w:r>
      <w:r w:rsidR="00E7609B" w:rsidRPr="00E7609B">
        <w:rPr>
          <w:rFonts w:asciiTheme="minorHAnsi" w:hAnsiTheme="minorHAnsi"/>
          <w:bCs/>
          <w:snapToGrid w:val="0"/>
        </w:rPr>
        <w:t xml:space="preserve"> </w:t>
      </w:r>
      <w:r w:rsidR="00C013B8">
        <w:rPr>
          <w:rFonts w:asciiTheme="minorHAnsi" w:hAnsiTheme="minorHAnsi"/>
          <w:bCs/>
          <w:snapToGrid w:val="0"/>
        </w:rPr>
        <w:t>noted</w:t>
      </w:r>
      <w:r w:rsidR="00E7609B" w:rsidRPr="00E7609B">
        <w:rPr>
          <w:rFonts w:asciiTheme="minorHAnsi" w:hAnsiTheme="minorHAnsi"/>
          <w:bCs/>
          <w:snapToGrid w:val="0"/>
        </w:rPr>
        <w:t xml:space="preserve"> that </w:t>
      </w:r>
      <w:r w:rsidR="00E7609B">
        <w:rPr>
          <w:rFonts w:asciiTheme="minorHAnsi" w:hAnsiTheme="minorHAnsi"/>
          <w:bCs/>
          <w:snapToGrid w:val="0"/>
        </w:rPr>
        <w:t xml:space="preserve">based on these trials, </w:t>
      </w:r>
      <w:r w:rsidR="00E7609B" w:rsidRPr="00E7609B">
        <w:rPr>
          <w:rFonts w:asciiTheme="minorHAnsi" w:hAnsiTheme="minorHAnsi"/>
          <w:bCs/>
          <w:snapToGrid w:val="0"/>
        </w:rPr>
        <w:t xml:space="preserve">treatment with mavacamten </w:t>
      </w:r>
      <w:r w:rsidR="00C013B8">
        <w:rPr>
          <w:rFonts w:asciiTheme="minorHAnsi" w:hAnsiTheme="minorHAnsi"/>
          <w:bCs/>
          <w:snapToGrid w:val="0"/>
        </w:rPr>
        <w:t xml:space="preserve">was associated with </w:t>
      </w:r>
      <w:r w:rsidR="00E7609B" w:rsidRPr="00E7609B">
        <w:rPr>
          <w:rFonts w:asciiTheme="minorHAnsi" w:hAnsiTheme="minorHAnsi"/>
          <w:bCs/>
          <w:snapToGrid w:val="0"/>
        </w:rPr>
        <w:t>improved exercise capacity, LVOT obstruction, NYHA functional class, and health status when compared to standard of care.</w:t>
      </w:r>
      <w:r w:rsidR="005D60CE">
        <w:rPr>
          <w:rFonts w:asciiTheme="minorHAnsi" w:hAnsiTheme="minorHAnsi"/>
          <w:bCs/>
          <w:snapToGrid w:val="0"/>
        </w:rPr>
        <w:t xml:space="preserve"> The clinician considered that these clinical improvements would </w:t>
      </w:r>
      <w:r w:rsidR="00C013B8">
        <w:rPr>
          <w:rFonts w:asciiTheme="minorHAnsi" w:hAnsiTheme="minorHAnsi"/>
          <w:bCs/>
          <w:snapToGrid w:val="0"/>
        </w:rPr>
        <w:t xml:space="preserve">flow-on to </w:t>
      </w:r>
      <w:r w:rsidR="005D60CE">
        <w:rPr>
          <w:rFonts w:asciiTheme="minorHAnsi" w:hAnsiTheme="minorHAnsi"/>
          <w:bCs/>
          <w:snapToGrid w:val="0"/>
        </w:rPr>
        <w:t xml:space="preserve">improve patient’s </w:t>
      </w:r>
      <w:r w:rsidR="00C013B8">
        <w:rPr>
          <w:rFonts w:asciiTheme="minorHAnsi" w:hAnsiTheme="minorHAnsi"/>
          <w:bCs/>
          <w:snapToGrid w:val="0"/>
        </w:rPr>
        <w:t>daily lives</w:t>
      </w:r>
      <w:r w:rsidR="004B235E">
        <w:rPr>
          <w:rFonts w:asciiTheme="minorHAnsi" w:hAnsiTheme="minorHAnsi"/>
          <w:bCs/>
          <w:snapToGrid w:val="0"/>
        </w:rPr>
        <w:t xml:space="preserve"> and </w:t>
      </w:r>
      <w:r w:rsidR="00C013B8">
        <w:rPr>
          <w:rFonts w:asciiTheme="minorHAnsi" w:hAnsiTheme="minorHAnsi"/>
          <w:bCs/>
          <w:snapToGrid w:val="0"/>
        </w:rPr>
        <w:t xml:space="preserve">their </w:t>
      </w:r>
      <w:r w:rsidR="005D60CE">
        <w:rPr>
          <w:rFonts w:asciiTheme="minorHAnsi" w:hAnsiTheme="minorHAnsi"/>
          <w:bCs/>
          <w:snapToGrid w:val="0"/>
        </w:rPr>
        <w:t>ability to work</w:t>
      </w:r>
      <w:r w:rsidR="005D60CE" w:rsidRPr="005D60CE">
        <w:rPr>
          <w:rFonts w:asciiTheme="minorHAnsi" w:hAnsiTheme="minorHAnsi"/>
          <w:bCs/>
          <w:snapToGrid w:val="0"/>
        </w:rPr>
        <w:t>.</w:t>
      </w:r>
      <w:r w:rsidR="005D60CE">
        <w:rPr>
          <w:rFonts w:asciiTheme="minorHAnsi" w:hAnsiTheme="minorHAnsi"/>
          <w:bCs/>
          <w:snapToGrid w:val="0"/>
        </w:rPr>
        <w:t xml:space="preserve"> The clinician noted that a </w:t>
      </w:r>
      <w:r w:rsidR="004A36B2">
        <w:rPr>
          <w:rFonts w:asciiTheme="minorHAnsi" w:hAnsiTheme="minorHAnsi"/>
          <w:bCs/>
          <w:snapToGrid w:val="0"/>
        </w:rPr>
        <w:t xml:space="preserve">clinical </w:t>
      </w:r>
      <w:r w:rsidR="005D60CE">
        <w:rPr>
          <w:rFonts w:asciiTheme="minorHAnsi" w:hAnsiTheme="minorHAnsi"/>
          <w:bCs/>
          <w:snapToGrid w:val="0"/>
        </w:rPr>
        <w:t xml:space="preserve">response </w:t>
      </w:r>
      <w:r w:rsidR="00B66ADA">
        <w:rPr>
          <w:rFonts w:asciiTheme="minorHAnsi" w:hAnsiTheme="minorHAnsi"/>
          <w:bCs/>
          <w:snapToGrid w:val="0"/>
        </w:rPr>
        <w:t>may take</w:t>
      </w:r>
      <w:r w:rsidR="004A36B2">
        <w:rPr>
          <w:rFonts w:asciiTheme="minorHAnsi" w:hAnsiTheme="minorHAnsi"/>
          <w:bCs/>
          <w:snapToGrid w:val="0"/>
        </w:rPr>
        <w:t xml:space="preserve"> </w:t>
      </w:r>
      <w:r w:rsidR="00B66ADA">
        <w:rPr>
          <w:rFonts w:asciiTheme="minorHAnsi" w:hAnsiTheme="minorHAnsi"/>
          <w:bCs/>
          <w:snapToGrid w:val="0"/>
        </w:rPr>
        <w:t xml:space="preserve">as long as </w:t>
      </w:r>
      <w:r w:rsidR="005D60CE">
        <w:rPr>
          <w:rFonts w:asciiTheme="minorHAnsi" w:hAnsiTheme="minorHAnsi"/>
          <w:bCs/>
          <w:snapToGrid w:val="0"/>
        </w:rPr>
        <w:t>6 months and that a stopping rule may lead to premature exclusion of patients</w:t>
      </w:r>
      <w:r w:rsidR="004A36B2">
        <w:rPr>
          <w:rFonts w:asciiTheme="minorHAnsi" w:hAnsiTheme="minorHAnsi"/>
          <w:bCs/>
          <w:snapToGrid w:val="0"/>
        </w:rPr>
        <w:t xml:space="preserve"> </w:t>
      </w:r>
      <w:r w:rsidR="00B66ADA">
        <w:rPr>
          <w:rFonts w:asciiTheme="minorHAnsi" w:hAnsiTheme="minorHAnsi"/>
          <w:bCs/>
          <w:snapToGrid w:val="0"/>
        </w:rPr>
        <w:t>who</w:t>
      </w:r>
      <w:r w:rsidR="004A36B2">
        <w:rPr>
          <w:rFonts w:asciiTheme="minorHAnsi" w:hAnsiTheme="minorHAnsi"/>
          <w:bCs/>
          <w:snapToGrid w:val="0"/>
        </w:rPr>
        <w:t xml:space="preserve"> </w:t>
      </w:r>
      <w:r w:rsidR="00B66ADA">
        <w:rPr>
          <w:rFonts w:asciiTheme="minorHAnsi" w:hAnsiTheme="minorHAnsi"/>
          <w:bCs/>
          <w:snapToGrid w:val="0"/>
        </w:rPr>
        <w:t xml:space="preserve">may </w:t>
      </w:r>
      <w:r w:rsidR="004A36B2">
        <w:rPr>
          <w:rFonts w:asciiTheme="minorHAnsi" w:hAnsiTheme="minorHAnsi"/>
          <w:bCs/>
          <w:snapToGrid w:val="0"/>
        </w:rPr>
        <w:t>take several months to respond to</w:t>
      </w:r>
      <w:r w:rsidR="00B66ADA">
        <w:rPr>
          <w:rFonts w:asciiTheme="minorHAnsi" w:hAnsiTheme="minorHAnsi"/>
          <w:bCs/>
          <w:snapToGrid w:val="0"/>
        </w:rPr>
        <w:t xml:space="preserve"> </w:t>
      </w:r>
      <w:r w:rsidR="004A36B2">
        <w:rPr>
          <w:rFonts w:asciiTheme="minorHAnsi" w:hAnsiTheme="minorHAnsi"/>
          <w:bCs/>
          <w:snapToGrid w:val="0"/>
        </w:rPr>
        <w:t xml:space="preserve">treatment. The clinician also </w:t>
      </w:r>
      <w:r w:rsidR="00B66ADA">
        <w:rPr>
          <w:rFonts w:asciiTheme="minorHAnsi" w:hAnsiTheme="minorHAnsi"/>
          <w:bCs/>
          <w:snapToGrid w:val="0"/>
        </w:rPr>
        <w:t>emphasised that clinical response to a newly introduced therapy is multifaceted and should not be based on a single clinical parameter. For these reasons, the</w:t>
      </w:r>
      <w:r w:rsidR="000D5571">
        <w:rPr>
          <w:rFonts w:asciiTheme="minorHAnsi" w:hAnsiTheme="minorHAnsi"/>
          <w:bCs/>
          <w:snapToGrid w:val="0"/>
        </w:rPr>
        <w:t xml:space="preserve"> clinician considered that clinician discretion for</w:t>
      </w:r>
      <w:r w:rsidR="000D5571" w:rsidRPr="000D5571">
        <w:rPr>
          <w:rFonts w:asciiTheme="minorHAnsi" w:hAnsiTheme="minorHAnsi"/>
          <w:bCs/>
          <w:snapToGrid w:val="0"/>
        </w:rPr>
        <w:t xml:space="preserve"> whether</w:t>
      </w:r>
      <w:r w:rsidR="000D5571">
        <w:rPr>
          <w:rFonts w:asciiTheme="minorHAnsi" w:hAnsiTheme="minorHAnsi"/>
          <w:bCs/>
          <w:snapToGrid w:val="0"/>
        </w:rPr>
        <w:t xml:space="preserve"> a patient should</w:t>
      </w:r>
      <w:r w:rsidR="000D5571" w:rsidRPr="000D5571">
        <w:rPr>
          <w:rFonts w:asciiTheme="minorHAnsi" w:hAnsiTheme="minorHAnsi"/>
          <w:bCs/>
          <w:snapToGrid w:val="0"/>
        </w:rPr>
        <w:t xml:space="preserve"> continue</w:t>
      </w:r>
      <w:r w:rsidR="00BD6456">
        <w:rPr>
          <w:rFonts w:asciiTheme="minorHAnsi" w:hAnsiTheme="minorHAnsi"/>
          <w:bCs/>
          <w:snapToGrid w:val="0"/>
        </w:rPr>
        <w:t>/discontinue</w:t>
      </w:r>
      <w:r w:rsidR="000D5571">
        <w:rPr>
          <w:rFonts w:asciiTheme="minorHAnsi" w:hAnsiTheme="minorHAnsi"/>
          <w:bCs/>
          <w:snapToGrid w:val="0"/>
        </w:rPr>
        <w:t xml:space="preserve"> </w:t>
      </w:r>
      <w:r w:rsidR="000D5571" w:rsidRPr="000D5571">
        <w:rPr>
          <w:rFonts w:asciiTheme="minorHAnsi" w:hAnsiTheme="minorHAnsi"/>
          <w:bCs/>
          <w:snapToGrid w:val="0"/>
        </w:rPr>
        <w:t>mavacamten</w:t>
      </w:r>
      <w:r w:rsidR="000D5571">
        <w:rPr>
          <w:rFonts w:asciiTheme="minorHAnsi" w:hAnsiTheme="minorHAnsi"/>
          <w:bCs/>
          <w:snapToGrid w:val="0"/>
        </w:rPr>
        <w:t xml:space="preserve"> was appropriate.</w:t>
      </w:r>
    </w:p>
    <w:p w14:paraId="2AF77C60" w14:textId="6F681163" w:rsidR="005131FC" w:rsidRPr="005D60CE" w:rsidRDefault="005131FC" w:rsidP="005D60CE">
      <w:pPr>
        <w:widowControl w:val="0"/>
        <w:numPr>
          <w:ilvl w:val="1"/>
          <w:numId w:val="1"/>
        </w:numPr>
        <w:spacing w:after="120"/>
        <w:rPr>
          <w:rFonts w:asciiTheme="minorHAnsi" w:hAnsiTheme="minorHAnsi"/>
          <w:bCs/>
          <w:snapToGrid w:val="0"/>
        </w:rPr>
      </w:pPr>
      <w:r>
        <w:rPr>
          <w:rFonts w:asciiTheme="minorHAnsi" w:hAnsiTheme="minorHAnsi"/>
          <w:bCs/>
          <w:snapToGrid w:val="0"/>
        </w:rPr>
        <w:t>The PBAC particularly noted the emphasis of the hearing on the time to patient response, the multifaceted assessment of obstructive HCM and the suggestion for clinical discretion for continuation of therapy. Other aspects of contention with the restriction such as the qualifying LVOT gradient were not addressed.</w:t>
      </w:r>
    </w:p>
    <w:bookmarkEnd w:id="37"/>
    <w:p w14:paraId="18C7E18A" w14:textId="77777777" w:rsidR="004133FC" w:rsidRPr="006E1229" w:rsidRDefault="004133FC" w:rsidP="00731FB5">
      <w:pPr>
        <w:pStyle w:val="4-SubsectionHeading"/>
      </w:pPr>
      <w:r w:rsidRPr="006E1229">
        <w:t>Consumer comments</w:t>
      </w:r>
    </w:p>
    <w:p w14:paraId="2A5429C6" w14:textId="51979870" w:rsidR="00DE3334" w:rsidRPr="00D24456" w:rsidRDefault="00DE3334" w:rsidP="00DE3334">
      <w:pPr>
        <w:widowControl w:val="0"/>
        <w:numPr>
          <w:ilvl w:val="1"/>
          <w:numId w:val="1"/>
        </w:numPr>
        <w:spacing w:after="120"/>
        <w:rPr>
          <w:b/>
          <w:bCs/>
          <w:i/>
          <w:iCs/>
          <w:snapToGrid w:val="0"/>
        </w:rPr>
      </w:pPr>
      <w:bookmarkStart w:id="38" w:name="_Hlk76382618"/>
      <w:r>
        <w:rPr>
          <w:snapToGrid w:val="0"/>
        </w:rPr>
        <w:t>The PBAC noted and welcomed the input from health care professionals (HCPs) (3), individuals (5) and consumer organisations (2) via the Consumer Comments facility on the PBS website.</w:t>
      </w:r>
    </w:p>
    <w:p w14:paraId="583B0585" w14:textId="402F4E6C" w:rsidR="004A0EE0" w:rsidRDefault="00DE3334" w:rsidP="004133FC">
      <w:pPr>
        <w:widowControl w:val="0"/>
        <w:numPr>
          <w:ilvl w:val="1"/>
          <w:numId w:val="1"/>
        </w:numPr>
        <w:spacing w:after="120"/>
        <w:rPr>
          <w:rFonts w:asciiTheme="minorHAnsi" w:hAnsiTheme="minorHAnsi"/>
          <w:bCs/>
          <w:snapToGrid w:val="0"/>
        </w:rPr>
      </w:pPr>
      <w:r>
        <w:rPr>
          <w:rFonts w:asciiTheme="minorHAnsi" w:hAnsiTheme="minorHAnsi"/>
          <w:bCs/>
          <w:snapToGrid w:val="0"/>
        </w:rPr>
        <w:lastRenderedPageBreak/>
        <w:t xml:space="preserve">The comments from HCPs noted </w:t>
      </w:r>
      <w:r w:rsidR="00DF0204">
        <w:rPr>
          <w:rFonts w:asciiTheme="minorHAnsi" w:hAnsiTheme="minorHAnsi"/>
          <w:bCs/>
          <w:snapToGrid w:val="0"/>
        </w:rPr>
        <w:t>the limitations of medical therapy options and invasive medical procedures</w:t>
      </w:r>
      <w:r w:rsidR="00DF0204" w:rsidRPr="00D24456">
        <w:rPr>
          <w:rFonts w:asciiTheme="minorHAnsi" w:hAnsiTheme="minorHAnsi"/>
          <w:bCs/>
          <w:snapToGrid w:val="0"/>
        </w:rPr>
        <w:t xml:space="preserve"> </w:t>
      </w:r>
      <w:r w:rsidR="00DF0204">
        <w:rPr>
          <w:rFonts w:asciiTheme="minorHAnsi" w:hAnsiTheme="minorHAnsi"/>
          <w:bCs/>
          <w:snapToGrid w:val="0"/>
        </w:rPr>
        <w:t>(</w:t>
      </w:r>
      <w:r w:rsidR="00DF0204" w:rsidRPr="00D24456">
        <w:rPr>
          <w:rFonts w:asciiTheme="minorHAnsi" w:hAnsiTheme="minorHAnsi"/>
          <w:bCs/>
          <w:snapToGrid w:val="0"/>
        </w:rPr>
        <w:t>alcohol septal ablation or surgical myectomy</w:t>
      </w:r>
      <w:r w:rsidR="00DF0204">
        <w:rPr>
          <w:rFonts w:asciiTheme="minorHAnsi" w:hAnsiTheme="minorHAnsi"/>
          <w:bCs/>
          <w:snapToGrid w:val="0"/>
        </w:rPr>
        <w:t xml:space="preserve">) and described the clinical </w:t>
      </w:r>
      <w:r w:rsidR="004A0EE0">
        <w:rPr>
          <w:rFonts w:asciiTheme="minorHAnsi" w:hAnsiTheme="minorHAnsi"/>
          <w:bCs/>
          <w:snapToGrid w:val="0"/>
        </w:rPr>
        <w:t xml:space="preserve">and quality of life </w:t>
      </w:r>
      <w:r w:rsidR="00DF0204">
        <w:rPr>
          <w:rFonts w:asciiTheme="minorHAnsi" w:hAnsiTheme="minorHAnsi"/>
          <w:bCs/>
          <w:snapToGrid w:val="0"/>
        </w:rPr>
        <w:t xml:space="preserve">benefits associated with mavacamten observed in clinical trials. The input </w:t>
      </w:r>
      <w:r w:rsidR="00653267">
        <w:rPr>
          <w:rFonts w:asciiTheme="minorHAnsi" w:hAnsiTheme="minorHAnsi"/>
          <w:bCs/>
          <w:snapToGrid w:val="0"/>
        </w:rPr>
        <w:t xml:space="preserve">also </w:t>
      </w:r>
      <w:r w:rsidR="00DF0204">
        <w:rPr>
          <w:rFonts w:asciiTheme="minorHAnsi" w:hAnsiTheme="minorHAnsi"/>
          <w:bCs/>
          <w:snapToGrid w:val="0"/>
        </w:rPr>
        <w:t xml:space="preserve">noted the adverse effects associated with mavacamten treatment, in particular the risk of </w:t>
      </w:r>
      <w:r w:rsidR="00653267">
        <w:rPr>
          <w:rFonts w:asciiTheme="minorHAnsi" w:hAnsiTheme="minorHAnsi"/>
          <w:bCs/>
          <w:snapToGrid w:val="0"/>
        </w:rPr>
        <w:t>reduced left ventricular ejection fraction and emphasised the need for regular echocardiograms and ongoing monitoring during treatment.</w:t>
      </w:r>
      <w:r w:rsidR="004A0EE0">
        <w:rPr>
          <w:rFonts w:asciiTheme="minorHAnsi" w:hAnsiTheme="minorHAnsi"/>
          <w:bCs/>
          <w:snapToGrid w:val="0"/>
        </w:rPr>
        <w:t xml:space="preserve"> The input also raised concerns that </w:t>
      </w:r>
      <w:r w:rsidR="00194ACB">
        <w:rPr>
          <w:rFonts w:asciiTheme="minorHAnsi" w:hAnsiTheme="minorHAnsi"/>
          <w:bCs/>
          <w:snapToGrid w:val="0"/>
        </w:rPr>
        <w:t>regular</w:t>
      </w:r>
      <w:r w:rsidR="004A0EE0">
        <w:rPr>
          <w:rFonts w:asciiTheme="minorHAnsi" w:hAnsiTheme="minorHAnsi"/>
          <w:bCs/>
          <w:snapToGrid w:val="0"/>
        </w:rPr>
        <w:t xml:space="preserve"> echocardiograms may not </w:t>
      </w:r>
      <w:r w:rsidR="00194ACB">
        <w:rPr>
          <w:rFonts w:asciiTheme="minorHAnsi" w:hAnsiTheme="minorHAnsi"/>
          <w:bCs/>
          <w:snapToGrid w:val="0"/>
        </w:rPr>
        <w:t xml:space="preserve">be covered by </w:t>
      </w:r>
      <w:r w:rsidR="002C0536">
        <w:rPr>
          <w:rFonts w:asciiTheme="minorHAnsi" w:hAnsiTheme="minorHAnsi"/>
          <w:bCs/>
          <w:snapToGrid w:val="0"/>
        </w:rPr>
        <w:t xml:space="preserve">Medicare </w:t>
      </w:r>
      <w:r w:rsidR="004A0EE0">
        <w:rPr>
          <w:rFonts w:asciiTheme="minorHAnsi" w:hAnsiTheme="minorHAnsi"/>
          <w:bCs/>
          <w:snapToGrid w:val="0"/>
        </w:rPr>
        <w:t xml:space="preserve">and </w:t>
      </w:r>
      <w:r w:rsidR="00194ACB">
        <w:rPr>
          <w:rFonts w:asciiTheme="minorHAnsi" w:hAnsiTheme="minorHAnsi"/>
          <w:bCs/>
          <w:snapToGrid w:val="0"/>
        </w:rPr>
        <w:t xml:space="preserve">lead to considerable out-of-pocket costs </w:t>
      </w:r>
      <w:r w:rsidR="005B4BA2">
        <w:rPr>
          <w:rFonts w:asciiTheme="minorHAnsi" w:hAnsiTheme="minorHAnsi"/>
          <w:bCs/>
          <w:snapToGrid w:val="0"/>
        </w:rPr>
        <w:t>for</w:t>
      </w:r>
      <w:r w:rsidR="00194ACB">
        <w:rPr>
          <w:rFonts w:asciiTheme="minorHAnsi" w:hAnsiTheme="minorHAnsi"/>
          <w:bCs/>
          <w:snapToGrid w:val="0"/>
        </w:rPr>
        <w:t xml:space="preserve"> patients. </w:t>
      </w:r>
    </w:p>
    <w:p w14:paraId="32E8FA86" w14:textId="11215BBE" w:rsidR="00DE3334" w:rsidRDefault="00194ACB" w:rsidP="004133FC">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Input from </w:t>
      </w:r>
      <w:r w:rsidR="006E694A">
        <w:rPr>
          <w:rFonts w:asciiTheme="minorHAnsi" w:hAnsiTheme="minorHAnsi"/>
          <w:bCs/>
          <w:snapToGrid w:val="0"/>
        </w:rPr>
        <w:t xml:space="preserve">individuals who would like access to mavacamten to treat their own health condition, </w:t>
      </w:r>
      <w:r w:rsidR="005B4BA2">
        <w:rPr>
          <w:rFonts w:asciiTheme="minorHAnsi" w:hAnsiTheme="minorHAnsi"/>
          <w:bCs/>
          <w:snapToGrid w:val="0"/>
        </w:rPr>
        <w:t>described the burden of disease associated with obstructive HCM, including difficulties to work full-time, complete routine daily tasks and participate in activities with family</w:t>
      </w:r>
      <w:r w:rsidR="00497586">
        <w:rPr>
          <w:rFonts w:asciiTheme="minorHAnsi" w:hAnsiTheme="minorHAnsi"/>
          <w:bCs/>
          <w:snapToGrid w:val="0"/>
        </w:rPr>
        <w:t xml:space="preserve"> and friends</w:t>
      </w:r>
      <w:r w:rsidR="005B4BA2">
        <w:rPr>
          <w:rFonts w:asciiTheme="minorHAnsi" w:hAnsiTheme="minorHAnsi"/>
          <w:bCs/>
          <w:snapToGrid w:val="0"/>
        </w:rPr>
        <w:t xml:space="preserve">. Individuals described </w:t>
      </w:r>
      <w:r w:rsidR="00497586">
        <w:rPr>
          <w:rFonts w:asciiTheme="minorHAnsi" w:hAnsiTheme="minorHAnsi"/>
          <w:bCs/>
          <w:snapToGrid w:val="0"/>
        </w:rPr>
        <w:t xml:space="preserve">that their reduced physical functioning had a significant impact on their and the family and friends’ </w:t>
      </w:r>
      <w:r w:rsidR="003A063A">
        <w:rPr>
          <w:rFonts w:asciiTheme="minorHAnsi" w:hAnsiTheme="minorHAnsi"/>
          <w:bCs/>
          <w:snapToGrid w:val="0"/>
        </w:rPr>
        <w:t xml:space="preserve">emotional and mental </w:t>
      </w:r>
      <w:r w:rsidR="00BD6456">
        <w:rPr>
          <w:rFonts w:asciiTheme="minorHAnsi" w:hAnsiTheme="minorHAnsi"/>
          <w:bCs/>
          <w:snapToGrid w:val="0"/>
        </w:rPr>
        <w:t>well-being</w:t>
      </w:r>
      <w:r w:rsidR="003A063A">
        <w:rPr>
          <w:rFonts w:asciiTheme="minorHAnsi" w:hAnsiTheme="minorHAnsi"/>
          <w:bCs/>
          <w:snapToGrid w:val="0"/>
        </w:rPr>
        <w:t xml:space="preserve">. </w:t>
      </w:r>
      <w:r w:rsidR="008D775C">
        <w:rPr>
          <w:rFonts w:asciiTheme="minorHAnsi" w:hAnsiTheme="minorHAnsi"/>
          <w:bCs/>
          <w:snapToGrid w:val="0"/>
        </w:rPr>
        <w:t>Individuals noted the lack of available treatment options for obstructive HCM, and expressed a need for new therapies to both relieve symptoms and improve the underlying cause of the disease.</w:t>
      </w:r>
      <w:r w:rsidR="005B4BA2">
        <w:rPr>
          <w:rFonts w:asciiTheme="minorHAnsi" w:hAnsiTheme="minorHAnsi"/>
          <w:bCs/>
          <w:snapToGrid w:val="0"/>
        </w:rPr>
        <w:t xml:space="preserve"> The input </w:t>
      </w:r>
      <w:r w:rsidR="005131FC">
        <w:rPr>
          <w:rFonts w:asciiTheme="minorHAnsi" w:hAnsiTheme="minorHAnsi"/>
          <w:bCs/>
          <w:snapToGrid w:val="0"/>
        </w:rPr>
        <w:t>also</w:t>
      </w:r>
      <w:r w:rsidR="008D775C">
        <w:rPr>
          <w:rFonts w:asciiTheme="minorHAnsi" w:hAnsiTheme="minorHAnsi"/>
          <w:bCs/>
          <w:snapToGrid w:val="0"/>
        </w:rPr>
        <w:t xml:space="preserve"> </w:t>
      </w:r>
      <w:r w:rsidR="00582780">
        <w:rPr>
          <w:rFonts w:asciiTheme="minorHAnsi" w:hAnsiTheme="minorHAnsi"/>
          <w:bCs/>
          <w:snapToGrid w:val="0"/>
        </w:rPr>
        <w:t xml:space="preserve">noted the side effects and </w:t>
      </w:r>
      <w:r w:rsidR="008D775C">
        <w:rPr>
          <w:rFonts w:asciiTheme="minorHAnsi" w:hAnsiTheme="minorHAnsi"/>
          <w:bCs/>
          <w:snapToGrid w:val="0"/>
        </w:rPr>
        <w:t>perceived</w:t>
      </w:r>
      <w:r w:rsidR="005B4BA2">
        <w:rPr>
          <w:rFonts w:asciiTheme="minorHAnsi" w:hAnsiTheme="minorHAnsi"/>
          <w:bCs/>
          <w:snapToGrid w:val="0"/>
        </w:rPr>
        <w:t xml:space="preserve"> a</w:t>
      </w:r>
      <w:r w:rsidR="00582780">
        <w:rPr>
          <w:rFonts w:asciiTheme="minorHAnsi" w:hAnsiTheme="minorHAnsi"/>
          <w:bCs/>
          <w:snapToGrid w:val="0"/>
        </w:rPr>
        <w:t xml:space="preserve"> need for regular clinical support and monitoring.</w:t>
      </w:r>
      <w:r w:rsidR="00EE4DED">
        <w:rPr>
          <w:rFonts w:asciiTheme="minorHAnsi" w:hAnsiTheme="minorHAnsi"/>
          <w:bCs/>
          <w:snapToGrid w:val="0"/>
        </w:rPr>
        <w:t xml:space="preserve"> One individual noted </w:t>
      </w:r>
      <w:r w:rsidR="00F1158D">
        <w:rPr>
          <w:rFonts w:asciiTheme="minorHAnsi" w:hAnsiTheme="minorHAnsi"/>
          <w:bCs/>
          <w:snapToGrid w:val="0"/>
        </w:rPr>
        <w:t xml:space="preserve">the positive </w:t>
      </w:r>
      <w:r w:rsidR="00EE4DED">
        <w:rPr>
          <w:rFonts w:asciiTheme="minorHAnsi" w:hAnsiTheme="minorHAnsi"/>
          <w:bCs/>
          <w:snapToGrid w:val="0"/>
        </w:rPr>
        <w:t xml:space="preserve">comments made </w:t>
      </w:r>
      <w:r w:rsidR="00F1158D">
        <w:rPr>
          <w:rFonts w:asciiTheme="minorHAnsi" w:hAnsiTheme="minorHAnsi"/>
          <w:bCs/>
          <w:snapToGrid w:val="0"/>
        </w:rPr>
        <w:t xml:space="preserve">by members in </w:t>
      </w:r>
      <w:r w:rsidR="00BD6456">
        <w:rPr>
          <w:rFonts w:asciiTheme="minorHAnsi" w:hAnsiTheme="minorHAnsi"/>
          <w:bCs/>
          <w:snapToGrid w:val="0"/>
        </w:rPr>
        <w:t>a</w:t>
      </w:r>
      <w:r w:rsidR="00EE4DED">
        <w:rPr>
          <w:rFonts w:asciiTheme="minorHAnsi" w:hAnsiTheme="minorHAnsi"/>
          <w:bCs/>
          <w:snapToGrid w:val="0"/>
        </w:rPr>
        <w:t xml:space="preserve"> HCM support group </w:t>
      </w:r>
      <w:r w:rsidR="00BD6456">
        <w:rPr>
          <w:rFonts w:asciiTheme="minorHAnsi" w:hAnsiTheme="minorHAnsi"/>
          <w:bCs/>
          <w:snapToGrid w:val="0"/>
        </w:rPr>
        <w:t>that reported</w:t>
      </w:r>
      <w:r w:rsidR="00EE4DED">
        <w:rPr>
          <w:rFonts w:asciiTheme="minorHAnsi" w:hAnsiTheme="minorHAnsi"/>
          <w:bCs/>
          <w:snapToGrid w:val="0"/>
        </w:rPr>
        <w:t xml:space="preserve"> improved symptoms and </w:t>
      </w:r>
      <w:r w:rsidR="00F1158D">
        <w:rPr>
          <w:rFonts w:asciiTheme="minorHAnsi" w:hAnsiTheme="minorHAnsi"/>
          <w:bCs/>
          <w:snapToGrid w:val="0"/>
        </w:rPr>
        <w:t xml:space="preserve">an </w:t>
      </w:r>
      <w:r w:rsidR="00EE4DED">
        <w:rPr>
          <w:rFonts w:asciiTheme="minorHAnsi" w:hAnsiTheme="minorHAnsi"/>
          <w:bCs/>
          <w:snapToGrid w:val="0"/>
        </w:rPr>
        <w:t xml:space="preserve">ability to </w:t>
      </w:r>
      <w:r w:rsidR="00F1158D">
        <w:rPr>
          <w:rFonts w:asciiTheme="minorHAnsi" w:hAnsiTheme="minorHAnsi"/>
          <w:bCs/>
          <w:snapToGrid w:val="0"/>
        </w:rPr>
        <w:t xml:space="preserve">return to daily activities and </w:t>
      </w:r>
      <w:r w:rsidR="00BD6456">
        <w:rPr>
          <w:rFonts w:asciiTheme="minorHAnsi" w:hAnsiTheme="minorHAnsi"/>
          <w:bCs/>
          <w:snapToGrid w:val="0"/>
        </w:rPr>
        <w:t>the</w:t>
      </w:r>
      <w:r w:rsidR="00F1158D">
        <w:rPr>
          <w:rFonts w:asciiTheme="minorHAnsi" w:hAnsiTheme="minorHAnsi"/>
          <w:bCs/>
          <w:snapToGrid w:val="0"/>
        </w:rPr>
        <w:t xml:space="preserve"> anxiety felt </w:t>
      </w:r>
      <w:r w:rsidR="00BD6456">
        <w:rPr>
          <w:rFonts w:asciiTheme="minorHAnsi" w:hAnsiTheme="minorHAnsi"/>
          <w:bCs/>
          <w:snapToGrid w:val="0"/>
        </w:rPr>
        <w:t>when experiencing</w:t>
      </w:r>
      <w:r w:rsidR="00F1158D">
        <w:rPr>
          <w:rFonts w:asciiTheme="minorHAnsi" w:hAnsiTheme="minorHAnsi"/>
          <w:bCs/>
          <w:snapToGrid w:val="0"/>
        </w:rPr>
        <w:t xml:space="preserve"> side effects </w:t>
      </w:r>
      <w:r w:rsidR="00BD6456">
        <w:rPr>
          <w:rFonts w:asciiTheme="minorHAnsi" w:hAnsiTheme="minorHAnsi"/>
          <w:bCs/>
          <w:snapToGrid w:val="0"/>
        </w:rPr>
        <w:t>due to a fear they may be</w:t>
      </w:r>
      <w:r w:rsidR="00F1158D">
        <w:rPr>
          <w:rFonts w:asciiTheme="minorHAnsi" w:hAnsiTheme="minorHAnsi"/>
          <w:bCs/>
          <w:snapToGrid w:val="0"/>
        </w:rPr>
        <w:t xml:space="preserve"> required to discontinue treatment. </w:t>
      </w:r>
    </w:p>
    <w:p w14:paraId="01110C04" w14:textId="55E8DF78" w:rsidR="000007FE" w:rsidRDefault="000007FE" w:rsidP="001A07A6">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the advice received from 2 organisations, hearts4heart and </w:t>
      </w:r>
      <w:r w:rsidRPr="000007FE">
        <w:rPr>
          <w:rFonts w:asciiTheme="minorHAnsi" w:hAnsiTheme="minorHAnsi"/>
          <w:bCs/>
          <w:snapToGrid w:val="0"/>
        </w:rPr>
        <w:t>Cardiomyopathy Association of Australia</w:t>
      </w:r>
      <w:r w:rsidR="00430562">
        <w:rPr>
          <w:rFonts w:asciiTheme="minorHAnsi" w:hAnsiTheme="minorHAnsi"/>
          <w:bCs/>
          <w:snapToGrid w:val="0"/>
        </w:rPr>
        <w:t xml:space="preserve"> (CMAA)</w:t>
      </w:r>
      <w:r>
        <w:rPr>
          <w:rFonts w:asciiTheme="minorHAnsi" w:hAnsiTheme="minorHAnsi"/>
          <w:bCs/>
          <w:snapToGrid w:val="0"/>
        </w:rPr>
        <w:t xml:space="preserve">. Hearts4hearts </w:t>
      </w:r>
      <w:r w:rsidR="001A07A6">
        <w:rPr>
          <w:rFonts w:asciiTheme="minorHAnsi" w:hAnsiTheme="minorHAnsi"/>
          <w:bCs/>
          <w:snapToGrid w:val="0"/>
        </w:rPr>
        <w:t>reaffirmed</w:t>
      </w:r>
      <w:r>
        <w:rPr>
          <w:rFonts w:asciiTheme="minorHAnsi" w:hAnsiTheme="minorHAnsi"/>
          <w:bCs/>
          <w:snapToGrid w:val="0"/>
        </w:rPr>
        <w:t xml:space="preserve"> thei</w:t>
      </w:r>
      <w:r w:rsidR="00ED7AEF">
        <w:rPr>
          <w:rFonts w:asciiTheme="minorHAnsi" w:hAnsiTheme="minorHAnsi"/>
          <w:bCs/>
          <w:snapToGrid w:val="0"/>
        </w:rPr>
        <w:t>r</w:t>
      </w:r>
      <w:r>
        <w:rPr>
          <w:rFonts w:asciiTheme="minorHAnsi" w:hAnsiTheme="minorHAnsi"/>
          <w:bCs/>
          <w:snapToGrid w:val="0"/>
        </w:rPr>
        <w:t xml:space="preserve"> previous advice (September 2022</w:t>
      </w:r>
      <w:r w:rsidR="006A1C1A">
        <w:rPr>
          <w:rFonts w:asciiTheme="minorHAnsi" w:hAnsiTheme="minorHAnsi"/>
          <w:bCs/>
          <w:snapToGrid w:val="0"/>
        </w:rPr>
        <w:t>)</w:t>
      </w:r>
      <w:r>
        <w:rPr>
          <w:rFonts w:asciiTheme="minorHAnsi" w:hAnsiTheme="minorHAnsi"/>
          <w:bCs/>
          <w:snapToGrid w:val="0"/>
        </w:rPr>
        <w:t xml:space="preserve"> that despite the availability of </w:t>
      </w:r>
      <w:proofErr w:type="gramStart"/>
      <w:r>
        <w:rPr>
          <w:rFonts w:asciiTheme="minorHAnsi" w:hAnsiTheme="minorHAnsi"/>
          <w:bCs/>
          <w:snapToGrid w:val="0"/>
        </w:rPr>
        <w:t>a number of</w:t>
      </w:r>
      <w:proofErr w:type="gramEnd"/>
      <w:r>
        <w:rPr>
          <w:rFonts w:asciiTheme="minorHAnsi" w:hAnsiTheme="minorHAnsi"/>
          <w:bCs/>
          <w:snapToGrid w:val="0"/>
        </w:rPr>
        <w:t xml:space="preserve"> therapeutic options for patients with obstructive HCM, there remain</w:t>
      </w:r>
      <w:r w:rsidR="006A1C1A">
        <w:rPr>
          <w:rFonts w:asciiTheme="minorHAnsi" w:hAnsiTheme="minorHAnsi"/>
          <w:bCs/>
          <w:snapToGrid w:val="0"/>
        </w:rPr>
        <w:t>ed</w:t>
      </w:r>
      <w:r>
        <w:rPr>
          <w:rFonts w:asciiTheme="minorHAnsi" w:hAnsiTheme="minorHAnsi"/>
          <w:bCs/>
          <w:snapToGrid w:val="0"/>
        </w:rPr>
        <w:t xml:space="preserve"> a clinical need for patients </w:t>
      </w:r>
      <w:r w:rsidR="00ED7AEF" w:rsidRPr="00D24456">
        <w:rPr>
          <w:rFonts w:asciiTheme="minorHAnsi" w:hAnsiTheme="minorHAnsi"/>
          <w:bCs/>
          <w:snapToGrid w:val="0"/>
        </w:rPr>
        <w:t>not suitable for procedures and/or non-respondent to current</w:t>
      </w:r>
      <w:r w:rsidR="00ED7AEF">
        <w:rPr>
          <w:rFonts w:asciiTheme="minorHAnsi" w:hAnsiTheme="minorHAnsi"/>
          <w:bCs/>
          <w:snapToGrid w:val="0"/>
        </w:rPr>
        <w:t xml:space="preserve"> medical</w:t>
      </w:r>
      <w:r w:rsidR="00ED7AEF" w:rsidRPr="00D24456">
        <w:rPr>
          <w:rFonts w:asciiTheme="minorHAnsi" w:hAnsiTheme="minorHAnsi"/>
          <w:bCs/>
          <w:snapToGrid w:val="0"/>
        </w:rPr>
        <w:t xml:space="preserve"> therapies.</w:t>
      </w:r>
      <w:r w:rsidR="00ED7AEF">
        <w:rPr>
          <w:rFonts w:asciiTheme="minorHAnsi" w:hAnsiTheme="minorHAnsi"/>
          <w:bCs/>
          <w:snapToGrid w:val="0"/>
        </w:rPr>
        <w:t xml:space="preserve"> </w:t>
      </w:r>
      <w:r w:rsidR="00ED7AEF" w:rsidRPr="00F97973">
        <w:rPr>
          <w:rFonts w:asciiTheme="minorHAnsi" w:hAnsiTheme="minorHAnsi"/>
          <w:bCs/>
          <w:snapToGrid w:val="0"/>
        </w:rPr>
        <w:t xml:space="preserve">Hearts4heart </w:t>
      </w:r>
      <w:r w:rsidRPr="00F97973">
        <w:rPr>
          <w:rFonts w:asciiTheme="minorHAnsi" w:hAnsiTheme="minorHAnsi"/>
          <w:bCs/>
          <w:snapToGrid w:val="0"/>
        </w:rPr>
        <w:t xml:space="preserve">considered that mavacamten was associated with significant improvements to quality of life and clinical outcomes for symptomatic patients living with HCM and </w:t>
      </w:r>
      <w:r w:rsidR="00F97973">
        <w:rPr>
          <w:rFonts w:asciiTheme="minorHAnsi" w:hAnsiTheme="minorHAnsi"/>
          <w:bCs/>
          <w:snapToGrid w:val="0"/>
        </w:rPr>
        <w:t xml:space="preserve">noted that it </w:t>
      </w:r>
      <w:proofErr w:type="gramStart"/>
      <w:r w:rsidRPr="00F97973">
        <w:rPr>
          <w:rFonts w:asciiTheme="minorHAnsi" w:hAnsiTheme="minorHAnsi"/>
          <w:bCs/>
          <w:snapToGrid w:val="0"/>
        </w:rPr>
        <w:t>was</w:t>
      </w:r>
      <w:r w:rsidR="00ED7AEF" w:rsidRPr="00F97973">
        <w:rPr>
          <w:rFonts w:asciiTheme="minorHAnsi" w:hAnsiTheme="minorHAnsi"/>
          <w:bCs/>
          <w:snapToGrid w:val="0"/>
        </w:rPr>
        <w:t xml:space="preserve"> </w:t>
      </w:r>
      <w:r w:rsidR="00F97973">
        <w:rPr>
          <w:rFonts w:asciiTheme="minorHAnsi" w:hAnsiTheme="minorHAnsi"/>
          <w:bCs/>
          <w:snapToGrid w:val="0"/>
        </w:rPr>
        <w:t>considered to be</w:t>
      </w:r>
      <w:proofErr w:type="gramEnd"/>
      <w:r w:rsidR="00F97973">
        <w:rPr>
          <w:rFonts w:asciiTheme="minorHAnsi" w:hAnsiTheme="minorHAnsi"/>
          <w:bCs/>
          <w:snapToGrid w:val="0"/>
        </w:rPr>
        <w:t xml:space="preserve"> </w:t>
      </w:r>
      <w:r w:rsidR="00ED7AEF" w:rsidRPr="00F97973">
        <w:rPr>
          <w:rFonts w:asciiTheme="minorHAnsi" w:hAnsiTheme="minorHAnsi"/>
          <w:bCs/>
          <w:snapToGrid w:val="0"/>
        </w:rPr>
        <w:t>generally</w:t>
      </w:r>
      <w:r w:rsidRPr="00F97973">
        <w:rPr>
          <w:rFonts w:asciiTheme="minorHAnsi" w:hAnsiTheme="minorHAnsi"/>
          <w:bCs/>
          <w:snapToGrid w:val="0"/>
        </w:rPr>
        <w:t xml:space="preserve"> </w:t>
      </w:r>
      <w:r w:rsidR="00ED7AEF" w:rsidRPr="00F97973">
        <w:rPr>
          <w:rFonts w:asciiTheme="minorHAnsi" w:hAnsiTheme="minorHAnsi"/>
          <w:bCs/>
          <w:snapToGrid w:val="0"/>
        </w:rPr>
        <w:t>well tolerated</w:t>
      </w:r>
      <w:r w:rsidRPr="00F97973">
        <w:rPr>
          <w:rFonts w:asciiTheme="minorHAnsi" w:hAnsiTheme="minorHAnsi"/>
          <w:bCs/>
          <w:snapToGrid w:val="0"/>
        </w:rPr>
        <w:t xml:space="preserve">. </w:t>
      </w:r>
      <w:r w:rsidR="001A07A6">
        <w:rPr>
          <w:rFonts w:asciiTheme="minorHAnsi" w:hAnsiTheme="minorHAnsi"/>
          <w:bCs/>
          <w:snapToGrid w:val="0"/>
        </w:rPr>
        <w:t>H</w:t>
      </w:r>
      <w:r w:rsidRPr="001A07A6">
        <w:rPr>
          <w:rFonts w:asciiTheme="minorHAnsi" w:hAnsiTheme="minorHAnsi"/>
          <w:bCs/>
          <w:snapToGrid w:val="0"/>
        </w:rPr>
        <w:t xml:space="preserve">earts4heart </w:t>
      </w:r>
      <w:r w:rsidR="001A07A6">
        <w:rPr>
          <w:rFonts w:asciiTheme="minorHAnsi" w:hAnsiTheme="minorHAnsi"/>
          <w:bCs/>
          <w:snapToGrid w:val="0"/>
        </w:rPr>
        <w:t>reiterated</w:t>
      </w:r>
      <w:r w:rsidRPr="001A07A6">
        <w:rPr>
          <w:rFonts w:asciiTheme="minorHAnsi" w:hAnsiTheme="minorHAnsi"/>
          <w:bCs/>
          <w:snapToGrid w:val="0"/>
        </w:rPr>
        <w:t xml:space="preserve"> that mavacamten </w:t>
      </w:r>
      <w:r w:rsidR="001A07A6">
        <w:rPr>
          <w:rFonts w:asciiTheme="minorHAnsi" w:hAnsiTheme="minorHAnsi"/>
          <w:bCs/>
          <w:snapToGrid w:val="0"/>
        </w:rPr>
        <w:t>had</w:t>
      </w:r>
      <w:r w:rsidRPr="001A07A6">
        <w:rPr>
          <w:rFonts w:asciiTheme="minorHAnsi" w:hAnsiTheme="minorHAnsi"/>
          <w:bCs/>
          <w:snapToGrid w:val="0"/>
        </w:rPr>
        <w:t xml:space="preserve"> potential to significantly improve the daily lives of patients, </w:t>
      </w:r>
      <w:bookmarkStart w:id="39" w:name="_Hlk119672107"/>
      <w:r w:rsidRPr="001A07A6">
        <w:rPr>
          <w:rFonts w:asciiTheme="minorHAnsi" w:hAnsiTheme="minorHAnsi"/>
          <w:bCs/>
          <w:snapToGrid w:val="0"/>
        </w:rPr>
        <w:t xml:space="preserve">noting that patients </w:t>
      </w:r>
      <w:r w:rsidR="001A07A6">
        <w:rPr>
          <w:rFonts w:asciiTheme="minorHAnsi" w:hAnsiTheme="minorHAnsi"/>
          <w:bCs/>
          <w:snapToGrid w:val="0"/>
        </w:rPr>
        <w:t xml:space="preserve">report </w:t>
      </w:r>
      <w:r w:rsidRPr="001A07A6">
        <w:rPr>
          <w:rFonts w:asciiTheme="minorHAnsi" w:hAnsiTheme="minorHAnsi"/>
          <w:bCs/>
          <w:snapToGrid w:val="0"/>
        </w:rPr>
        <w:t>feeling less</w:t>
      </w:r>
      <w:r w:rsidR="001A07A6">
        <w:rPr>
          <w:rFonts w:asciiTheme="minorHAnsi" w:hAnsiTheme="minorHAnsi"/>
          <w:bCs/>
          <w:snapToGrid w:val="0"/>
        </w:rPr>
        <w:t xml:space="preserve"> symptoms</w:t>
      </w:r>
      <w:r w:rsidRPr="001A07A6">
        <w:rPr>
          <w:rFonts w:asciiTheme="minorHAnsi" w:hAnsiTheme="minorHAnsi"/>
          <w:bCs/>
          <w:snapToGrid w:val="0"/>
        </w:rPr>
        <w:t xml:space="preserve"> and </w:t>
      </w:r>
      <w:r w:rsidR="001A07A6">
        <w:rPr>
          <w:rFonts w:asciiTheme="minorHAnsi" w:hAnsiTheme="minorHAnsi"/>
          <w:bCs/>
          <w:snapToGrid w:val="0"/>
        </w:rPr>
        <w:t xml:space="preserve">are </w:t>
      </w:r>
      <w:r w:rsidRPr="001A07A6">
        <w:rPr>
          <w:rFonts w:asciiTheme="minorHAnsi" w:hAnsiTheme="minorHAnsi"/>
          <w:bCs/>
          <w:snapToGrid w:val="0"/>
        </w:rPr>
        <w:t>more able to</w:t>
      </w:r>
      <w:r w:rsidR="008B0A82">
        <w:rPr>
          <w:rFonts w:asciiTheme="minorHAnsi" w:hAnsiTheme="minorHAnsi"/>
          <w:bCs/>
          <w:snapToGrid w:val="0"/>
        </w:rPr>
        <w:t xml:space="preserve"> work and engage in leisure activities and exercise </w:t>
      </w:r>
      <w:r w:rsidRPr="001A07A6">
        <w:rPr>
          <w:rFonts w:asciiTheme="minorHAnsi" w:hAnsiTheme="minorHAnsi"/>
          <w:bCs/>
          <w:snapToGrid w:val="0"/>
        </w:rPr>
        <w:t>when taking mavacamten.</w:t>
      </w:r>
      <w:bookmarkEnd w:id="39"/>
    </w:p>
    <w:p w14:paraId="4C5F390A" w14:textId="248B4382" w:rsidR="008E1979" w:rsidRPr="005131FC" w:rsidRDefault="008E1979" w:rsidP="008E1979">
      <w:pPr>
        <w:pStyle w:val="3-BodyText"/>
        <w:rPr>
          <w:bCs/>
        </w:rPr>
      </w:pPr>
      <w:r>
        <w:t xml:space="preserve">The </w:t>
      </w:r>
      <w:r w:rsidR="00A42807">
        <w:t xml:space="preserve">CMAA </w:t>
      </w:r>
      <w:r w:rsidR="005F2D8F">
        <w:t>expressed support for the listing of mavacamten for patients with obstructive HC</w:t>
      </w:r>
      <w:r w:rsidR="00430562">
        <w:t>M</w:t>
      </w:r>
      <w:r w:rsidR="005F2D8F">
        <w:t>, noting</w:t>
      </w:r>
      <w:r>
        <w:t xml:space="preserve"> </w:t>
      </w:r>
      <w:r w:rsidR="005F2D8F">
        <w:rPr>
          <w:bCs/>
        </w:rPr>
        <w:t>that despite the</w:t>
      </w:r>
      <w:r>
        <w:rPr>
          <w:bCs/>
        </w:rPr>
        <w:t xml:space="preserve"> availability of </w:t>
      </w:r>
      <w:proofErr w:type="gramStart"/>
      <w:r>
        <w:rPr>
          <w:bCs/>
        </w:rPr>
        <w:t>a number of</w:t>
      </w:r>
      <w:proofErr w:type="gramEnd"/>
      <w:r>
        <w:rPr>
          <w:bCs/>
        </w:rPr>
        <w:t xml:space="preserve"> </w:t>
      </w:r>
      <w:r w:rsidR="005F2D8F">
        <w:rPr>
          <w:bCs/>
        </w:rPr>
        <w:t xml:space="preserve">medical therapies, </w:t>
      </w:r>
      <w:r>
        <w:rPr>
          <w:bCs/>
        </w:rPr>
        <w:t xml:space="preserve">many patients remain burdened </w:t>
      </w:r>
      <w:r w:rsidR="005F2D8F">
        <w:rPr>
          <w:bCs/>
        </w:rPr>
        <w:t>by symptom</w:t>
      </w:r>
      <w:r w:rsidR="00A42807">
        <w:rPr>
          <w:bCs/>
        </w:rPr>
        <w:t>atic disease</w:t>
      </w:r>
      <w:r w:rsidR="005F2D8F">
        <w:rPr>
          <w:bCs/>
        </w:rPr>
        <w:t xml:space="preserve">. </w:t>
      </w:r>
      <w:r w:rsidR="005F2D8F">
        <w:t xml:space="preserve">The </w:t>
      </w:r>
      <w:r w:rsidR="00A42807">
        <w:t>CMAA</w:t>
      </w:r>
      <w:r w:rsidR="005F2D8F">
        <w:t xml:space="preserve"> </w:t>
      </w:r>
      <w:r w:rsidR="00A42807">
        <w:t>considered</w:t>
      </w:r>
      <w:r w:rsidR="005F2D8F">
        <w:t xml:space="preserve"> </w:t>
      </w:r>
      <w:r w:rsidR="00A42807">
        <w:t>surgery (</w:t>
      </w:r>
      <w:r w:rsidR="005F2D8F">
        <w:t>myectomy</w:t>
      </w:r>
      <w:r w:rsidR="00A42807">
        <w:t xml:space="preserve">) a reliable option for patients suffering from symptomatic disease, however noted that it </w:t>
      </w:r>
      <w:r w:rsidR="005F2D8F">
        <w:t>was invasive</w:t>
      </w:r>
      <w:r w:rsidR="00A42807">
        <w:t xml:space="preserve">, </w:t>
      </w:r>
      <w:r w:rsidR="005F2D8F">
        <w:t xml:space="preserve">associated with complications and </w:t>
      </w:r>
      <w:r w:rsidR="00A42807">
        <w:t xml:space="preserve">a </w:t>
      </w:r>
      <w:r w:rsidR="005F2D8F">
        <w:t xml:space="preserve">recovery time. </w:t>
      </w:r>
      <w:r w:rsidR="00A42807">
        <w:t xml:space="preserve">The CMAA </w:t>
      </w:r>
      <w:r w:rsidR="00932890">
        <w:t xml:space="preserve">noted that both patients and clinicians considered mavacamten </w:t>
      </w:r>
      <w:r w:rsidR="00430562">
        <w:t>was likely to</w:t>
      </w:r>
      <w:r w:rsidR="00932890">
        <w:t xml:space="preserve"> reduce symptoms and prevent surgery. The CMAA also noted that patients report a willingness to undergo regular echocardiograms for the potential for symptom relief and the avoidance of surgery.</w:t>
      </w:r>
    </w:p>
    <w:p w14:paraId="0DA9A793" w14:textId="54B05D75" w:rsidR="005131FC" w:rsidRPr="008E1979" w:rsidRDefault="005131FC" w:rsidP="008E1979">
      <w:pPr>
        <w:pStyle w:val="3-BodyText"/>
        <w:rPr>
          <w:bCs/>
        </w:rPr>
      </w:pPr>
      <w:r>
        <w:lastRenderedPageBreak/>
        <w:t>The PBAC considered the comments reflected the clinical evidence available.</w:t>
      </w:r>
    </w:p>
    <w:p w14:paraId="1F4C5C87" w14:textId="77777777" w:rsidR="00636080" w:rsidRPr="00C9624D" w:rsidRDefault="00636080" w:rsidP="00636080">
      <w:pPr>
        <w:pStyle w:val="4-SubsectionHeading"/>
      </w:pPr>
      <w:bookmarkStart w:id="40" w:name="_Toc107927626"/>
      <w:bookmarkStart w:id="41" w:name="_Toc135223326"/>
      <w:bookmarkEnd w:id="36"/>
      <w:bookmarkEnd w:id="38"/>
      <w:r w:rsidRPr="00C9624D">
        <w:t>Clinical trials</w:t>
      </w:r>
      <w:bookmarkEnd w:id="35"/>
      <w:bookmarkEnd w:id="40"/>
      <w:bookmarkEnd w:id="41"/>
    </w:p>
    <w:p w14:paraId="4F866D2D" w14:textId="48818439" w:rsidR="00DB214B" w:rsidRPr="00DB214B" w:rsidRDefault="0099160F" w:rsidP="003B7D99">
      <w:pPr>
        <w:pStyle w:val="3-BodyText"/>
        <w:rPr>
          <w:color w:val="0066FF"/>
        </w:rPr>
      </w:pPr>
      <w:r>
        <w:rPr>
          <w:snapToGrid/>
          <w:lang w:val="en-US"/>
        </w:rPr>
        <w:t>The</w:t>
      </w:r>
      <w:r w:rsidR="00636080">
        <w:rPr>
          <w:snapToGrid/>
          <w:lang w:val="en-US"/>
        </w:rPr>
        <w:t xml:space="preserve"> </w:t>
      </w:r>
      <w:r w:rsidR="00823ADF" w:rsidRPr="009E1BBE">
        <w:rPr>
          <w:snapToGrid/>
          <w:lang w:val="en-US"/>
        </w:rPr>
        <w:t>re</w:t>
      </w:r>
      <w:r w:rsidR="00636080" w:rsidRPr="009E1BBE">
        <w:rPr>
          <w:snapToGrid/>
          <w:lang w:val="en-US"/>
        </w:rPr>
        <w:t>submission was based</w:t>
      </w:r>
      <w:r w:rsidR="003B1DF3" w:rsidRPr="009E1BBE">
        <w:rPr>
          <w:snapToGrid/>
          <w:lang w:val="en-US"/>
        </w:rPr>
        <w:t xml:space="preserve"> on the same</w:t>
      </w:r>
      <w:r w:rsidR="00FE3E91" w:rsidRPr="009E1BBE">
        <w:rPr>
          <w:snapToGrid/>
          <w:lang w:val="en-US"/>
        </w:rPr>
        <w:t xml:space="preserve"> trials pr</w:t>
      </w:r>
      <w:r w:rsidR="00C5526F" w:rsidRPr="009E1BBE">
        <w:rPr>
          <w:snapToGrid/>
          <w:lang w:val="en-US"/>
        </w:rPr>
        <w:t xml:space="preserve">esented in the November 2022 submission. The key </w:t>
      </w:r>
      <w:r w:rsidR="00636080" w:rsidRPr="009E1BBE">
        <w:rPr>
          <w:snapToGrid/>
          <w:lang w:val="en-US"/>
        </w:rPr>
        <w:t>head-to-head trial</w:t>
      </w:r>
      <w:r w:rsidR="003B1DF3" w:rsidRPr="009E1BBE">
        <w:rPr>
          <w:snapToGrid/>
          <w:lang w:val="en-US"/>
        </w:rPr>
        <w:t xml:space="preserve"> </w:t>
      </w:r>
      <w:r w:rsidR="00C5526F" w:rsidRPr="009E1BBE">
        <w:rPr>
          <w:snapToGrid/>
          <w:lang w:val="en-US"/>
        </w:rPr>
        <w:t xml:space="preserve">was </w:t>
      </w:r>
      <w:r w:rsidR="003B1DF3" w:rsidRPr="009E1BBE">
        <w:rPr>
          <w:snapToGrid/>
          <w:lang w:val="en-US"/>
        </w:rPr>
        <w:t>EXPLORER-HCM (N=</w:t>
      </w:r>
      <w:r w:rsidR="006D4839" w:rsidRPr="009E1BBE">
        <w:rPr>
          <w:snapToGrid/>
          <w:lang w:val="en-US"/>
        </w:rPr>
        <w:t>251)</w:t>
      </w:r>
      <w:r w:rsidR="00636080" w:rsidRPr="009E1BBE">
        <w:rPr>
          <w:snapToGrid/>
          <w:lang w:val="en-US"/>
        </w:rPr>
        <w:t xml:space="preserve"> comparing </w:t>
      </w:r>
      <w:r w:rsidR="006D4839" w:rsidRPr="009E1BBE">
        <w:rPr>
          <w:snapToGrid/>
          <w:lang w:val="en-US"/>
        </w:rPr>
        <w:t>mavacamten </w:t>
      </w:r>
      <w:r w:rsidR="00385620" w:rsidRPr="009E1BBE">
        <w:rPr>
          <w:snapToGrid/>
          <w:lang w:val="en-US"/>
        </w:rPr>
        <w:t>(</w:t>
      </w:r>
      <w:r w:rsidR="00385620" w:rsidRPr="009E1BBE">
        <w:rPr>
          <w:rFonts w:cstheme="minorHAnsi"/>
          <w:snapToGrid/>
          <w:lang w:val="en-US"/>
        </w:rPr>
        <w:t>±</w:t>
      </w:r>
      <w:r w:rsidR="006D4839" w:rsidRPr="009E1BBE">
        <w:rPr>
          <w:snapToGrid/>
          <w:lang w:val="en-US"/>
        </w:rPr>
        <w:t> </w:t>
      </w:r>
      <w:r w:rsidR="00385620" w:rsidRPr="009E1BBE">
        <w:rPr>
          <w:snapToGrid/>
          <w:lang w:val="en-US"/>
        </w:rPr>
        <w:t>BB/CCB) to placebo</w:t>
      </w:r>
      <w:r w:rsidR="00647B4B" w:rsidRPr="009E1BBE">
        <w:rPr>
          <w:snapToGrid/>
          <w:lang w:val="en-US"/>
        </w:rPr>
        <w:t> (</w:t>
      </w:r>
      <w:r w:rsidR="00647B4B" w:rsidRPr="009E1BBE">
        <w:rPr>
          <w:rFonts w:cstheme="minorHAnsi"/>
          <w:snapToGrid/>
          <w:lang w:val="en-US"/>
        </w:rPr>
        <w:t>±</w:t>
      </w:r>
      <w:r w:rsidR="00647B4B" w:rsidRPr="009E1BBE">
        <w:rPr>
          <w:snapToGrid/>
          <w:lang w:val="en-US"/>
        </w:rPr>
        <w:t> BB/CCB)</w:t>
      </w:r>
      <w:r w:rsidR="00F925B3" w:rsidRPr="009E1BBE">
        <w:rPr>
          <w:snapToGrid/>
          <w:lang w:val="en-US"/>
        </w:rPr>
        <w:t xml:space="preserve">. </w:t>
      </w:r>
      <w:r w:rsidR="007A0A1D">
        <w:rPr>
          <w:snapToGrid/>
          <w:lang w:val="en-US"/>
        </w:rPr>
        <w:t xml:space="preserve">The duration of follow-up from EXPLORER-HCM was 38 weeks. </w:t>
      </w:r>
      <w:r w:rsidR="00F71991" w:rsidRPr="00BF5BC7">
        <w:rPr>
          <w:iCs/>
          <w:snapToGrid/>
          <w:lang w:val="en-US"/>
        </w:rPr>
        <w:t xml:space="preserve">The details and results from EXPLORER-HCM remain unchanged from </w:t>
      </w:r>
      <w:r w:rsidR="001807B6" w:rsidRPr="00BF5BC7">
        <w:rPr>
          <w:iCs/>
          <w:snapToGrid/>
          <w:lang w:val="en-US"/>
        </w:rPr>
        <w:t>those</w:t>
      </w:r>
      <w:r w:rsidR="00F71991" w:rsidRPr="00BF5BC7">
        <w:rPr>
          <w:iCs/>
          <w:snapToGrid/>
          <w:lang w:val="en-US"/>
        </w:rPr>
        <w:t xml:space="preserve"> presented in the November 2022 </w:t>
      </w:r>
      <w:r w:rsidR="000B2299" w:rsidRPr="00BF5BC7">
        <w:rPr>
          <w:iCs/>
          <w:snapToGrid/>
          <w:lang w:val="en-US"/>
        </w:rPr>
        <w:t>submission</w:t>
      </w:r>
      <w:r w:rsidR="00F71991" w:rsidRPr="00BF5BC7">
        <w:rPr>
          <w:iCs/>
          <w:snapToGrid/>
          <w:lang w:val="en-US"/>
        </w:rPr>
        <w:t xml:space="preserve">. </w:t>
      </w:r>
    </w:p>
    <w:p w14:paraId="731731C9" w14:textId="77777777" w:rsidR="005E4BD9" w:rsidRPr="005E4BD9" w:rsidRDefault="00D84D34" w:rsidP="003B7D99">
      <w:pPr>
        <w:pStyle w:val="3-BodyText"/>
      </w:pPr>
      <w:r w:rsidRPr="005E4BD9">
        <w:rPr>
          <w:snapToGrid/>
          <w:lang w:val="en-US"/>
        </w:rPr>
        <w:t xml:space="preserve">Updated evidence for two </w:t>
      </w:r>
      <w:r w:rsidR="00F925B3" w:rsidRPr="005E4BD9">
        <w:rPr>
          <w:snapToGrid/>
          <w:lang w:val="en-US"/>
        </w:rPr>
        <w:t xml:space="preserve">supporting trials </w:t>
      </w:r>
      <w:r w:rsidR="003D783F" w:rsidRPr="005E4BD9">
        <w:rPr>
          <w:snapToGrid/>
          <w:lang w:val="en-US"/>
        </w:rPr>
        <w:t>w</w:t>
      </w:r>
      <w:r w:rsidR="003D783F">
        <w:rPr>
          <w:snapToGrid/>
          <w:lang w:val="en-US"/>
        </w:rPr>
        <w:t>as</w:t>
      </w:r>
      <w:r w:rsidR="003D783F" w:rsidRPr="005E4BD9">
        <w:rPr>
          <w:snapToGrid/>
          <w:lang w:val="en-US"/>
        </w:rPr>
        <w:t xml:space="preserve"> </w:t>
      </w:r>
      <w:r w:rsidR="00F925B3" w:rsidRPr="005E4BD9">
        <w:rPr>
          <w:snapToGrid/>
          <w:lang w:val="en-US"/>
        </w:rPr>
        <w:t xml:space="preserve">presented </w:t>
      </w:r>
      <w:r w:rsidRPr="005E4BD9">
        <w:rPr>
          <w:snapToGrid/>
          <w:lang w:val="en-US"/>
        </w:rPr>
        <w:t>in</w:t>
      </w:r>
      <w:r w:rsidR="003D783F">
        <w:rPr>
          <w:snapToGrid/>
          <w:lang w:val="en-US"/>
        </w:rPr>
        <w:t xml:space="preserve"> the resubmission</w:t>
      </w:r>
      <w:r w:rsidR="005E4BD9" w:rsidRPr="005E4BD9">
        <w:rPr>
          <w:snapToGrid/>
          <w:lang w:val="en-US"/>
        </w:rPr>
        <w:t>:</w:t>
      </w:r>
      <w:r w:rsidRPr="005E4BD9">
        <w:rPr>
          <w:snapToGrid/>
          <w:lang w:val="en-US"/>
        </w:rPr>
        <w:t xml:space="preserve"> </w:t>
      </w:r>
    </w:p>
    <w:p w14:paraId="5BDDCF13" w14:textId="77777777" w:rsidR="005E4BD9" w:rsidRPr="005E4BD9" w:rsidRDefault="00495738" w:rsidP="00EE280A">
      <w:pPr>
        <w:pStyle w:val="ListParagraph"/>
        <w:numPr>
          <w:ilvl w:val="0"/>
          <w:numId w:val="8"/>
        </w:numPr>
        <w:contextualSpacing/>
      </w:pPr>
      <w:r w:rsidRPr="005E4BD9">
        <w:rPr>
          <w:snapToGrid/>
          <w:lang w:val="en-US"/>
        </w:rPr>
        <w:t>MAVA-LTE (EXPLORER-LTE cohort</w:t>
      </w:r>
      <w:r w:rsidR="00F925B3" w:rsidRPr="005E4BD9">
        <w:rPr>
          <w:snapToGrid/>
          <w:lang w:val="en-US"/>
        </w:rPr>
        <w:t>)</w:t>
      </w:r>
      <w:r w:rsidR="009D6A29" w:rsidRPr="005E4BD9">
        <w:rPr>
          <w:snapToGrid/>
          <w:lang w:val="en-US"/>
        </w:rPr>
        <w:t xml:space="preserve"> (N=231)</w:t>
      </w:r>
      <w:r w:rsidR="00D84D34" w:rsidRPr="005E4BD9">
        <w:rPr>
          <w:snapToGrid/>
          <w:lang w:val="en-US"/>
        </w:rPr>
        <w:t>, which is the extension study for patients enrolled in EXPLORER-HCM</w:t>
      </w:r>
      <w:r w:rsidR="005E4BD9">
        <w:rPr>
          <w:snapToGrid/>
          <w:lang w:val="en-US"/>
        </w:rPr>
        <w:t xml:space="preserve">. </w:t>
      </w:r>
      <w:r w:rsidR="005E4BD9" w:rsidRPr="00BF5BC7">
        <w:rPr>
          <w:iCs/>
        </w:rPr>
        <w:t xml:space="preserve">The resubmission presented interim results for the EXPLORER-LTE cohort for </w:t>
      </w:r>
      <w:r w:rsidR="003D783F" w:rsidRPr="00BF5BC7">
        <w:rPr>
          <w:iCs/>
        </w:rPr>
        <w:t xml:space="preserve">a </w:t>
      </w:r>
      <w:r w:rsidR="005E4BD9" w:rsidRPr="00BF5BC7">
        <w:rPr>
          <w:iCs/>
        </w:rPr>
        <w:t>data cut-off 31 May 2022</w:t>
      </w:r>
      <w:r w:rsidR="009D6A29" w:rsidRPr="005E4BD9">
        <w:rPr>
          <w:snapToGrid/>
          <w:lang w:val="en-US"/>
        </w:rPr>
        <w:t>;</w:t>
      </w:r>
      <w:r w:rsidR="00305724" w:rsidRPr="005E4BD9">
        <w:rPr>
          <w:snapToGrid/>
          <w:lang w:val="en-US"/>
        </w:rPr>
        <w:t xml:space="preserve"> </w:t>
      </w:r>
      <w:r w:rsidR="00FA2696" w:rsidRPr="005E4BD9">
        <w:rPr>
          <w:snapToGrid/>
          <w:lang w:val="en-US"/>
        </w:rPr>
        <w:t xml:space="preserve">and </w:t>
      </w:r>
    </w:p>
    <w:p w14:paraId="675DEAD6" w14:textId="2E574A14" w:rsidR="005E4BD9" w:rsidRPr="005E4BD9" w:rsidRDefault="00D84D34" w:rsidP="00EE280A">
      <w:pPr>
        <w:pStyle w:val="ListParagraph"/>
        <w:numPr>
          <w:ilvl w:val="0"/>
          <w:numId w:val="8"/>
        </w:numPr>
        <w:contextualSpacing/>
      </w:pPr>
      <w:r w:rsidRPr="005E4BD9">
        <w:rPr>
          <w:snapToGrid/>
          <w:lang w:val="en-US"/>
        </w:rPr>
        <w:t>VALOR-HCM</w:t>
      </w:r>
      <w:r w:rsidR="009D6A29" w:rsidRPr="005E4BD9">
        <w:rPr>
          <w:snapToGrid/>
          <w:lang w:val="en-US"/>
        </w:rPr>
        <w:t xml:space="preserve"> (N=112)</w:t>
      </w:r>
      <w:r w:rsidR="00B36A4C">
        <w:rPr>
          <w:snapToGrid/>
          <w:lang w:val="en-US"/>
        </w:rPr>
        <w:t xml:space="preserve">, a </w:t>
      </w:r>
      <w:r w:rsidR="00B36A4C">
        <w:t xml:space="preserve">Phase III, randomised, double-blind, placebo-controlled trial </w:t>
      </w:r>
      <w:r w:rsidR="0075368F" w:rsidRPr="005E4BD9">
        <w:rPr>
          <w:snapToGrid/>
          <w:lang w:val="en-US"/>
        </w:rPr>
        <w:t xml:space="preserve">comparing </w:t>
      </w:r>
      <w:r w:rsidR="006117F5" w:rsidRPr="005E4BD9">
        <w:t xml:space="preserve">mavacamten </w:t>
      </w:r>
      <w:r w:rsidR="0075368F" w:rsidRPr="005E4BD9">
        <w:t xml:space="preserve">to </w:t>
      </w:r>
      <w:r w:rsidR="006117F5" w:rsidRPr="005E4BD9">
        <w:t xml:space="preserve">placebo in a severe symptomatic population </w:t>
      </w:r>
      <w:r w:rsidR="0075368F" w:rsidRPr="005E4BD9">
        <w:t xml:space="preserve">of patients with obstructive HCM </w:t>
      </w:r>
      <w:r w:rsidR="006117F5" w:rsidRPr="005E4BD9">
        <w:t>who had been referred for SRT</w:t>
      </w:r>
      <w:r w:rsidR="009E1BBE" w:rsidRPr="005E4BD9">
        <w:t>s</w:t>
      </w:r>
      <w:r w:rsidR="006117F5" w:rsidRPr="005E4BD9">
        <w:t xml:space="preserve">. </w:t>
      </w:r>
      <w:r w:rsidR="005E4BD9" w:rsidRPr="00BF5BC7">
        <w:rPr>
          <w:rFonts w:cstheme="minorHAnsi"/>
          <w:iCs/>
        </w:rPr>
        <w:t xml:space="preserve">VALOR-HCM was presented as </w:t>
      </w:r>
      <w:r w:rsidR="005E4BD9" w:rsidRPr="00BF5BC7">
        <w:rPr>
          <w:rFonts w:cs="Tahoma"/>
          <w:iCs/>
        </w:rPr>
        <w:t xml:space="preserve">supporting evidence and </w:t>
      </w:r>
      <w:r w:rsidR="005E4BD9" w:rsidRPr="00BF5BC7">
        <w:t>partially evaluated, as part of the November 2022 submission on the basis that only a PowerPoint presentation of the results (up to week 16) was provided</w:t>
      </w:r>
      <w:r w:rsidR="003D783F" w:rsidRPr="00BF5BC7">
        <w:t xml:space="preserve"> at that time</w:t>
      </w:r>
      <w:r w:rsidR="005E4BD9" w:rsidRPr="00BF5BC7">
        <w:t xml:space="preserve">. The resubmission has provided the interim CSR (dated June 2022, data cut-off 07 February 2022) and three publications (Cremer 2022, Desai 2022a, Desai 2022b) for VALOR-HCM. Results are presented up to week 32. VALOR-HCM is currently ongoing and is expected to be completed 10 June 2024. </w:t>
      </w:r>
    </w:p>
    <w:p w14:paraId="1906F2E7" w14:textId="5D501B43" w:rsidR="00636080" w:rsidRPr="009E1BBE" w:rsidRDefault="007C7E1D" w:rsidP="003B7D99">
      <w:pPr>
        <w:pStyle w:val="3-BodyText"/>
        <w:rPr>
          <w:color w:val="0066FF"/>
        </w:rPr>
      </w:pPr>
      <w:r w:rsidRPr="00BF5BC7">
        <w:rPr>
          <w:iCs/>
          <w:snapToGrid/>
          <w:lang w:val="en-US"/>
        </w:rPr>
        <w:t>No new data were provided</w:t>
      </w:r>
      <w:r w:rsidR="005D42B1">
        <w:rPr>
          <w:iCs/>
          <w:snapToGrid/>
          <w:lang w:val="en-US"/>
        </w:rPr>
        <w:t xml:space="preserve"> </w:t>
      </w:r>
      <w:r w:rsidR="005D42B1" w:rsidRPr="00541454">
        <w:rPr>
          <w:snapToGrid/>
          <w:lang w:val="en-US"/>
        </w:rPr>
        <w:t>in the resubmission</w:t>
      </w:r>
      <w:r w:rsidRPr="00BF5BC7">
        <w:rPr>
          <w:iCs/>
          <w:snapToGrid/>
          <w:lang w:val="en-US"/>
        </w:rPr>
        <w:t xml:space="preserve"> for the two</w:t>
      </w:r>
      <w:r w:rsidR="00495738" w:rsidRPr="00BF5BC7">
        <w:rPr>
          <w:iCs/>
          <w:snapToGrid/>
          <w:lang w:val="en-US"/>
        </w:rPr>
        <w:t xml:space="preserve"> </w:t>
      </w:r>
      <w:r w:rsidR="00FE3E91" w:rsidRPr="00BF5BC7">
        <w:rPr>
          <w:iCs/>
        </w:rPr>
        <w:t xml:space="preserve">additional non-comparative </w:t>
      </w:r>
      <w:r w:rsidR="007B7B12" w:rsidRPr="00BF5BC7">
        <w:rPr>
          <w:iCs/>
        </w:rPr>
        <w:t xml:space="preserve">supportive trials </w:t>
      </w:r>
      <w:r w:rsidR="00FE3E91" w:rsidRPr="00BF5BC7">
        <w:rPr>
          <w:iCs/>
        </w:rPr>
        <w:t>(PIONEER-HCM,</w:t>
      </w:r>
      <w:r w:rsidRPr="00BF5BC7">
        <w:rPr>
          <w:iCs/>
        </w:rPr>
        <w:t xml:space="preserve"> and</w:t>
      </w:r>
      <w:r w:rsidR="00FE3E91" w:rsidRPr="00BF5BC7">
        <w:rPr>
          <w:iCs/>
        </w:rPr>
        <w:t xml:space="preserve"> PIONEER-OLE</w:t>
      </w:r>
      <w:r w:rsidR="003D783F" w:rsidRPr="00BF5BC7">
        <w:rPr>
          <w:iCs/>
        </w:rPr>
        <w:t>)</w:t>
      </w:r>
      <w:r w:rsidRPr="00BF5BC7">
        <w:rPr>
          <w:iCs/>
        </w:rPr>
        <w:t xml:space="preserve"> presented in the November 2022 submission</w:t>
      </w:r>
      <w:r w:rsidR="00007DDE" w:rsidRPr="00BF5BC7">
        <w:rPr>
          <w:iCs/>
        </w:rPr>
        <w:t xml:space="preserve">. </w:t>
      </w:r>
      <w:r w:rsidR="005D42B1">
        <w:t xml:space="preserve"> </w:t>
      </w:r>
      <w:r w:rsidR="005D42B1" w:rsidRPr="00541454">
        <w:rPr>
          <w:iCs/>
        </w:rPr>
        <w:t xml:space="preserve">The </w:t>
      </w:r>
      <w:proofErr w:type="gramStart"/>
      <w:r w:rsidR="005D42B1" w:rsidRPr="00541454">
        <w:rPr>
          <w:iCs/>
        </w:rPr>
        <w:t xml:space="preserve">PSCR  </w:t>
      </w:r>
      <w:r w:rsidR="00BF743F" w:rsidRPr="00541454">
        <w:rPr>
          <w:iCs/>
        </w:rPr>
        <w:t>provided</w:t>
      </w:r>
      <w:proofErr w:type="gramEnd"/>
      <w:r w:rsidR="00BF743F" w:rsidRPr="00541454">
        <w:rPr>
          <w:iCs/>
        </w:rPr>
        <w:t xml:space="preserve"> updated results</w:t>
      </w:r>
      <w:r w:rsidR="00A2033E" w:rsidRPr="00541454">
        <w:rPr>
          <w:iCs/>
        </w:rPr>
        <w:t xml:space="preserve"> for PIONEER-OLE</w:t>
      </w:r>
      <w:r w:rsidR="00A2033E" w:rsidRPr="00541454">
        <w:rPr>
          <w:rStyle w:val="FootnoteReference"/>
          <w:iCs/>
        </w:rPr>
        <w:footnoteReference w:id="2"/>
      </w:r>
      <w:r w:rsidR="00BF743F" w:rsidRPr="00541454">
        <w:rPr>
          <w:iCs/>
        </w:rPr>
        <w:t xml:space="preserve">. PIONEER-HCM included a small number of patients (N=21); patients from PIONEER-HCM progressing to the open-label study, PIONEER-OLE (N=13). The PIONEER-HCM and the PIONEER-OLE studies were </w:t>
      </w:r>
      <w:r w:rsidR="00A361F9" w:rsidRPr="00541454">
        <w:rPr>
          <w:iCs/>
        </w:rPr>
        <w:t xml:space="preserve">very </w:t>
      </w:r>
      <w:r w:rsidR="00BF743F" w:rsidRPr="00541454">
        <w:rPr>
          <w:iCs/>
        </w:rPr>
        <w:t xml:space="preserve">small non-comparative studies. In the PIONEER-HCM study only cohort B was relevant for the </w:t>
      </w:r>
      <w:r w:rsidR="00BA2FAC" w:rsidRPr="00541454">
        <w:rPr>
          <w:iCs/>
        </w:rPr>
        <w:t>re</w:t>
      </w:r>
      <w:r w:rsidR="00BF743F" w:rsidRPr="00541454">
        <w:rPr>
          <w:iCs/>
        </w:rPr>
        <w:t xml:space="preserve">submission’s </w:t>
      </w:r>
      <w:r w:rsidR="00BA2FAC" w:rsidRPr="00541454">
        <w:rPr>
          <w:iCs/>
        </w:rPr>
        <w:t>proposed patient</w:t>
      </w:r>
      <w:r w:rsidR="00BF743F" w:rsidRPr="00541454">
        <w:rPr>
          <w:iCs/>
        </w:rPr>
        <w:t xml:space="preserve"> population. </w:t>
      </w:r>
    </w:p>
    <w:p w14:paraId="3AA1559F" w14:textId="0206DD2D" w:rsidR="0006309F" w:rsidRDefault="00636080" w:rsidP="00636080">
      <w:pPr>
        <w:pStyle w:val="3-BodyText"/>
        <w:rPr>
          <w:snapToGrid/>
          <w:lang w:val="en-US"/>
        </w:rPr>
      </w:pPr>
      <w:r>
        <w:rPr>
          <w:snapToGrid/>
          <w:lang w:val="en-US"/>
        </w:rPr>
        <w:t>Details of the trial</w:t>
      </w:r>
      <w:r w:rsidR="005902C8">
        <w:rPr>
          <w:snapToGrid/>
          <w:lang w:val="en-US"/>
        </w:rPr>
        <w:t>s</w:t>
      </w:r>
      <w:r>
        <w:rPr>
          <w:snapToGrid/>
          <w:lang w:val="en-US"/>
        </w:rPr>
        <w:t xml:space="preserve"> presented in the </w:t>
      </w:r>
      <w:r w:rsidR="005902C8">
        <w:rPr>
          <w:snapToGrid/>
          <w:lang w:val="en-US"/>
        </w:rPr>
        <w:t>re</w:t>
      </w:r>
      <w:r>
        <w:rPr>
          <w:snapToGrid/>
          <w:lang w:val="en-US"/>
        </w:rPr>
        <w:t xml:space="preserve">submission are provided in </w:t>
      </w:r>
      <w:r>
        <w:rPr>
          <w:snapToGrid/>
          <w:lang w:val="en-US"/>
        </w:rPr>
        <w:fldChar w:fldCharType="begin"/>
      </w:r>
      <w:r>
        <w:rPr>
          <w:snapToGrid/>
          <w:lang w:val="en-US"/>
        </w:rPr>
        <w:instrText xml:space="preserve"> REF _Ref104803956 \h </w:instrText>
      </w:r>
      <w:r>
        <w:rPr>
          <w:snapToGrid/>
          <w:lang w:val="en-US"/>
        </w:rPr>
      </w:r>
      <w:r>
        <w:rPr>
          <w:snapToGrid/>
          <w:lang w:val="en-US"/>
        </w:rPr>
        <w:fldChar w:fldCharType="separate"/>
      </w:r>
      <w:r w:rsidR="00F84C70">
        <w:t xml:space="preserve">Table </w:t>
      </w:r>
      <w:r w:rsidR="00F84C70">
        <w:rPr>
          <w:noProof/>
        </w:rPr>
        <w:t>3</w:t>
      </w:r>
      <w:r>
        <w:rPr>
          <w:snapToGrid/>
          <w:lang w:val="en-US"/>
        </w:rPr>
        <w:fldChar w:fldCharType="end"/>
      </w:r>
      <w:r>
        <w:rPr>
          <w:snapToGrid/>
          <w:lang w:val="en-US"/>
        </w:rPr>
        <w:t xml:space="preserve">. </w:t>
      </w:r>
    </w:p>
    <w:p w14:paraId="5A5E7619" w14:textId="77777777" w:rsidR="00636080" w:rsidRPr="0006309F" w:rsidRDefault="0006309F" w:rsidP="0006309F">
      <w:pPr>
        <w:jc w:val="left"/>
        <w:rPr>
          <w:rFonts w:asciiTheme="minorHAnsi" w:hAnsiTheme="minorHAnsi"/>
          <w:lang w:val="en-US"/>
        </w:rPr>
      </w:pPr>
      <w:r>
        <w:rPr>
          <w:lang w:val="en-US"/>
        </w:rPr>
        <w:br w:type="page"/>
      </w:r>
    </w:p>
    <w:p w14:paraId="74E585E7" w14:textId="1549593C" w:rsidR="00636080" w:rsidRPr="002E4F02" w:rsidRDefault="00636080" w:rsidP="00636080">
      <w:pPr>
        <w:pStyle w:val="TableFigureHeading"/>
        <w:rPr>
          <w:rStyle w:val="CommentReference"/>
          <w:b/>
          <w:szCs w:val="24"/>
        </w:rPr>
      </w:pPr>
      <w:bookmarkStart w:id="42" w:name="_Ref104803956"/>
      <w:r>
        <w:lastRenderedPageBreak/>
        <w:t xml:space="preserve">Table </w:t>
      </w:r>
      <w:fldSimple w:instr=" SEQ Table \* ARABIC ">
        <w:r w:rsidR="00F84C70">
          <w:rPr>
            <w:noProof/>
          </w:rPr>
          <w:t>3</w:t>
        </w:r>
      </w:fldSimple>
      <w:bookmarkEnd w:id="42"/>
      <w:r>
        <w:t>:</w:t>
      </w:r>
      <w:r w:rsidRPr="002E4F02">
        <w:rPr>
          <w:rStyle w:val="CommentReference"/>
          <w:b/>
          <w:szCs w:val="24"/>
        </w:rPr>
        <w:t xml:space="preserve"> Trials</w:t>
      </w:r>
      <w:r w:rsidR="00735988">
        <w:rPr>
          <w:rStyle w:val="CommentReference"/>
          <w:b/>
          <w:szCs w:val="24"/>
        </w:rPr>
        <w:t xml:space="preserve"> </w:t>
      </w:r>
      <w:r w:rsidRPr="002E4F02">
        <w:rPr>
          <w:rStyle w:val="CommentReference"/>
          <w:b/>
          <w:szCs w:val="24"/>
        </w:rPr>
        <w:t xml:space="preserve">and associated reports presented in the </w:t>
      </w:r>
      <w:proofErr w:type="gramStart"/>
      <w:r w:rsidRPr="002E4F02">
        <w:rPr>
          <w:rStyle w:val="CommentReference"/>
          <w:b/>
          <w:szCs w:val="24"/>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636080" w:rsidRPr="00B41614" w14:paraId="60386EF3" w14:textId="77777777" w:rsidTr="00485AD5">
        <w:trPr>
          <w:cantSplit/>
          <w:tblHeader/>
        </w:trPr>
        <w:tc>
          <w:tcPr>
            <w:tcW w:w="795" w:type="pct"/>
            <w:tcBorders>
              <w:bottom w:val="single" w:sz="4" w:space="0" w:color="auto"/>
            </w:tcBorders>
            <w:vAlign w:val="center"/>
          </w:tcPr>
          <w:p w14:paraId="244EF38B" w14:textId="77777777" w:rsidR="00636080" w:rsidRPr="00B41614" w:rsidRDefault="00636080" w:rsidP="00F774FD">
            <w:pPr>
              <w:pStyle w:val="In-tableHeading"/>
              <w:jc w:val="center"/>
            </w:pPr>
            <w:r w:rsidRPr="00B41614">
              <w:t>Trial ID</w:t>
            </w:r>
          </w:p>
        </w:tc>
        <w:tc>
          <w:tcPr>
            <w:tcW w:w="2803" w:type="pct"/>
            <w:vAlign w:val="center"/>
          </w:tcPr>
          <w:p w14:paraId="03E1E275" w14:textId="77777777" w:rsidR="00636080" w:rsidRPr="00B41614" w:rsidRDefault="00636080" w:rsidP="00F774FD">
            <w:pPr>
              <w:pStyle w:val="In-tableHeading"/>
            </w:pPr>
            <w:r w:rsidRPr="00B41614">
              <w:t>Protocol title/ Publication title</w:t>
            </w:r>
          </w:p>
        </w:tc>
        <w:tc>
          <w:tcPr>
            <w:tcW w:w="1402" w:type="pct"/>
            <w:vAlign w:val="center"/>
          </w:tcPr>
          <w:p w14:paraId="0BB95682" w14:textId="77777777" w:rsidR="00636080" w:rsidRPr="00B41614" w:rsidRDefault="00636080" w:rsidP="00F774FD">
            <w:pPr>
              <w:pStyle w:val="In-tableHeading"/>
            </w:pPr>
            <w:r w:rsidRPr="00B41614">
              <w:t>Publication citation</w:t>
            </w:r>
          </w:p>
        </w:tc>
      </w:tr>
      <w:tr w:rsidR="009250DF" w:rsidRPr="00CB38A8" w14:paraId="620708BA" w14:textId="77777777" w:rsidTr="00485AD5">
        <w:trPr>
          <w:cantSplit/>
        </w:trPr>
        <w:tc>
          <w:tcPr>
            <w:tcW w:w="795" w:type="pct"/>
            <w:vMerge w:val="restart"/>
            <w:tcBorders>
              <w:bottom w:val="nil"/>
            </w:tcBorders>
            <w:shd w:val="clear" w:color="auto" w:fill="C6D9F1" w:themeFill="text2" w:themeFillTint="33"/>
            <w:vAlign w:val="center"/>
          </w:tcPr>
          <w:p w14:paraId="7005432E" w14:textId="77777777" w:rsidR="009250DF" w:rsidRPr="00DF6341" w:rsidRDefault="009250DF" w:rsidP="009250DF">
            <w:pPr>
              <w:pStyle w:val="TableText0"/>
              <w:jc w:val="center"/>
              <w:rPr>
                <w:szCs w:val="20"/>
              </w:rPr>
            </w:pPr>
            <w:r>
              <w:t>EXPLORER-HCM (NCT03470545)</w:t>
            </w:r>
          </w:p>
        </w:tc>
        <w:tc>
          <w:tcPr>
            <w:tcW w:w="2803" w:type="pct"/>
            <w:tcBorders>
              <w:bottom w:val="nil"/>
            </w:tcBorders>
            <w:shd w:val="clear" w:color="auto" w:fill="C6D9F1" w:themeFill="text2" w:themeFillTint="33"/>
            <w:vAlign w:val="center"/>
          </w:tcPr>
          <w:p w14:paraId="14EF32ED" w14:textId="77777777" w:rsidR="009250DF" w:rsidRPr="00AB6248" w:rsidRDefault="009250DF" w:rsidP="009250DF">
            <w:pPr>
              <w:pStyle w:val="TableText0"/>
            </w:pPr>
            <w:r w:rsidRPr="00101BFA">
              <w:rPr>
                <w:rFonts w:eastAsia="Calibri" w:cs="Times New Roman"/>
                <w:szCs w:val="20"/>
                <w:lang w:val="en-US"/>
              </w:rPr>
              <w:t>EXPLORER-HCM CSR. A Phase III, Randomised, Double-Blind, Placebo-Controlled Clinical Study to evaluate mavacamten in adults with symptomatic obstructive HCM.</w:t>
            </w:r>
          </w:p>
        </w:tc>
        <w:tc>
          <w:tcPr>
            <w:tcW w:w="1402" w:type="pct"/>
            <w:tcBorders>
              <w:bottom w:val="nil"/>
            </w:tcBorders>
            <w:shd w:val="clear" w:color="auto" w:fill="C6D9F1" w:themeFill="text2" w:themeFillTint="33"/>
            <w:vAlign w:val="center"/>
          </w:tcPr>
          <w:p w14:paraId="797D9697" w14:textId="65C1A320" w:rsidR="009250DF" w:rsidRPr="00CB38A8" w:rsidRDefault="009250DF" w:rsidP="00CE0FC0">
            <w:pPr>
              <w:pStyle w:val="TableText0"/>
              <w:keepNext w:val="0"/>
              <w:rPr>
                <w:rFonts w:ascii="Times" w:hAnsi="Times"/>
              </w:rPr>
            </w:pPr>
            <w:r w:rsidRPr="00101BFA">
              <w:rPr>
                <w:rFonts w:eastAsia="Calibri" w:cs="Times New Roman"/>
                <w:szCs w:val="20"/>
                <w:lang w:val="en-US"/>
              </w:rPr>
              <w:t>2020</w:t>
            </w:r>
          </w:p>
        </w:tc>
      </w:tr>
      <w:tr w:rsidR="009250DF" w:rsidRPr="00CB38A8" w14:paraId="23154F30" w14:textId="77777777" w:rsidTr="00485AD5">
        <w:trPr>
          <w:cantSplit/>
        </w:trPr>
        <w:tc>
          <w:tcPr>
            <w:tcW w:w="795" w:type="pct"/>
            <w:vMerge/>
            <w:tcBorders>
              <w:top w:val="nil"/>
              <w:bottom w:val="nil"/>
            </w:tcBorders>
            <w:shd w:val="clear" w:color="auto" w:fill="C6D9F1" w:themeFill="text2" w:themeFillTint="33"/>
            <w:vAlign w:val="center"/>
          </w:tcPr>
          <w:p w14:paraId="42E6BABC" w14:textId="77777777" w:rsidR="009250DF" w:rsidRPr="00CB38A8" w:rsidRDefault="009250DF" w:rsidP="009250DF">
            <w:pPr>
              <w:pStyle w:val="TableText0"/>
              <w:jc w:val="center"/>
            </w:pPr>
          </w:p>
        </w:tc>
        <w:tc>
          <w:tcPr>
            <w:tcW w:w="2803" w:type="pct"/>
            <w:tcBorders>
              <w:top w:val="nil"/>
              <w:bottom w:val="nil"/>
            </w:tcBorders>
            <w:shd w:val="clear" w:color="auto" w:fill="C6D9F1" w:themeFill="text2" w:themeFillTint="33"/>
            <w:vAlign w:val="center"/>
          </w:tcPr>
          <w:p w14:paraId="28969F1B" w14:textId="77777777" w:rsidR="009250DF" w:rsidRPr="00E34A35" w:rsidRDefault="009250DF" w:rsidP="009250DF">
            <w:pPr>
              <w:pStyle w:val="TableText0"/>
            </w:pPr>
            <w:r w:rsidRPr="00BE5343">
              <w:rPr>
                <w:rFonts w:eastAsia="Calibri" w:cs="Times New Roman"/>
                <w:szCs w:val="20"/>
                <w:lang w:val="en-US"/>
              </w:rPr>
              <w:t>Olivotto et al. Mavacamten for treatment of symptomatic obstructive hypertrophic cardiomyopathy (EXPLORER-HCM): a randomised, double-blind, placebo-controlled, phase 3 trial</w:t>
            </w:r>
          </w:p>
        </w:tc>
        <w:tc>
          <w:tcPr>
            <w:tcW w:w="1402" w:type="pct"/>
            <w:tcBorders>
              <w:top w:val="nil"/>
              <w:bottom w:val="nil"/>
            </w:tcBorders>
            <w:shd w:val="clear" w:color="auto" w:fill="C6D9F1" w:themeFill="text2" w:themeFillTint="33"/>
            <w:vAlign w:val="center"/>
          </w:tcPr>
          <w:p w14:paraId="35629C5C" w14:textId="77777777" w:rsidR="009250DF" w:rsidRPr="00F2357C" w:rsidRDefault="009250DF" w:rsidP="00F2357C">
            <w:pPr>
              <w:pStyle w:val="TableText0"/>
              <w:keepNext w:val="0"/>
              <w:rPr>
                <w:rFonts w:eastAsia="Calibri" w:cs="Times New Roman"/>
                <w:i/>
                <w:szCs w:val="20"/>
                <w:lang w:val="en-US"/>
              </w:rPr>
            </w:pPr>
            <w:r w:rsidRPr="000F33BF">
              <w:rPr>
                <w:rFonts w:eastAsia="Calibri" w:cs="Times New Roman"/>
                <w:i/>
                <w:szCs w:val="20"/>
                <w:lang w:val="en-US"/>
              </w:rPr>
              <w:t xml:space="preserve">Lancet. </w:t>
            </w:r>
            <w:r w:rsidRPr="00B36A4C">
              <w:rPr>
                <w:rFonts w:eastAsia="Calibri" w:cs="Times New Roman"/>
                <w:iCs/>
                <w:szCs w:val="20"/>
                <w:lang w:val="en-US"/>
              </w:rPr>
              <w:t>2020 Sep 12;396(10253):759-769.</w:t>
            </w:r>
          </w:p>
        </w:tc>
      </w:tr>
      <w:tr w:rsidR="005261E2" w:rsidRPr="00CB38A8" w14:paraId="755A298F" w14:textId="77777777" w:rsidTr="00485AD5">
        <w:trPr>
          <w:cantSplit/>
        </w:trPr>
        <w:tc>
          <w:tcPr>
            <w:tcW w:w="795" w:type="pct"/>
            <w:tcBorders>
              <w:top w:val="nil"/>
              <w:bottom w:val="nil"/>
            </w:tcBorders>
            <w:shd w:val="clear" w:color="auto" w:fill="C6D9F1" w:themeFill="text2" w:themeFillTint="33"/>
            <w:vAlign w:val="center"/>
          </w:tcPr>
          <w:p w14:paraId="611C983A" w14:textId="77777777" w:rsidR="00F86A4B" w:rsidRPr="00CB38A8" w:rsidRDefault="00F86A4B" w:rsidP="00F86A4B">
            <w:pPr>
              <w:pStyle w:val="TableText0"/>
              <w:jc w:val="center"/>
            </w:pPr>
          </w:p>
        </w:tc>
        <w:tc>
          <w:tcPr>
            <w:tcW w:w="2803" w:type="pct"/>
            <w:tcBorders>
              <w:top w:val="nil"/>
              <w:bottom w:val="nil"/>
            </w:tcBorders>
            <w:shd w:val="clear" w:color="auto" w:fill="C6D9F1" w:themeFill="text2" w:themeFillTint="33"/>
            <w:vAlign w:val="center"/>
          </w:tcPr>
          <w:p w14:paraId="2108CE73" w14:textId="61E66DCF" w:rsidR="00F86A4B" w:rsidRPr="00BE5343" w:rsidRDefault="00F86A4B" w:rsidP="00F86A4B">
            <w:pPr>
              <w:pStyle w:val="TableText0"/>
              <w:rPr>
                <w:rFonts w:eastAsia="Calibri" w:cs="Times New Roman"/>
                <w:szCs w:val="20"/>
                <w:lang w:val="en-US"/>
              </w:rPr>
            </w:pPr>
            <w:r w:rsidRPr="00BE5343">
              <w:rPr>
                <w:rFonts w:eastAsia="Calibri" w:cs="Times New Roman"/>
                <w:szCs w:val="20"/>
                <w:lang w:val="en-US"/>
              </w:rPr>
              <w:t>Spertus et al. Mavacamten for treatment of symptomatic obstructive hypertrophic cardiomyopathy (EXPLORER-HCM): health status analysis of a randomised, double-blind, placebo-controlled, phase 3 trial</w:t>
            </w:r>
          </w:p>
        </w:tc>
        <w:tc>
          <w:tcPr>
            <w:tcW w:w="1402" w:type="pct"/>
            <w:tcBorders>
              <w:top w:val="nil"/>
              <w:bottom w:val="nil"/>
            </w:tcBorders>
            <w:shd w:val="clear" w:color="auto" w:fill="C6D9F1" w:themeFill="text2" w:themeFillTint="33"/>
            <w:vAlign w:val="center"/>
          </w:tcPr>
          <w:p w14:paraId="69E4E266" w14:textId="6D5B6646" w:rsidR="00F86A4B" w:rsidRPr="000F33BF" w:rsidRDefault="00F86A4B" w:rsidP="00F86A4B">
            <w:pPr>
              <w:pStyle w:val="TableText0"/>
              <w:keepNext w:val="0"/>
              <w:rPr>
                <w:rFonts w:eastAsia="Calibri" w:cs="Times New Roman"/>
                <w:i/>
                <w:szCs w:val="20"/>
                <w:lang w:val="en-US"/>
              </w:rPr>
            </w:pPr>
            <w:r w:rsidRPr="00F86A4B">
              <w:rPr>
                <w:rFonts w:eastAsia="Calibri" w:cs="Times New Roman"/>
                <w:i/>
                <w:szCs w:val="20"/>
                <w:lang w:val="en-US"/>
              </w:rPr>
              <w:t>Lancet.</w:t>
            </w:r>
            <w:r w:rsidRPr="00F86A4B">
              <w:rPr>
                <w:rFonts w:eastAsia="Calibri" w:cs="Times New Roman"/>
                <w:iCs/>
                <w:szCs w:val="20"/>
                <w:lang w:val="en-US"/>
              </w:rPr>
              <w:t xml:space="preserve"> 2021 June 26;397(10293):2467-2475</w:t>
            </w:r>
          </w:p>
        </w:tc>
      </w:tr>
      <w:tr w:rsidR="005261E2" w:rsidRPr="00CB38A8" w14:paraId="6C727963" w14:textId="77777777" w:rsidTr="00485AD5">
        <w:trPr>
          <w:cantSplit/>
        </w:trPr>
        <w:tc>
          <w:tcPr>
            <w:tcW w:w="795" w:type="pct"/>
            <w:tcBorders>
              <w:top w:val="nil"/>
              <w:bottom w:val="nil"/>
            </w:tcBorders>
            <w:shd w:val="clear" w:color="auto" w:fill="C6D9F1" w:themeFill="text2" w:themeFillTint="33"/>
            <w:vAlign w:val="center"/>
          </w:tcPr>
          <w:p w14:paraId="4DCCDA2C" w14:textId="77777777" w:rsidR="00F86A4B" w:rsidRPr="00CB38A8" w:rsidRDefault="00F86A4B" w:rsidP="00F86A4B">
            <w:pPr>
              <w:pStyle w:val="TableText0"/>
              <w:jc w:val="center"/>
            </w:pPr>
          </w:p>
        </w:tc>
        <w:tc>
          <w:tcPr>
            <w:tcW w:w="2803" w:type="pct"/>
            <w:tcBorders>
              <w:top w:val="nil"/>
              <w:bottom w:val="nil"/>
            </w:tcBorders>
            <w:shd w:val="clear" w:color="auto" w:fill="C6D9F1" w:themeFill="text2" w:themeFillTint="33"/>
            <w:vAlign w:val="center"/>
          </w:tcPr>
          <w:p w14:paraId="46DAA22D" w14:textId="4D3AA0C5" w:rsidR="00F86A4B" w:rsidRPr="00BE5343" w:rsidRDefault="00F86A4B" w:rsidP="00F86A4B">
            <w:pPr>
              <w:pStyle w:val="TableText0"/>
              <w:rPr>
                <w:rFonts w:eastAsia="Calibri" w:cs="Times New Roman"/>
                <w:szCs w:val="20"/>
                <w:lang w:val="en-US"/>
              </w:rPr>
            </w:pPr>
            <w:r w:rsidRPr="00BE5343">
              <w:rPr>
                <w:rFonts w:eastAsia="Calibri" w:cs="Times New Roman"/>
                <w:szCs w:val="20"/>
                <w:lang w:val="en-US"/>
              </w:rPr>
              <w:t>Elliott. The end of the beginning for drug therapy in obstructive hypertrophic cardiomyopathy with EXPLORER-HCM.</w:t>
            </w:r>
          </w:p>
        </w:tc>
        <w:tc>
          <w:tcPr>
            <w:tcW w:w="1402" w:type="pct"/>
            <w:tcBorders>
              <w:top w:val="nil"/>
              <w:bottom w:val="nil"/>
            </w:tcBorders>
            <w:shd w:val="clear" w:color="auto" w:fill="C6D9F1" w:themeFill="text2" w:themeFillTint="33"/>
            <w:vAlign w:val="center"/>
          </w:tcPr>
          <w:p w14:paraId="4C8C6A2B" w14:textId="5BC90B96" w:rsidR="00F86A4B" w:rsidRPr="000F33BF" w:rsidRDefault="00F86A4B" w:rsidP="00F86A4B">
            <w:pPr>
              <w:pStyle w:val="TableText0"/>
              <w:keepNext w:val="0"/>
              <w:rPr>
                <w:rFonts w:eastAsia="Calibri" w:cs="Times New Roman"/>
                <w:i/>
                <w:szCs w:val="20"/>
                <w:lang w:val="en-US"/>
              </w:rPr>
            </w:pPr>
            <w:r w:rsidRPr="00F86A4B">
              <w:rPr>
                <w:rFonts w:eastAsia="Calibri" w:cs="Times New Roman"/>
                <w:i/>
                <w:szCs w:val="20"/>
                <w:lang w:val="en-US"/>
              </w:rPr>
              <w:t>Cardiovasc Res</w:t>
            </w:r>
            <w:r w:rsidRPr="00F86A4B">
              <w:rPr>
                <w:rFonts w:eastAsia="Calibri" w:cs="Times New Roman"/>
                <w:iCs/>
                <w:szCs w:val="20"/>
                <w:lang w:val="en-US"/>
              </w:rPr>
              <w:t>. 2020 Nov 1;116(13</w:t>
            </w:r>
            <w:proofErr w:type="gramStart"/>
            <w:r w:rsidRPr="00F86A4B">
              <w:rPr>
                <w:rFonts w:eastAsia="Calibri" w:cs="Times New Roman"/>
                <w:iCs/>
                <w:szCs w:val="20"/>
                <w:lang w:val="en-US"/>
              </w:rPr>
              <w:t>):e</w:t>
            </w:r>
            <w:proofErr w:type="gramEnd"/>
            <w:r w:rsidRPr="00F86A4B">
              <w:rPr>
                <w:rFonts w:eastAsia="Calibri" w:cs="Times New Roman"/>
                <w:iCs/>
                <w:szCs w:val="20"/>
                <w:lang w:val="en-US"/>
              </w:rPr>
              <w:t>175-e178.</w:t>
            </w:r>
          </w:p>
        </w:tc>
      </w:tr>
      <w:tr w:rsidR="005261E2" w:rsidRPr="00CB38A8" w14:paraId="75E31564" w14:textId="77777777" w:rsidTr="00485AD5">
        <w:trPr>
          <w:cantSplit/>
        </w:trPr>
        <w:tc>
          <w:tcPr>
            <w:tcW w:w="795" w:type="pct"/>
            <w:tcBorders>
              <w:top w:val="nil"/>
              <w:bottom w:val="nil"/>
            </w:tcBorders>
            <w:shd w:val="clear" w:color="auto" w:fill="C6D9F1" w:themeFill="text2" w:themeFillTint="33"/>
            <w:vAlign w:val="center"/>
          </w:tcPr>
          <w:p w14:paraId="5076C811" w14:textId="77777777" w:rsidR="00F86A4B" w:rsidRPr="00CB38A8" w:rsidRDefault="00F86A4B" w:rsidP="00F86A4B">
            <w:pPr>
              <w:pStyle w:val="TableText0"/>
              <w:jc w:val="center"/>
            </w:pPr>
          </w:p>
        </w:tc>
        <w:tc>
          <w:tcPr>
            <w:tcW w:w="2803" w:type="pct"/>
            <w:tcBorders>
              <w:top w:val="nil"/>
              <w:bottom w:val="nil"/>
            </w:tcBorders>
            <w:shd w:val="clear" w:color="auto" w:fill="C6D9F1" w:themeFill="text2" w:themeFillTint="33"/>
            <w:vAlign w:val="center"/>
          </w:tcPr>
          <w:p w14:paraId="77E619C7" w14:textId="0E2D112E" w:rsidR="00F86A4B" w:rsidRPr="00BE5343" w:rsidRDefault="00F86A4B" w:rsidP="00F86A4B">
            <w:pPr>
              <w:pStyle w:val="TableText0"/>
              <w:rPr>
                <w:rFonts w:eastAsia="Calibri" w:cs="Times New Roman"/>
                <w:szCs w:val="20"/>
                <w:lang w:val="en-US"/>
              </w:rPr>
            </w:pPr>
            <w:r w:rsidRPr="00BE5343">
              <w:rPr>
                <w:rFonts w:eastAsia="Calibri" w:cs="Times New Roman"/>
                <w:szCs w:val="20"/>
                <w:lang w:val="en-US"/>
              </w:rPr>
              <w:t>Burstein Waldman C, Owens A. A plain language summary of the EXPLORER-HCM study: mavacamten for obstructive hypertrophic cardiomyopathy.</w:t>
            </w:r>
          </w:p>
        </w:tc>
        <w:tc>
          <w:tcPr>
            <w:tcW w:w="1402" w:type="pct"/>
            <w:tcBorders>
              <w:top w:val="nil"/>
              <w:bottom w:val="nil"/>
            </w:tcBorders>
            <w:shd w:val="clear" w:color="auto" w:fill="C6D9F1" w:themeFill="text2" w:themeFillTint="33"/>
            <w:vAlign w:val="center"/>
          </w:tcPr>
          <w:p w14:paraId="5177CCD2" w14:textId="6A67FE24" w:rsidR="00F86A4B" w:rsidRPr="000F33BF" w:rsidRDefault="00F86A4B" w:rsidP="00F86A4B">
            <w:pPr>
              <w:pStyle w:val="TableText0"/>
              <w:keepNext w:val="0"/>
              <w:rPr>
                <w:rFonts w:eastAsia="Calibri" w:cs="Times New Roman"/>
                <w:i/>
                <w:szCs w:val="20"/>
                <w:lang w:val="en-US"/>
              </w:rPr>
            </w:pPr>
            <w:r w:rsidRPr="00F86A4B">
              <w:rPr>
                <w:rFonts w:eastAsia="Calibri" w:cs="Times New Roman"/>
                <w:i/>
                <w:szCs w:val="20"/>
                <w:lang w:val="en-US"/>
              </w:rPr>
              <w:t>Future Cardiol.</w:t>
            </w:r>
            <w:r w:rsidRPr="00F86A4B">
              <w:rPr>
                <w:rFonts w:eastAsia="Calibri" w:cs="Times New Roman"/>
                <w:iCs/>
                <w:szCs w:val="20"/>
                <w:lang w:val="en-US"/>
              </w:rPr>
              <w:t xml:space="preserve"> 2021 Oct;17(7):1269-1275</w:t>
            </w:r>
          </w:p>
        </w:tc>
      </w:tr>
      <w:tr w:rsidR="00E047AA" w:rsidRPr="00CB38A8" w14:paraId="46FF1FD7" w14:textId="77777777" w:rsidTr="00485AD5">
        <w:trPr>
          <w:cantSplit/>
        </w:trPr>
        <w:tc>
          <w:tcPr>
            <w:tcW w:w="795" w:type="pct"/>
            <w:tcBorders>
              <w:top w:val="nil"/>
              <w:bottom w:val="nil"/>
            </w:tcBorders>
            <w:shd w:val="clear" w:color="auto" w:fill="C6D9F1" w:themeFill="text2" w:themeFillTint="33"/>
            <w:vAlign w:val="center"/>
          </w:tcPr>
          <w:p w14:paraId="3268ABEA" w14:textId="77777777" w:rsidR="00F86A4B" w:rsidRPr="00CB38A8" w:rsidRDefault="00F86A4B" w:rsidP="00F86A4B">
            <w:pPr>
              <w:pStyle w:val="TableText0"/>
              <w:jc w:val="center"/>
            </w:pPr>
          </w:p>
        </w:tc>
        <w:tc>
          <w:tcPr>
            <w:tcW w:w="2803" w:type="pct"/>
            <w:tcBorders>
              <w:top w:val="nil"/>
              <w:bottom w:val="nil"/>
            </w:tcBorders>
            <w:shd w:val="clear" w:color="auto" w:fill="C6D9F1" w:themeFill="text2" w:themeFillTint="33"/>
            <w:vAlign w:val="center"/>
          </w:tcPr>
          <w:p w14:paraId="7497F397" w14:textId="72FEAE16" w:rsidR="00F86A4B" w:rsidRPr="00BE5343" w:rsidRDefault="00F86A4B" w:rsidP="00F86A4B">
            <w:pPr>
              <w:pStyle w:val="TableText0"/>
              <w:rPr>
                <w:rFonts w:eastAsia="Calibri" w:cs="Times New Roman"/>
                <w:szCs w:val="20"/>
                <w:lang w:val="en-US"/>
              </w:rPr>
            </w:pPr>
            <w:r w:rsidRPr="00BE5343">
              <w:rPr>
                <w:rFonts w:eastAsia="Calibri" w:cs="Times New Roman"/>
                <w:szCs w:val="20"/>
                <w:lang w:val="en-US"/>
              </w:rPr>
              <w:t xml:space="preserve">Hegde et al. Effect of Mavacamten on Echocardiographic Features in Symptomatic Patients </w:t>
            </w:r>
            <w:proofErr w:type="gramStart"/>
            <w:r w:rsidRPr="00BE5343">
              <w:rPr>
                <w:rFonts w:eastAsia="Calibri" w:cs="Times New Roman"/>
                <w:szCs w:val="20"/>
                <w:lang w:val="en-US"/>
              </w:rPr>
              <w:t>With</w:t>
            </w:r>
            <w:proofErr w:type="gramEnd"/>
            <w:r w:rsidRPr="00BE5343">
              <w:rPr>
                <w:rFonts w:eastAsia="Calibri" w:cs="Times New Roman"/>
                <w:szCs w:val="20"/>
                <w:lang w:val="en-US"/>
              </w:rPr>
              <w:t xml:space="preserve"> Obstructive Hypertrophic Cardiomyopathy.</w:t>
            </w:r>
          </w:p>
        </w:tc>
        <w:tc>
          <w:tcPr>
            <w:tcW w:w="1402" w:type="pct"/>
            <w:tcBorders>
              <w:top w:val="nil"/>
              <w:bottom w:val="nil"/>
            </w:tcBorders>
            <w:shd w:val="clear" w:color="auto" w:fill="C6D9F1" w:themeFill="text2" w:themeFillTint="33"/>
            <w:vAlign w:val="center"/>
          </w:tcPr>
          <w:p w14:paraId="0468E1EB" w14:textId="7D52F8F5" w:rsidR="00F86A4B" w:rsidRPr="000F33BF" w:rsidRDefault="00F86A4B" w:rsidP="00F86A4B">
            <w:pPr>
              <w:pStyle w:val="TableText0"/>
              <w:keepNext w:val="0"/>
              <w:rPr>
                <w:rFonts w:eastAsia="Calibri" w:cs="Times New Roman"/>
                <w:i/>
                <w:szCs w:val="20"/>
                <w:lang w:val="en-US"/>
              </w:rPr>
            </w:pPr>
            <w:r w:rsidRPr="00F86A4B">
              <w:rPr>
                <w:rFonts w:eastAsia="Calibri" w:cs="Times New Roman"/>
                <w:i/>
                <w:szCs w:val="20"/>
                <w:lang w:val="en-US"/>
              </w:rPr>
              <w:t>J Am Coll Cardiol.</w:t>
            </w:r>
            <w:r w:rsidRPr="00F86A4B">
              <w:rPr>
                <w:rFonts w:eastAsia="Calibri" w:cs="Times New Roman"/>
                <w:iCs/>
                <w:szCs w:val="20"/>
                <w:lang w:val="en-US"/>
              </w:rPr>
              <w:t xml:space="preserve"> 2021 Dec 21;78(25):2518-2532.</w:t>
            </w:r>
          </w:p>
        </w:tc>
      </w:tr>
      <w:tr w:rsidR="00E047AA" w:rsidRPr="00CB38A8" w14:paraId="272593E8" w14:textId="77777777" w:rsidTr="00485AD5">
        <w:trPr>
          <w:cantSplit/>
        </w:trPr>
        <w:tc>
          <w:tcPr>
            <w:tcW w:w="795" w:type="pct"/>
            <w:tcBorders>
              <w:top w:val="nil"/>
              <w:bottom w:val="nil"/>
            </w:tcBorders>
            <w:shd w:val="clear" w:color="auto" w:fill="C6D9F1" w:themeFill="text2" w:themeFillTint="33"/>
            <w:vAlign w:val="center"/>
          </w:tcPr>
          <w:p w14:paraId="378A7D79" w14:textId="77777777" w:rsidR="00F86A4B" w:rsidRPr="00CB38A8" w:rsidRDefault="00F86A4B" w:rsidP="00F86A4B">
            <w:pPr>
              <w:pStyle w:val="TableText0"/>
              <w:jc w:val="center"/>
            </w:pPr>
          </w:p>
        </w:tc>
        <w:tc>
          <w:tcPr>
            <w:tcW w:w="2803" w:type="pct"/>
            <w:tcBorders>
              <w:top w:val="nil"/>
              <w:bottom w:val="nil"/>
            </w:tcBorders>
            <w:shd w:val="clear" w:color="auto" w:fill="C6D9F1" w:themeFill="text2" w:themeFillTint="33"/>
            <w:vAlign w:val="center"/>
          </w:tcPr>
          <w:p w14:paraId="56FC57AF" w14:textId="7A4AB139" w:rsidR="00F86A4B" w:rsidRPr="00BE5343" w:rsidRDefault="00F86A4B" w:rsidP="00F86A4B">
            <w:pPr>
              <w:pStyle w:val="TableText0"/>
              <w:rPr>
                <w:rFonts w:eastAsia="Calibri" w:cs="Times New Roman"/>
                <w:szCs w:val="20"/>
                <w:lang w:val="en-US"/>
              </w:rPr>
            </w:pPr>
            <w:r w:rsidRPr="00BE5343">
              <w:rPr>
                <w:rFonts w:eastAsia="Calibri" w:cs="Times New Roman"/>
                <w:szCs w:val="20"/>
                <w:lang w:val="en-US"/>
              </w:rPr>
              <w:t>Xie et al. Assessing health-related quality-of-life in patients with symptomatic obstructive hypertrophic cardiomyopathy: EQ-5D-based utilities in the EXPLORER-HCM trial.</w:t>
            </w:r>
          </w:p>
        </w:tc>
        <w:tc>
          <w:tcPr>
            <w:tcW w:w="1402" w:type="pct"/>
            <w:tcBorders>
              <w:top w:val="nil"/>
              <w:bottom w:val="nil"/>
            </w:tcBorders>
            <w:shd w:val="clear" w:color="auto" w:fill="C6D9F1" w:themeFill="text2" w:themeFillTint="33"/>
            <w:vAlign w:val="center"/>
          </w:tcPr>
          <w:p w14:paraId="29BCB9E1" w14:textId="0CA4D4C4" w:rsidR="00F86A4B" w:rsidRPr="000F33BF" w:rsidRDefault="00F86A4B" w:rsidP="00F86A4B">
            <w:pPr>
              <w:pStyle w:val="TableText0"/>
              <w:keepNext w:val="0"/>
              <w:rPr>
                <w:rFonts w:eastAsia="Calibri" w:cs="Times New Roman"/>
                <w:i/>
                <w:szCs w:val="20"/>
                <w:lang w:val="en-US"/>
              </w:rPr>
            </w:pPr>
            <w:r w:rsidRPr="00F86A4B">
              <w:rPr>
                <w:rFonts w:eastAsia="Calibri" w:cs="Times New Roman"/>
                <w:i/>
                <w:szCs w:val="20"/>
                <w:lang w:val="en-US"/>
              </w:rPr>
              <w:t>J Med Econ.</w:t>
            </w:r>
            <w:r w:rsidRPr="00F86A4B">
              <w:rPr>
                <w:rFonts w:eastAsia="Calibri" w:cs="Times New Roman"/>
                <w:iCs/>
                <w:szCs w:val="20"/>
                <w:lang w:val="en-US"/>
              </w:rPr>
              <w:t xml:space="preserve"> 2022 Jan-Dec;25(1):51-58.</w:t>
            </w:r>
          </w:p>
        </w:tc>
      </w:tr>
      <w:tr w:rsidR="00E047AA" w:rsidRPr="00CB38A8" w14:paraId="2B1D6CB1" w14:textId="77777777" w:rsidTr="00FC3582">
        <w:trPr>
          <w:cantSplit/>
        </w:trPr>
        <w:tc>
          <w:tcPr>
            <w:tcW w:w="795" w:type="pct"/>
            <w:tcBorders>
              <w:top w:val="nil"/>
            </w:tcBorders>
            <w:shd w:val="clear" w:color="auto" w:fill="auto"/>
            <w:vAlign w:val="center"/>
          </w:tcPr>
          <w:p w14:paraId="64820934" w14:textId="77777777" w:rsidR="00F86A4B" w:rsidRPr="00CB38A8" w:rsidRDefault="00F86A4B" w:rsidP="00F86A4B">
            <w:pPr>
              <w:pStyle w:val="TableText0"/>
              <w:jc w:val="center"/>
            </w:pPr>
          </w:p>
        </w:tc>
        <w:tc>
          <w:tcPr>
            <w:tcW w:w="2803" w:type="pct"/>
            <w:tcBorders>
              <w:top w:val="nil"/>
              <w:bottom w:val="nil"/>
            </w:tcBorders>
            <w:shd w:val="clear" w:color="auto" w:fill="auto"/>
            <w:vAlign w:val="center"/>
          </w:tcPr>
          <w:p w14:paraId="6BA7EC33" w14:textId="5BD102FA" w:rsidR="00F86A4B" w:rsidRPr="00BE5343" w:rsidRDefault="00F86A4B" w:rsidP="00F86A4B">
            <w:pPr>
              <w:pStyle w:val="TableText0"/>
              <w:rPr>
                <w:rFonts w:eastAsia="Calibri" w:cs="Times New Roman"/>
                <w:szCs w:val="20"/>
                <w:lang w:val="en-US"/>
              </w:rPr>
            </w:pPr>
            <w:r w:rsidRPr="00101BFA">
              <w:rPr>
                <w:rFonts w:eastAsia="Times New Roman" w:cs="Times New Roman"/>
                <w:color w:val="000000" w:themeColor="text1"/>
                <w:szCs w:val="20"/>
                <w:lang w:val="en-US"/>
              </w:rPr>
              <w:t xml:space="preserve">Wheeler, M. T., Olivotto, I., Elliott, P. M., et al. Effects of Mavacamten on Measures of Cardiopulmonary Exercise Testing Beyond Peak Oxygen Consumption: A Secondary Analysis of the EXPLORER-HCM Randomized Trial. </w:t>
            </w:r>
          </w:p>
        </w:tc>
        <w:tc>
          <w:tcPr>
            <w:tcW w:w="1402" w:type="pct"/>
            <w:tcBorders>
              <w:top w:val="nil"/>
              <w:bottom w:val="nil"/>
            </w:tcBorders>
            <w:shd w:val="clear" w:color="auto" w:fill="auto"/>
            <w:vAlign w:val="center"/>
          </w:tcPr>
          <w:p w14:paraId="241D5857" w14:textId="7C3D5548" w:rsidR="00F86A4B" w:rsidRPr="000F33BF" w:rsidRDefault="00F86A4B" w:rsidP="00F86A4B">
            <w:pPr>
              <w:pStyle w:val="TableText0"/>
              <w:keepNext w:val="0"/>
              <w:rPr>
                <w:rFonts w:eastAsia="Calibri" w:cs="Times New Roman"/>
                <w:i/>
                <w:szCs w:val="20"/>
                <w:lang w:val="en-US"/>
              </w:rPr>
            </w:pPr>
            <w:r w:rsidRPr="00F86A4B">
              <w:rPr>
                <w:rFonts w:eastAsia="Times New Roman" w:cs="Times New Roman"/>
                <w:i/>
                <w:color w:val="000000" w:themeColor="text1"/>
                <w:szCs w:val="20"/>
                <w:lang w:val="en-US"/>
              </w:rPr>
              <w:t>JAMA Cardiology,</w:t>
            </w:r>
            <w:r w:rsidRPr="00F86A4B">
              <w:rPr>
                <w:rFonts w:eastAsia="Times New Roman" w:cs="Times New Roman"/>
                <w:iCs/>
                <w:color w:val="000000" w:themeColor="text1"/>
                <w:szCs w:val="20"/>
                <w:lang w:val="en-US"/>
              </w:rPr>
              <w:t xml:space="preserve"> March 2023, 8(3):240-24.</w:t>
            </w:r>
          </w:p>
        </w:tc>
      </w:tr>
      <w:tr w:rsidR="00F2357C" w:rsidRPr="00CB38A8" w14:paraId="186F4721" w14:textId="77777777" w:rsidTr="00F774FD">
        <w:trPr>
          <w:cantSplit/>
        </w:trPr>
        <w:tc>
          <w:tcPr>
            <w:tcW w:w="795" w:type="pct"/>
            <w:vAlign w:val="center"/>
          </w:tcPr>
          <w:p w14:paraId="038BAF25" w14:textId="77777777" w:rsidR="00F2357C" w:rsidRPr="00B659B1" w:rsidRDefault="00F2357C" w:rsidP="00F2357C">
            <w:pPr>
              <w:pStyle w:val="TableText0"/>
              <w:keepNext w:val="0"/>
              <w:jc w:val="center"/>
              <w:rPr>
                <w:rFonts w:eastAsia="Calibri" w:cs="Times New Roman"/>
                <w:szCs w:val="20"/>
                <w:lang w:val="en-US"/>
              </w:rPr>
            </w:pPr>
            <w:r w:rsidRPr="00B659B1">
              <w:rPr>
                <w:rFonts w:eastAsia="Calibri" w:cs="Times New Roman"/>
                <w:szCs w:val="20"/>
                <w:lang w:val="en-US"/>
              </w:rPr>
              <w:t>MAVA-LTE</w:t>
            </w:r>
          </w:p>
          <w:p w14:paraId="20CAD597" w14:textId="4180503A" w:rsidR="00F2357C" w:rsidRPr="00CB38A8" w:rsidRDefault="00F2357C" w:rsidP="00F2357C">
            <w:pPr>
              <w:pStyle w:val="TableText0"/>
              <w:jc w:val="center"/>
              <w:rPr>
                <w:rFonts w:ascii="Times" w:hAnsi="Times"/>
              </w:rPr>
            </w:pPr>
            <w:r>
              <w:t>(</w:t>
            </w:r>
            <w:hyperlink r:id="rId8" w:tooltip="Current version of study NCT03723655 on ClinicalTrials.gov" w:history="1">
              <w:r w:rsidRPr="00B659B1">
                <w:rPr>
                  <w:rFonts w:eastAsia="Calibri" w:cs="Times New Roman"/>
                  <w:szCs w:val="20"/>
                  <w:lang w:val="en-US"/>
                </w:rPr>
                <w:t>NCT03723655</w:t>
              </w:r>
            </w:hyperlink>
            <w:r>
              <w:rPr>
                <w:rFonts w:eastAsia="Calibri" w:cs="Times New Roman"/>
                <w:szCs w:val="20"/>
                <w:lang w:val="en-US"/>
              </w:rPr>
              <w:t>)</w:t>
            </w:r>
          </w:p>
        </w:tc>
        <w:tc>
          <w:tcPr>
            <w:tcW w:w="2803" w:type="pct"/>
            <w:tcBorders>
              <w:bottom w:val="nil"/>
            </w:tcBorders>
            <w:vAlign w:val="center"/>
          </w:tcPr>
          <w:p w14:paraId="2070CFB5" w14:textId="77777777" w:rsidR="00F2357C" w:rsidRPr="00CB38A8" w:rsidRDefault="00F2357C" w:rsidP="00F2357C">
            <w:pPr>
              <w:pStyle w:val="TableText0"/>
              <w:rPr>
                <w:rFonts w:ascii="Times" w:hAnsi="Times"/>
              </w:rPr>
            </w:pPr>
            <w:r w:rsidRPr="006D3F54">
              <w:rPr>
                <w:rFonts w:eastAsia="Times New Roman" w:cs="Times New Roman"/>
                <w:color w:val="000000" w:themeColor="text1"/>
                <w:szCs w:val="20"/>
                <w:lang w:val="en-US"/>
              </w:rPr>
              <w:t>EXPLORER-LTE interim report. A Long-term Safety Extension Study of Mavacamten (MYK-461) in Adults with Hypertrophic Cardiomyopathy Who Have completed EXPLORER-HCM (MYK-461-005) (MYK-461-007; MAVA-LTE).</w:t>
            </w:r>
          </w:p>
        </w:tc>
        <w:tc>
          <w:tcPr>
            <w:tcW w:w="1402" w:type="pct"/>
            <w:tcBorders>
              <w:bottom w:val="nil"/>
            </w:tcBorders>
            <w:vAlign w:val="center"/>
          </w:tcPr>
          <w:p w14:paraId="22DD2208" w14:textId="77777777" w:rsidR="00F2357C" w:rsidRPr="004A2558" w:rsidRDefault="00F2357C" w:rsidP="00F2357C">
            <w:pPr>
              <w:pStyle w:val="TableText0"/>
            </w:pPr>
            <w:r w:rsidRPr="006D3F54">
              <w:rPr>
                <w:rFonts w:eastAsia="Times New Roman" w:cs="Times New Roman"/>
                <w:color w:val="000000" w:themeColor="text1"/>
                <w:szCs w:val="20"/>
                <w:lang w:val="en-US"/>
              </w:rPr>
              <w:t>2022</w:t>
            </w:r>
          </w:p>
        </w:tc>
      </w:tr>
      <w:tr w:rsidR="00E047AA" w:rsidRPr="00CB38A8" w14:paraId="41203EE5" w14:textId="77777777" w:rsidTr="00F774FD">
        <w:trPr>
          <w:cantSplit/>
        </w:trPr>
        <w:tc>
          <w:tcPr>
            <w:tcW w:w="795" w:type="pct"/>
            <w:vAlign w:val="center"/>
          </w:tcPr>
          <w:p w14:paraId="430C5149" w14:textId="7A4C63B3" w:rsidR="00FC3582" w:rsidRPr="00B659B1" w:rsidRDefault="00FC3582" w:rsidP="00FC3582">
            <w:pPr>
              <w:pStyle w:val="TableText0"/>
              <w:keepNext w:val="0"/>
              <w:jc w:val="center"/>
              <w:rPr>
                <w:rFonts w:eastAsia="Calibri" w:cs="Times New Roman"/>
                <w:szCs w:val="20"/>
                <w:lang w:val="en-US"/>
              </w:rPr>
            </w:pPr>
            <w:r>
              <w:t>EXPLORER-HCM</w:t>
            </w:r>
            <w:r>
              <w:rPr>
                <w:bCs w:val="0"/>
              </w:rPr>
              <w:t xml:space="preserve"> and </w:t>
            </w:r>
            <w:r w:rsidRPr="00B659B1">
              <w:rPr>
                <w:rFonts w:eastAsia="Calibri" w:cs="Times New Roman"/>
                <w:szCs w:val="20"/>
                <w:lang w:val="en-US"/>
              </w:rPr>
              <w:t xml:space="preserve">MAVA-LTE </w:t>
            </w:r>
          </w:p>
        </w:tc>
        <w:tc>
          <w:tcPr>
            <w:tcW w:w="2803" w:type="pct"/>
            <w:tcBorders>
              <w:bottom w:val="nil"/>
            </w:tcBorders>
            <w:vAlign w:val="center"/>
          </w:tcPr>
          <w:p w14:paraId="4A9729E0" w14:textId="5F99C715" w:rsidR="00FC3582" w:rsidRPr="006D3F54" w:rsidRDefault="00FC3582" w:rsidP="00FC3582">
            <w:pPr>
              <w:pStyle w:val="TableText0"/>
              <w:rPr>
                <w:rFonts w:eastAsia="Times New Roman" w:cs="Times New Roman"/>
                <w:color w:val="000000" w:themeColor="text1"/>
                <w:szCs w:val="20"/>
                <w:lang w:val="en-US"/>
              </w:rPr>
            </w:pPr>
            <w:r w:rsidRPr="00ED4B07">
              <w:rPr>
                <w:szCs w:val="18"/>
              </w:rPr>
              <w:t xml:space="preserve">Wheeler MT, Jacoby D, Elliott PM, Saberi S, Hegde SM, Lakdawala NK, Myers J, Sehnert AJ, Edelberg JM, Li W, Olivotto I. Effect of beta-blocker therapy on the response to mavacamten in patients with symptomatic obstructive hypertrophic cardiomyopathy. </w:t>
            </w:r>
          </w:p>
        </w:tc>
        <w:tc>
          <w:tcPr>
            <w:tcW w:w="1402" w:type="pct"/>
            <w:tcBorders>
              <w:bottom w:val="nil"/>
            </w:tcBorders>
            <w:vAlign w:val="center"/>
          </w:tcPr>
          <w:p w14:paraId="242E4461" w14:textId="2977509D" w:rsidR="00FC3582" w:rsidRPr="006D3F54" w:rsidRDefault="00FC3582" w:rsidP="00FC3582">
            <w:pPr>
              <w:pStyle w:val="TableText0"/>
              <w:rPr>
                <w:rFonts w:eastAsia="Times New Roman" w:cs="Times New Roman"/>
                <w:color w:val="000000" w:themeColor="text1"/>
                <w:szCs w:val="20"/>
                <w:lang w:val="en-US"/>
              </w:rPr>
            </w:pPr>
            <w:r w:rsidRPr="00FC3582">
              <w:rPr>
                <w:i/>
                <w:iCs/>
                <w:szCs w:val="18"/>
              </w:rPr>
              <w:t>Eur J Heart Fail.</w:t>
            </w:r>
            <w:r w:rsidRPr="00ED4B07">
              <w:rPr>
                <w:szCs w:val="18"/>
              </w:rPr>
              <w:t xml:space="preserve"> 2023 Feb;25(2):260-270.</w:t>
            </w:r>
          </w:p>
        </w:tc>
      </w:tr>
      <w:tr w:rsidR="00166F93" w:rsidRPr="00CB38A8" w14:paraId="4A3D35C6" w14:textId="77777777" w:rsidTr="00F774FD">
        <w:trPr>
          <w:cantSplit/>
        </w:trPr>
        <w:tc>
          <w:tcPr>
            <w:tcW w:w="795" w:type="pct"/>
            <w:vMerge w:val="restart"/>
            <w:vAlign w:val="center"/>
          </w:tcPr>
          <w:p w14:paraId="000875A3" w14:textId="77777777" w:rsidR="00166F93" w:rsidRDefault="00166F93" w:rsidP="007261D9">
            <w:pPr>
              <w:pStyle w:val="TableText0"/>
              <w:jc w:val="center"/>
            </w:pPr>
            <w:r>
              <w:t>VALOR-HCM</w:t>
            </w:r>
          </w:p>
          <w:p w14:paraId="5F95ADFA" w14:textId="77777777" w:rsidR="00166F93" w:rsidRPr="00CB38A8" w:rsidRDefault="00166F93" w:rsidP="007261D9">
            <w:pPr>
              <w:pStyle w:val="TableText0"/>
              <w:jc w:val="center"/>
            </w:pPr>
            <w:r>
              <w:rPr>
                <w:rFonts w:eastAsia="Times New Roman" w:cs="Times New Roman"/>
                <w:szCs w:val="20"/>
                <w:lang w:val="en-US"/>
              </w:rPr>
              <w:t>(</w:t>
            </w:r>
            <w:r w:rsidRPr="00A36D3C">
              <w:rPr>
                <w:rFonts w:eastAsia="Times New Roman" w:cs="Times New Roman"/>
                <w:szCs w:val="20"/>
                <w:lang w:val="en-US"/>
              </w:rPr>
              <w:t>NCT04349072</w:t>
            </w:r>
            <w:r>
              <w:rPr>
                <w:rFonts w:eastAsia="Times New Roman" w:cs="Times New Roman"/>
                <w:szCs w:val="20"/>
                <w:lang w:val="en-US"/>
              </w:rPr>
              <w:t>)</w:t>
            </w:r>
          </w:p>
        </w:tc>
        <w:tc>
          <w:tcPr>
            <w:tcW w:w="2803" w:type="pct"/>
            <w:tcBorders>
              <w:bottom w:val="nil"/>
            </w:tcBorders>
          </w:tcPr>
          <w:p w14:paraId="0C403FC5" w14:textId="77777777" w:rsidR="00166F93" w:rsidRPr="00CB38A8" w:rsidRDefault="00166F93" w:rsidP="007261D9">
            <w:pPr>
              <w:pStyle w:val="TableText0"/>
              <w:rPr>
                <w:rFonts w:ascii="Times" w:hAnsi="Times"/>
              </w:rPr>
            </w:pPr>
            <w:r w:rsidRPr="00045CCF">
              <w:t xml:space="preserve">VALOR-HCM CSR. A Randomized, Double-Blind, Placebo-Controlled Study to Evaluate Mavacamten in Adults with Symptomatic Obstructive Hypertrophic Cardiomyopathy who are Eligible for Septal Reduction Therapy. </w:t>
            </w:r>
          </w:p>
        </w:tc>
        <w:tc>
          <w:tcPr>
            <w:tcW w:w="1402" w:type="pct"/>
            <w:tcBorders>
              <w:bottom w:val="nil"/>
            </w:tcBorders>
            <w:vAlign w:val="center"/>
          </w:tcPr>
          <w:p w14:paraId="17DB118E" w14:textId="77777777" w:rsidR="00166F93" w:rsidRPr="00CB38A8" w:rsidRDefault="00166F93" w:rsidP="007261D9">
            <w:pPr>
              <w:pStyle w:val="TableText0"/>
              <w:rPr>
                <w:rFonts w:ascii="Times" w:hAnsi="Times"/>
              </w:rPr>
            </w:pPr>
            <w:r w:rsidRPr="00045CCF">
              <w:t>2022</w:t>
            </w:r>
          </w:p>
        </w:tc>
      </w:tr>
      <w:tr w:rsidR="00166F93" w:rsidRPr="00CB38A8" w14:paraId="1E5A684A" w14:textId="77777777" w:rsidTr="00F774FD">
        <w:trPr>
          <w:cantSplit/>
        </w:trPr>
        <w:tc>
          <w:tcPr>
            <w:tcW w:w="795" w:type="pct"/>
            <w:vMerge/>
            <w:vAlign w:val="center"/>
          </w:tcPr>
          <w:p w14:paraId="2944C7D2" w14:textId="77777777" w:rsidR="00166F93" w:rsidRPr="00CB38A8" w:rsidRDefault="00166F93" w:rsidP="00B730B4">
            <w:pPr>
              <w:pStyle w:val="Tabletext"/>
              <w:keepNext/>
              <w:keepLines/>
            </w:pPr>
          </w:p>
        </w:tc>
        <w:tc>
          <w:tcPr>
            <w:tcW w:w="2803" w:type="pct"/>
            <w:tcBorders>
              <w:top w:val="nil"/>
              <w:bottom w:val="nil"/>
            </w:tcBorders>
          </w:tcPr>
          <w:p w14:paraId="4EB2836D" w14:textId="77777777" w:rsidR="00166F93" w:rsidRPr="00AC45E8" w:rsidRDefault="00166F93" w:rsidP="00B730B4">
            <w:pPr>
              <w:pStyle w:val="TableText0"/>
            </w:pPr>
            <w:r w:rsidRPr="000E0716">
              <w:t xml:space="preserve">Desai, M. Y., Owens, A., Geske, J. B., et al. 2022. Myosin Inhibition in Patients </w:t>
            </w:r>
            <w:proofErr w:type="gramStart"/>
            <w:r w:rsidRPr="000E0716">
              <w:t>With</w:t>
            </w:r>
            <w:proofErr w:type="gramEnd"/>
            <w:r w:rsidRPr="000E0716">
              <w:t xml:space="preserve"> Obstructive Hypertrophic Cardiomyopathy Referred for Septal Reduction Therapy. </w:t>
            </w:r>
          </w:p>
        </w:tc>
        <w:tc>
          <w:tcPr>
            <w:tcW w:w="1402" w:type="pct"/>
            <w:tcBorders>
              <w:top w:val="nil"/>
              <w:bottom w:val="nil"/>
            </w:tcBorders>
            <w:vAlign w:val="center"/>
          </w:tcPr>
          <w:p w14:paraId="3168D905" w14:textId="509BF5DD" w:rsidR="00166F93" w:rsidRPr="00AC45E8" w:rsidRDefault="00166F93" w:rsidP="00B730B4">
            <w:pPr>
              <w:pStyle w:val="TableText0"/>
            </w:pPr>
            <w:r w:rsidRPr="00B36A4C">
              <w:rPr>
                <w:i/>
                <w:iCs/>
              </w:rPr>
              <w:t>Journal of the American College of Cardiology</w:t>
            </w:r>
            <w:r w:rsidR="00B36A4C" w:rsidRPr="00B36A4C">
              <w:rPr>
                <w:i/>
                <w:iCs/>
              </w:rPr>
              <w:t>.</w:t>
            </w:r>
            <w:r w:rsidRPr="000E0716">
              <w:t xml:space="preserve"> </w:t>
            </w:r>
            <w:r>
              <w:t xml:space="preserve">2022; </w:t>
            </w:r>
            <w:r w:rsidRPr="000E0716">
              <w:t>80</w:t>
            </w:r>
            <w:r>
              <w:t>:</w:t>
            </w:r>
            <w:r w:rsidRPr="000E0716">
              <w:t>95-108</w:t>
            </w:r>
          </w:p>
        </w:tc>
      </w:tr>
      <w:tr w:rsidR="00166F93" w:rsidRPr="00CB38A8" w14:paraId="0046BB7E" w14:textId="77777777" w:rsidTr="00F774FD">
        <w:trPr>
          <w:cantSplit/>
        </w:trPr>
        <w:tc>
          <w:tcPr>
            <w:tcW w:w="795" w:type="pct"/>
            <w:vMerge/>
            <w:tcBorders>
              <w:bottom w:val="single" w:sz="4" w:space="0" w:color="auto"/>
            </w:tcBorders>
            <w:vAlign w:val="center"/>
          </w:tcPr>
          <w:p w14:paraId="0D5F9FB3" w14:textId="77777777" w:rsidR="00166F93" w:rsidRPr="00CB38A8" w:rsidRDefault="00166F93" w:rsidP="00B730B4">
            <w:pPr>
              <w:pStyle w:val="Tabletext"/>
              <w:keepNext/>
              <w:keepLines/>
            </w:pPr>
          </w:p>
        </w:tc>
        <w:tc>
          <w:tcPr>
            <w:tcW w:w="2803" w:type="pct"/>
            <w:tcBorders>
              <w:top w:val="nil"/>
              <w:bottom w:val="single" w:sz="4" w:space="0" w:color="auto"/>
            </w:tcBorders>
          </w:tcPr>
          <w:p w14:paraId="287E4E13" w14:textId="77777777" w:rsidR="00166F93" w:rsidRDefault="00166F93" w:rsidP="00B730B4">
            <w:pPr>
              <w:pStyle w:val="TableText0"/>
            </w:pPr>
            <w:r w:rsidRPr="000E0716">
              <w:t xml:space="preserve">Desai, M. Y., Owens, A. T., Geske, J. B., et al. 2022. Dose-Blinded Myosin Inhibition in Patients with Obstructive HCM Referred for Septal Reduction Therapy: Outcomes Through 32-Weeks. </w:t>
            </w:r>
          </w:p>
        </w:tc>
        <w:tc>
          <w:tcPr>
            <w:tcW w:w="1402" w:type="pct"/>
            <w:tcBorders>
              <w:top w:val="nil"/>
              <w:bottom w:val="single" w:sz="4" w:space="0" w:color="auto"/>
            </w:tcBorders>
            <w:vAlign w:val="center"/>
          </w:tcPr>
          <w:p w14:paraId="108603A6" w14:textId="77777777" w:rsidR="00166F93" w:rsidRDefault="00166F93" w:rsidP="00B730B4">
            <w:pPr>
              <w:pStyle w:val="TableText0"/>
              <w:rPr>
                <w:i/>
              </w:rPr>
            </w:pPr>
            <w:r w:rsidRPr="00B36A4C">
              <w:rPr>
                <w:i/>
                <w:iCs/>
              </w:rPr>
              <w:t>Circulation</w:t>
            </w:r>
            <w:r w:rsidRPr="003D25AA">
              <w:t>. 2023 Mar 14;147(11):850-863.</w:t>
            </w:r>
          </w:p>
        </w:tc>
      </w:tr>
    </w:tbl>
    <w:p w14:paraId="34938F7D" w14:textId="77777777" w:rsidR="00F00743" w:rsidRDefault="00F00743" w:rsidP="00F00743">
      <w:pPr>
        <w:pStyle w:val="FooterTableFigure"/>
      </w:pPr>
      <w:r>
        <w:t xml:space="preserve">Source: Table 16, p47-49 </w:t>
      </w:r>
      <w:r w:rsidRPr="00D13A3E">
        <w:t xml:space="preserve">of the </w:t>
      </w:r>
      <w:r>
        <w:t xml:space="preserve">November 2022 submission; Table 13 p37 of the resubmission. </w:t>
      </w:r>
    </w:p>
    <w:p w14:paraId="5AA8E09D" w14:textId="0A340710" w:rsidR="001A3BE0" w:rsidRDefault="00FF1448" w:rsidP="00FF1448">
      <w:pPr>
        <w:pStyle w:val="FooterTableFigure"/>
        <w:spacing w:after="0"/>
        <w:rPr>
          <w:szCs w:val="18"/>
        </w:rPr>
      </w:pPr>
      <w:r w:rsidRPr="00490649">
        <w:rPr>
          <w:szCs w:val="18"/>
        </w:rPr>
        <w:t>HCM = hypertrophic cardiomyopathy;</w:t>
      </w:r>
      <w:r>
        <w:rPr>
          <w:szCs w:val="18"/>
        </w:rPr>
        <w:t xml:space="preserve"> </w:t>
      </w:r>
      <w:r w:rsidRPr="00490649">
        <w:rPr>
          <w:szCs w:val="18"/>
        </w:rPr>
        <w:t>LTE = long term extension</w:t>
      </w:r>
      <w:r>
        <w:rPr>
          <w:szCs w:val="18"/>
        </w:rPr>
        <w:t xml:space="preserve">; </w:t>
      </w:r>
      <w:r w:rsidRPr="00490649">
        <w:rPr>
          <w:szCs w:val="18"/>
        </w:rPr>
        <w:t>MAV</w:t>
      </w:r>
      <w:r>
        <w:rPr>
          <w:szCs w:val="18"/>
        </w:rPr>
        <w:t>A</w:t>
      </w:r>
      <w:r w:rsidR="005C60F7">
        <w:rPr>
          <w:szCs w:val="18"/>
        </w:rPr>
        <w:t xml:space="preserve"> </w:t>
      </w:r>
      <w:r w:rsidRPr="00490649">
        <w:rPr>
          <w:szCs w:val="18"/>
        </w:rPr>
        <w:t>= mavacamte</w:t>
      </w:r>
      <w:r>
        <w:rPr>
          <w:szCs w:val="18"/>
        </w:rPr>
        <w:t>n.</w:t>
      </w:r>
    </w:p>
    <w:p w14:paraId="0DFFB670" w14:textId="77777777" w:rsidR="00117DDB" w:rsidRDefault="00117DDB" w:rsidP="00F00743">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2606A34E" w14:textId="258BF106" w:rsidR="00636080" w:rsidRPr="008271EA" w:rsidRDefault="00636080" w:rsidP="00636080">
      <w:pPr>
        <w:pStyle w:val="3-BodyText"/>
      </w:pPr>
      <w:r w:rsidRPr="008271EA">
        <w:t>The key features of the trials</w:t>
      </w:r>
      <w:r w:rsidR="00AF36AE" w:rsidRPr="008271EA">
        <w:t xml:space="preserve"> presented in the resubmission</w:t>
      </w:r>
      <w:r w:rsidRPr="008271EA">
        <w:t xml:space="preserve"> are summarised in </w:t>
      </w:r>
      <w:r w:rsidRPr="008271EA">
        <w:fldChar w:fldCharType="begin"/>
      </w:r>
      <w:r w:rsidRPr="008271EA">
        <w:instrText xml:space="preserve"> REF _Ref104804098 \h  \* MERGEFORMAT </w:instrText>
      </w:r>
      <w:r w:rsidRPr="008271EA">
        <w:fldChar w:fldCharType="separate"/>
      </w:r>
      <w:r w:rsidR="00F84C70" w:rsidRPr="00F84C70">
        <w:t>Table 4</w:t>
      </w:r>
      <w:r w:rsidRPr="008271EA">
        <w:fldChar w:fldCharType="end"/>
      </w:r>
      <w:r w:rsidRPr="008271EA">
        <w:t xml:space="preserve">. </w:t>
      </w:r>
      <w:r w:rsidR="005A6C9D" w:rsidRPr="00BF5BC7">
        <w:rPr>
          <w:iCs/>
        </w:rPr>
        <w:t>The risk of bias for EXPLORER-HCM</w:t>
      </w:r>
      <w:r w:rsidR="00C41F11" w:rsidRPr="00BF5BC7">
        <w:rPr>
          <w:iCs/>
        </w:rPr>
        <w:t xml:space="preserve"> wa</w:t>
      </w:r>
      <w:r w:rsidR="00096B93" w:rsidRPr="00BF5BC7">
        <w:rPr>
          <w:iCs/>
        </w:rPr>
        <w:t xml:space="preserve">s </w:t>
      </w:r>
      <w:r w:rsidR="00FC626C" w:rsidRPr="00BF5BC7">
        <w:rPr>
          <w:iCs/>
        </w:rPr>
        <w:t xml:space="preserve">previously </w:t>
      </w:r>
      <w:r w:rsidR="00096B93" w:rsidRPr="00BF5BC7">
        <w:rPr>
          <w:iCs/>
        </w:rPr>
        <w:t>considered low.</w:t>
      </w:r>
      <w:r w:rsidR="001541EA" w:rsidRPr="00BF5BC7">
        <w:rPr>
          <w:iCs/>
        </w:rPr>
        <w:t xml:space="preserve"> The</w:t>
      </w:r>
      <w:r w:rsidR="00644740">
        <w:rPr>
          <w:iCs/>
        </w:rPr>
        <w:t xml:space="preserve"> evaluation considered that the</w:t>
      </w:r>
      <w:r w:rsidR="001541EA" w:rsidRPr="00BF5BC7">
        <w:rPr>
          <w:iCs/>
        </w:rPr>
        <w:t xml:space="preserve"> risk of bias for VALOR-HCM was low.</w:t>
      </w:r>
      <w:r w:rsidR="00096B93" w:rsidRPr="00BF5BC7">
        <w:rPr>
          <w:iCs/>
        </w:rPr>
        <w:t xml:space="preserve"> The </w:t>
      </w:r>
      <w:r w:rsidR="00CD3A5B">
        <w:rPr>
          <w:iCs/>
        </w:rPr>
        <w:t xml:space="preserve">evaluation considered that the </w:t>
      </w:r>
      <w:r w:rsidR="00096B93" w:rsidRPr="00BF5BC7">
        <w:rPr>
          <w:iCs/>
        </w:rPr>
        <w:t xml:space="preserve">risk of bias for MAVA-LTE (EXPLORER-HCM cohort) </w:t>
      </w:r>
      <w:r w:rsidR="00FC626C" w:rsidRPr="00BF5BC7">
        <w:rPr>
          <w:iCs/>
        </w:rPr>
        <w:t>wa</w:t>
      </w:r>
      <w:r w:rsidR="00096B93" w:rsidRPr="00BF5BC7">
        <w:rPr>
          <w:iCs/>
        </w:rPr>
        <w:t>s</w:t>
      </w:r>
      <w:r w:rsidR="00CD3A5B">
        <w:rPr>
          <w:iCs/>
        </w:rPr>
        <w:t xml:space="preserve"> </w:t>
      </w:r>
      <w:r w:rsidR="00096B93" w:rsidRPr="00BF5BC7">
        <w:rPr>
          <w:iCs/>
        </w:rPr>
        <w:t>low to unclear</w:t>
      </w:r>
      <w:r w:rsidR="003D783F" w:rsidRPr="00BF5BC7">
        <w:rPr>
          <w:iCs/>
        </w:rPr>
        <w:t xml:space="preserve"> as</w:t>
      </w:r>
      <w:r w:rsidR="007D7BEA" w:rsidRPr="00BF5BC7">
        <w:rPr>
          <w:iCs/>
        </w:rPr>
        <w:t xml:space="preserve"> the </w:t>
      </w:r>
      <w:r w:rsidR="00905EBC" w:rsidRPr="00BF5BC7">
        <w:rPr>
          <w:iCs/>
        </w:rPr>
        <w:lastRenderedPageBreak/>
        <w:t xml:space="preserve">results for the </w:t>
      </w:r>
      <w:r w:rsidR="007D7BEA" w:rsidRPr="00BF5BC7">
        <w:rPr>
          <w:iCs/>
        </w:rPr>
        <w:t>interim analysis</w:t>
      </w:r>
      <w:r w:rsidR="00905EBC" w:rsidRPr="00BF5BC7">
        <w:rPr>
          <w:iCs/>
        </w:rPr>
        <w:t xml:space="preserve"> </w:t>
      </w:r>
      <w:r w:rsidR="00CD3A5B">
        <w:rPr>
          <w:iCs/>
        </w:rPr>
        <w:t>were</w:t>
      </w:r>
      <w:r w:rsidR="00CD3A5B" w:rsidRPr="00BF5BC7">
        <w:rPr>
          <w:iCs/>
        </w:rPr>
        <w:t xml:space="preserve"> </w:t>
      </w:r>
      <w:r w:rsidR="00905EBC" w:rsidRPr="00BF5BC7">
        <w:rPr>
          <w:iCs/>
        </w:rPr>
        <w:t xml:space="preserve">not yet mature; </w:t>
      </w:r>
      <w:r w:rsidR="003D783F" w:rsidRPr="00BF5BC7">
        <w:rPr>
          <w:iCs/>
        </w:rPr>
        <w:t xml:space="preserve">the </w:t>
      </w:r>
      <w:r w:rsidR="00905EBC" w:rsidRPr="00BF5BC7">
        <w:rPr>
          <w:iCs/>
        </w:rPr>
        <w:t xml:space="preserve">results provided </w:t>
      </w:r>
      <w:r w:rsidR="00CD3A5B">
        <w:rPr>
          <w:iCs/>
        </w:rPr>
        <w:t>were</w:t>
      </w:r>
      <w:r w:rsidR="00CD3A5B" w:rsidRPr="00BF5BC7">
        <w:rPr>
          <w:iCs/>
        </w:rPr>
        <w:t xml:space="preserve"> </w:t>
      </w:r>
      <w:r w:rsidR="00905EBC" w:rsidRPr="00BF5BC7">
        <w:rPr>
          <w:iCs/>
        </w:rPr>
        <w:t xml:space="preserve">subject to attrition bias. </w:t>
      </w:r>
      <w:r w:rsidR="00083BC0" w:rsidRPr="00BF5BC7">
        <w:rPr>
          <w:iCs/>
        </w:rPr>
        <w:t xml:space="preserve">MAVA-LTE </w:t>
      </w:r>
      <w:r w:rsidR="007D7BEA" w:rsidRPr="00BF5BC7">
        <w:rPr>
          <w:iCs/>
        </w:rPr>
        <w:t>is ongoing and is due to be completed by April 2026</w:t>
      </w:r>
      <w:r w:rsidR="00025775" w:rsidRPr="00BF5BC7">
        <w:rPr>
          <w:iCs/>
        </w:rPr>
        <w:t xml:space="preserve">. </w:t>
      </w:r>
    </w:p>
    <w:p w14:paraId="67B3BF26" w14:textId="696F0F83" w:rsidR="00636080" w:rsidRPr="00D6076E" w:rsidRDefault="00636080" w:rsidP="00636080">
      <w:pPr>
        <w:pStyle w:val="Caption"/>
        <w:rPr>
          <w:rStyle w:val="CommentReference"/>
          <w:rFonts w:eastAsiaTheme="majorEastAsia" w:cstheme="majorBidi"/>
          <w:b/>
          <w:szCs w:val="24"/>
        </w:rPr>
      </w:pPr>
      <w:bookmarkStart w:id="43"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F84C70">
        <w:rPr>
          <w:rStyle w:val="CommentReference"/>
          <w:rFonts w:eastAsiaTheme="majorEastAsia" w:cstheme="majorBidi"/>
          <w:b/>
          <w:noProof/>
          <w:szCs w:val="24"/>
        </w:rPr>
        <w:t>4</w:t>
      </w:r>
      <w:r w:rsidRPr="00D6076E">
        <w:rPr>
          <w:rStyle w:val="CommentReference"/>
          <w:rFonts w:eastAsiaTheme="majorEastAsia" w:cstheme="majorBidi"/>
          <w:b/>
          <w:szCs w:val="24"/>
        </w:rPr>
        <w:fldChar w:fldCharType="end"/>
      </w:r>
      <w:bookmarkEnd w:id="43"/>
      <w:r w:rsidRPr="00D6076E">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0"/>
        <w:gridCol w:w="566"/>
        <w:gridCol w:w="1136"/>
        <w:gridCol w:w="711"/>
        <w:gridCol w:w="1556"/>
        <w:gridCol w:w="2977"/>
        <w:gridCol w:w="941"/>
      </w:tblGrid>
      <w:tr w:rsidR="00F460C5" w:rsidRPr="00B41614" w14:paraId="6BBA82FF" w14:textId="77777777" w:rsidTr="006F4A50">
        <w:trPr>
          <w:cantSplit/>
          <w:tblHeader/>
        </w:trPr>
        <w:tc>
          <w:tcPr>
            <w:tcW w:w="626" w:type="pct"/>
            <w:shd w:val="clear" w:color="auto" w:fill="auto"/>
            <w:vAlign w:val="center"/>
          </w:tcPr>
          <w:p w14:paraId="75B91082" w14:textId="77777777" w:rsidR="00636080" w:rsidRPr="00B41614" w:rsidRDefault="00636080" w:rsidP="00F774FD">
            <w:pPr>
              <w:pStyle w:val="In-tableHeading"/>
            </w:pPr>
            <w:r w:rsidRPr="00B41614">
              <w:t>Trial</w:t>
            </w:r>
          </w:p>
        </w:tc>
        <w:tc>
          <w:tcPr>
            <w:tcW w:w="314" w:type="pct"/>
            <w:shd w:val="clear" w:color="auto" w:fill="auto"/>
            <w:vAlign w:val="center"/>
          </w:tcPr>
          <w:p w14:paraId="57BB4728" w14:textId="77777777" w:rsidR="00636080" w:rsidRPr="00B41614" w:rsidRDefault="00636080" w:rsidP="00F774FD">
            <w:pPr>
              <w:pStyle w:val="In-tableHeading"/>
              <w:jc w:val="center"/>
            </w:pPr>
            <w:r w:rsidRPr="00B41614">
              <w:t>N</w:t>
            </w:r>
          </w:p>
        </w:tc>
        <w:tc>
          <w:tcPr>
            <w:tcW w:w="630" w:type="pct"/>
            <w:shd w:val="clear" w:color="auto" w:fill="auto"/>
            <w:vAlign w:val="center"/>
          </w:tcPr>
          <w:p w14:paraId="46A5B427" w14:textId="77777777" w:rsidR="00636080" w:rsidRPr="00B41614" w:rsidRDefault="00636080" w:rsidP="00F774FD">
            <w:pPr>
              <w:pStyle w:val="In-tableHeading"/>
              <w:jc w:val="center"/>
            </w:pPr>
            <w:r w:rsidRPr="00B41614">
              <w:t>Design/ duration</w:t>
            </w:r>
          </w:p>
        </w:tc>
        <w:tc>
          <w:tcPr>
            <w:tcW w:w="394" w:type="pct"/>
            <w:shd w:val="clear" w:color="auto" w:fill="auto"/>
            <w:vAlign w:val="center"/>
          </w:tcPr>
          <w:p w14:paraId="5DFD2837" w14:textId="77777777" w:rsidR="00636080" w:rsidRPr="00B41614" w:rsidRDefault="00636080" w:rsidP="00F774FD">
            <w:pPr>
              <w:pStyle w:val="In-tableHeading"/>
              <w:jc w:val="center"/>
            </w:pPr>
            <w:r w:rsidRPr="00B41614">
              <w:t>Risk of bias</w:t>
            </w:r>
          </w:p>
        </w:tc>
        <w:tc>
          <w:tcPr>
            <w:tcW w:w="863" w:type="pct"/>
            <w:shd w:val="clear" w:color="auto" w:fill="auto"/>
            <w:vAlign w:val="center"/>
          </w:tcPr>
          <w:p w14:paraId="53FC9CF9" w14:textId="77777777" w:rsidR="00636080" w:rsidRPr="00B41614" w:rsidRDefault="00636080" w:rsidP="00F774FD">
            <w:pPr>
              <w:pStyle w:val="In-tableHeading"/>
              <w:jc w:val="center"/>
            </w:pPr>
            <w:r w:rsidRPr="00B41614">
              <w:t>Patient population</w:t>
            </w:r>
          </w:p>
        </w:tc>
        <w:tc>
          <w:tcPr>
            <w:tcW w:w="1651" w:type="pct"/>
            <w:shd w:val="clear" w:color="auto" w:fill="auto"/>
            <w:vAlign w:val="center"/>
          </w:tcPr>
          <w:p w14:paraId="1D1ED1E1" w14:textId="77777777" w:rsidR="00636080" w:rsidRPr="00B41614" w:rsidRDefault="00636080" w:rsidP="00F774FD">
            <w:pPr>
              <w:pStyle w:val="In-tableHeading"/>
              <w:jc w:val="center"/>
            </w:pPr>
            <w:r w:rsidRPr="00B41614">
              <w:t>Outcomes</w:t>
            </w:r>
          </w:p>
        </w:tc>
        <w:tc>
          <w:tcPr>
            <w:tcW w:w="522" w:type="pct"/>
            <w:shd w:val="clear" w:color="auto" w:fill="auto"/>
            <w:vAlign w:val="center"/>
          </w:tcPr>
          <w:p w14:paraId="42665AE9" w14:textId="77777777" w:rsidR="00636080" w:rsidRPr="00B41614" w:rsidRDefault="00636080" w:rsidP="00F774FD">
            <w:pPr>
              <w:pStyle w:val="In-tableHeading"/>
              <w:jc w:val="center"/>
            </w:pPr>
            <w:r w:rsidRPr="00B41614">
              <w:t>Use in modelled evaluation</w:t>
            </w:r>
          </w:p>
        </w:tc>
      </w:tr>
      <w:tr w:rsidR="00636080" w:rsidRPr="00E2771E" w14:paraId="5728340C" w14:textId="77777777" w:rsidTr="00F774FD">
        <w:trPr>
          <w:cantSplit/>
        </w:trPr>
        <w:tc>
          <w:tcPr>
            <w:tcW w:w="5000" w:type="pct"/>
            <w:gridSpan w:val="7"/>
            <w:shd w:val="clear" w:color="auto" w:fill="auto"/>
            <w:vAlign w:val="center"/>
          </w:tcPr>
          <w:p w14:paraId="6D404F1E" w14:textId="77777777" w:rsidR="00636080" w:rsidRPr="00EC5836" w:rsidRDefault="00522FFB" w:rsidP="00F774FD">
            <w:pPr>
              <w:pStyle w:val="In-tableHeading"/>
            </w:pPr>
            <w:r>
              <w:t>Mavacamten (± BB/CCB) vs placebo (± BB/CCB)</w:t>
            </w:r>
          </w:p>
        </w:tc>
      </w:tr>
      <w:tr w:rsidR="006208BD" w:rsidRPr="00E2771E" w14:paraId="75D78570" w14:textId="77777777" w:rsidTr="002B2849">
        <w:trPr>
          <w:cantSplit/>
        </w:trPr>
        <w:tc>
          <w:tcPr>
            <w:tcW w:w="626" w:type="pct"/>
            <w:shd w:val="clear" w:color="auto" w:fill="C6D9F1" w:themeFill="text2" w:themeFillTint="33"/>
            <w:vAlign w:val="center"/>
          </w:tcPr>
          <w:p w14:paraId="3C619DD5" w14:textId="77777777" w:rsidR="006208BD" w:rsidRPr="00E2771E" w:rsidRDefault="006208BD" w:rsidP="00F774FD">
            <w:pPr>
              <w:pStyle w:val="TableText0"/>
              <w:rPr>
                <w:lang w:val="en-US"/>
              </w:rPr>
            </w:pPr>
            <w:r>
              <w:rPr>
                <w:lang w:val="en-US"/>
              </w:rPr>
              <w:t>EXPLORER-HCM</w:t>
            </w:r>
          </w:p>
        </w:tc>
        <w:tc>
          <w:tcPr>
            <w:tcW w:w="314" w:type="pct"/>
            <w:shd w:val="clear" w:color="auto" w:fill="C6D9F1" w:themeFill="text2" w:themeFillTint="33"/>
            <w:vAlign w:val="center"/>
          </w:tcPr>
          <w:p w14:paraId="07F0B652" w14:textId="77777777" w:rsidR="006208BD" w:rsidRPr="00E2771E" w:rsidRDefault="006208BD" w:rsidP="00F774FD">
            <w:pPr>
              <w:pStyle w:val="TableText0"/>
              <w:jc w:val="center"/>
              <w:rPr>
                <w:lang w:val="en-US"/>
              </w:rPr>
            </w:pPr>
            <w:r w:rsidRPr="00E2771E">
              <w:rPr>
                <w:lang w:val="en-US"/>
              </w:rPr>
              <w:t>2</w:t>
            </w:r>
            <w:r>
              <w:rPr>
                <w:lang w:val="en-US"/>
              </w:rPr>
              <w:t>51</w:t>
            </w:r>
          </w:p>
        </w:tc>
        <w:tc>
          <w:tcPr>
            <w:tcW w:w="630" w:type="pct"/>
            <w:shd w:val="clear" w:color="auto" w:fill="C6D9F1" w:themeFill="text2" w:themeFillTint="33"/>
            <w:vAlign w:val="center"/>
          </w:tcPr>
          <w:p w14:paraId="388F1545" w14:textId="77777777" w:rsidR="006208BD" w:rsidRPr="00E2771E" w:rsidRDefault="006208BD" w:rsidP="00F774FD">
            <w:pPr>
              <w:pStyle w:val="TableText0"/>
              <w:jc w:val="center"/>
              <w:rPr>
                <w:lang w:val="en-US"/>
              </w:rPr>
            </w:pPr>
            <w:r>
              <w:t>MC, R, DB</w:t>
            </w:r>
            <w:r>
              <w:br/>
              <w:t>38 weeks</w:t>
            </w:r>
          </w:p>
        </w:tc>
        <w:tc>
          <w:tcPr>
            <w:tcW w:w="394" w:type="pct"/>
            <w:shd w:val="clear" w:color="auto" w:fill="C6D9F1" w:themeFill="text2" w:themeFillTint="33"/>
            <w:vAlign w:val="center"/>
          </w:tcPr>
          <w:p w14:paraId="642FDBB8" w14:textId="77777777" w:rsidR="006208BD" w:rsidRPr="00522FFB" w:rsidRDefault="006208BD" w:rsidP="00F774FD">
            <w:pPr>
              <w:pStyle w:val="TableText0"/>
              <w:jc w:val="center"/>
            </w:pPr>
            <w:r w:rsidRPr="00522FFB">
              <w:t>Low</w:t>
            </w:r>
          </w:p>
        </w:tc>
        <w:tc>
          <w:tcPr>
            <w:tcW w:w="863" w:type="pct"/>
            <w:vMerge w:val="restart"/>
            <w:shd w:val="clear" w:color="auto" w:fill="C6D9F1" w:themeFill="text2" w:themeFillTint="33"/>
            <w:vAlign w:val="center"/>
          </w:tcPr>
          <w:p w14:paraId="1B0D1204" w14:textId="77777777" w:rsidR="006208BD" w:rsidRPr="00E2771E" w:rsidRDefault="006208BD" w:rsidP="00F774FD">
            <w:pPr>
              <w:pStyle w:val="TableText0"/>
              <w:jc w:val="center"/>
              <w:rPr>
                <w:lang w:val="en-US"/>
              </w:rPr>
            </w:pPr>
            <w:r>
              <w:t xml:space="preserve">Symptomatic obstructive HCM NYHA II-III and </w:t>
            </w:r>
            <w:r>
              <w:br/>
              <w:t>LVOT ≥ 50 mmHg</w:t>
            </w:r>
          </w:p>
        </w:tc>
        <w:tc>
          <w:tcPr>
            <w:tcW w:w="1651" w:type="pct"/>
            <w:shd w:val="clear" w:color="auto" w:fill="C6D9F1" w:themeFill="text2" w:themeFillTint="33"/>
            <w:vAlign w:val="center"/>
          </w:tcPr>
          <w:p w14:paraId="5F78D3B5" w14:textId="77777777" w:rsidR="00504221" w:rsidRDefault="006208BD" w:rsidP="00725137">
            <w:pPr>
              <w:pStyle w:val="TableText0"/>
            </w:pPr>
            <w:r>
              <w:t xml:space="preserve">Primary composite effectiveness </w:t>
            </w:r>
            <w:proofErr w:type="gramStart"/>
            <w:r>
              <w:t>outcome</w:t>
            </w:r>
            <w:r w:rsidRPr="001274DB">
              <w:rPr>
                <w:vertAlign w:val="superscript"/>
              </w:rPr>
              <w:t xml:space="preserve">a </w:t>
            </w:r>
            <w:r w:rsidR="00916C95">
              <w:t>;</w:t>
            </w:r>
            <w:proofErr w:type="gramEnd"/>
            <w:r w:rsidR="00916C95">
              <w:t xml:space="preserve"> </w:t>
            </w:r>
          </w:p>
          <w:p w14:paraId="395E9FB2" w14:textId="77777777" w:rsidR="00175177" w:rsidRDefault="00175177" w:rsidP="00725137">
            <w:pPr>
              <w:pStyle w:val="TableText0"/>
            </w:pPr>
            <w:r>
              <w:t>Secondary/exploratory</w:t>
            </w:r>
            <w:r w:rsidR="00D6774D">
              <w:t xml:space="preserve">. </w:t>
            </w:r>
          </w:p>
          <w:p w14:paraId="7E213A70" w14:textId="77777777" w:rsidR="00504221" w:rsidRPr="00504221" w:rsidRDefault="00421454" w:rsidP="00EE280A">
            <w:pPr>
              <w:pStyle w:val="TableText0"/>
              <w:numPr>
                <w:ilvl w:val="0"/>
                <w:numId w:val="12"/>
              </w:numPr>
              <w:ind w:left="313" w:hanging="265"/>
            </w:pPr>
            <w:r w:rsidRPr="00504221">
              <w:t>p</w:t>
            </w:r>
            <w:r w:rsidR="00725137" w:rsidRPr="00504221">
              <w:t xml:space="preserve">ost-exercise LVOT peak </w:t>
            </w:r>
            <w:proofErr w:type="gramStart"/>
            <w:r w:rsidR="00725137" w:rsidRPr="00504221">
              <w:t>gradient</w:t>
            </w:r>
            <w:r w:rsidR="00916C95" w:rsidRPr="00504221">
              <w:t>;</w:t>
            </w:r>
            <w:proofErr w:type="gramEnd"/>
            <w:r w:rsidR="00725137" w:rsidRPr="00504221">
              <w:t xml:space="preserve"> </w:t>
            </w:r>
          </w:p>
          <w:p w14:paraId="5BCBE587" w14:textId="77777777" w:rsidR="00504221" w:rsidRPr="00504221" w:rsidRDefault="00725137" w:rsidP="00EE280A">
            <w:pPr>
              <w:pStyle w:val="TableText0"/>
              <w:numPr>
                <w:ilvl w:val="0"/>
                <w:numId w:val="12"/>
              </w:numPr>
              <w:ind w:left="313" w:hanging="265"/>
            </w:pPr>
            <w:proofErr w:type="gramStart"/>
            <w:r w:rsidRPr="00504221">
              <w:t>pVO</w:t>
            </w:r>
            <w:r w:rsidRPr="00504221">
              <w:rPr>
                <w:vertAlign w:val="subscript"/>
              </w:rPr>
              <w:t>2</w:t>
            </w:r>
            <w:r w:rsidR="00916C95" w:rsidRPr="00504221">
              <w:t>;</w:t>
            </w:r>
            <w:proofErr w:type="gramEnd"/>
          </w:p>
          <w:p w14:paraId="38315C36" w14:textId="77777777" w:rsidR="00504221" w:rsidRPr="00504221" w:rsidRDefault="00442D70" w:rsidP="00EE280A">
            <w:pPr>
              <w:pStyle w:val="TableText0"/>
              <w:numPr>
                <w:ilvl w:val="0"/>
                <w:numId w:val="12"/>
              </w:numPr>
              <w:ind w:left="313" w:hanging="265"/>
            </w:pPr>
            <w:r>
              <w:t xml:space="preserve">Change in </w:t>
            </w:r>
            <w:r w:rsidR="00725137" w:rsidRPr="00504221">
              <w:t>NYHA class</w:t>
            </w:r>
            <w:r w:rsidR="00421454" w:rsidRPr="00504221">
              <w:t>;</w:t>
            </w:r>
            <w:r w:rsidR="00725137" w:rsidRPr="00504221">
              <w:t xml:space="preserve"> and </w:t>
            </w:r>
          </w:p>
          <w:p w14:paraId="58AB5A3C" w14:textId="77777777" w:rsidR="006208BD" w:rsidRPr="00A36898" w:rsidRDefault="00725137" w:rsidP="00EE280A">
            <w:pPr>
              <w:pStyle w:val="TableText0"/>
              <w:numPr>
                <w:ilvl w:val="0"/>
                <w:numId w:val="12"/>
              </w:numPr>
              <w:ind w:left="313" w:hanging="265"/>
            </w:pPr>
            <w:r w:rsidRPr="00504221">
              <w:t>KCCQ-23 CSS</w:t>
            </w:r>
            <w:r w:rsidR="00A36898" w:rsidRPr="00504221">
              <w:t>.</w:t>
            </w:r>
            <w:r w:rsidR="00A36898">
              <w:t xml:space="preserve"> </w:t>
            </w:r>
          </w:p>
        </w:tc>
        <w:tc>
          <w:tcPr>
            <w:tcW w:w="522" w:type="pct"/>
            <w:shd w:val="clear" w:color="auto" w:fill="C6D9F1" w:themeFill="text2" w:themeFillTint="33"/>
            <w:vAlign w:val="center"/>
          </w:tcPr>
          <w:p w14:paraId="40B188BD" w14:textId="77777777" w:rsidR="006208BD" w:rsidRPr="00E2771E" w:rsidRDefault="006208BD" w:rsidP="00F774FD">
            <w:pPr>
              <w:pStyle w:val="TableText0"/>
              <w:jc w:val="center"/>
              <w:rPr>
                <w:lang w:val="en-US"/>
              </w:rPr>
            </w:pPr>
            <w:r>
              <w:rPr>
                <w:lang w:val="en-US"/>
              </w:rPr>
              <w:t>NYHA class</w:t>
            </w:r>
          </w:p>
        </w:tc>
      </w:tr>
      <w:tr w:rsidR="006208BD" w:rsidRPr="00BF5BC7" w14:paraId="5110B6E6" w14:textId="77777777" w:rsidTr="002B2849">
        <w:trPr>
          <w:cantSplit/>
        </w:trPr>
        <w:tc>
          <w:tcPr>
            <w:tcW w:w="626" w:type="pct"/>
            <w:shd w:val="clear" w:color="auto" w:fill="auto"/>
            <w:vAlign w:val="center"/>
          </w:tcPr>
          <w:p w14:paraId="6826FE2A" w14:textId="77777777" w:rsidR="006208BD" w:rsidRPr="00BF5BC7" w:rsidRDefault="006208BD" w:rsidP="00F774FD">
            <w:pPr>
              <w:pStyle w:val="TableText0"/>
              <w:rPr>
                <w:lang w:val="en-US"/>
              </w:rPr>
            </w:pPr>
            <w:r w:rsidRPr="00BF5BC7">
              <w:rPr>
                <w:lang w:val="en-US"/>
              </w:rPr>
              <w:t xml:space="preserve">MAVA-LTE (EXPLORER-LTE </w:t>
            </w:r>
            <w:proofErr w:type="gramStart"/>
            <w:r w:rsidRPr="00BF5BC7">
              <w:rPr>
                <w:lang w:val="en-US"/>
              </w:rPr>
              <w:t>cohort)</w:t>
            </w:r>
            <w:r w:rsidR="00413A1D" w:rsidRPr="00BF5BC7">
              <w:rPr>
                <w:vertAlign w:val="superscript"/>
                <w:lang w:val="en-US"/>
              </w:rPr>
              <w:t>b</w:t>
            </w:r>
            <w:proofErr w:type="gramEnd"/>
          </w:p>
        </w:tc>
        <w:tc>
          <w:tcPr>
            <w:tcW w:w="314" w:type="pct"/>
            <w:shd w:val="clear" w:color="auto" w:fill="auto"/>
            <w:vAlign w:val="center"/>
          </w:tcPr>
          <w:p w14:paraId="3AF1816D" w14:textId="77777777" w:rsidR="006208BD" w:rsidRPr="00BF5BC7" w:rsidRDefault="006208BD" w:rsidP="00F774FD">
            <w:pPr>
              <w:pStyle w:val="TableText0"/>
              <w:jc w:val="center"/>
              <w:rPr>
                <w:lang w:val="en-US"/>
              </w:rPr>
            </w:pPr>
            <w:r w:rsidRPr="00BF5BC7">
              <w:rPr>
                <w:lang w:val="en-US"/>
              </w:rPr>
              <w:t>231</w:t>
            </w:r>
          </w:p>
        </w:tc>
        <w:tc>
          <w:tcPr>
            <w:tcW w:w="630" w:type="pct"/>
            <w:shd w:val="clear" w:color="auto" w:fill="auto"/>
            <w:vAlign w:val="center"/>
          </w:tcPr>
          <w:p w14:paraId="5DFF0937" w14:textId="77777777" w:rsidR="006208BD" w:rsidRPr="00BF5BC7" w:rsidRDefault="00377C55" w:rsidP="00F774FD">
            <w:pPr>
              <w:pStyle w:val="TableText0"/>
              <w:jc w:val="center"/>
              <w:rPr>
                <w:lang w:val="en-US"/>
              </w:rPr>
            </w:pPr>
            <w:r w:rsidRPr="00BF5BC7">
              <w:t xml:space="preserve">LTE, </w:t>
            </w:r>
            <w:r w:rsidR="002C086B" w:rsidRPr="00BF5BC7">
              <w:t xml:space="preserve">blinded to </w:t>
            </w:r>
            <w:r w:rsidR="006F4A50" w:rsidRPr="00BF5BC7">
              <w:t xml:space="preserve">study </w:t>
            </w:r>
            <w:r w:rsidR="002C086B" w:rsidRPr="00BF5BC7">
              <w:t>dose</w:t>
            </w:r>
            <w:r w:rsidR="006208BD" w:rsidRPr="00BF5BC7">
              <w:t xml:space="preserve"> </w:t>
            </w:r>
            <w:r w:rsidR="006208BD" w:rsidRPr="00BF5BC7">
              <w:br/>
            </w:r>
            <w:r w:rsidR="00F95E3B" w:rsidRPr="00BF5BC7">
              <w:rPr>
                <w:iCs/>
              </w:rPr>
              <w:t>252</w:t>
            </w:r>
            <w:r w:rsidR="006208BD" w:rsidRPr="00BF5BC7">
              <w:rPr>
                <w:iCs/>
              </w:rPr>
              <w:t xml:space="preserve"> weeks</w:t>
            </w:r>
            <w:r w:rsidR="00F95E3B" w:rsidRPr="00BF5BC7">
              <w:rPr>
                <w:iCs/>
              </w:rPr>
              <w:t xml:space="preserve"> (ongoing)</w:t>
            </w:r>
            <w:r w:rsidR="008271EA" w:rsidRPr="00BF5BC7">
              <w:rPr>
                <w:iCs/>
                <w:vertAlign w:val="superscript"/>
              </w:rPr>
              <w:t>c</w:t>
            </w:r>
          </w:p>
        </w:tc>
        <w:tc>
          <w:tcPr>
            <w:tcW w:w="394" w:type="pct"/>
            <w:shd w:val="clear" w:color="auto" w:fill="auto"/>
            <w:vAlign w:val="center"/>
          </w:tcPr>
          <w:p w14:paraId="1C115BEC" w14:textId="77777777" w:rsidR="006208BD" w:rsidRPr="00BF5BC7" w:rsidRDefault="006208BD" w:rsidP="00F774FD">
            <w:pPr>
              <w:pStyle w:val="TableText0"/>
              <w:jc w:val="center"/>
              <w:rPr>
                <w:lang w:val="en-US"/>
              </w:rPr>
            </w:pPr>
            <w:r w:rsidRPr="00BF5BC7">
              <w:rPr>
                <w:lang w:val="en-US"/>
              </w:rPr>
              <w:t>Low-unclear</w:t>
            </w:r>
          </w:p>
        </w:tc>
        <w:tc>
          <w:tcPr>
            <w:tcW w:w="863" w:type="pct"/>
            <w:vMerge/>
            <w:shd w:val="clear" w:color="auto" w:fill="C6D9F1" w:themeFill="text2" w:themeFillTint="33"/>
            <w:vAlign w:val="center"/>
          </w:tcPr>
          <w:p w14:paraId="61003783" w14:textId="77777777" w:rsidR="006208BD" w:rsidRPr="00BF5BC7" w:rsidRDefault="006208BD" w:rsidP="00F774FD">
            <w:pPr>
              <w:pStyle w:val="TableText0"/>
              <w:jc w:val="center"/>
              <w:rPr>
                <w:lang w:val="en-US"/>
              </w:rPr>
            </w:pPr>
          </w:p>
        </w:tc>
        <w:tc>
          <w:tcPr>
            <w:tcW w:w="1651" w:type="pct"/>
            <w:shd w:val="clear" w:color="auto" w:fill="auto"/>
            <w:vAlign w:val="center"/>
          </w:tcPr>
          <w:p w14:paraId="605E8111" w14:textId="77777777" w:rsidR="00332CBB" w:rsidRPr="00BF5BC7" w:rsidRDefault="00332CBB" w:rsidP="00916C95">
            <w:pPr>
              <w:pStyle w:val="TableText0"/>
              <w:rPr>
                <w:lang w:val="en-US"/>
              </w:rPr>
            </w:pPr>
            <w:r w:rsidRPr="00BF5BC7">
              <w:rPr>
                <w:lang w:val="en-US"/>
              </w:rPr>
              <w:t xml:space="preserve">Primary: </w:t>
            </w:r>
            <w:proofErr w:type="gramStart"/>
            <w:r w:rsidRPr="00BF5BC7">
              <w:rPr>
                <w:lang w:val="en-US"/>
              </w:rPr>
              <w:t>s</w:t>
            </w:r>
            <w:r w:rsidR="006208BD" w:rsidRPr="00BF5BC7">
              <w:rPr>
                <w:lang w:val="en-US"/>
              </w:rPr>
              <w:t>afety;</w:t>
            </w:r>
            <w:proofErr w:type="gramEnd"/>
            <w:r w:rsidR="006208BD" w:rsidRPr="00BF5BC7">
              <w:rPr>
                <w:lang w:val="en-US"/>
              </w:rPr>
              <w:t xml:space="preserve"> </w:t>
            </w:r>
          </w:p>
          <w:p w14:paraId="248A5945" w14:textId="77777777" w:rsidR="00175177" w:rsidRPr="00BF5BC7" w:rsidRDefault="00175177" w:rsidP="00916C95">
            <w:pPr>
              <w:pStyle w:val="TableText0"/>
            </w:pPr>
            <w:r w:rsidRPr="00BF5BC7">
              <w:t>Secondary/exploratory</w:t>
            </w:r>
          </w:p>
          <w:p w14:paraId="6A8F7BB7" w14:textId="77777777" w:rsidR="006208BD" w:rsidRPr="00BF5BC7" w:rsidRDefault="001A7A03" w:rsidP="00EE280A">
            <w:pPr>
              <w:pStyle w:val="TableText0"/>
              <w:numPr>
                <w:ilvl w:val="0"/>
                <w:numId w:val="12"/>
              </w:numPr>
              <w:ind w:left="313" w:hanging="265"/>
              <w:rPr>
                <w:lang w:val="en-US"/>
              </w:rPr>
            </w:pPr>
            <w:r w:rsidRPr="00BF5BC7">
              <w:t>C</w:t>
            </w:r>
            <w:r w:rsidR="006208BD" w:rsidRPr="00BF5BC7">
              <w:t>hange</w:t>
            </w:r>
            <w:r w:rsidR="006208BD" w:rsidRPr="00BF5BC7">
              <w:rPr>
                <w:lang w:val="en-US"/>
              </w:rPr>
              <w:t xml:space="preserve"> in NYHA class</w:t>
            </w:r>
            <w:r w:rsidR="006338D3" w:rsidRPr="00BF5BC7">
              <w:rPr>
                <w:lang w:val="en-US"/>
              </w:rPr>
              <w:t xml:space="preserve">. </w:t>
            </w:r>
          </w:p>
        </w:tc>
        <w:tc>
          <w:tcPr>
            <w:tcW w:w="522" w:type="pct"/>
            <w:shd w:val="clear" w:color="auto" w:fill="auto"/>
            <w:vAlign w:val="center"/>
          </w:tcPr>
          <w:p w14:paraId="1D89F88B" w14:textId="5952808A" w:rsidR="006208BD" w:rsidRPr="00BF5BC7" w:rsidRDefault="00673179" w:rsidP="00F774FD">
            <w:pPr>
              <w:pStyle w:val="TableText0"/>
              <w:jc w:val="center"/>
              <w:rPr>
                <w:lang w:val="en-US"/>
              </w:rPr>
            </w:pPr>
            <w:r w:rsidRPr="00BF5BC7">
              <w:rPr>
                <w:lang w:val="en-US"/>
              </w:rPr>
              <w:t>NYHA class</w:t>
            </w:r>
            <w:r w:rsidR="003C0258" w:rsidRPr="00BF5BC7">
              <w:rPr>
                <w:vertAlign w:val="superscript"/>
                <w:lang w:val="en-US"/>
              </w:rPr>
              <w:t>d</w:t>
            </w:r>
            <w:r w:rsidRPr="00BF5BC7">
              <w:rPr>
                <w:lang w:val="en-US"/>
              </w:rPr>
              <w:t xml:space="preserve">  </w:t>
            </w:r>
          </w:p>
        </w:tc>
      </w:tr>
      <w:tr w:rsidR="00F460C5" w:rsidRPr="00BF5BC7" w14:paraId="6C4C2B23" w14:textId="77777777" w:rsidTr="006F4A50">
        <w:trPr>
          <w:cantSplit/>
        </w:trPr>
        <w:tc>
          <w:tcPr>
            <w:tcW w:w="626" w:type="pct"/>
            <w:shd w:val="clear" w:color="auto" w:fill="auto"/>
            <w:vAlign w:val="center"/>
          </w:tcPr>
          <w:p w14:paraId="09457D8F" w14:textId="77777777" w:rsidR="00636080" w:rsidRPr="00BF5BC7" w:rsidRDefault="00522FFB" w:rsidP="00F774FD">
            <w:pPr>
              <w:pStyle w:val="TableText0"/>
              <w:rPr>
                <w:lang w:val="en-US"/>
              </w:rPr>
            </w:pPr>
            <w:r w:rsidRPr="00BF5BC7">
              <w:rPr>
                <w:lang w:val="en-US"/>
              </w:rPr>
              <w:t>VALOR-HCM</w:t>
            </w:r>
          </w:p>
        </w:tc>
        <w:tc>
          <w:tcPr>
            <w:tcW w:w="314" w:type="pct"/>
            <w:shd w:val="clear" w:color="auto" w:fill="auto"/>
            <w:vAlign w:val="center"/>
          </w:tcPr>
          <w:p w14:paraId="49EE8EEC" w14:textId="77777777" w:rsidR="00636080" w:rsidRPr="00BF5BC7" w:rsidRDefault="00697145" w:rsidP="00F774FD">
            <w:pPr>
              <w:pStyle w:val="TableText0"/>
              <w:jc w:val="center"/>
              <w:rPr>
                <w:lang w:val="en-US"/>
              </w:rPr>
            </w:pPr>
            <w:r w:rsidRPr="00BF5BC7">
              <w:rPr>
                <w:lang w:val="en-US"/>
              </w:rPr>
              <w:t>1</w:t>
            </w:r>
            <w:r w:rsidR="00C95C58" w:rsidRPr="00BF5BC7">
              <w:rPr>
                <w:lang w:val="en-US"/>
              </w:rPr>
              <w:t>12</w:t>
            </w:r>
          </w:p>
        </w:tc>
        <w:tc>
          <w:tcPr>
            <w:tcW w:w="630" w:type="pct"/>
            <w:shd w:val="clear" w:color="auto" w:fill="auto"/>
            <w:vAlign w:val="center"/>
          </w:tcPr>
          <w:p w14:paraId="5FEDC182" w14:textId="763E2B1E" w:rsidR="00636080" w:rsidRPr="00BF5BC7" w:rsidRDefault="00C95C58" w:rsidP="00F774FD">
            <w:pPr>
              <w:pStyle w:val="TableText0"/>
              <w:jc w:val="center"/>
              <w:rPr>
                <w:lang w:val="en-US"/>
              </w:rPr>
            </w:pPr>
            <w:r w:rsidRPr="00BF5BC7">
              <w:t xml:space="preserve">MC, R, DB </w:t>
            </w:r>
            <w:r w:rsidR="006208BD" w:rsidRPr="00BF5BC7">
              <w:br/>
            </w:r>
            <w:r w:rsidR="006208BD" w:rsidRPr="00BF5BC7">
              <w:rPr>
                <w:iCs/>
              </w:rPr>
              <w:t>32</w:t>
            </w:r>
            <w:r w:rsidRPr="00BF5BC7">
              <w:rPr>
                <w:iCs/>
              </w:rPr>
              <w:t xml:space="preserve"> weeks</w:t>
            </w:r>
            <w:r w:rsidR="003C0258" w:rsidRPr="00BF5BC7">
              <w:rPr>
                <w:iCs/>
                <w:vertAlign w:val="superscript"/>
              </w:rPr>
              <w:t>e</w:t>
            </w:r>
          </w:p>
        </w:tc>
        <w:tc>
          <w:tcPr>
            <w:tcW w:w="394" w:type="pct"/>
            <w:shd w:val="clear" w:color="auto" w:fill="auto"/>
            <w:vAlign w:val="center"/>
          </w:tcPr>
          <w:p w14:paraId="3F2586E5" w14:textId="77777777" w:rsidR="00636080" w:rsidRPr="00BF5BC7" w:rsidRDefault="00636080" w:rsidP="00F774FD">
            <w:pPr>
              <w:pStyle w:val="TableText0"/>
              <w:jc w:val="center"/>
              <w:rPr>
                <w:lang w:val="en-US"/>
              </w:rPr>
            </w:pPr>
            <w:r w:rsidRPr="00BF5BC7">
              <w:rPr>
                <w:lang w:val="en-US"/>
              </w:rPr>
              <w:t>Low</w:t>
            </w:r>
          </w:p>
        </w:tc>
        <w:tc>
          <w:tcPr>
            <w:tcW w:w="863" w:type="pct"/>
            <w:shd w:val="clear" w:color="auto" w:fill="auto"/>
            <w:vAlign w:val="center"/>
          </w:tcPr>
          <w:p w14:paraId="1DB4E3E6" w14:textId="77777777" w:rsidR="00636080" w:rsidRPr="00BF5BC7" w:rsidRDefault="001274DB" w:rsidP="00F774FD">
            <w:pPr>
              <w:pStyle w:val="TableText0"/>
              <w:jc w:val="center"/>
            </w:pPr>
            <w:r w:rsidRPr="00BF5BC7">
              <w:t xml:space="preserve">Symptomatic obstructive HCM NYHA II-IV and </w:t>
            </w:r>
            <w:r w:rsidRPr="00BF5BC7">
              <w:br/>
              <w:t>LVOT ≥ 50 mmHg</w:t>
            </w:r>
          </w:p>
          <w:p w14:paraId="3F97A6D4" w14:textId="77777777" w:rsidR="00166541" w:rsidRPr="00BF5BC7" w:rsidRDefault="006A0E5B" w:rsidP="00F774FD">
            <w:pPr>
              <w:pStyle w:val="TableText0"/>
              <w:jc w:val="center"/>
              <w:rPr>
                <w:lang w:val="en-US"/>
              </w:rPr>
            </w:pPr>
            <w:r w:rsidRPr="00BF5BC7">
              <w:t>r</w:t>
            </w:r>
            <w:r w:rsidR="00166541" w:rsidRPr="00BF5BC7">
              <w:t>eferred for SRT</w:t>
            </w:r>
          </w:p>
        </w:tc>
        <w:tc>
          <w:tcPr>
            <w:tcW w:w="1651" w:type="pct"/>
            <w:shd w:val="clear" w:color="auto" w:fill="auto"/>
            <w:vAlign w:val="center"/>
          </w:tcPr>
          <w:p w14:paraId="37E7D64D" w14:textId="77777777" w:rsidR="00636080" w:rsidRPr="00BF5BC7" w:rsidRDefault="00166541" w:rsidP="00365577">
            <w:pPr>
              <w:pStyle w:val="TableText0"/>
              <w:rPr>
                <w:rFonts w:eastAsia="Times New Roman" w:cstheme="minorHAnsi"/>
                <w:bCs w:val="0"/>
                <w:iCs/>
                <w:szCs w:val="20"/>
              </w:rPr>
            </w:pPr>
            <w:r w:rsidRPr="00BF5BC7">
              <w:rPr>
                <w:lang w:val="en-US"/>
              </w:rPr>
              <w:t xml:space="preserve">Primary composite effectiveness </w:t>
            </w:r>
            <w:proofErr w:type="gramStart"/>
            <w:r w:rsidRPr="00BF5BC7">
              <w:rPr>
                <w:lang w:val="en-US"/>
              </w:rPr>
              <w:t>outcome;</w:t>
            </w:r>
            <w:proofErr w:type="gramEnd"/>
            <w:r w:rsidRPr="00BF5BC7">
              <w:rPr>
                <w:lang w:val="en-US"/>
              </w:rPr>
              <w:t xml:space="preserve"> </w:t>
            </w:r>
            <w:r w:rsidRPr="00BF5BC7">
              <w:rPr>
                <w:rFonts w:eastAsia="Times New Roman" w:cstheme="minorHAnsi"/>
                <w:bCs w:val="0"/>
                <w:iCs/>
                <w:szCs w:val="20"/>
              </w:rPr>
              <w:t>Patients (%) proceeding with SRT or who remained guideline-eligible after 16 weeks treatment</w:t>
            </w:r>
            <w:r w:rsidR="00175177" w:rsidRPr="00BF5BC7">
              <w:rPr>
                <w:rFonts w:eastAsia="Times New Roman" w:cstheme="minorHAnsi"/>
                <w:bCs w:val="0"/>
                <w:iCs/>
                <w:szCs w:val="20"/>
              </w:rPr>
              <w:t xml:space="preserve">. </w:t>
            </w:r>
          </w:p>
          <w:p w14:paraId="54152628" w14:textId="77777777" w:rsidR="00175177" w:rsidRPr="00BF5BC7" w:rsidRDefault="00175177" w:rsidP="00365577">
            <w:pPr>
              <w:pStyle w:val="TableText0"/>
            </w:pPr>
            <w:r w:rsidRPr="00BF5BC7">
              <w:t>Secondary/exploratory</w:t>
            </w:r>
            <w:r w:rsidR="00D6774D" w:rsidRPr="00BF5BC7">
              <w:t>:</w:t>
            </w:r>
          </w:p>
          <w:p w14:paraId="4A65B2BC" w14:textId="77777777" w:rsidR="00190A72" w:rsidRPr="00BF5BC7" w:rsidRDefault="00190A72" w:rsidP="00EE280A">
            <w:pPr>
              <w:pStyle w:val="TableText0"/>
              <w:numPr>
                <w:ilvl w:val="0"/>
                <w:numId w:val="12"/>
              </w:numPr>
              <w:ind w:left="313" w:hanging="265"/>
              <w:rPr>
                <w:iCs/>
              </w:rPr>
            </w:pPr>
            <w:r w:rsidRPr="00BF5BC7">
              <w:rPr>
                <w:iCs/>
              </w:rPr>
              <w:t xml:space="preserve">Post-exercise LVOT peak </w:t>
            </w:r>
            <w:proofErr w:type="gramStart"/>
            <w:r w:rsidRPr="00BF5BC7">
              <w:rPr>
                <w:iCs/>
              </w:rPr>
              <w:t>gradient</w:t>
            </w:r>
            <w:r w:rsidR="001A7A03" w:rsidRPr="00BF5BC7">
              <w:rPr>
                <w:iCs/>
              </w:rPr>
              <w:t>;</w:t>
            </w:r>
            <w:proofErr w:type="gramEnd"/>
          </w:p>
          <w:p w14:paraId="3A86A6D8" w14:textId="77777777" w:rsidR="00190A72" w:rsidRPr="00BF5BC7" w:rsidRDefault="001A7A03" w:rsidP="00EE280A">
            <w:pPr>
              <w:pStyle w:val="TableText0"/>
              <w:numPr>
                <w:ilvl w:val="0"/>
                <w:numId w:val="12"/>
              </w:numPr>
              <w:ind w:left="313" w:hanging="265"/>
              <w:rPr>
                <w:iCs/>
              </w:rPr>
            </w:pPr>
            <w:r w:rsidRPr="00BF5BC7">
              <w:rPr>
                <w:iCs/>
              </w:rPr>
              <w:t xml:space="preserve">Change in </w:t>
            </w:r>
            <w:r w:rsidR="0088632B" w:rsidRPr="00BF5BC7">
              <w:rPr>
                <w:iCs/>
              </w:rPr>
              <w:t>NYHA</w:t>
            </w:r>
            <w:r w:rsidRPr="00BF5BC7">
              <w:rPr>
                <w:iCs/>
              </w:rPr>
              <w:t xml:space="preserve"> </w:t>
            </w:r>
            <w:proofErr w:type="gramStart"/>
            <w:r w:rsidR="00190A72" w:rsidRPr="00BF5BC7">
              <w:rPr>
                <w:iCs/>
              </w:rPr>
              <w:t>class</w:t>
            </w:r>
            <w:r w:rsidRPr="00BF5BC7">
              <w:rPr>
                <w:iCs/>
              </w:rPr>
              <w:t>;</w:t>
            </w:r>
            <w:proofErr w:type="gramEnd"/>
          </w:p>
          <w:p w14:paraId="5ABB906C" w14:textId="77777777" w:rsidR="00190A72" w:rsidRPr="00BF5BC7" w:rsidRDefault="00190A72" w:rsidP="00EE280A">
            <w:pPr>
              <w:pStyle w:val="TableText0"/>
              <w:numPr>
                <w:ilvl w:val="0"/>
                <w:numId w:val="12"/>
              </w:numPr>
              <w:ind w:left="313" w:hanging="265"/>
              <w:rPr>
                <w:iCs/>
              </w:rPr>
            </w:pPr>
            <w:r w:rsidRPr="00BF5BC7">
              <w:rPr>
                <w:iCs/>
              </w:rPr>
              <w:t>KCCQ-23 CSS</w:t>
            </w:r>
            <w:r w:rsidR="001A7A03" w:rsidRPr="00BF5BC7">
              <w:rPr>
                <w:iCs/>
              </w:rPr>
              <w:t xml:space="preserve">. </w:t>
            </w:r>
          </w:p>
        </w:tc>
        <w:tc>
          <w:tcPr>
            <w:tcW w:w="522" w:type="pct"/>
            <w:shd w:val="clear" w:color="auto" w:fill="auto"/>
            <w:vAlign w:val="center"/>
          </w:tcPr>
          <w:p w14:paraId="68A064E9" w14:textId="77777777" w:rsidR="00636080" w:rsidRPr="00BF5BC7" w:rsidRDefault="00636080" w:rsidP="00F774FD">
            <w:pPr>
              <w:pStyle w:val="TableText0"/>
              <w:jc w:val="center"/>
              <w:rPr>
                <w:lang w:val="en-US"/>
              </w:rPr>
            </w:pPr>
            <w:r w:rsidRPr="00BF5BC7">
              <w:rPr>
                <w:lang w:val="en-US"/>
              </w:rPr>
              <w:t>Not used</w:t>
            </w:r>
          </w:p>
        </w:tc>
      </w:tr>
    </w:tbl>
    <w:p w14:paraId="411FDE84" w14:textId="3DD7232D" w:rsidR="0006309F" w:rsidRPr="00501AB8" w:rsidRDefault="00636080" w:rsidP="0006309F">
      <w:pPr>
        <w:pStyle w:val="FooterTableFigure"/>
      </w:pPr>
      <w:r w:rsidRPr="0006309F">
        <w:t>Source</w:t>
      </w:r>
      <w:r w:rsidR="000F52DC" w:rsidRPr="0006309F">
        <w:t xml:space="preserve">: </w:t>
      </w:r>
      <w:r w:rsidR="0006309F" w:rsidRPr="00BF5BC7">
        <w:rPr>
          <w:iCs/>
        </w:rPr>
        <w:t xml:space="preserve">Compiled during the evaluation using Table 32, p 74 and Table 33, p74-75 of the November 2022 submission; MAVA-LTE, NCT03723655 (URL: </w:t>
      </w:r>
      <w:hyperlink r:id="rId9" w:history="1">
        <w:r w:rsidR="0006309F" w:rsidRPr="00BF5BC7">
          <w:rPr>
            <w:rStyle w:val="Hyperlink"/>
            <w:iCs/>
          </w:rPr>
          <w:t>https://clinicaltrials.gov/ct2/show/NCT03723655</w:t>
        </w:r>
      </w:hyperlink>
      <w:r w:rsidR="0006309F" w:rsidRPr="00BF5BC7">
        <w:rPr>
          <w:iCs/>
        </w:rPr>
        <w:t xml:space="preserve">), MAVA-LTE CSR table of contents; VALOR-HCM CSR Table 2-1 pp30-31. </w:t>
      </w:r>
      <w:r w:rsidR="0006309F">
        <w:t>For design and duration, see Table 26, p 67 and Table 29, p70 of the November 2022 submission; Table 20 p44, p43 of the resubmission; MAVA-LTE, Wheeler 2023 p262; VALOR-CSR p32, p35, Table 6.1.1-1 p75, Table 6.2.1-1 p77.</w:t>
      </w:r>
    </w:p>
    <w:p w14:paraId="7EA85114" w14:textId="77777777" w:rsidR="00B8394A" w:rsidRPr="00B8394A" w:rsidRDefault="00B8394A" w:rsidP="00B8394A">
      <w:pPr>
        <w:pStyle w:val="FooterTableFigure"/>
      </w:pPr>
      <w:bookmarkStart w:id="44" w:name="_Hlk132560335"/>
      <w:r w:rsidRPr="00B8394A">
        <w:t>AE = adverse event; BB= beta-blocker; CCB= calcium channel blocker; DB = double blind; HCM = hypertrophic cardiomyopathy; KCCQ-23 CSS = Kansas City Cardiomyopathy Questionnaire Clinical Summary Score; LTE = long term extension; LVOT = left ventricular outflow tract; MC = multi-centre; NYHA = New York Health Association; R = randomised; SAE = serious adverse event; SRT = Septal Reduction Therapy.</w:t>
      </w:r>
    </w:p>
    <w:bookmarkEnd w:id="44"/>
    <w:p w14:paraId="1A3B7862" w14:textId="77777777" w:rsidR="006208BD" w:rsidRPr="00B8394A" w:rsidRDefault="00AF3CC1" w:rsidP="00636080">
      <w:pPr>
        <w:pStyle w:val="FooterTableFigure"/>
      </w:pPr>
      <w:r w:rsidRPr="00B8394A">
        <w:rPr>
          <w:vertAlign w:val="superscript"/>
        </w:rPr>
        <w:t>a</w:t>
      </w:r>
      <w:r w:rsidRPr="00B8394A">
        <w:t xml:space="preserve"> proportion of patients who achieved either an improvement of ≥1.5 mL/kg/min in pVO</w:t>
      </w:r>
      <w:r w:rsidRPr="00B8394A">
        <w:rPr>
          <w:vertAlign w:val="subscript"/>
        </w:rPr>
        <w:t>2</w:t>
      </w:r>
      <w:r w:rsidRPr="00B8394A">
        <w:t xml:space="preserve"> as determined by cardiopulmonary exercise testing and a reduction ≥1 NYHA class OR an improvement of ≥3.0 mL/kg/in in pVO</w:t>
      </w:r>
      <w:r w:rsidRPr="00B8394A">
        <w:rPr>
          <w:vertAlign w:val="subscript"/>
        </w:rPr>
        <w:t>2</w:t>
      </w:r>
      <w:r w:rsidRPr="00B8394A">
        <w:t xml:space="preserve"> with no worsening in NYHA </w:t>
      </w:r>
      <w:proofErr w:type="gramStart"/>
      <w:r w:rsidRPr="00B8394A">
        <w:t>class</w:t>
      </w:r>
      <w:r w:rsidR="006208BD" w:rsidRPr="00B8394A">
        <w:t>;</w:t>
      </w:r>
      <w:proofErr w:type="gramEnd"/>
      <w:r w:rsidRPr="00B8394A">
        <w:t xml:space="preserve"> </w:t>
      </w:r>
    </w:p>
    <w:p w14:paraId="768614DA" w14:textId="77777777" w:rsidR="00166541" w:rsidRPr="00B8394A" w:rsidRDefault="00AF3CC1" w:rsidP="00636080">
      <w:pPr>
        <w:pStyle w:val="FooterTableFigure"/>
      </w:pPr>
      <w:r w:rsidRPr="00B8394A">
        <w:rPr>
          <w:vertAlign w:val="superscript"/>
        </w:rPr>
        <w:t>b</w:t>
      </w:r>
      <w:r w:rsidRPr="00B8394A">
        <w:t xml:space="preserve"> </w:t>
      </w:r>
      <w:r w:rsidR="009D3B70" w:rsidRPr="00B8394A">
        <w:t xml:space="preserve">MAVA-LTE is the long-term </w:t>
      </w:r>
      <w:r w:rsidR="00413A1D" w:rsidRPr="00B8394A">
        <w:t>extension study for patients enrolled in EXPLORER-HCM</w:t>
      </w:r>
      <w:r w:rsidR="009D3B70" w:rsidRPr="00B8394A">
        <w:t xml:space="preserve">. </w:t>
      </w:r>
    </w:p>
    <w:p w14:paraId="10DAD374" w14:textId="77777777" w:rsidR="008271EA" w:rsidRPr="00B8394A" w:rsidRDefault="003133BE" w:rsidP="00636080">
      <w:pPr>
        <w:pStyle w:val="FooterTableFigure"/>
      </w:pPr>
      <w:r w:rsidRPr="00B8394A">
        <w:rPr>
          <w:vertAlign w:val="superscript"/>
        </w:rPr>
        <w:t>c</w:t>
      </w:r>
      <w:r w:rsidR="008271EA" w:rsidRPr="00B8394A">
        <w:t xml:space="preserve"> MAVA-LTE </w:t>
      </w:r>
      <w:r w:rsidR="002B16FD" w:rsidRPr="00B8394A">
        <w:t>is ongoing</w:t>
      </w:r>
      <w:r w:rsidR="003B7D99" w:rsidRPr="00B8394A">
        <w:t xml:space="preserve"> with estimated completion date 16 April 2026.</w:t>
      </w:r>
      <w:r w:rsidR="002B16FD" w:rsidRPr="00B8394A">
        <w:t xml:space="preserve"> The </w:t>
      </w:r>
      <w:r w:rsidR="008271EA" w:rsidRPr="00B8394A">
        <w:t xml:space="preserve">mean duration of </w:t>
      </w:r>
      <w:r w:rsidRPr="00B8394A">
        <w:t xml:space="preserve">treatment is: </w:t>
      </w:r>
      <w:r w:rsidR="008271EA" w:rsidRPr="00B8394A">
        <w:t>110.3 weeks</w:t>
      </w:r>
      <w:r w:rsidRPr="00B8394A">
        <w:t xml:space="preserve">. </w:t>
      </w:r>
      <w:r w:rsidR="002873F7" w:rsidRPr="00B8394A">
        <w:t>Results from interim CSR reported for d</w:t>
      </w:r>
      <w:r w:rsidR="00CE5C9D" w:rsidRPr="00B8394A">
        <w:t>ata cut-off</w:t>
      </w:r>
      <w:r w:rsidR="002873F7" w:rsidRPr="00B8394A">
        <w:t xml:space="preserve">, 31 May 2022. </w:t>
      </w:r>
    </w:p>
    <w:p w14:paraId="6DBAE367" w14:textId="77777777" w:rsidR="003C0258" w:rsidRDefault="006042A0" w:rsidP="003C0258">
      <w:pPr>
        <w:pStyle w:val="FooterTableFigure"/>
      </w:pPr>
      <w:r w:rsidRPr="005F25C8">
        <w:rPr>
          <w:vertAlign w:val="superscript"/>
        </w:rPr>
        <w:t>d</w:t>
      </w:r>
      <w:r w:rsidRPr="00B8394A">
        <w:t xml:space="preserve"> </w:t>
      </w:r>
      <w:r w:rsidR="003C0258">
        <w:t xml:space="preserve">Transition probabilities for BB/CCB monotherapy between Week 30 of EXPLORER-HCM and Week 46, which was the start of the extension study MAVA-LTE, were also applied to the economic model as a sensitivity analysis in the modelled evaluation.  </w:t>
      </w:r>
    </w:p>
    <w:p w14:paraId="35EEBE1E" w14:textId="4330DB5D" w:rsidR="00381288" w:rsidRDefault="003C0258" w:rsidP="00636080">
      <w:pPr>
        <w:pStyle w:val="FooterTableFigure"/>
      </w:pPr>
      <w:r>
        <w:rPr>
          <w:vertAlign w:val="superscript"/>
        </w:rPr>
        <w:t xml:space="preserve">e </w:t>
      </w:r>
      <w:r w:rsidR="006042A0" w:rsidRPr="00B8394A">
        <w:t>VALOR-HCM</w:t>
      </w:r>
      <w:r w:rsidR="0073101E" w:rsidRPr="00B8394A">
        <w:t xml:space="preserve"> long term extension </w:t>
      </w:r>
      <w:r w:rsidR="006042A0" w:rsidRPr="00B8394A">
        <w:t>is still ongoing</w:t>
      </w:r>
      <w:r w:rsidR="0073101E" w:rsidRPr="00B8394A">
        <w:t xml:space="preserve"> (duration of treatment expected to be </w:t>
      </w:r>
      <w:r w:rsidR="005E430E" w:rsidRPr="00B8394A">
        <w:t xml:space="preserve">128 </w:t>
      </w:r>
      <w:r w:rsidR="0073101E" w:rsidRPr="00B8394A">
        <w:t>weeks)</w:t>
      </w:r>
      <w:r w:rsidR="006042A0" w:rsidRPr="00B8394A">
        <w:t xml:space="preserve">. Results for outcomes have been presented </w:t>
      </w:r>
      <w:r w:rsidR="0073101E" w:rsidRPr="00B8394A">
        <w:t>to Week 32.</w:t>
      </w:r>
      <w:r w:rsidR="0073101E">
        <w:t xml:space="preserve"> </w:t>
      </w:r>
    </w:p>
    <w:p w14:paraId="2300487C" w14:textId="77777777" w:rsidR="00117DDB" w:rsidRDefault="00117DDB" w:rsidP="00636080">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5CE990BE" w14:textId="20C69F72" w:rsidR="00B0084C" w:rsidRPr="008B26F8" w:rsidRDefault="00B0084C" w:rsidP="00E05A2C">
      <w:pPr>
        <w:pStyle w:val="3-BodyText"/>
      </w:pPr>
      <w:r w:rsidRPr="00BF5BC7">
        <w:rPr>
          <w:iCs/>
        </w:rPr>
        <w:t xml:space="preserve">During the November 2022 evaluation, it was observed that </w:t>
      </w:r>
      <w:r w:rsidR="00FC626C" w:rsidRPr="00BF5BC7">
        <w:rPr>
          <w:iCs/>
        </w:rPr>
        <w:t>the PBAC had not previously considered peak oxygen consumption (pVO</w:t>
      </w:r>
      <w:r w:rsidR="00FC626C" w:rsidRPr="00BF5BC7">
        <w:rPr>
          <w:iCs/>
          <w:vertAlign w:val="subscript"/>
        </w:rPr>
        <w:t>2</w:t>
      </w:r>
      <w:r w:rsidR="00FC626C" w:rsidRPr="00BF5BC7">
        <w:rPr>
          <w:iCs/>
        </w:rPr>
        <w:t>) as a surrogate outcome for quality of life (QoL) measures and survival and that the submission did not systematically justify pVO</w:t>
      </w:r>
      <w:r w:rsidR="00FC626C" w:rsidRPr="00BF5BC7">
        <w:rPr>
          <w:iCs/>
          <w:vertAlign w:val="subscript"/>
        </w:rPr>
        <w:t>2</w:t>
      </w:r>
      <w:r w:rsidR="00FC626C" w:rsidRPr="00BF5BC7">
        <w:rPr>
          <w:iCs/>
        </w:rPr>
        <w:t xml:space="preserve"> as a surrogate outcome as per Appendix 5 of the PBAC guidelines (version 5.0). </w:t>
      </w:r>
      <w:r w:rsidR="00FF7671" w:rsidRPr="00BF5BC7">
        <w:rPr>
          <w:iCs/>
        </w:rPr>
        <w:t>T</w:t>
      </w:r>
      <w:r w:rsidRPr="00BF5BC7">
        <w:rPr>
          <w:iCs/>
        </w:rPr>
        <w:t xml:space="preserve">he ESC was </w:t>
      </w:r>
      <w:r w:rsidR="002100FB">
        <w:rPr>
          <w:iCs/>
        </w:rPr>
        <w:t xml:space="preserve">previously </w:t>
      </w:r>
      <w:r w:rsidRPr="00BF5BC7">
        <w:rPr>
          <w:iCs/>
        </w:rPr>
        <w:t>satisfied that pVO</w:t>
      </w:r>
      <w:r w:rsidRPr="00BF5BC7">
        <w:rPr>
          <w:iCs/>
          <w:vertAlign w:val="subscript"/>
        </w:rPr>
        <w:t>2</w:t>
      </w:r>
      <w:r w:rsidRPr="00BF5BC7">
        <w:rPr>
          <w:iCs/>
        </w:rPr>
        <w:t xml:space="preserve"> was a reasonable and reproducible measure of exercise capacity and hence potential functional benefit, although not of a mortality benefit in this population (</w:t>
      </w:r>
      <w:r w:rsidR="00C41F11" w:rsidRPr="00BF5BC7">
        <w:rPr>
          <w:iCs/>
        </w:rPr>
        <w:t xml:space="preserve">para. 6.15, </w:t>
      </w:r>
      <w:r w:rsidRPr="00BF5BC7">
        <w:rPr>
          <w:iCs/>
        </w:rPr>
        <w:t>mavacamten</w:t>
      </w:r>
      <w:r w:rsidR="00C41F11" w:rsidRPr="00BF5BC7">
        <w:rPr>
          <w:iCs/>
        </w:rPr>
        <w:t>,</w:t>
      </w:r>
      <w:r w:rsidRPr="00BF5BC7">
        <w:rPr>
          <w:iCs/>
        </w:rPr>
        <w:t xml:space="preserve"> P</w:t>
      </w:r>
      <w:r w:rsidR="00C41F11" w:rsidRPr="00BF5BC7">
        <w:rPr>
          <w:iCs/>
        </w:rPr>
        <w:t xml:space="preserve">ublic </w:t>
      </w:r>
      <w:r w:rsidRPr="00BF5BC7">
        <w:rPr>
          <w:iCs/>
        </w:rPr>
        <w:t>S</w:t>
      </w:r>
      <w:r w:rsidR="00C41F11" w:rsidRPr="00BF5BC7">
        <w:rPr>
          <w:iCs/>
        </w:rPr>
        <w:t xml:space="preserve">ummary </w:t>
      </w:r>
      <w:r w:rsidRPr="00BF5BC7">
        <w:rPr>
          <w:iCs/>
        </w:rPr>
        <w:t>D</w:t>
      </w:r>
      <w:r w:rsidR="00C41F11" w:rsidRPr="00BF5BC7">
        <w:rPr>
          <w:iCs/>
        </w:rPr>
        <w:t>ocument,</w:t>
      </w:r>
      <w:r w:rsidRPr="00BF5BC7">
        <w:rPr>
          <w:iCs/>
        </w:rPr>
        <w:t xml:space="preserve"> November 2022</w:t>
      </w:r>
      <w:r w:rsidR="00C41F11" w:rsidRPr="00BF5BC7">
        <w:rPr>
          <w:iCs/>
        </w:rPr>
        <w:t xml:space="preserve"> PBAC meeting</w:t>
      </w:r>
      <w:r w:rsidRPr="00BF5BC7">
        <w:rPr>
          <w:iCs/>
        </w:rPr>
        <w:t>).</w:t>
      </w:r>
    </w:p>
    <w:p w14:paraId="07629EBF" w14:textId="6532BDAB" w:rsidR="006E5114" w:rsidRPr="00BF5BC7" w:rsidRDefault="00B0084C" w:rsidP="00A76D83">
      <w:pPr>
        <w:pStyle w:val="3-BodyText"/>
        <w:rPr>
          <w:iCs/>
        </w:rPr>
      </w:pPr>
      <w:r w:rsidRPr="00D73C29">
        <w:lastRenderedPageBreak/>
        <w:t xml:space="preserve">The resubmission </w:t>
      </w:r>
      <w:proofErr w:type="gramStart"/>
      <w:r w:rsidRPr="00D73C29">
        <w:t>stated  that</w:t>
      </w:r>
      <w:proofErr w:type="gramEnd"/>
      <w:r w:rsidRPr="00D73C29">
        <w:t xml:space="preserve"> a targeted literature search </w:t>
      </w:r>
      <w:r w:rsidR="00455260">
        <w:t xml:space="preserve">was conducted </w:t>
      </w:r>
      <w:r w:rsidR="00DD7364">
        <w:t>which identified</w:t>
      </w:r>
      <w:r w:rsidRPr="00D73C29">
        <w:t xml:space="preserve"> seven publications (Fiuza</w:t>
      </w:r>
      <w:r w:rsidR="00117DDB">
        <w:t>t</w:t>
      </w:r>
      <w:r w:rsidRPr="00D73C29">
        <w:t xml:space="preserve"> et al., 2020</w:t>
      </w:r>
      <w:r w:rsidR="00C52A32">
        <w:rPr>
          <w:rStyle w:val="FootnoteReference"/>
        </w:rPr>
        <w:footnoteReference w:id="3"/>
      </w:r>
      <w:r w:rsidRPr="00D73C29">
        <w:t>; Karapolat et al., 2008</w:t>
      </w:r>
      <w:r w:rsidR="000B72F5">
        <w:rPr>
          <w:rStyle w:val="FootnoteReference"/>
        </w:rPr>
        <w:footnoteReference w:id="4"/>
      </w:r>
      <w:r w:rsidRPr="00D73C29">
        <w:t xml:space="preserve">; </w:t>
      </w:r>
      <w:r w:rsidR="005F1CC4" w:rsidRPr="005F1CC4">
        <w:t>Sarcomeric Human Cardiomyopathy Registry (</w:t>
      </w:r>
      <w:r w:rsidRPr="00D73C29">
        <w:t>SHaRe</w:t>
      </w:r>
      <w:r w:rsidR="005F1CC4">
        <w:t>)</w:t>
      </w:r>
      <w:r w:rsidRPr="00D73C29">
        <w:t>, Tompkins et al., 2018</w:t>
      </w:r>
      <w:r w:rsidR="00460E23">
        <w:rPr>
          <w:rStyle w:val="FootnoteReference"/>
        </w:rPr>
        <w:footnoteReference w:id="5"/>
      </w:r>
      <w:r w:rsidRPr="00D73C29">
        <w:t>; Bennett et al., 2002</w:t>
      </w:r>
      <w:r w:rsidR="00C24092">
        <w:rPr>
          <w:rStyle w:val="FootnoteReference"/>
        </w:rPr>
        <w:footnoteReference w:id="6"/>
      </w:r>
      <w:r w:rsidRPr="00D73C29">
        <w:t>; S</w:t>
      </w:r>
      <w:r w:rsidR="00455260">
        <w:t>H</w:t>
      </w:r>
      <w:r w:rsidRPr="00D73C29">
        <w:t>aRe, Lakdawala et al., 2022</w:t>
      </w:r>
      <w:r w:rsidR="000C40CC">
        <w:rPr>
          <w:rStyle w:val="FootnoteReference"/>
        </w:rPr>
        <w:footnoteReference w:id="7"/>
      </w:r>
      <w:r w:rsidRPr="00D73C29">
        <w:t>; Gallagher et al., 2019</w:t>
      </w:r>
      <w:r w:rsidR="005A41C5">
        <w:rPr>
          <w:rStyle w:val="FootnoteReference"/>
        </w:rPr>
        <w:footnoteReference w:id="8"/>
      </w:r>
      <w:r w:rsidRPr="00D73C29">
        <w:t>; Wang et al., 2022</w:t>
      </w:r>
      <w:r w:rsidR="00EC298D">
        <w:rPr>
          <w:rStyle w:val="FootnoteReference"/>
        </w:rPr>
        <w:footnoteReference w:id="9"/>
      </w:r>
      <w:r w:rsidRPr="00D73C29">
        <w:t>) to support the primary composite surrogate outcome to predict death</w:t>
      </w:r>
      <w:r w:rsidR="00C41F11">
        <w:t>s</w:t>
      </w:r>
      <w:r w:rsidRPr="00D73C29">
        <w:t xml:space="preserve"> and hospitalisations</w:t>
      </w:r>
      <w:r w:rsidR="00D73C29" w:rsidRPr="00BF5BC7">
        <w:rPr>
          <w:iCs/>
        </w:rPr>
        <w:t xml:space="preserve">. </w:t>
      </w:r>
      <w:r w:rsidRPr="00BF5BC7">
        <w:rPr>
          <w:iCs/>
        </w:rPr>
        <w:t>Abstracts from S</w:t>
      </w:r>
      <w:r w:rsidR="00455260" w:rsidRPr="00BF5BC7">
        <w:rPr>
          <w:iCs/>
        </w:rPr>
        <w:t>H</w:t>
      </w:r>
      <w:r w:rsidRPr="00BF5BC7">
        <w:rPr>
          <w:iCs/>
        </w:rPr>
        <w:t>aRe (Tompkins et al., 2018; Lakdawala et al., 2022) were presented in the November 2022 submission. Limited information is provided in the abstracts</w:t>
      </w:r>
      <w:r w:rsidR="00800621" w:rsidRPr="00BF5BC7">
        <w:rPr>
          <w:iCs/>
        </w:rPr>
        <w:t xml:space="preserve"> and </w:t>
      </w:r>
      <w:r w:rsidR="00455260" w:rsidRPr="00BF5BC7">
        <w:rPr>
          <w:iCs/>
        </w:rPr>
        <w:t xml:space="preserve">the </w:t>
      </w:r>
      <w:r w:rsidRPr="00BF5BC7">
        <w:rPr>
          <w:iCs/>
        </w:rPr>
        <w:t xml:space="preserve">full papers </w:t>
      </w:r>
      <w:r w:rsidR="00C41F11" w:rsidRPr="00BF5BC7">
        <w:rPr>
          <w:iCs/>
        </w:rPr>
        <w:t xml:space="preserve">do not appear to have been published (these could not be </w:t>
      </w:r>
      <w:r w:rsidR="00AA5E51" w:rsidRPr="00BF5BC7">
        <w:rPr>
          <w:iCs/>
        </w:rPr>
        <w:t xml:space="preserve">located </w:t>
      </w:r>
      <w:r w:rsidRPr="00BF5BC7">
        <w:rPr>
          <w:iCs/>
        </w:rPr>
        <w:t>during the evaluation</w:t>
      </w:r>
      <w:r w:rsidR="00C41F11" w:rsidRPr="00BF5BC7">
        <w:rPr>
          <w:iCs/>
        </w:rPr>
        <w:t>)</w:t>
      </w:r>
      <w:r w:rsidRPr="00BF5BC7">
        <w:rPr>
          <w:iCs/>
        </w:rPr>
        <w:t xml:space="preserve">. Two of the publications identified (Gallagher et al., 2019; Wang et al., 2022) are new in the resubmission. Limited information is provided in Wang et al., </w:t>
      </w:r>
      <w:r w:rsidR="00714855" w:rsidRPr="00BF5BC7">
        <w:rPr>
          <w:iCs/>
        </w:rPr>
        <w:t>(</w:t>
      </w:r>
      <w:r w:rsidRPr="00BF5BC7">
        <w:rPr>
          <w:iCs/>
        </w:rPr>
        <w:t>2022</w:t>
      </w:r>
      <w:r w:rsidR="00714855" w:rsidRPr="00BF5BC7">
        <w:rPr>
          <w:iCs/>
        </w:rPr>
        <w:t>)</w:t>
      </w:r>
      <w:r w:rsidRPr="00BF5BC7">
        <w:rPr>
          <w:iCs/>
        </w:rPr>
        <w:t xml:space="preserve">, which is published as an abstract. </w:t>
      </w:r>
      <w:r w:rsidR="00B155F2" w:rsidRPr="00BF5BC7">
        <w:rPr>
          <w:iCs/>
        </w:rPr>
        <w:t xml:space="preserve">Gallagher et al., </w:t>
      </w:r>
      <w:r w:rsidR="00714855" w:rsidRPr="00BF5BC7">
        <w:rPr>
          <w:iCs/>
        </w:rPr>
        <w:t>(</w:t>
      </w:r>
      <w:r w:rsidR="00B155F2" w:rsidRPr="00BF5BC7">
        <w:rPr>
          <w:iCs/>
        </w:rPr>
        <w:t>2019</w:t>
      </w:r>
      <w:r w:rsidR="00714855" w:rsidRPr="00BF5BC7">
        <w:rPr>
          <w:iCs/>
        </w:rPr>
        <w:t xml:space="preserve">) observed </w:t>
      </w:r>
      <w:r w:rsidR="00241EA5" w:rsidRPr="00BF5BC7">
        <w:rPr>
          <w:iCs/>
        </w:rPr>
        <w:t>NYHA class were</w:t>
      </w:r>
      <w:r w:rsidR="00B155F2" w:rsidRPr="00BF5BC7">
        <w:rPr>
          <w:iCs/>
        </w:rPr>
        <w:t xml:space="preserve"> </w:t>
      </w:r>
      <w:r w:rsidR="00241EA5" w:rsidRPr="00BF5BC7">
        <w:rPr>
          <w:iCs/>
        </w:rPr>
        <w:t xml:space="preserve">significantly </w:t>
      </w:r>
      <w:r w:rsidR="00983172" w:rsidRPr="00BF5BC7">
        <w:rPr>
          <w:iCs/>
        </w:rPr>
        <w:t>correlated</w:t>
      </w:r>
      <w:r w:rsidR="00B155F2" w:rsidRPr="00BF5BC7">
        <w:rPr>
          <w:iCs/>
        </w:rPr>
        <w:t xml:space="preserve"> </w:t>
      </w:r>
      <w:r w:rsidR="00241EA5" w:rsidRPr="00BF5BC7">
        <w:rPr>
          <w:iCs/>
        </w:rPr>
        <w:t>with</w:t>
      </w:r>
      <w:r w:rsidR="00B155F2" w:rsidRPr="00BF5BC7">
        <w:rPr>
          <w:iCs/>
        </w:rPr>
        <w:t xml:space="preserve"> </w:t>
      </w:r>
      <w:r w:rsidR="0034463F" w:rsidRPr="00BF5BC7">
        <w:rPr>
          <w:iCs/>
        </w:rPr>
        <w:t>health-related</w:t>
      </w:r>
      <w:r w:rsidR="00F26470" w:rsidRPr="00BF5BC7">
        <w:rPr>
          <w:iCs/>
        </w:rPr>
        <w:t xml:space="preserve"> </w:t>
      </w:r>
      <w:r w:rsidR="00B155F2" w:rsidRPr="00BF5BC7">
        <w:rPr>
          <w:iCs/>
        </w:rPr>
        <w:t>Qo</w:t>
      </w:r>
      <w:r w:rsidR="0034463F" w:rsidRPr="00BF5BC7">
        <w:rPr>
          <w:iCs/>
        </w:rPr>
        <w:t>L;</w:t>
      </w:r>
      <w:r w:rsidR="00B155F2" w:rsidRPr="00BF5BC7">
        <w:rPr>
          <w:iCs/>
        </w:rPr>
        <w:t xml:space="preserve"> </w:t>
      </w:r>
      <w:r w:rsidR="0034463F" w:rsidRPr="00BF5BC7">
        <w:rPr>
          <w:iCs/>
        </w:rPr>
        <w:t>h</w:t>
      </w:r>
      <w:r w:rsidR="00B155F2" w:rsidRPr="00BF5BC7">
        <w:rPr>
          <w:rFonts w:cstheme="minorHAnsi"/>
          <w:iCs/>
          <w:szCs w:val="20"/>
        </w:rPr>
        <w:t>owever, within each NYHA class, there was a wide</w:t>
      </w:r>
      <w:r w:rsidR="00B155F2" w:rsidRPr="00BF5BC7">
        <w:rPr>
          <w:rFonts w:cstheme="minorHAnsi"/>
          <w:bCs/>
          <w:iCs/>
          <w:szCs w:val="20"/>
        </w:rPr>
        <w:t xml:space="preserve"> </w:t>
      </w:r>
      <w:r w:rsidR="00B155F2" w:rsidRPr="00BF5BC7">
        <w:rPr>
          <w:rFonts w:cstheme="minorHAnsi"/>
          <w:iCs/>
          <w:szCs w:val="20"/>
        </w:rPr>
        <w:t xml:space="preserve">spread of </w:t>
      </w:r>
      <w:r w:rsidR="0034463F" w:rsidRPr="00BF5BC7">
        <w:rPr>
          <w:rFonts w:cstheme="minorHAnsi"/>
          <w:iCs/>
          <w:szCs w:val="20"/>
        </w:rPr>
        <w:t xml:space="preserve">health-related </w:t>
      </w:r>
      <w:r w:rsidR="00B155F2" w:rsidRPr="00BF5BC7">
        <w:rPr>
          <w:rFonts w:cstheme="minorHAnsi"/>
          <w:iCs/>
          <w:szCs w:val="20"/>
        </w:rPr>
        <w:t>QoL scores</w:t>
      </w:r>
      <w:r w:rsidR="00B155F2" w:rsidRPr="00BF5BC7">
        <w:rPr>
          <w:rFonts w:cstheme="minorHAnsi"/>
          <w:bCs/>
          <w:iCs/>
          <w:szCs w:val="20"/>
        </w:rPr>
        <w:t>. The study was conducted in a convenience sample within an urban population at a single tertiary centre, which limits generalisability of the results. T</w:t>
      </w:r>
      <w:r w:rsidR="00B155F2" w:rsidRPr="00BF5BC7">
        <w:rPr>
          <w:rFonts w:cstheme="minorHAnsi"/>
          <w:iCs/>
          <w:szCs w:val="20"/>
        </w:rPr>
        <w:t xml:space="preserve">he relationship between NYHA class and mortality was not assessed </w:t>
      </w:r>
      <w:r w:rsidR="0034463F" w:rsidRPr="00BF5BC7">
        <w:rPr>
          <w:rFonts w:cstheme="minorHAnsi"/>
          <w:iCs/>
          <w:szCs w:val="20"/>
        </w:rPr>
        <w:t>by Gallagher et al., (2019)</w:t>
      </w:r>
      <w:r w:rsidR="00B155F2" w:rsidRPr="00BF5BC7">
        <w:rPr>
          <w:rFonts w:cstheme="minorHAnsi"/>
          <w:iCs/>
          <w:szCs w:val="20"/>
        </w:rPr>
        <w:t xml:space="preserve">.  </w:t>
      </w:r>
      <w:r w:rsidRPr="00BF5BC7">
        <w:rPr>
          <w:iCs/>
        </w:rPr>
        <w:t xml:space="preserve"> </w:t>
      </w:r>
    </w:p>
    <w:p w14:paraId="6D70B111" w14:textId="77777777" w:rsidR="00636080" w:rsidRPr="00401512" w:rsidRDefault="00636080" w:rsidP="00401512">
      <w:pPr>
        <w:pStyle w:val="4-SubsectionHeading"/>
      </w:pPr>
      <w:bookmarkStart w:id="45" w:name="_Toc22897641"/>
      <w:bookmarkStart w:id="46" w:name="_Toc107927627"/>
      <w:bookmarkStart w:id="47" w:name="_Toc135223327"/>
      <w:r w:rsidRPr="00C9624D">
        <w:lastRenderedPageBreak/>
        <w:t>Comparative effectiveness</w:t>
      </w:r>
      <w:bookmarkEnd w:id="45"/>
      <w:bookmarkEnd w:id="46"/>
      <w:bookmarkEnd w:id="47"/>
    </w:p>
    <w:p w14:paraId="1745D569" w14:textId="0F50070C" w:rsidR="00A24F7D" w:rsidRDefault="00042A1A" w:rsidP="008D429D">
      <w:pPr>
        <w:pStyle w:val="3-BodyText"/>
      </w:pPr>
      <w:r w:rsidRPr="006F6838">
        <w:t xml:space="preserve">The key clinical evidence from </w:t>
      </w:r>
      <w:r w:rsidR="006F6838" w:rsidRPr="006F6838">
        <w:t xml:space="preserve">EXPLORER-HCM is summarised </w:t>
      </w:r>
      <w:r w:rsidR="00902542">
        <w:t xml:space="preserve">in </w:t>
      </w:r>
      <w:r w:rsidR="00902542">
        <w:fldChar w:fldCharType="begin"/>
      </w:r>
      <w:r w:rsidR="00902542">
        <w:instrText xml:space="preserve"> REF _Ref132240799 \h </w:instrText>
      </w:r>
      <w:r w:rsidR="00902542">
        <w:fldChar w:fldCharType="separate"/>
      </w:r>
      <w:r w:rsidR="00F84C70">
        <w:t xml:space="preserve">Table </w:t>
      </w:r>
      <w:r w:rsidR="00F84C70">
        <w:rPr>
          <w:noProof/>
        </w:rPr>
        <w:t>5</w:t>
      </w:r>
      <w:r w:rsidR="00902542">
        <w:fldChar w:fldCharType="end"/>
      </w:r>
      <w:r w:rsidR="00875266">
        <w:t xml:space="preserve">, </w:t>
      </w:r>
      <w:r w:rsidR="004071B0">
        <w:fldChar w:fldCharType="begin"/>
      </w:r>
      <w:r w:rsidR="004071B0">
        <w:instrText xml:space="preserve"> REF _Ref132241109 \h </w:instrText>
      </w:r>
      <w:r w:rsidR="004071B0">
        <w:fldChar w:fldCharType="separate"/>
      </w:r>
      <w:r w:rsidR="00F84C70">
        <w:t xml:space="preserve">Table </w:t>
      </w:r>
      <w:r w:rsidR="00F84C70">
        <w:rPr>
          <w:noProof/>
        </w:rPr>
        <w:t>6</w:t>
      </w:r>
      <w:r w:rsidR="004071B0">
        <w:fldChar w:fldCharType="end"/>
      </w:r>
      <w:r w:rsidR="00875266">
        <w:t xml:space="preserve"> and </w:t>
      </w:r>
      <w:r w:rsidR="00875266">
        <w:fldChar w:fldCharType="begin"/>
      </w:r>
      <w:r w:rsidR="00875266">
        <w:instrText xml:space="preserve"> REF _Ref111191356 \h </w:instrText>
      </w:r>
      <w:r w:rsidR="00875266">
        <w:fldChar w:fldCharType="separate"/>
      </w:r>
      <w:r w:rsidR="00F84C70">
        <w:t xml:space="preserve">Table </w:t>
      </w:r>
      <w:r w:rsidR="00F84C70">
        <w:rPr>
          <w:noProof/>
        </w:rPr>
        <w:t>7</w:t>
      </w:r>
      <w:r w:rsidR="00875266">
        <w:fldChar w:fldCharType="end"/>
      </w:r>
      <w:r w:rsidR="006F6838" w:rsidRPr="006F6838">
        <w:t xml:space="preserve">. </w:t>
      </w:r>
      <w:r w:rsidR="005C116B">
        <w:t xml:space="preserve">Results </w:t>
      </w:r>
      <w:r w:rsidR="00FB1BAD">
        <w:t xml:space="preserve">from EXPLORER-HCM </w:t>
      </w:r>
      <w:r w:rsidR="005C116B">
        <w:t xml:space="preserve">are unchanged from the November 2022 submission. </w:t>
      </w:r>
    </w:p>
    <w:p w14:paraId="6D18D6E9" w14:textId="2F8FC2EF" w:rsidR="00CA2D84" w:rsidRPr="00BF5BC7" w:rsidRDefault="000C2954" w:rsidP="008D429D">
      <w:pPr>
        <w:pStyle w:val="3-BodyText"/>
        <w:rPr>
          <w:iCs/>
        </w:rPr>
      </w:pPr>
      <w:bookmarkStart w:id="48" w:name="_Ref142309431"/>
      <w:r w:rsidRPr="00C41F11">
        <w:t>The primary outcome was a composite functional endpoint, that measured clinical response by 30 weeks, defined as either</w:t>
      </w:r>
      <w:r w:rsidR="00C41F11">
        <w:t>:</w:t>
      </w:r>
      <w:r w:rsidRPr="00C41F11">
        <w:t xml:space="preserve"> (1) an improvement of at least 1.5 mL/kg/min in pVO</w:t>
      </w:r>
      <w:r w:rsidRPr="00363C1B">
        <w:rPr>
          <w:vertAlign w:val="subscript"/>
        </w:rPr>
        <w:t>2</w:t>
      </w:r>
      <w:r w:rsidRPr="00C41F11">
        <w:t xml:space="preserve"> and improvement of one or more </w:t>
      </w:r>
      <w:r w:rsidR="00E45CB9" w:rsidRPr="00B8394A">
        <w:t>New York Health Association</w:t>
      </w:r>
      <w:r w:rsidR="00E45CB9" w:rsidRPr="00C41F11">
        <w:t xml:space="preserve"> </w:t>
      </w:r>
      <w:r w:rsidR="00E45CB9">
        <w:t>(</w:t>
      </w:r>
      <w:r w:rsidRPr="00C41F11">
        <w:t>NYHA class</w:t>
      </w:r>
      <w:r w:rsidR="00E45CB9">
        <w:t>)</w:t>
      </w:r>
      <w:r w:rsidRPr="00C41F11">
        <w:t xml:space="preserve"> (component 1)</w:t>
      </w:r>
      <w:r w:rsidR="00C41F11">
        <w:t>;</w:t>
      </w:r>
      <w:r w:rsidRPr="00C41F11">
        <w:t xml:space="preserve"> </w:t>
      </w:r>
      <w:proofErr w:type="gramStart"/>
      <w:r w:rsidRPr="00C41F11">
        <w:t>or</w:t>
      </w:r>
      <w:r w:rsidR="00C41F11">
        <w:t>,</w:t>
      </w:r>
      <w:proofErr w:type="gramEnd"/>
      <w:r w:rsidRPr="00C41F11">
        <w:t xml:space="preserve"> (2) an improvement of at least 3.0 mL/kg/min in pVO</w:t>
      </w:r>
      <w:r w:rsidRPr="00363C1B">
        <w:rPr>
          <w:vertAlign w:val="subscript"/>
        </w:rPr>
        <w:t>2</w:t>
      </w:r>
      <w:r w:rsidRPr="00C41F11">
        <w:t xml:space="preserve"> with no worsening in NYHA class, unless otherwise denoted (component 2). </w:t>
      </w:r>
      <w:r w:rsidR="002F2B6A" w:rsidRPr="00C41F11">
        <w:t>Over twice as many patients in the mavacamten arm of the EXPLORER-HCM met the primary endpoint as in the placebo arm (36.6% vs 17.2%, OR=2.74, 95% CI 1.51, 5.45).</w:t>
      </w:r>
      <w:r w:rsidR="00794776">
        <w:t xml:space="preserve"> </w:t>
      </w:r>
      <w:r w:rsidR="00794776" w:rsidRPr="00BF5BC7">
        <w:rPr>
          <w:iCs/>
        </w:rPr>
        <w:t xml:space="preserve">The PBAC previously considered </w:t>
      </w:r>
      <w:r w:rsidR="00794776" w:rsidRPr="00BF5BC7">
        <w:rPr>
          <w:iCs/>
          <w:szCs w:val="20"/>
        </w:rPr>
        <w:t>mav</w:t>
      </w:r>
      <w:r w:rsidR="00F36CFB" w:rsidRPr="00BF5BC7">
        <w:rPr>
          <w:iCs/>
          <w:szCs w:val="20"/>
        </w:rPr>
        <w:t>a</w:t>
      </w:r>
      <w:r w:rsidR="00794776" w:rsidRPr="00BF5BC7">
        <w:rPr>
          <w:iCs/>
          <w:szCs w:val="20"/>
        </w:rPr>
        <w:t>camten provided only a moderate improvement in outcomes, with 63.4% of mavacamten patients failing to meet the primary endpoint (i</w:t>
      </w:r>
      <w:r w:rsidR="00F36CFB" w:rsidRPr="00BF5BC7">
        <w:rPr>
          <w:iCs/>
          <w:szCs w:val="20"/>
        </w:rPr>
        <w:t>.</w:t>
      </w:r>
      <w:r w:rsidR="00794776" w:rsidRPr="00BF5BC7">
        <w:rPr>
          <w:iCs/>
          <w:szCs w:val="20"/>
        </w:rPr>
        <w:t>e</w:t>
      </w:r>
      <w:r w:rsidR="00F36CFB" w:rsidRPr="00BF5BC7">
        <w:rPr>
          <w:iCs/>
          <w:szCs w:val="20"/>
        </w:rPr>
        <w:t>.,</w:t>
      </w:r>
      <w:r w:rsidR="00794776" w:rsidRPr="00BF5BC7">
        <w:rPr>
          <w:iCs/>
          <w:szCs w:val="20"/>
        </w:rPr>
        <w:t xml:space="preserve"> a composite of functional endpoints); 35% did not improve NYHA class; and 49% remained NYHA II/III (</w:t>
      </w:r>
      <w:proofErr w:type="gramStart"/>
      <w:r w:rsidR="00794776" w:rsidRPr="00BF5BC7">
        <w:rPr>
          <w:iCs/>
          <w:szCs w:val="20"/>
        </w:rPr>
        <w:t>i</w:t>
      </w:r>
      <w:r w:rsidR="00F05ED4" w:rsidRPr="00BF5BC7">
        <w:rPr>
          <w:iCs/>
          <w:szCs w:val="20"/>
        </w:rPr>
        <w:t>.</w:t>
      </w:r>
      <w:r w:rsidR="00794776" w:rsidRPr="00BF5BC7">
        <w:rPr>
          <w:iCs/>
          <w:szCs w:val="20"/>
        </w:rPr>
        <w:t>e</w:t>
      </w:r>
      <w:r w:rsidR="00F05ED4" w:rsidRPr="00BF5BC7">
        <w:rPr>
          <w:iCs/>
          <w:szCs w:val="20"/>
        </w:rPr>
        <w:t>.</w:t>
      </w:r>
      <w:proofErr w:type="gramEnd"/>
      <w:r w:rsidR="00794776" w:rsidRPr="00BF5BC7">
        <w:rPr>
          <w:iCs/>
          <w:szCs w:val="20"/>
        </w:rPr>
        <w:t xml:space="preserve"> symptomatic) </w:t>
      </w:r>
      <w:r w:rsidR="00F36CFB" w:rsidRPr="00BF5BC7">
        <w:rPr>
          <w:iCs/>
          <w:szCs w:val="20"/>
        </w:rPr>
        <w:t xml:space="preserve">(para. 7.6, mavacamten Public </w:t>
      </w:r>
      <w:r w:rsidR="00DE39AC" w:rsidRPr="00BF5BC7">
        <w:rPr>
          <w:iCs/>
          <w:szCs w:val="20"/>
        </w:rPr>
        <w:t>Summary Document,</w:t>
      </w:r>
      <w:r w:rsidR="00F36CFB" w:rsidRPr="00BF5BC7">
        <w:rPr>
          <w:iCs/>
          <w:szCs w:val="20"/>
        </w:rPr>
        <w:t xml:space="preserve"> </w:t>
      </w:r>
      <w:r w:rsidR="00794776" w:rsidRPr="00BF5BC7">
        <w:rPr>
          <w:iCs/>
          <w:szCs w:val="20"/>
        </w:rPr>
        <w:t xml:space="preserve">November 2022 </w:t>
      </w:r>
      <w:r w:rsidR="00647187" w:rsidRPr="00BF5BC7">
        <w:rPr>
          <w:iCs/>
          <w:szCs w:val="20"/>
        </w:rPr>
        <w:t>PBAC meeting</w:t>
      </w:r>
      <w:r w:rsidR="00794776" w:rsidRPr="00BF5BC7">
        <w:rPr>
          <w:iCs/>
          <w:szCs w:val="20"/>
        </w:rPr>
        <w:t>).</w:t>
      </w:r>
      <w:bookmarkEnd w:id="48"/>
    </w:p>
    <w:p w14:paraId="6CF9AA91" w14:textId="77777777" w:rsidR="00C41F11" w:rsidRDefault="00C41F11">
      <w:pPr>
        <w:jc w:val="left"/>
        <w:rPr>
          <w:rFonts w:asciiTheme="minorHAnsi" w:hAnsiTheme="minorHAnsi"/>
          <w:snapToGrid w:val="0"/>
        </w:rPr>
      </w:pPr>
      <w:r>
        <w:br w:type="page"/>
      </w:r>
    </w:p>
    <w:p w14:paraId="41117BAE" w14:textId="77777777" w:rsidR="00C41F11" w:rsidRPr="00C41F11" w:rsidRDefault="00C41F11" w:rsidP="00C41F11">
      <w:pPr>
        <w:pStyle w:val="3-BodyText"/>
        <w:numPr>
          <w:ilvl w:val="0"/>
          <w:numId w:val="0"/>
        </w:numPr>
      </w:pPr>
    </w:p>
    <w:p w14:paraId="56C2978E" w14:textId="39E7302C" w:rsidR="00A24F7D" w:rsidRDefault="00902542" w:rsidP="00A24F7D">
      <w:pPr>
        <w:pStyle w:val="Caption"/>
      </w:pPr>
      <w:bookmarkStart w:id="49" w:name="_Ref132240799"/>
      <w:r>
        <w:t xml:space="preserve">Table </w:t>
      </w:r>
      <w:fldSimple w:instr=" SEQ Table \* ARABIC ">
        <w:r w:rsidR="00F84C70">
          <w:rPr>
            <w:noProof/>
          </w:rPr>
          <w:t>5</w:t>
        </w:r>
      </w:fldSimple>
      <w:bookmarkEnd w:id="49"/>
      <w:r>
        <w:t>:</w:t>
      </w:r>
      <w:r w:rsidRPr="00EC5836">
        <w:rPr>
          <w:rStyle w:val="CommentReference"/>
          <w:b/>
          <w:szCs w:val="24"/>
        </w:rPr>
        <w:t xml:space="preserve"> </w:t>
      </w:r>
      <w:r w:rsidR="00A24F7D">
        <w:t xml:space="preserve">EXPLORER-HCM, </w:t>
      </w:r>
      <w:r w:rsidR="00A24F7D" w:rsidRPr="008774E9">
        <w:t>Primary composite endpoint at week 30 (ITT population)</w:t>
      </w:r>
    </w:p>
    <w:tbl>
      <w:tblPr>
        <w:tblStyle w:val="PBACtable2"/>
        <w:tblW w:w="5000" w:type="pct"/>
        <w:tblLayout w:type="fixed"/>
        <w:tblLook w:val="0000" w:firstRow="0" w:lastRow="0" w:firstColumn="0" w:lastColumn="0" w:noHBand="0" w:noVBand="0"/>
      </w:tblPr>
      <w:tblGrid>
        <w:gridCol w:w="2122"/>
        <w:gridCol w:w="1133"/>
        <w:gridCol w:w="1134"/>
        <w:gridCol w:w="1701"/>
        <w:gridCol w:w="1463"/>
        <w:gridCol w:w="1464"/>
      </w:tblGrid>
      <w:tr w:rsidR="00A24F7D" w:rsidRPr="004B5317" w14:paraId="01B8B449" w14:textId="77777777" w:rsidTr="004071B0">
        <w:tc>
          <w:tcPr>
            <w:tcW w:w="1177" w:type="pct"/>
            <w:shd w:val="clear" w:color="auto" w:fill="C6D9F1" w:themeFill="text2" w:themeFillTint="33"/>
          </w:tcPr>
          <w:p w14:paraId="023CF828" w14:textId="77777777" w:rsidR="00A24F7D" w:rsidRPr="008774E9" w:rsidRDefault="00A24F7D" w:rsidP="00F774FD">
            <w:pPr>
              <w:pStyle w:val="TableFigureHeading"/>
              <w:jc w:val="left"/>
              <w:rPr>
                <w:sz w:val="20"/>
                <w:szCs w:val="20"/>
                <w:lang w:val="en-US"/>
              </w:rPr>
            </w:pPr>
          </w:p>
        </w:tc>
        <w:tc>
          <w:tcPr>
            <w:tcW w:w="628" w:type="pct"/>
            <w:shd w:val="clear" w:color="auto" w:fill="C6D9F1" w:themeFill="text2" w:themeFillTint="33"/>
          </w:tcPr>
          <w:p w14:paraId="7808DAA3" w14:textId="77777777" w:rsidR="00A24F7D" w:rsidRPr="008774E9" w:rsidRDefault="00A24F7D" w:rsidP="00AA5E51">
            <w:pPr>
              <w:pStyle w:val="TableFigureHeading"/>
              <w:ind w:left="-396" w:right="-360"/>
              <w:jc w:val="center"/>
              <w:rPr>
                <w:sz w:val="20"/>
                <w:szCs w:val="20"/>
                <w:lang w:val="en-US"/>
              </w:rPr>
            </w:pPr>
            <w:r w:rsidRPr="008774E9">
              <w:rPr>
                <w:sz w:val="20"/>
                <w:szCs w:val="20"/>
                <w:lang w:val="en-US"/>
              </w:rPr>
              <w:t>Mavacamten</w:t>
            </w:r>
            <w:r w:rsidRPr="008774E9">
              <w:rPr>
                <w:sz w:val="20"/>
                <w:szCs w:val="20"/>
                <w:lang w:val="en-US"/>
              </w:rPr>
              <w:br/>
              <w:t>(N = 123)</w:t>
            </w:r>
          </w:p>
        </w:tc>
        <w:tc>
          <w:tcPr>
            <w:tcW w:w="629" w:type="pct"/>
            <w:shd w:val="clear" w:color="auto" w:fill="C6D9F1" w:themeFill="text2" w:themeFillTint="33"/>
          </w:tcPr>
          <w:p w14:paraId="06B8A3B2" w14:textId="77777777" w:rsidR="00A24F7D" w:rsidRPr="008774E9" w:rsidRDefault="00A24F7D" w:rsidP="00F774FD">
            <w:pPr>
              <w:pStyle w:val="TableFigureHeading"/>
              <w:jc w:val="center"/>
              <w:rPr>
                <w:sz w:val="20"/>
                <w:szCs w:val="20"/>
                <w:lang w:val="en-US"/>
              </w:rPr>
            </w:pPr>
            <w:r w:rsidRPr="008774E9">
              <w:rPr>
                <w:sz w:val="20"/>
                <w:szCs w:val="20"/>
                <w:lang w:val="en-US"/>
              </w:rPr>
              <w:t>Placebo</w:t>
            </w:r>
            <w:r w:rsidRPr="008774E9">
              <w:rPr>
                <w:sz w:val="20"/>
                <w:szCs w:val="20"/>
                <w:lang w:val="en-US"/>
              </w:rPr>
              <w:br/>
              <w:t>(N = 128)</w:t>
            </w:r>
          </w:p>
        </w:tc>
        <w:tc>
          <w:tcPr>
            <w:tcW w:w="943" w:type="pct"/>
            <w:shd w:val="clear" w:color="auto" w:fill="C6D9F1" w:themeFill="text2" w:themeFillTint="33"/>
          </w:tcPr>
          <w:p w14:paraId="746C8D3F" w14:textId="77777777" w:rsidR="00A24F7D" w:rsidRPr="008774E9" w:rsidRDefault="00A24F7D" w:rsidP="00F774FD">
            <w:pPr>
              <w:pStyle w:val="TableFigureHeading"/>
              <w:jc w:val="center"/>
              <w:rPr>
                <w:rFonts w:ascii="Times New Roman" w:hAnsi="Times New Roman" w:cs="Times New Roman"/>
                <w:sz w:val="20"/>
                <w:szCs w:val="20"/>
                <w:lang w:val="en-US"/>
              </w:rPr>
            </w:pPr>
            <w:r w:rsidRPr="008774E9">
              <w:rPr>
                <w:sz w:val="20"/>
                <w:szCs w:val="20"/>
                <w:lang w:val="en-US"/>
              </w:rPr>
              <w:t xml:space="preserve">Mavacamten vs. Placebo </w:t>
            </w:r>
            <w:r>
              <w:rPr>
                <w:sz w:val="20"/>
                <w:szCs w:val="20"/>
                <w:lang w:val="en-US"/>
              </w:rPr>
              <w:br/>
              <w:t xml:space="preserve">RD </w:t>
            </w:r>
            <w:r w:rsidRPr="008774E9">
              <w:rPr>
                <w:sz w:val="20"/>
                <w:szCs w:val="20"/>
                <w:lang w:val="en-US"/>
              </w:rPr>
              <w:t xml:space="preserve">(95% </w:t>
            </w:r>
            <w:proofErr w:type="gramStart"/>
            <w:r w:rsidRPr="008774E9">
              <w:rPr>
                <w:sz w:val="20"/>
                <w:szCs w:val="20"/>
                <w:lang w:val="en-US"/>
              </w:rPr>
              <w:t>CI)</w:t>
            </w:r>
            <w:r w:rsidRPr="008774E9">
              <w:rPr>
                <w:rFonts w:cs="Times New Roman"/>
                <w:position w:val="-1"/>
                <w:sz w:val="20"/>
                <w:szCs w:val="20"/>
                <w:vertAlign w:val="superscript"/>
                <w:lang w:val="en-US"/>
              </w:rPr>
              <w:t>a</w:t>
            </w:r>
            <w:proofErr w:type="gramEnd"/>
          </w:p>
        </w:tc>
        <w:tc>
          <w:tcPr>
            <w:tcW w:w="811" w:type="pct"/>
            <w:shd w:val="clear" w:color="auto" w:fill="C6D9F1" w:themeFill="text2" w:themeFillTint="33"/>
          </w:tcPr>
          <w:p w14:paraId="0373A2D3" w14:textId="77777777" w:rsidR="00A24F7D" w:rsidRPr="008774E9" w:rsidRDefault="00A24F7D" w:rsidP="00F774FD">
            <w:pPr>
              <w:pStyle w:val="TableFigureHeading"/>
              <w:jc w:val="center"/>
              <w:rPr>
                <w:sz w:val="20"/>
                <w:szCs w:val="20"/>
                <w:lang w:val="en-US"/>
              </w:rPr>
            </w:pPr>
            <w:r w:rsidRPr="008774E9">
              <w:rPr>
                <w:sz w:val="20"/>
                <w:szCs w:val="20"/>
                <w:lang w:val="en-US"/>
              </w:rPr>
              <w:t>Stratified Analysis</w:t>
            </w:r>
            <w:r w:rsidRPr="008774E9">
              <w:rPr>
                <w:sz w:val="20"/>
                <w:szCs w:val="20"/>
                <w:vertAlign w:val="superscript"/>
                <w:lang w:val="en-US"/>
              </w:rPr>
              <w:t>c</w:t>
            </w:r>
            <w:r w:rsidRPr="008774E9">
              <w:rPr>
                <w:sz w:val="20"/>
                <w:szCs w:val="20"/>
                <w:lang w:val="en-US"/>
              </w:rPr>
              <w:t xml:space="preserve"> </w:t>
            </w:r>
            <w:r>
              <w:rPr>
                <w:sz w:val="20"/>
                <w:szCs w:val="20"/>
                <w:lang w:val="en-US"/>
              </w:rPr>
              <w:br/>
              <w:t>OR</w:t>
            </w:r>
            <w:r w:rsidRPr="008774E9">
              <w:rPr>
                <w:sz w:val="20"/>
                <w:szCs w:val="20"/>
                <w:lang w:val="en-US"/>
              </w:rPr>
              <w:t xml:space="preserve"> (95% CI)</w:t>
            </w:r>
          </w:p>
        </w:tc>
        <w:tc>
          <w:tcPr>
            <w:tcW w:w="812" w:type="pct"/>
            <w:shd w:val="clear" w:color="auto" w:fill="C6D9F1" w:themeFill="text2" w:themeFillTint="33"/>
          </w:tcPr>
          <w:p w14:paraId="063A32BA" w14:textId="77777777" w:rsidR="00A24F7D" w:rsidRPr="008774E9" w:rsidRDefault="00A24F7D" w:rsidP="00F774FD">
            <w:pPr>
              <w:pStyle w:val="TableFigureHeading"/>
              <w:jc w:val="center"/>
              <w:rPr>
                <w:sz w:val="20"/>
                <w:szCs w:val="20"/>
                <w:lang w:val="en-US"/>
              </w:rPr>
            </w:pPr>
            <w:r w:rsidRPr="008774E9">
              <w:rPr>
                <w:sz w:val="20"/>
                <w:szCs w:val="20"/>
                <w:lang w:val="en-US"/>
              </w:rPr>
              <w:t>Unstratified Analysis</w:t>
            </w:r>
            <w:r w:rsidRPr="008774E9">
              <w:rPr>
                <w:sz w:val="20"/>
                <w:szCs w:val="20"/>
                <w:vertAlign w:val="superscript"/>
                <w:lang w:val="en-US"/>
              </w:rPr>
              <w:t>d</w:t>
            </w:r>
            <w:r w:rsidRPr="008774E9">
              <w:rPr>
                <w:sz w:val="20"/>
                <w:szCs w:val="20"/>
                <w:lang w:val="en-US"/>
              </w:rPr>
              <w:t xml:space="preserve"> </w:t>
            </w:r>
            <w:r>
              <w:rPr>
                <w:sz w:val="20"/>
                <w:szCs w:val="20"/>
                <w:lang w:val="en-US"/>
              </w:rPr>
              <w:br/>
              <w:t>OR</w:t>
            </w:r>
            <w:r w:rsidRPr="008774E9">
              <w:rPr>
                <w:sz w:val="20"/>
                <w:szCs w:val="20"/>
                <w:lang w:val="en-US"/>
              </w:rPr>
              <w:t xml:space="preserve"> (95% CI)</w:t>
            </w:r>
          </w:p>
        </w:tc>
      </w:tr>
      <w:tr w:rsidR="00E37ABC" w:rsidRPr="004B5317" w14:paraId="11504526" w14:textId="77777777" w:rsidTr="004071B0">
        <w:trPr>
          <w:trHeight w:val="345"/>
        </w:trPr>
        <w:tc>
          <w:tcPr>
            <w:tcW w:w="1177" w:type="pct"/>
            <w:shd w:val="clear" w:color="auto" w:fill="C6D9F1" w:themeFill="text2" w:themeFillTint="33"/>
          </w:tcPr>
          <w:p w14:paraId="25E8F62A" w14:textId="77777777" w:rsidR="00E37ABC" w:rsidRPr="004B5317" w:rsidRDefault="00E37ABC" w:rsidP="00E37ABC">
            <w:pPr>
              <w:pStyle w:val="Tabletext"/>
              <w:keepNext/>
              <w:ind w:right="-102"/>
              <w:rPr>
                <w:lang w:val="en-US"/>
              </w:rPr>
            </w:pPr>
            <w:r>
              <w:rPr>
                <w:lang w:val="en-US"/>
              </w:rPr>
              <w:t xml:space="preserve">Achieved Composite Functional </w:t>
            </w:r>
            <w:proofErr w:type="gramStart"/>
            <w:r>
              <w:rPr>
                <w:lang w:val="en-US"/>
              </w:rPr>
              <w:t>Endpoint</w:t>
            </w:r>
            <w:r w:rsidRPr="00E37ABC">
              <w:rPr>
                <w:vertAlign w:val="superscript"/>
                <w:lang w:val="en-US"/>
              </w:rPr>
              <w:t xml:space="preserve">b </w:t>
            </w:r>
            <w:r>
              <w:t>,</w:t>
            </w:r>
            <w:proofErr w:type="gramEnd"/>
            <w:r>
              <w:t xml:space="preserve"> </w:t>
            </w:r>
            <w:r>
              <w:rPr>
                <w:lang w:val="en-US"/>
              </w:rPr>
              <w:t>n (%)</w:t>
            </w:r>
          </w:p>
        </w:tc>
        <w:tc>
          <w:tcPr>
            <w:tcW w:w="628" w:type="pct"/>
            <w:shd w:val="clear" w:color="auto" w:fill="C6D9F1" w:themeFill="text2" w:themeFillTint="33"/>
            <w:vAlign w:val="center"/>
          </w:tcPr>
          <w:p w14:paraId="75387216" w14:textId="77777777" w:rsidR="00E37ABC" w:rsidRPr="004B5317" w:rsidRDefault="00E37ABC" w:rsidP="00E37ABC">
            <w:pPr>
              <w:pStyle w:val="Tabletext"/>
              <w:keepNext/>
              <w:jc w:val="center"/>
              <w:rPr>
                <w:lang w:val="en-US"/>
              </w:rPr>
            </w:pPr>
            <w:r w:rsidRPr="00E37ABC">
              <w:rPr>
                <w:color w:val="000000"/>
                <w:lang w:val="en-US"/>
              </w:rPr>
              <w:t>45 (36.6)</w:t>
            </w:r>
          </w:p>
        </w:tc>
        <w:tc>
          <w:tcPr>
            <w:tcW w:w="629" w:type="pct"/>
            <w:shd w:val="clear" w:color="auto" w:fill="C6D9F1" w:themeFill="text2" w:themeFillTint="33"/>
            <w:vAlign w:val="center"/>
          </w:tcPr>
          <w:p w14:paraId="117DBC1E" w14:textId="77777777" w:rsidR="00E37ABC" w:rsidRPr="004B5317" w:rsidRDefault="00E37ABC" w:rsidP="00E37ABC">
            <w:pPr>
              <w:pStyle w:val="Tabletext"/>
              <w:keepNext/>
              <w:jc w:val="center"/>
              <w:rPr>
                <w:lang w:val="en-US"/>
              </w:rPr>
            </w:pPr>
            <w:r w:rsidRPr="004B5317">
              <w:rPr>
                <w:color w:val="000000"/>
                <w:lang w:val="en-US"/>
              </w:rPr>
              <w:t>22 (17.2)</w:t>
            </w:r>
          </w:p>
        </w:tc>
        <w:tc>
          <w:tcPr>
            <w:tcW w:w="943" w:type="pct"/>
            <w:shd w:val="clear" w:color="auto" w:fill="C6D9F1" w:themeFill="text2" w:themeFillTint="33"/>
            <w:vAlign w:val="center"/>
          </w:tcPr>
          <w:p w14:paraId="1FA683C5" w14:textId="77777777" w:rsidR="00E37ABC" w:rsidRPr="004B5317" w:rsidRDefault="00E37ABC" w:rsidP="00E37ABC">
            <w:pPr>
              <w:pStyle w:val="Tabletext"/>
              <w:keepNext/>
              <w:jc w:val="center"/>
              <w:rPr>
                <w:color w:val="000000"/>
                <w:lang w:val="en-US"/>
              </w:rPr>
            </w:pPr>
            <w:r w:rsidRPr="004B5317">
              <w:rPr>
                <w:color w:val="000000"/>
                <w:lang w:val="en-US"/>
              </w:rPr>
              <w:t>19.4 (8.67, 30.13)</w:t>
            </w:r>
          </w:p>
        </w:tc>
        <w:tc>
          <w:tcPr>
            <w:tcW w:w="811" w:type="pct"/>
            <w:shd w:val="clear" w:color="auto" w:fill="C6D9F1" w:themeFill="text2" w:themeFillTint="33"/>
            <w:vAlign w:val="center"/>
          </w:tcPr>
          <w:p w14:paraId="5219F13C" w14:textId="77777777" w:rsidR="00E37ABC" w:rsidRPr="004B5317" w:rsidRDefault="00E37ABC" w:rsidP="00E37ABC">
            <w:pPr>
              <w:pStyle w:val="Tabletext"/>
              <w:keepNext/>
              <w:jc w:val="center"/>
              <w:rPr>
                <w:color w:val="000000"/>
                <w:lang w:val="en-US"/>
              </w:rPr>
            </w:pPr>
            <w:r>
              <w:rPr>
                <w:color w:val="000000"/>
                <w:lang w:val="en-US"/>
              </w:rPr>
              <w:t>2.74 (1.51, 5.45</w:t>
            </w:r>
            <w:r w:rsidRPr="004B5317">
              <w:rPr>
                <w:color w:val="000000"/>
                <w:lang w:val="en-US"/>
              </w:rPr>
              <w:t>)</w:t>
            </w:r>
          </w:p>
          <w:p w14:paraId="48486E60" w14:textId="77777777" w:rsidR="00E37ABC" w:rsidRPr="004B5317" w:rsidRDefault="00E37ABC" w:rsidP="00E37ABC">
            <w:pPr>
              <w:pStyle w:val="Tabletext"/>
              <w:keepNext/>
              <w:jc w:val="center"/>
              <w:rPr>
                <w:color w:val="000000"/>
                <w:lang w:val="en-US"/>
              </w:rPr>
            </w:pPr>
            <w:r w:rsidRPr="004B5317">
              <w:rPr>
                <w:color w:val="000000"/>
                <w:lang w:val="en-US"/>
              </w:rPr>
              <w:t>p = 0.0005</w:t>
            </w:r>
          </w:p>
        </w:tc>
        <w:tc>
          <w:tcPr>
            <w:tcW w:w="812" w:type="pct"/>
            <w:shd w:val="clear" w:color="auto" w:fill="C6D9F1" w:themeFill="text2" w:themeFillTint="33"/>
            <w:vAlign w:val="center"/>
          </w:tcPr>
          <w:p w14:paraId="1DBF4214" w14:textId="77777777" w:rsidR="00E37ABC" w:rsidRPr="004B5317" w:rsidRDefault="00E37ABC" w:rsidP="00E37ABC">
            <w:pPr>
              <w:pStyle w:val="Tabletext"/>
              <w:keepNext/>
              <w:jc w:val="center"/>
              <w:rPr>
                <w:color w:val="000000"/>
                <w:lang w:val="en-US"/>
              </w:rPr>
            </w:pPr>
            <w:r>
              <w:rPr>
                <w:color w:val="000000"/>
                <w:lang w:val="en-US"/>
              </w:rPr>
              <w:t>2.78 (1.54, 5.00</w:t>
            </w:r>
            <w:r w:rsidRPr="004B5317">
              <w:rPr>
                <w:color w:val="000000"/>
                <w:lang w:val="en-US"/>
              </w:rPr>
              <w:t>)</w:t>
            </w:r>
          </w:p>
          <w:p w14:paraId="4D56ADA4" w14:textId="77777777" w:rsidR="00E37ABC" w:rsidRPr="004B5317" w:rsidRDefault="00E37ABC" w:rsidP="00E37ABC">
            <w:pPr>
              <w:pStyle w:val="Tabletext"/>
              <w:keepNext/>
              <w:jc w:val="center"/>
              <w:rPr>
                <w:color w:val="000000"/>
                <w:lang w:val="en-US"/>
              </w:rPr>
            </w:pPr>
            <w:r w:rsidRPr="004B5317">
              <w:rPr>
                <w:color w:val="000000"/>
                <w:lang w:val="en-US"/>
              </w:rPr>
              <w:t>p = 0.0005</w:t>
            </w:r>
          </w:p>
        </w:tc>
      </w:tr>
      <w:tr w:rsidR="00E37ABC" w:rsidRPr="004B5317" w14:paraId="2A529960" w14:textId="77777777" w:rsidTr="004071B0">
        <w:trPr>
          <w:trHeight w:val="345"/>
        </w:trPr>
        <w:tc>
          <w:tcPr>
            <w:tcW w:w="1177" w:type="pct"/>
            <w:shd w:val="clear" w:color="auto" w:fill="C6D9F1" w:themeFill="text2" w:themeFillTint="33"/>
          </w:tcPr>
          <w:p w14:paraId="4F796ABE" w14:textId="77777777" w:rsidR="00E37ABC" w:rsidRDefault="00E37ABC" w:rsidP="00E37ABC">
            <w:pPr>
              <w:pStyle w:val="Tabletext"/>
              <w:keepNext/>
              <w:rPr>
                <w:lang w:val="en-US"/>
              </w:rPr>
            </w:pPr>
            <w:r>
              <w:rPr>
                <w:lang w:val="en-US"/>
              </w:rPr>
              <w:t>P</w:t>
            </w:r>
            <w:r w:rsidRPr="004B5317">
              <w:rPr>
                <w:lang w:val="en-US"/>
              </w:rPr>
              <w:t xml:space="preserve">atients </w:t>
            </w:r>
            <w:r>
              <w:rPr>
                <w:lang w:val="en-US"/>
              </w:rPr>
              <w:t xml:space="preserve">(%) </w:t>
            </w:r>
            <w:r w:rsidRPr="004B5317">
              <w:rPr>
                <w:lang w:val="en-US"/>
              </w:rPr>
              <w:t>with</w:t>
            </w:r>
            <w:r w:rsidRPr="004B5317">
              <w:rPr>
                <w:lang w:val="en-US"/>
              </w:rPr>
              <w:br/>
              <w:t>≥ 3 mL/kg/min in pVO</w:t>
            </w:r>
            <w:r w:rsidRPr="004B5317">
              <w:rPr>
                <w:vertAlign w:val="subscript"/>
                <w:lang w:val="en-US"/>
              </w:rPr>
              <w:t>2</w:t>
            </w:r>
            <w:r w:rsidRPr="004B5317">
              <w:rPr>
                <w:lang w:val="en-US"/>
              </w:rPr>
              <w:t xml:space="preserve"> and improvement ≥ 1 NYHA class</w:t>
            </w:r>
            <w:r w:rsidRPr="004B5317">
              <w:rPr>
                <w:rFonts w:cs="Arial"/>
                <w:position w:val="-1"/>
                <w:vertAlign w:val="superscript"/>
                <w:lang w:val="en-US"/>
              </w:rPr>
              <w:t>e</w:t>
            </w:r>
          </w:p>
        </w:tc>
        <w:tc>
          <w:tcPr>
            <w:tcW w:w="628" w:type="pct"/>
            <w:shd w:val="clear" w:color="auto" w:fill="C6D9F1" w:themeFill="text2" w:themeFillTint="33"/>
            <w:vAlign w:val="center"/>
          </w:tcPr>
          <w:p w14:paraId="0000CDC0" w14:textId="77777777" w:rsidR="00E37ABC" w:rsidRPr="004B5317" w:rsidRDefault="00E37ABC" w:rsidP="00E37ABC">
            <w:pPr>
              <w:pStyle w:val="Tabletext"/>
              <w:keepNext/>
              <w:jc w:val="center"/>
              <w:rPr>
                <w:lang w:val="en-US"/>
              </w:rPr>
            </w:pPr>
            <w:r w:rsidRPr="004B5317">
              <w:rPr>
                <w:lang w:val="en-US"/>
              </w:rPr>
              <w:t>25 (20.3)</w:t>
            </w:r>
          </w:p>
        </w:tc>
        <w:tc>
          <w:tcPr>
            <w:tcW w:w="629" w:type="pct"/>
            <w:shd w:val="clear" w:color="auto" w:fill="C6D9F1" w:themeFill="text2" w:themeFillTint="33"/>
            <w:vAlign w:val="center"/>
          </w:tcPr>
          <w:p w14:paraId="39E1E03E" w14:textId="77777777" w:rsidR="00E37ABC" w:rsidRPr="004B5317" w:rsidRDefault="00E37ABC" w:rsidP="00E37ABC">
            <w:pPr>
              <w:pStyle w:val="Tabletext"/>
              <w:keepNext/>
              <w:jc w:val="center"/>
              <w:rPr>
                <w:lang w:val="en-US"/>
              </w:rPr>
            </w:pPr>
            <w:r w:rsidRPr="004B5317">
              <w:rPr>
                <w:lang w:val="en-US"/>
              </w:rPr>
              <w:t>10 (7.8)</w:t>
            </w:r>
          </w:p>
        </w:tc>
        <w:tc>
          <w:tcPr>
            <w:tcW w:w="943" w:type="pct"/>
            <w:shd w:val="clear" w:color="auto" w:fill="C6D9F1" w:themeFill="text2" w:themeFillTint="33"/>
            <w:vAlign w:val="center"/>
          </w:tcPr>
          <w:p w14:paraId="29648BC9" w14:textId="77777777" w:rsidR="00E37ABC" w:rsidRPr="004B5317" w:rsidRDefault="00E37ABC" w:rsidP="00E37ABC">
            <w:pPr>
              <w:pStyle w:val="Tabletext"/>
              <w:keepNext/>
              <w:jc w:val="center"/>
              <w:rPr>
                <w:color w:val="000000"/>
                <w:lang w:val="en-US"/>
              </w:rPr>
            </w:pPr>
            <w:r w:rsidRPr="004B5317">
              <w:rPr>
                <w:color w:val="000000"/>
                <w:lang w:val="en-US"/>
              </w:rPr>
              <w:t>12.5 (4.02, 21.01)</w:t>
            </w:r>
          </w:p>
        </w:tc>
        <w:tc>
          <w:tcPr>
            <w:tcW w:w="811" w:type="pct"/>
            <w:shd w:val="clear" w:color="auto" w:fill="C6D9F1" w:themeFill="text2" w:themeFillTint="33"/>
            <w:vAlign w:val="center"/>
          </w:tcPr>
          <w:p w14:paraId="11535672" w14:textId="77777777" w:rsidR="00E37ABC" w:rsidRPr="00986C37" w:rsidRDefault="00E37ABC" w:rsidP="00E37ABC">
            <w:pPr>
              <w:pStyle w:val="Tabletext"/>
              <w:keepNext/>
              <w:jc w:val="center"/>
              <w:rPr>
                <w:color w:val="000000"/>
                <w:lang w:val="en-US"/>
              </w:rPr>
            </w:pPr>
            <w:r w:rsidRPr="00986C37">
              <w:rPr>
                <w:color w:val="000000"/>
                <w:lang w:val="en-US"/>
              </w:rPr>
              <w:t>3.01 (1.38, 6.57)</w:t>
            </w:r>
          </w:p>
        </w:tc>
        <w:tc>
          <w:tcPr>
            <w:tcW w:w="812" w:type="pct"/>
            <w:shd w:val="clear" w:color="auto" w:fill="C6D9F1" w:themeFill="text2" w:themeFillTint="33"/>
            <w:vAlign w:val="center"/>
          </w:tcPr>
          <w:p w14:paraId="4527FE46" w14:textId="77777777" w:rsidR="00E37ABC" w:rsidRDefault="00E37ABC" w:rsidP="00E37ABC">
            <w:pPr>
              <w:pStyle w:val="Tabletext"/>
              <w:keepNext/>
              <w:jc w:val="center"/>
              <w:rPr>
                <w:color w:val="000000"/>
                <w:lang w:val="en-US"/>
              </w:rPr>
            </w:pPr>
            <w:r>
              <w:rPr>
                <w:color w:val="000000"/>
                <w:lang w:val="en-US"/>
              </w:rPr>
              <w:t>NR</w:t>
            </w:r>
          </w:p>
        </w:tc>
      </w:tr>
    </w:tbl>
    <w:p w14:paraId="3DD2B877" w14:textId="77777777" w:rsidR="00A24F7D" w:rsidRPr="005B5EC3" w:rsidRDefault="00A24F7D" w:rsidP="00A24F7D">
      <w:pPr>
        <w:keepLines/>
        <w:rPr>
          <w:rFonts w:ascii="Arial Narrow" w:hAnsi="Arial Narrow" w:cs="Times New Roman"/>
          <w:color w:val="000000"/>
          <w:sz w:val="18"/>
          <w:szCs w:val="18"/>
        </w:rPr>
      </w:pPr>
      <w:r w:rsidRPr="005B5EC3">
        <w:rPr>
          <w:rFonts w:ascii="Arial Narrow" w:hAnsi="Arial Narrow" w:cs="Times New Roman"/>
          <w:color w:val="000000"/>
          <w:sz w:val="18"/>
          <w:szCs w:val="18"/>
        </w:rPr>
        <w:t>Source: Table 43, p101 of the</w:t>
      </w:r>
      <w:r>
        <w:rPr>
          <w:rFonts w:ascii="Arial Narrow" w:hAnsi="Arial Narrow" w:cs="Times New Roman"/>
          <w:color w:val="000000"/>
          <w:sz w:val="18"/>
          <w:szCs w:val="18"/>
        </w:rPr>
        <w:t xml:space="preserve"> November 2022</w:t>
      </w:r>
      <w:r w:rsidRPr="005B5EC3">
        <w:rPr>
          <w:rFonts w:ascii="Arial Narrow" w:hAnsi="Arial Narrow" w:cs="Times New Roman"/>
          <w:color w:val="000000"/>
          <w:sz w:val="18"/>
          <w:szCs w:val="18"/>
        </w:rPr>
        <w:t xml:space="preserve"> submission. </w:t>
      </w:r>
    </w:p>
    <w:p w14:paraId="57FB76BC" w14:textId="77777777" w:rsidR="00A24F7D" w:rsidRPr="005B5EC3" w:rsidRDefault="007E1936" w:rsidP="00A24F7D">
      <w:pPr>
        <w:keepLines/>
        <w:rPr>
          <w:rFonts w:ascii="Arial Narrow" w:hAnsi="Arial Narrow" w:cs="Times New Roman"/>
          <w:color w:val="000000"/>
          <w:sz w:val="18"/>
          <w:szCs w:val="18"/>
        </w:rPr>
      </w:pPr>
      <w:r>
        <w:rPr>
          <w:rFonts w:ascii="Arial Narrow" w:hAnsi="Arial Narrow" w:cs="Times New Roman"/>
          <w:color w:val="000000"/>
          <w:sz w:val="18"/>
          <w:szCs w:val="18"/>
        </w:rPr>
        <w:t xml:space="preserve">CI = confidence interval; ITT = intention to treat; </w:t>
      </w:r>
      <w:r w:rsidRPr="00501F1B">
        <w:rPr>
          <w:rFonts w:ascii="Arial Narrow" w:eastAsia="Calibri" w:hAnsi="Arial Narrow"/>
          <w:sz w:val="18"/>
          <w:szCs w:val="18"/>
        </w:rPr>
        <w:t>N = total participants in group</w:t>
      </w:r>
      <w:r>
        <w:rPr>
          <w:rFonts w:ascii="Arial Narrow" w:hAnsi="Arial Narrow" w:cs="Times New Roman"/>
          <w:color w:val="000000"/>
          <w:sz w:val="18"/>
          <w:szCs w:val="18"/>
        </w:rPr>
        <w:t xml:space="preserve">; </w:t>
      </w:r>
      <w:r w:rsidR="00A24F7D">
        <w:rPr>
          <w:rFonts w:ascii="Arial Narrow" w:hAnsi="Arial Narrow" w:cs="Times New Roman"/>
          <w:color w:val="000000"/>
          <w:sz w:val="18"/>
          <w:szCs w:val="18"/>
        </w:rPr>
        <w:t xml:space="preserve">NR = not reported; </w:t>
      </w:r>
      <w:r w:rsidR="00A24F7D" w:rsidRPr="005B5EC3">
        <w:rPr>
          <w:rFonts w:ascii="Arial Narrow" w:hAnsi="Arial Narrow" w:cs="Times New Roman"/>
          <w:color w:val="000000"/>
          <w:sz w:val="18"/>
          <w:szCs w:val="18"/>
        </w:rPr>
        <w:t>NYHA = New York Heart Association</w:t>
      </w:r>
      <w:r w:rsidR="00A24F7D">
        <w:rPr>
          <w:rFonts w:ascii="Arial Narrow" w:hAnsi="Arial Narrow" w:cs="Times New Roman"/>
          <w:color w:val="000000"/>
          <w:sz w:val="18"/>
          <w:szCs w:val="18"/>
        </w:rPr>
        <w:t xml:space="preserve">; RD = risk difference; OR = odds ratio; </w:t>
      </w:r>
      <w:r w:rsidR="00A24F7D" w:rsidRPr="005B5EC3">
        <w:rPr>
          <w:rFonts w:ascii="Arial Narrow" w:hAnsi="Arial Narrow" w:cs="Times New Roman"/>
          <w:color w:val="000000"/>
          <w:sz w:val="18"/>
          <w:szCs w:val="18"/>
        </w:rPr>
        <w:t>pVO</w:t>
      </w:r>
      <w:r w:rsidR="00A24F7D" w:rsidRPr="005B5EC3">
        <w:rPr>
          <w:rFonts w:ascii="Arial Narrow" w:hAnsi="Arial Narrow" w:cs="Times New Roman"/>
          <w:color w:val="000000"/>
          <w:sz w:val="18"/>
          <w:szCs w:val="18"/>
          <w:vertAlign w:val="subscript"/>
        </w:rPr>
        <w:t>2</w:t>
      </w:r>
      <w:r w:rsidR="00A24F7D" w:rsidRPr="005B5EC3">
        <w:rPr>
          <w:rFonts w:ascii="Arial Narrow" w:hAnsi="Arial Narrow" w:cs="Times New Roman"/>
          <w:color w:val="000000"/>
          <w:sz w:val="18"/>
          <w:szCs w:val="18"/>
        </w:rPr>
        <w:t xml:space="preserve"> = peak oxygen consumption</w:t>
      </w:r>
    </w:p>
    <w:p w14:paraId="6506EB67" w14:textId="77777777" w:rsidR="00A24F7D" w:rsidRPr="005B5EC3" w:rsidRDefault="00A24F7D" w:rsidP="00A24F7D">
      <w:pPr>
        <w:keepLines/>
        <w:rPr>
          <w:rFonts w:ascii="Arial Narrow" w:hAnsi="Arial Narrow" w:cs="Times New Roman"/>
          <w:color w:val="000000"/>
          <w:sz w:val="18"/>
          <w:szCs w:val="18"/>
        </w:rPr>
      </w:pPr>
      <w:proofErr w:type="spellStart"/>
      <w:r w:rsidRPr="005B5EC3">
        <w:rPr>
          <w:rFonts w:ascii="Arial Narrow" w:hAnsi="Arial Narrow" w:cs="Times New Roman"/>
          <w:color w:val="000000"/>
          <w:sz w:val="18"/>
          <w:szCs w:val="18"/>
          <w:vertAlign w:val="superscript"/>
        </w:rPr>
        <w:t>a</w:t>
      </w:r>
      <w:proofErr w:type="spellEnd"/>
      <w:r w:rsidRPr="005B5EC3">
        <w:rPr>
          <w:rFonts w:ascii="Arial Narrow" w:hAnsi="Arial Narrow" w:cs="Times New Roman"/>
          <w:color w:val="000000"/>
          <w:sz w:val="18"/>
          <w:szCs w:val="18"/>
        </w:rPr>
        <w:t xml:space="preserve"> </w:t>
      </w:r>
      <w:proofErr w:type="gramStart"/>
      <w:r w:rsidRPr="005B5EC3">
        <w:rPr>
          <w:rFonts w:ascii="Arial Narrow" w:hAnsi="Arial Narrow" w:cs="Times New Roman"/>
          <w:color w:val="000000"/>
          <w:sz w:val="18"/>
          <w:szCs w:val="18"/>
        </w:rPr>
        <w:t>The</w:t>
      </w:r>
      <w:proofErr w:type="gramEnd"/>
      <w:r w:rsidRPr="005B5EC3">
        <w:rPr>
          <w:rFonts w:ascii="Arial Narrow" w:hAnsi="Arial Narrow" w:cs="Times New Roman"/>
          <w:color w:val="000000"/>
          <w:sz w:val="18"/>
          <w:szCs w:val="18"/>
        </w:rPr>
        <w:t xml:space="preserve"> 95% CIs of the response differences between mavacamten and placebo groups are based on normal approximation.</w:t>
      </w:r>
    </w:p>
    <w:p w14:paraId="5581B7D7" w14:textId="77777777" w:rsidR="00A24F7D" w:rsidRPr="005B5EC3" w:rsidRDefault="00A24F7D" w:rsidP="00A24F7D">
      <w:pPr>
        <w:keepLines/>
        <w:rPr>
          <w:rFonts w:ascii="Arial Narrow" w:hAnsi="Arial Narrow" w:cs="Times New Roman"/>
          <w:color w:val="000000"/>
          <w:sz w:val="18"/>
          <w:szCs w:val="18"/>
        </w:rPr>
      </w:pPr>
      <w:r w:rsidRPr="005B5EC3">
        <w:rPr>
          <w:rFonts w:ascii="Arial Narrow" w:hAnsi="Arial Narrow" w:cs="Times New Roman"/>
          <w:color w:val="000000"/>
          <w:sz w:val="18"/>
          <w:szCs w:val="18"/>
          <w:vertAlign w:val="superscript"/>
        </w:rPr>
        <w:t>b</w:t>
      </w:r>
      <w:r w:rsidRPr="005B5EC3">
        <w:rPr>
          <w:rFonts w:ascii="Arial Narrow" w:hAnsi="Arial Narrow" w:cs="Times New Roman"/>
          <w:color w:val="000000"/>
          <w:sz w:val="18"/>
          <w:szCs w:val="18"/>
        </w:rPr>
        <w:t xml:space="preserve"> </w:t>
      </w:r>
      <w:proofErr w:type="gramStart"/>
      <w:r w:rsidRPr="005B5EC3">
        <w:rPr>
          <w:rFonts w:ascii="Arial Narrow" w:hAnsi="Arial Narrow" w:cs="Times New Roman"/>
          <w:color w:val="000000"/>
          <w:sz w:val="18"/>
          <w:szCs w:val="18"/>
        </w:rPr>
        <w:t>The</w:t>
      </w:r>
      <w:proofErr w:type="gramEnd"/>
      <w:r w:rsidRPr="005B5EC3">
        <w:rPr>
          <w:rFonts w:ascii="Arial Narrow" w:hAnsi="Arial Narrow" w:cs="Times New Roman"/>
          <w:color w:val="000000"/>
          <w:sz w:val="18"/>
          <w:szCs w:val="18"/>
        </w:rPr>
        <w:t xml:space="preserve"> composite functional endpoint was defined as either: Type 1) an improvement of at least 1.5 mL/kg/min in pVO</w:t>
      </w:r>
      <w:r w:rsidRPr="005B5EC3">
        <w:rPr>
          <w:rFonts w:ascii="Arial Narrow" w:hAnsi="Arial Narrow" w:cs="Times New Roman"/>
          <w:color w:val="000000"/>
          <w:sz w:val="18"/>
          <w:szCs w:val="18"/>
          <w:vertAlign w:val="subscript"/>
        </w:rPr>
        <w:t>2</w:t>
      </w:r>
      <w:r w:rsidRPr="005B5EC3">
        <w:rPr>
          <w:rFonts w:ascii="Arial Narrow" w:hAnsi="Arial Narrow" w:cs="Times New Roman"/>
          <w:color w:val="000000"/>
          <w:sz w:val="18"/>
          <w:szCs w:val="18"/>
        </w:rPr>
        <w:t xml:space="preserve"> and improvement of one or more NYHA class or Type 2) an improvement of at least 3.0 mL/kg/min in pVO</w:t>
      </w:r>
      <w:r w:rsidRPr="005B5EC3">
        <w:rPr>
          <w:rFonts w:ascii="Arial Narrow" w:hAnsi="Arial Narrow" w:cs="Times New Roman"/>
          <w:color w:val="000000"/>
          <w:sz w:val="18"/>
          <w:szCs w:val="18"/>
          <w:vertAlign w:val="subscript"/>
        </w:rPr>
        <w:t>2</w:t>
      </w:r>
      <w:r w:rsidRPr="005B5EC3">
        <w:rPr>
          <w:rFonts w:ascii="Arial Narrow" w:hAnsi="Arial Narrow" w:cs="Times New Roman"/>
          <w:color w:val="000000"/>
          <w:sz w:val="18"/>
          <w:szCs w:val="18"/>
        </w:rPr>
        <w:t xml:space="preserve"> with no worsening in NYHA class, unless otherwise denoted. Missing NYHA class at Week 30 was imputed using available NYHA class at Week 26. After the imputation, the patients whose response status at Week 30 was still missing were classified as non-responders.</w:t>
      </w:r>
    </w:p>
    <w:p w14:paraId="6C76A2BF" w14:textId="204F8031" w:rsidR="00A24F7D" w:rsidRPr="005B5EC3" w:rsidRDefault="00A24F7D" w:rsidP="00A24F7D">
      <w:pPr>
        <w:keepLines/>
        <w:rPr>
          <w:rFonts w:ascii="Arial Narrow" w:hAnsi="Arial Narrow" w:cs="Times New Roman"/>
          <w:color w:val="000000"/>
          <w:sz w:val="18"/>
          <w:szCs w:val="18"/>
        </w:rPr>
      </w:pPr>
      <w:r w:rsidRPr="005B5EC3">
        <w:rPr>
          <w:rFonts w:ascii="Arial Narrow" w:hAnsi="Arial Narrow" w:cs="Times New Roman"/>
          <w:color w:val="000000"/>
          <w:sz w:val="18"/>
          <w:szCs w:val="18"/>
          <w:vertAlign w:val="superscript"/>
        </w:rPr>
        <w:t>c</w:t>
      </w:r>
      <w:r w:rsidRPr="005B5EC3">
        <w:rPr>
          <w:rFonts w:ascii="Arial Narrow" w:hAnsi="Arial Narrow" w:cs="Times New Roman"/>
          <w:color w:val="000000"/>
          <w:sz w:val="18"/>
          <w:szCs w:val="18"/>
        </w:rPr>
        <w:t xml:space="preserve"> </w:t>
      </w:r>
      <w:proofErr w:type="gramStart"/>
      <w:r w:rsidRPr="005B5EC3">
        <w:rPr>
          <w:rFonts w:ascii="Arial Narrow" w:hAnsi="Arial Narrow" w:cs="Times New Roman"/>
          <w:color w:val="000000"/>
          <w:sz w:val="18"/>
          <w:szCs w:val="18"/>
        </w:rPr>
        <w:t>The</w:t>
      </w:r>
      <w:proofErr w:type="gramEnd"/>
      <w:r w:rsidRPr="005B5EC3">
        <w:rPr>
          <w:rFonts w:ascii="Arial Narrow" w:hAnsi="Arial Narrow" w:cs="Times New Roman"/>
          <w:color w:val="000000"/>
          <w:sz w:val="18"/>
          <w:szCs w:val="18"/>
        </w:rPr>
        <w:t xml:space="preserve"> analysis was stratified on NYHA class, beta-blocker use, and exercise type (based on IXRS). Odds ratio was estimated using Cochran-Mantel-Haenszel method. Odds ratio &gt; 1 indicates better outcome when comparing to placebo. P-value and 95% CI were derived using the exact method.</w:t>
      </w:r>
    </w:p>
    <w:p w14:paraId="1E4E6BF4" w14:textId="77777777" w:rsidR="00A24F7D" w:rsidRPr="005B5EC3" w:rsidRDefault="00A24F7D" w:rsidP="00A24F7D">
      <w:pPr>
        <w:keepLines/>
        <w:rPr>
          <w:rFonts w:ascii="Arial Narrow" w:hAnsi="Arial Narrow" w:cs="Times New Roman"/>
          <w:color w:val="000000"/>
          <w:sz w:val="18"/>
          <w:szCs w:val="18"/>
        </w:rPr>
      </w:pPr>
      <w:r w:rsidRPr="005B5EC3">
        <w:rPr>
          <w:rFonts w:ascii="Arial Narrow" w:hAnsi="Arial Narrow" w:cs="Times New Roman"/>
          <w:color w:val="000000"/>
          <w:sz w:val="18"/>
          <w:szCs w:val="18"/>
          <w:vertAlign w:val="superscript"/>
        </w:rPr>
        <w:t>d</w:t>
      </w:r>
      <w:r w:rsidRPr="005B5EC3">
        <w:rPr>
          <w:rFonts w:ascii="Arial Narrow" w:hAnsi="Arial Narrow" w:cs="Times New Roman"/>
          <w:color w:val="000000"/>
          <w:sz w:val="18"/>
          <w:szCs w:val="18"/>
        </w:rPr>
        <w:t xml:space="preserve"> Unstratified analysis is performed as sensitivity analysis. P-value and 95% CI is derived from Pearson’s Chi-square test.</w:t>
      </w:r>
    </w:p>
    <w:p w14:paraId="41903F24" w14:textId="77777777" w:rsidR="00A24F7D" w:rsidRDefault="00A24F7D" w:rsidP="00A24F7D">
      <w:pPr>
        <w:keepLines/>
        <w:rPr>
          <w:rFonts w:ascii="Arial Narrow" w:hAnsi="Arial Narrow" w:cs="Times New Roman"/>
          <w:color w:val="000000"/>
          <w:sz w:val="18"/>
          <w:szCs w:val="18"/>
        </w:rPr>
      </w:pPr>
      <w:r w:rsidRPr="005B5EC3">
        <w:rPr>
          <w:rFonts w:ascii="Arial Narrow" w:hAnsi="Arial Narrow" w:cs="Times New Roman"/>
          <w:color w:val="000000"/>
          <w:sz w:val="18"/>
          <w:szCs w:val="18"/>
          <w:vertAlign w:val="superscript"/>
        </w:rPr>
        <w:t>e</w:t>
      </w:r>
      <w:r w:rsidRPr="005B5EC3">
        <w:rPr>
          <w:rFonts w:ascii="Arial Narrow" w:hAnsi="Arial Narrow" w:cs="Times New Roman"/>
          <w:color w:val="000000"/>
          <w:sz w:val="18"/>
          <w:szCs w:val="18"/>
        </w:rPr>
        <w:t xml:space="preserve"> These are the most stringent pVO</w:t>
      </w:r>
      <w:r w:rsidRPr="005B5EC3">
        <w:rPr>
          <w:rFonts w:ascii="Arial Narrow" w:hAnsi="Arial Narrow" w:cs="Times New Roman"/>
          <w:color w:val="000000"/>
          <w:sz w:val="18"/>
          <w:szCs w:val="18"/>
          <w:vertAlign w:val="subscript"/>
        </w:rPr>
        <w:t>2</w:t>
      </w:r>
      <w:r w:rsidRPr="005B5EC3">
        <w:rPr>
          <w:rFonts w:ascii="Arial Narrow" w:hAnsi="Arial Narrow" w:cs="Times New Roman"/>
          <w:color w:val="000000"/>
          <w:sz w:val="18"/>
          <w:szCs w:val="18"/>
        </w:rPr>
        <w:t xml:space="preserve"> and NYHA class components of the composite functional endpoint</w:t>
      </w:r>
      <w:r w:rsidRPr="00BF5BC7">
        <w:rPr>
          <w:rFonts w:eastAsia="Calibri"/>
        </w:rPr>
        <w:t xml:space="preserve"> </w:t>
      </w:r>
      <w:r w:rsidRPr="00BF5BC7">
        <w:rPr>
          <w:rFonts w:ascii="Arial Narrow" w:hAnsi="Arial Narrow" w:cs="Times New Roman"/>
          <w:color w:val="000000"/>
          <w:sz w:val="18"/>
          <w:szCs w:val="18"/>
        </w:rPr>
        <w:t>and do not reflect either component 1 or component 2 of the composite functional endpoint</w:t>
      </w:r>
      <w:r w:rsidRPr="005B5EC3">
        <w:rPr>
          <w:rFonts w:ascii="Arial Narrow" w:hAnsi="Arial Narrow" w:cs="Times New Roman"/>
          <w:color w:val="000000"/>
          <w:sz w:val="18"/>
          <w:szCs w:val="18"/>
        </w:rPr>
        <w:t>.</w:t>
      </w:r>
    </w:p>
    <w:p w14:paraId="55D31734" w14:textId="77777777" w:rsidR="00A24F7D" w:rsidRDefault="00A24F7D" w:rsidP="00A24F7D">
      <w:pPr>
        <w:keepLines/>
        <w:rPr>
          <w:rFonts w:ascii="Arial Narrow" w:hAnsi="Arial Narrow" w:cs="Times New Roman"/>
          <w:color w:val="000000"/>
          <w:sz w:val="18"/>
          <w:szCs w:val="18"/>
        </w:rPr>
      </w:pPr>
      <w:r w:rsidRPr="007331C6">
        <w:rPr>
          <w:rFonts w:ascii="Arial Narrow" w:hAnsi="Arial Narrow" w:cs="Times New Roman"/>
          <w:color w:val="000000"/>
          <w:sz w:val="18"/>
          <w:szCs w:val="18"/>
          <w:vertAlign w:val="superscript"/>
        </w:rPr>
        <w:t xml:space="preserve">f </w:t>
      </w:r>
      <w:r w:rsidRPr="007331C6">
        <w:rPr>
          <w:rFonts w:ascii="Arial Narrow" w:hAnsi="Arial Narrow" w:cs="Times New Roman"/>
          <w:color w:val="000000"/>
          <w:sz w:val="18"/>
          <w:szCs w:val="18"/>
        </w:rPr>
        <w:t xml:space="preserve">Calculated during the </w:t>
      </w:r>
      <w:r>
        <w:rPr>
          <w:rFonts w:ascii="Arial Narrow" w:hAnsi="Arial Narrow" w:cs="Times New Roman"/>
          <w:color w:val="000000"/>
          <w:sz w:val="18"/>
          <w:szCs w:val="18"/>
        </w:rPr>
        <w:t xml:space="preserve">November 2022 </w:t>
      </w:r>
      <w:r w:rsidRPr="007331C6">
        <w:rPr>
          <w:rFonts w:ascii="Arial Narrow" w:hAnsi="Arial Narrow" w:cs="Times New Roman"/>
          <w:color w:val="000000"/>
          <w:sz w:val="18"/>
          <w:szCs w:val="18"/>
        </w:rPr>
        <w:t>evaluation, using Stata.</w:t>
      </w:r>
    </w:p>
    <w:p w14:paraId="1E2DF88A" w14:textId="77777777" w:rsidR="00117DDB" w:rsidRPr="00072AA2" w:rsidRDefault="00117DDB" w:rsidP="00A24F7D">
      <w:pPr>
        <w:keepLines/>
      </w:pPr>
      <w:r w:rsidRPr="00117DDB">
        <w:rPr>
          <w:rFonts w:ascii="Arial Narrow" w:hAnsi="Arial Narrow" w:cs="Times New Roman"/>
          <w:color w:val="000000"/>
          <w:sz w:val="18"/>
          <w:szCs w:val="18"/>
          <w:shd w:val="clear" w:color="auto" w:fill="C6D9F1" w:themeFill="text2" w:themeFillTint="33"/>
        </w:rPr>
        <w:t xml:space="preserve">Blue </w:t>
      </w:r>
      <w:r w:rsidRPr="00117DDB">
        <w:rPr>
          <w:rFonts w:ascii="Arial Narrow" w:hAnsi="Arial Narrow" w:cs="Times New Roman"/>
          <w:color w:val="000000"/>
          <w:sz w:val="18"/>
          <w:szCs w:val="18"/>
        </w:rPr>
        <w:t>shading represents information previously considered by the PBAC.</w:t>
      </w:r>
    </w:p>
    <w:p w14:paraId="64A48705" w14:textId="04B2F129" w:rsidR="00946AD8" w:rsidRPr="00AB558E" w:rsidRDefault="00946AD8" w:rsidP="001F6F06">
      <w:pPr>
        <w:pStyle w:val="3-BodyText"/>
        <w:spacing w:before="120"/>
        <w:rPr>
          <w:rFonts w:eastAsia="Calibri"/>
        </w:rPr>
      </w:pPr>
      <w:r w:rsidRPr="00AB558E">
        <w:rPr>
          <w:rFonts w:eastAsia="Calibri"/>
        </w:rPr>
        <w:t>At baseline, all patients in EXPLORER-HCM were of NYHA class II or III. In the mavacamten arm, 65% of patients experienced at least one NYHA class improvement from baseline to Week 30, whereas in the placebo arm, 31.1% of patients had at least one NYHA class improvement</w:t>
      </w:r>
      <w:r w:rsidR="001663C2">
        <w:rPr>
          <w:rFonts w:eastAsia="Calibri"/>
        </w:rPr>
        <w:t xml:space="preserve"> (</w:t>
      </w:r>
      <w:r w:rsidR="004071B0">
        <w:rPr>
          <w:rFonts w:eastAsia="Calibri"/>
        </w:rPr>
        <w:fldChar w:fldCharType="begin"/>
      </w:r>
      <w:r w:rsidR="004071B0">
        <w:rPr>
          <w:rFonts w:eastAsia="Calibri"/>
        </w:rPr>
        <w:instrText xml:space="preserve"> REF _Ref132241109 \h </w:instrText>
      </w:r>
      <w:r w:rsidR="004071B0">
        <w:rPr>
          <w:rFonts w:eastAsia="Calibri"/>
        </w:rPr>
      </w:r>
      <w:r w:rsidR="004071B0">
        <w:rPr>
          <w:rFonts w:eastAsia="Calibri"/>
        </w:rPr>
        <w:fldChar w:fldCharType="separate"/>
      </w:r>
      <w:r w:rsidR="00F84C70">
        <w:t xml:space="preserve">Table </w:t>
      </w:r>
      <w:r w:rsidR="00F84C70">
        <w:rPr>
          <w:noProof/>
        </w:rPr>
        <w:t>6</w:t>
      </w:r>
      <w:r w:rsidR="004071B0">
        <w:rPr>
          <w:rFonts w:eastAsia="Calibri"/>
        </w:rPr>
        <w:fldChar w:fldCharType="end"/>
      </w:r>
      <w:r w:rsidR="001663C2">
        <w:rPr>
          <w:rFonts w:eastAsia="Calibri"/>
        </w:rPr>
        <w:t>)</w:t>
      </w:r>
      <w:r w:rsidRPr="00AB558E">
        <w:rPr>
          <w:rFonts w:eastAsia="Calibri"/>
        </w:rPr>
        <w:t xml:space="preserve">. </w:t>
      </w:r>
    </w:p>
    <w:p w14:paraId="16DCB032" w14:textId="45936694" w:rsidR="00946AD8" w:rsidRDefault="00946AD8" w:rsidP="00946AD8">
      <w:pPr>
        <w:pStyle w:val="Caption"/>
      </w:pPr>
      <w:bookmarkStart w:id="50" w:name="_Ref132241109"/>
      <w:r>
        <w:t xml:space="preserve">Table </w:t>
      </w:r>
      <w:fldSimple w:instr=" SEQ Table \* ARABIC ">
        <w:r w:rsidR="00F84C70">
          <w:rPr>
            <w:noProof/>
          </w:rPr>
          <w:t>6</w:t>
        </w:r>
      </w:fldSimple>
      <w:bookmarkEnd w:id="50"/>
      <w:r>
        <w:t xml:space="preserve">: </w:t>
      </w:r>
      <w:r w:rsidRPr="008774E9">
        <w:t xml:space="preserve">Change from baseline to week 30 in NYHA </w:t>
      </w:r>
      <w:proofErr w:type="gramStart"/>
      <w:r w:rsidRPr="008774E9">
        <w:t>class</w:t>
      </w:r>
      <w:proofErr w:type="gramEnd"/>
    </w:p>
    <w:tbl>
      <w:tblPr>
        <w:tblStyle w:val="PBACtable2"/>
        <w:tblW w:w="5005" w:type="pct"/>
        <w:tblLayout w:type="fixed"/>
        <w:tblLook w:val="04A0" w:firstRow="1" w:lastRow="0" w:firstColumn="1" w:lastColumn="0" w:noHBand="0" w:noVBand="1"/>
      </w:tblPr>
      <w:tblGrid>
        <w:gridCol w:w="1623"/>
        <w:gridCol w:w="1236"/>
        <w:gridCol w:w="1302"/>
        <w:gridCol w:w="1249"/>
        <w:gridCol w:w="1182"/>
        <w:gridCol w:w="1216"/>
        <w:gridCol w:w="1218"/>
      </w:tblGrid>
      <w:tr w:rsidR="00946AD8" w:rsidRPr="004B5317" w14:paraId="3677E2AE" w14:textId="77777777" w:rsidTr="004071B0">
        <w:trPr>
          <w:tblHeader/>
        </w:trPr>
        <w:tc>
          <w:tcPr>
            <w:tcW w:w="1623" w:type="dxa"/>
            <w:vMerge w:val="restart"/>
            <w:shd w:val="clear" w:color="auto" w:fill="C6D9F1" w:themeFill="text2" w:themeFillTint="33"/>
          </w:tcPr>
          <w:p w14:paraId="2B603ECA" w14:textId="77777777" w:rsidR="00946AD8" w:rsidRPr="008940B9" w:rsidRDefault="00946AD8" w:rsidP="00F774FD">
            <w:pPr>
              <w:pStyle w:val="TableFigureHeading"/>
              <w:rPr>
                <w:sz w:val="20"/>
                <w:szCs w:val="20"/>
                <w:lang w:val="en-US"/>
              </w:rPr>
            </w:pPr>
            <w:r w:rsidRPr="008940B9">
              <w:rPr>
                <w:sz w:val="20"/>
                <w:szCs w:val="20"/>
                <w:lang w:val="en-US"/>
              </w:rPr>
              <w:t>NYHA Class</w:t>
            </w:r>
          </w:p>
        </w:tc>
        <w:tc>
          <w:tcPr>
            <w:tcW w:w="3787" w:type="dxa"/>
            <w:gridSpan w:val="3"/>
            <w:shd w:val="clear" w:color="auto" w:fill="C6D9F1" w:themeFill="text2" w:themeFillTint="33"/>
          </w:tcPr>
          <w:p w14:paraId="26558FF2" w14:textId="77777777" w:rsidR="00946AD8" w:rsidRPr="008940B9" w:rsidRDefault="00946AD8" w:rsidP="00AA5E51">
            <w:pPr>
              <w:pStyle w:val="TableFigureHeading"/>
              <w:jc w:val="center"/>
              <w:rPr>
                <w:sz w:val="20"/>
                <w:szCs w:val="20"/>
                <w:lang w:val="en-US"/>
              </w:rPr>
            </w:pPr>
            <w:r w:rsidRPr="008940B9">
              <w:rPr>
                <w:sz w:val="20"/>
                <w:szCs w:val="20"/>
                <w:lang w:val="en-US"/>
              </w:rPr>
              <w:t>Mavacamten</w:t>
            </w:r>
            <w:r w:rsidRPr="008940B9">
              <w:rPr>
                <w:sz w:val="20"/>
                <w:szCs w:val="20"/>
                <w:lang w:val="en-US"/>
              </w:rPr>
              <w:br/>
              <w:t>(N = 123)</w:t>
            </w:r>
          </w:p>
        </w:tc>
        <w:tc>
          <w:tcPr>
            <w:tcW w:w="3616" w:type="dxa"/>
            <w:gridSpan w:val="3"/>
            <w:shd w:val="clear" w:color="auto" w:fill="C6D9F1" w:themeFill="text2" w:themeFillTint="33"/>
          </w:tcPr>
          <w:p w14:paraId="3B7FF21C" w14:textId="77777777" w:rsidR="00946AD8" w:rsidRPr="008940B9" w:rsidRDefault="00946AD8" w:rsidP="00AA5E51">
            <w:pPr>
              <w:pStyle w:val="TableFigureHeading"/>
              <w:jc w:val="center"/>
              <w:rPr>
                <w:sz w:val="20"/>
                <w:szCs w:val="20"/>
                <w:lang w:val="en-US"/>
              </w:rPr>
            </w:pPr>
            <w:r w:rsidRPr="008940B9">
              <w:rPr>
                <w:sz w:val="20"/>
                <w:szCs w:val="20"/>
                <w:lang w:val="en-US"/>
              </w:rPr>
              <w:t>Placebo</w:t>
            </w:r>
            <w:r w:rsidRPr="008940B9">
              <w:rPr>
                <w:sz w:val="20"/>
                <w:szCs w:val="20"/>
                <w:lang w:val="en-US"/>
              </w:rPr>
              <w:br/>
              <w:t>(N = 128)</w:t>
            </w:r>
          </w:p>
        </w:tc>
      </w:tr>
      <w:tr w:rsidR="00946AD8" w:rsidRPr="004B5317" w14:paraId="3D7A6C79" w14:textId="77777777" w:rsidTr="004071B0">
        <w:trPr>
          <w:tblHeader/>
        </w:trPr>
        <w:tc>
          <w:tcPr>
            <w:tcW w:w="1623" w:type="dxa"/>
            <w:vMerge/>
            <w:shd w:val="clear" w:color="auto" w:fill="C6D9F1" w:themeFill="text2" w:themeFillTint="33"/>
          </w:tcPr>
          <w:p w14:paraId="30400421" w14:textId="77777777" w:rsidR="00946AD8" w:rsidRPr="008940B9" w:rsidRDefault="00946AD8" w:rsidP="00F774FD">
            <w:pPr>
              <w:pStyle w:val="TableFigureHeading"/>
              <w:rPr>
                <w:sz w:val="20"/>
                <w:szCs w:val="20"/>
                <w:lang w:val="en-US"/>
              </w:rPr>
            </w:pPr>
          </w:p>
        </w:tc>
        <w:tc>
          <w:tcPr>
            <w:tcW w:w="1236" w:type="dxa"/>
            <w:shd w:val="clear" w:color="auto" w:fill="C6D9F1" w:themeFill="text2" w:themeFillTint="33"/>
          </w:tcPr>
          <w:p w14:paraId="22EB3471" w14:textId="77777777" w:rsidR="00946AD8" w:rsidRPr="008940B9" w:rsidRDefault="00946AD8" w:rsidP="00AA5E51">
            <w:pPr>
              <w:pStyle w:val="TableFigureHeading"/>
              <w:jc w:val="center"/>
              <w:rPr>
                <w:sz w:val="20"/>
                <w:szCs w:val="20"/>
                <w:lang w:val="en-US"/>
              </w:rPr>
            </w:pPr>
            <w:r w:rsidRPr="008940B9">
              <w:rPr>
                <w:sz w:val="20"/>
                <w:szCs w:val="20"/>
                <w:lang w:val="en-US"/>
              </w:rPr>
              <w:t>Class II</w:t>
            </w:r>
            <w:r w:rsidRPr="008940B9">
              <w:rPr>
                <w:sz w:val="20"/>
                <w:szCs w:val="20"/>
                <w:lang w:val="en-US"/>
              </w:rPr>
              <w:br/>
              <w:t>n (%)</w:t>
            </w:r>
          </w:p>
        </w:tc>
        <w:tc>
          <w:tcPr>
            <w:tcW w:w="1302" w:type="dxa"/>
            <w:shd w:val="clear" w:color="auto" w:fill="C6D9F1" w:themeFill="text2" w:themeFillTint="33"/>
          </w:tcPr>
          <w:p w14:paraId="34478D59" w14:textId="77777777" w:rsidR="00946AD8" w:rsidRPr="008940B9" w:rsidRDefault="00946AD8" w:rsidP="00AA5E51">
            <w:pPr>
              <w:pStyle w:val="TableFigureHeading"/>
              <w:jc w:val="center"/>
              <w:rPr>
                <w:sz w:val="20"/>
                <w:szCs w:val="20"/>
                <w:lang w:val="en-US"/>
              </w:rPr>
            </w:pPr>
            <w:r w:rsidRPr="008940B9">
              <w:rPr>
                <w:sz w:val="20"/>
                <w:szCs w:val="20"/>
                <w:lang w:val="en-US"/>
              </w:rPr>
              <w:t>Class III</w:t>
            </w:r>
            <w:r w:rsidRPr="008940B9">
              <w:rPr>
                <w:sz w:val="20"/>
                <w:szCs w:val="20"/>
                <w:lang w:val="en-US"/>
              </w:rPr>
              <w:br/>
              <w:t>n (%)</w:t>
            </w:r>
          </w:p>
        </w:tc>
        <w:tc>
          <w:tcPr>
            <w:tcW w:w="1249" w:type="dxa"/>
            <w:shd w:val="clear" w:color="auto" w:fill="C6D9F1" w:themeFill="text2" w:themeFillTint="33"/>
          </w:tcPr>
          <w:p w14:paraId="38064EF2" w14:textId="77777777" w:rsidR="00946AD8" w:rsidRPr="008940B9" w:rsidRDefault="00946AD8" w:rsidP="00AA5E51">
            <w:pPr>
              <w:pStyle w:val="TableFigureHeading"/>
              <w:jc w:val="center"/>
              <w:rPr>
                <w:sz w:val="20"/>
                <w:szCs w:val="20"/>
                <w:lang w:val="en-US"/>
              </w:rPr>
            </w:pPr>
            <w:r w:rsidRPr="008940B9">
              <w:rPr>
                <w:sz w:val="20"/>
                <w:szCs w:val="20"/>
                <w:lang w:val="en-US"/>
              </w:rPr>
              <w:t>Total</w:t>
            </w:r>
            <w:r w:rsidRPr="008940B9">
              <w:rPr>
                <w:sz w:val="20"/>
                <w:szCs w:val="20"/>
                <w:lang w:val="en-US"/>
              </w:rPr>
              <w:br/>
              <w:t>n (%)</w:t>
            </w:r>
          </w:p>
        </w:tc>
        <w:tc>
          <w:tcPr>
            <w:tcW w:w="1182" w:type="dxa"/>
            <w:shd w:val="clear" w:color="auto" w:fill="C6D9F1" w:themeFill="text2" w:themeFillTint="33"/>
          </w:tcPr>
          <w:p w14:paraId="650F7BEB" w14:textId="77777777" w:rsidR="00946AD8" w:rsidRPr="008940B9" w:rsidRDefault="00946AD8" w:rsidP="00AA5E51">
            <w:pPr>
              <w:pStyle w:val="TableFigureHeading"/>
              <w:jc w:val="center"/>
              <w:rPr>
                <w:sz w:val="20"/>
                <w:szCs w:val="20"/>
                <w:lang w:val="en-US"/>
              </w:rPr>
            </w:pPr>
            <w:r w:rsidRPr="008940B9">
              <w:rPr>
                <w:sz w:val="20"/>
                <w:szCs w:val="20"/>
                <w:lang w:val="en-US"/>
              </w:rPr>
              <w:t>Class II</w:t>
            </w:r>
            <w:r w:rsidRPr="008940B9">
              <w:rPr>
                <w:sz w:val="20"/>
                <w:szCs w:val="20"/>
                <w:lang w:val="en-US"/>
              </w:rPr>
              <w:br/>
              <w:t>n (%)</w:t>
            </w:r>
          </w:p>
        </w:tc>
        <w:tc>
          <w:tcPr>
            <w:tcW w:w="1216" w:type="dxa"/>
            <w:shd w:val="clear" w:color="auto" w:fill="C6D9F1" w:themeFill="text2" w:themeFillTint="33"/>
          </w:tcPr>
          <w:p w14:paraId="1E11D6B1" w14:textId="77777777" w:rsidR="00946AD8" w:rsidRPr="008940B9" w:rsidRDefault="00946AD8" w:rsidP="00AA5E51">
            <w:pPr>
              <w:pStyle w:val="TableFigureHeading"/>
              <w:jc w:val="center"/>
              <w:rPr>
                <w:sz w:val="20"/>
                <w:szCs w:val="20"/>
                <w:lang w:val="en-US"/>
              </w:rPr>
            </w:pPr>
            <w:r w:rsidRPr="008940B9">
              <w:rPr>
                <w:sz w:val="20"/>
                <w:szCs w:val="20"/>
                <w:lang w:val="en-US"/>
              </w:rPr>
              <w:t>Class III</w:t>
            </w:r>
            <w:r w:rsidRPr="008940B9">
              <w:rPr>
                <w:sz w:val="20"/>
                <w:szCs w:val="20"/>
                <w:lang w:val="en-US"/>
              </w:rPr>
              <w:br/>
              <w:t>n (%)</w:t>
            </w:r>
          </w:p>
        </w:tc>
        <w:tc>
          <w:tcPr>
            <w:tcW w:w="1218" w:type="dxa"/>
            <w:shd w:val="clear" w:color="auto" w:fill="C6D9F1" w:themeFill="text2" w:themeFillTint="33"/>
          </w:tcPr>
          <w:p w14:paraId="2D66027E" w14:textId="77777777" w:rsidR="00946AD8" w:rsidRPr="008940B9" w:rsidRDefault="00946AD8" w:rsidP="00AA5E51">
            <w:pPr>
              <w:pStyle w:val="TableFigureHeading"/>
              <w:jc w:val="center"/>
              <w:rPr>
                <w:sz w:val="20"/>
                <w:szCs w:val="20"/>
                <w:lang w:val="en-US"/>
              </w:rPr>
            </w:pPr>
            <w:r w:rsidRPr="008940B9">
              <w:rPr>
                <w:sz w:val="20"/>
                <w:szCs w:val="20"/>
                <w:lang w:val="en-US"/>
              </w:rPr>
              <w:t>Total</w:t>
            </w:r>
            <w:r w:rsidRPr="008940B9">
              <w:rPr>
                <w:sz w:val="20"/>
                <w:szCs w:val="20"/>
                <w:lang w:val="en-US"/>
              </w:rPr>
              <w:br/>
              <w:t>n (%)</w:t>
            </w:r>
          </w:p>
        </w:tc>
      </w:tr>
      <w:tr w:rsidR="00946AD8" w:rsidRPr="004B5317" w14:paraId="38E71809" w14:textId="77777777" w:rsidTr="004071B0">
        <w:tc>
          <w:tcPr>
            <w:tcW w:w="1623" w:type="dxa"/>
            <w:shd w:val="clear" w:color="auto" w:fill="C6D9F1" w:themeFill="text2" w:themeFillTint="33"/>
          </w:tcPr>
          <w:p w14:paraId="1CA0297D" w14:textId="77777777" w:rsidR="00946AD8" w:rsidRPr="004B5317" w:rsidRDefault="00946AD8" w:rsidP="00F774FD">
            <w:pPr>
              <w:pStyle w:val="Tabletext"/>
              <w:rPr>
                <w:lang w:val="en-US"/>
              </w:rPr>
            </w:pPr>
            <w:r w:rsidRPr="004B5317">
              <w:rPr>
                <w:lang w:val="en-US"/>
              </w:rPr>
              <w:t>Baseline</w:t>
            </w:r>
          </w:p>
        </w:tc>
        <w:tc>
          <w:tcPr>
            <w:tcW w:w="1236" w:type="dxa"/>
            <w:shd w:val="clear" w:color="auto" w:fill="C6D9F1" w:themeFill="text2" w:themeFillTint="33"/>
          </w:tcPr>
          <w:p w14:paraId="4764577B" w14:textId="77777777" w:rsidR="00946AD8" w:rsidRPr="004B5317" w:rsidRDefault="00946AD8" w:rsidP="00AA5E51">
            <w:pPr>
              <w:pStyle w:val="Tabletext"/>
              <w:jc w:val="center"/>
              <w:rPr>
                <w:lang w:val="en-US"/>
              </w:rPr>
            </w:pPr>
            <w:r w:rsidRPr="004B5317">
              <w:rPr>
                <w:lang w:val="en-US"/>
              </w:rPr>
              <w:t>88 (71.5)</w:t>
            </w:r>
          </w:p>
        </w:tc>
        <w:tc>
          <w:tcPr>
            <w:tcW w:w="1302" w:type="dxa"/>
            <w:shd w:val="clear" w:color="auto" w:fill="C6D9F1" w:themeFill="text2" w:themeFillTint="33"/>
          </w:tcPr>
          <w:p w14:paraId="6F7CF6ED" w14:textId="77777777" w:rsidR="00946AD8" w:rsidRPr="004B5317" w:rsidRDefault="00946AD8" w:rsidP="00AA5E51">
            <w:pPr>
              <w:pStyle w:val="Tabletext"/>
              <w:jc w:val="center"/>
              <w:rPr>
                <w:lang w:val="en-US"/>
              </w:rPr>
            </w:pPr>
            <w:r w:rsidRPr="004B5317">
              <w:rPr>
                <w:lang w:val="en-US"/>
              </w:rPr>
              <w:t>35 (28.5)</w:t>
            </w:r>
          </w:p>
        </w:tc>
        <w:tc>
          <w:tcPr>
            <w:tcW w:w="1249" w:type="dxa"/>
            <w:shd w:val="clear" w:color="auto" w:fill="C6D9F1" w:themeFill="text2" w:themeFillTint="33"/>
          </w:tcPr>
          <w:p w14:paraId="2819DBDC" w14:textId="77777777" w:rsidR="00946AD8" w:rsidRPr="004B5317" w:rsidRDefault="00946AD8" w:rsidP="00AA5E51">
            <w:pPr>
              <w:pStyle w:val="Tabletext"/>
              <w:jc w:val="center"/>
              <w:rPr>
                <w:lang w:val="en-US"/>
              </w:rPr>
            </w:pPr>
            <w:r w:rsidRPr="004B5317">
              <w:rPr>
                <w:lang w:val="en-US"/>
              </w:rPr>
              <w:t>123 (100.0)</w:t>
            </w:r>
          </w:p>
        </w:tc>
        <w:tc>
          <w:tcPr>
            <w:tcW w:w="1182" w:type="dxa"/>
            <w:shd w:val="clear" w:color="auto" w:fill="C6D9F1" w:themeFill="text2" w:themeFillTint="33"/>
          </w:tcPr>
          <w:p w14:paraId="031440D8" w14:textId="77777777" w:rsidR="00946AD8" w:rsidRPr="004B5317" w:rsidRDefault="00946AD8" w:rsidP="00AA5E51">
            <w:pPr>
              <w:pStyle w:val="Tabletext"/>
              <w:jc w:val="center"/>
              <w:rPr>
                <w:lang w:val="en-US"/>
              </w:rPr>
            </w:pPr>
            <w:r w:rsidRPr="004B5317">
              <w:rPr>
                <w:lang w:val="en-US"/>
              </w:rPr>
              <w:t>95 (74.2)</w:t>
            </w:r>
          </w:p>
        </w:tc>
        <w:tc>
          <w:tcPr>
            <w:tcW w:w="1216" w:type="dxa"/>
            <w:shd w:val="clear" w:color="auto" w:fill="C6D9F1" w:themeFill="text2" w:themeFillTint="33"/>
          </w:tcPr>
          <w:p w14:paraId="3B08619B" w14:textId="77777777" w:rsidR="00946AD8" w:rsidRPr="004B5317" w:rsidRDefault="00946AD8" w:rsidP="00AA5E51">
            <w:pPr>
              <w:pStyle w:val="Tabletext"/>
              <w:jc w:val="center"/>
              <w:rPr>
                <w:lang w:val="en-US"/>
              </w:rPr>
            </w:pPr>
            <w:r w:rsidRPr="004B5317">
              <w:rPr>
                <w:lang w:val="en-US"/>
              </w:rPr>
              <w:t>33 (25.8)</w:t>
            </w:r>
          </w:p>
        </w:tc>
        <w:tc>
          <w:tcPr>
            <w:tcW w:w="1218" w:type="dxa"/>
            <w:shd w:val="clear" w:color="auto" w:fill="C6D9F1" w:themeFill="text2" w:themeFillTint="33"/>
          </w:tcPr>
          <w:p w14:paraId="4B95478F" w14:textId="77777777" w:rsidR="00946AD8" w:rsidRPr="004B5317" w:rsidRDefault="00946AD8" w:rsidP="00AA5E51">
            <w:pPr>
              <w:pStyle w:val="Tabletext"/>
              <w:jc w:val="center"/>
              <w:rPr>
                <w:lang w:val="en-US"/>
              </w:rPr>
            </w:pPr>
            <w:r w:rsidRPr="004B5317">
              <w:rPr>
                <w:lang w:val="en-US"/>
              </w:rPr>
              <w:t>128 (100.0)</w:t>
            </w:r>
          </w:p>
        </w:tc>
      </w:tr>
      <w:tr w:rsidR="00946AD8" w:rsidRPr="004B5317" w14:paraId="56D8DB4F" w14:textId="77777777" w:rsidTr="004071B0">
        <w:tc>
          <w:tcPr>
            <w:tcW w:w="1623" w:type="dxa"/>
            <w:shd w:val="clear" w:color="auto" w:fill="C6D9F1" w:themeFill="text2" w:themeFillTint="33"/>
          </w:tcPr>
          <w:p w14:paraId="1491D801" w14:textId="77777777" w:rsidR="00946AD8" w:rsidRPr="004B5317" w:rsidRDefault="00946AD8" w:rsidP="00F774FD">
            <w:pPr>
              <w:pStyle w:val="Tabletext"/>
              <w:rPr>
                <w:lang w:val="en-US"/>
              </w:rPr>
            </w:pPr>
            <w:r w:rsidRPr="004B5317">
              <w:rPr>
                <w:lang w:val="en-US"/>
              </w:rPr>
              <w:t>Week 30, n (%)</w:t>
            </w:r>
          </w:p>
        </w:tc>
        <w:tc>
          <w:tcPr>
            <w:tcW w:w="1236" w:type="dxa"/>
            <w:shd w:val="clear" w:color="auto" w:fill="C6D9F1" w:themeFill="text2" w:themeFillTint="33"/>
          </w:tcPr>
          <w:p w14:paraId="3A1863D3" w14:textId="77777777" w:rsidR="00946AD8" w:rsidRPr="004B5317" w:rsidRDefault="00946AD8" w:rsidP="00AA5E51">
            <w:pPr>
              <w:pStyle w:val="Tabletext"/>
              <w:jc w:val="center"/>
              <w:rPr>
                <w:b/>
                <w:lang w:val="en-US"/>
              </w:rPr>
            </w:pPr>
          </w:p>
        </w:tc>
        <w:tc>
          <w:tcPr>
            <w:tcW w:w="1302" w:type="dxa"/>
            <w:shd w:val="clear" w:color="auto" w:fill="C6D9F1" w:themeFill="text2" w:themeFillTint="33"/>
          </w:tcPr>
          <w:p w14:paraId="54BA57BD" w14:textId="77777777" w:rsidR="00946AD8" w:rsidRPr="004B5317" w:rsidRDefault="00946AD8" w:rsidP="00AA5E51">
            <w:pPr>
              <w:pStyle w:val="Tabletext"/>
              <w:jc w:val="center"/>
              <w:rPr>
                <w:b/>
                <w:lang w:val="en-US"/>
              </w:rPr>
            </w:pPr>
          </w:p>
        </w:tc>
        <w:tc>
          <w:tcPr>
            <w:tcW w:w="1249" w:type="dxa"/>
            <w:shd w:val="clear" w:color="auto" w:fill="C6D9F1" w:themeFill="text2" w:themeFillTint="33"/>
          </w:tcPr>
          <w:p w14:paraId="0BC4CF72" w14:textId="77777777" w:rsidR="00946AD8" w:rsidRPr="004B5317" w:rsidRDefault="00946AD8" w:rsidP="00AA5E51">
            <w:pPr>
              <w:pStyle w:val="Tabletext"/>
              <w:jc w:val="center"/>
              <w:rPr>
                <w:b/>
                <w:lang w:val="en-US"/>
              </w:rPr>
            </w:pPr>
          </w:p>
        </w:tc>
        <w:tc>
          <w:tcPr>
            <w:tcW w:w="1182" w:type="dxa"/>
            <w:shd w:val="clear" w:color="auto" w:fill="C6D9F1" w:themeFill="text2" w:themeFillTint="33"/>
          </w:tcPr>
          <w:p w14:paraId="1856FD77" w14:textId="77777777" w:rsidR="00946AD8" w:rsidRPr="004B5317" w:rsidRDefault="00946AD8" w:rsidP="00AA5E51">
            <w:pPr>
              <w:pStyle w:val="Tabletext"/>
              <w:jc w:val="center"/>
              <w:rPr>
                <w:b/>
                <w:lang w:val="en-US"/>
              </w:rPr>
            </w:pPr>
          </w:p>
        </w:tc>
        <w:tc>
          <w:tcPr>
            <w:tcW w:w="1216" w:type="dxa"/>
            <w:shd w:val="clear" w:color="auto" w:fill="C6D9F1" w:themeFill="text2" w:themeFillTint="33"/>
          </w:tcPr>
          <w:p w14:paraId="5C4688C8" w14:textId="77777777" w:rsidR="00946AD8" w:rsidRPr="004B5317" w:rsidRDefault="00946AD8" w:rsidP="00AA5E51">
            <w:pPr>
              <w:pStyle w:val="Tabletext"/>
              <w:jc w:val="center"/>
              <w:rPr>
                <w:b/>
                <w:lang w:val="en-US"/>
              </w:rPr>
            </w:pPr>
          </w:p>
        </w:tc>
        <w:tc>
          <w:tcPr>
            <w:tcW w:w="1218" w:type="dxa"/>
            <w:shd w:val="clear" w:color="auto" w:fill="C6D9F1" w:themeFill="text2" w:themeFillTint="33"/>
          </w:tcPr>
          <w:p w14:paraId="18FA5699" w14:textId="77777777" w:rsidR="00946AD8" w:rsidRPr="004B5317" w:rsidRDefault="00946AD8" w:rsidP="00AA5E51">
            <w:pPr>
              <w:pStyle w:val="Tabletext"/>
              <w:jc w:val="center"/>
              <w:rPr>
                <w:b/>
                <w:lang w:val="en-US"/>
              </w:rPr>
            </w:pPr>
          </w:p>
        </w:tc>
      </w:tr>
      <w:tr w:rsidR="00946AD8" w:rsidRPr="004B5317" w14:paraId="23B5D2F8" w14:textId="77777777" w:rsidTr="004071B0">
        <w:tc>
          <w:tcPr>
            <w:tcW w:w="1623" w:type="dxa"/>
            <w:shd w:val="clear" w:color="auto" w:fill="C6D9F1" w:themeFill="text2" w:themeFillTint="33"/>
          </w:tcPr>
          <w:p w14:paraId="58625A96" w14:textId="77777777" w:rsidR="00946AD8" w:rsidRPr="004B5317" w:rsidRDefault="00946AD8" w:rsidP="00F774FD">
            <w:pPr>
              <w:pStyle w:val="Tabletext"/>
              <w:rPr>
                <w:lang w:val="en-US"/>
              </w:rPr>
            </w:pPr>
            <w:r w:rsidRPr="004B5317">
              <w:rPr>
                <w:lang w:val="en-US"/>
              </w:rPr>
              <w:t xml:space="preserve">Class I </w:t>
            </w:r>
          </w:p>
        </w:tc>
        <w:tc>
          <w:tcPr>
            <w:tcW w:w="1236" w:type="dxa"/>
            <w:shd w:val="clear" w:color="auto" w:fill="C6D9F1" w:themeFill="text2" w:themeFillTint="33"/>
          </w:tcPr>
          <w:p w14:paraId="503A141E" w14:textId="77777777" w:rsidR="00946AD8" w:rsidRPr="004B5317" w:rsidRDefault="00946AD8" w:rsidP="00AA5E51">
            <w:pPr>
              <w:pStyle w:val="Tabletext"/>
              <w:jc w:val="center"/>
              <w:rPr>
                <w:lang w:val="en-US"/>
              </w:rPr>
            </w:pPr>
            <w:r w:rsidRPr="004B5317">
              <w:rPr>
                <w:lang w:val="en-US"/>
              </w:rPr>
              <w:t>52 (42.3)</w:t>
            </w:r>
          </w:p>
        </w:tc>
        <w:tc>
          <w:tcPr>
            <w:tcW w:w="1302" w:type="dxa"/>
            <w:shd w:val="clear" w:color="auto" w:fill="C6D9F1" w:themeFill="text2" w:themeFillTint="33"/>
          </w:tcPr>
          <w:p w14:paraId="5F22A4C1" w14:textId="77777777" w:rsidR="00946AD8" w:rsidRPr="004B5317" w:rsidRDefault="00946AD8" w:rsidP="00AA5E51">
            <w:pPr>
              <w:pStyle w:val="Tabletext"/>
              <w:jc w:val="center"/>
              <w:rPr>
                <w:lang w:val="en-US"/>
              </w:rPr>
            </w:pPr>
            <w:r w:rsidRPr="004B5317">
              <w:rPr>
                <w:lang w:val="en-US"/>
              </w:rPr>
              <w:t>9 (7.3)</w:t>
            </w:r>
          </w:p>
        </w:tc>
        <w:tc>
          <w:tcPr>
            <w:tcW w:w="1249" w:type="dxa"/>
            <w:shd w:val="clear" w:color="auto" w:fill="C6D9F1" w:themeFill="text2" w:themeFillTint="33"/>
          </w:tcPr>
          <w:p w14:paraId="4F17627E" w14:textId="77777777" w:rsidR="00946AD8" w:rsidRPr="004B5317" w:rsidRDefault="00946AD8" w:rsidP="00AA5E51">
            <w:pPr>
              <w:pStyle w:val="Tabletext"/>
              <w:jc w:val="center"/>
              <w:rPr>
                <w:lang w:val="en-US"/>
              </w:rPr>
            </w:pPr>
            <w:r w:rsidRPr="004B5317">
              <w:rPr>
                <w:lang w:val="en-US"/>
              </w:rPr>
              <w:t>61 (49.6)</w:t>
            </w:r>
          </w:p>
        </w:tc>
        <w:tc>
          <w:tcPr>
            <w:tcW w:w="1182" w:type="dxa"/>
            <w:shd w:val="clear" w:color="auto" w:fill="C6D9F1" w:themeFill="text2" w:themeFillTint="33"/>
          </w:tcPr>
          <w:p w14:paraId="4F2A6892" w14:textId="77777777" w:rsidR="00946AD8" w:rsidRPr="004B5317" w:rsidRDefault="00946AD8" w:rsidP="00AA5E51">
            <w:pPr>
              <w:pStyle w:val="Tabletext"/>
              <w:jc w:val="center"/>
              <w:rPr>
                <w:lang w:val="en-US"/>
              </w:rPr>
            </w:pPr>
            <w:r w:rsidRPr="004B5317">
              <w:rPr>
                <w:lang w:val="en-US"/>
              </w:rPr>
              <w:t>24 (18.8)</w:t>
            </w:r>
          </w:p>
        </w:tc>
        <w:tc>
          <w:tcPr>
            <w:tcW w:w="1216" w:type="dxa"/>
            <w:shd w:val="clear" w:color="auto" w:fill="C6D9F1" w:themeFill="text2" w:themeFillTint="33"/>
          </w:tcPr>
          <w:p w14:paraId="28FA78FD" w14:textId="77777777" w:rsidR="00946AD8" w:rsidRPr="004B5317" w:rsidRDefault="00946AD8" w:rsidP="00AA5E51">
            <w:pPr>
              <w:pStyle w:val="Tabletext"/>
              <w:jc w:val="center"/>
              <w:rPr>
                <w:lang w:val="en-US"/>
              </w:rPr>
            </w:pPr>
            <w:r w:rsidRPr="004B5317">
              <w:rPr>
                <w:lang w:val="en-US"/>
              </w:rPr>
              <w:t>3 (2.3)</w:t>
            </w:r>
          </w:p>
        </w:tc>
        <w:tc>
          <w:tcPr>
            <w:tcW w:w="1218" w:type="dxa"/>
            <w:shd w:val="clear" w:color="auto" w:fill="C6D9F1" w:themeFill="text2" w:themeFillTint="33"/>
          </w:tcPr>
          <w:p w14:paraId="2C00547C" w14:textId="77777777" w:rsidR="00946AD8" w:rsidRPr="004B5317" w:rsidRDefault="00946AD8" w:rsidP="00AA5E51">
            <w:pPr>
              <w:pStyle w:val="Tabletext"/>
              <w:jc w:val="center"/>
              <w:rPr>
                <w:lang w:val="en-US"/>
              </w:rPr>
            </w:pPr>
            <w:r w:rsidRPr="004B5317">
              <w:rPr>
                <w:lang w:val="en-US"/>
              </w:rPr>
              <w:t>27 (21.1)</w:t>
            </w:r>
          </w:p>
        </w:tc>
      </w:tr>
      <w:tr w:rsidR="00946AD8" w:rsidRPr="004B5317" w14:paraId="4BBCA750" w14:textId="77777777" w:rsidTr="004071B0">
        <w:tc>
          <w:tcPr>
            <w:tcW w:w="1623" w:type="dxa"/>
            <w:shd w:val="clear" w:color="auto" w:fill="C6D9F1" w:themeFill="text2" w:themeFillTint="33"/>
          </w:tcPr>
          <w:p w14:paraId="116B373C" w14:textId="77777777" w:rsidR="00946AD8" w:rsidRPr="004B5317" w:rsidRDefault="00946AD8" w:rsidP="00F774FD">
            <w:pPr>
              <w:pStyle w:val="Tabletext"/>
              <w:rPr>
                <w:lang w:val="en-US"/>
              </w:rPr>
            </w:pPr>
            <w:r w:rsidRPr="004B5317">
              <w:rPr>
                <w:lang w:val="en-US"/>
              </w:rPr>
              <w:t xml:space="preserve">Class II </w:t>
            </w:r>
          </w:p>
        </w:tc>
        <w:tc>
          <w:tcPr>
            <w:tcW w:w="1236" w:type="dxa"/>
            <w:shd w:val="clear" w:color="auto" w:fill="C6D9F1" w:themeFill="text2" w:themeFillTint="33"/>
          </w:tcPr>
          <w:p w14:paraId="5932A2AE" w14:textId="77777777" w:rsidR="00946AD8" w:rsidRPr="004B5317" w:rsidRDefault="00946AD8" w:rsidP="00AA5E51">
            <w:pPr>
              <w:pStyle w:val="Tabletext"/>
              <w:jc w:val="center"/>
              <w:rPr>
                <w:lang w:val="en-US"/>
              </w:rPr>
            </w:pPr>
            <w:r w:rsidRPr="004B5317">
              <w:rPr>
                <w:lang w:val="en-US"/>
              </w:rPr>
              <w:t>33 (26.8)</w:t>
            </w:r>
          </w:p>
        </w:tc>
        <w:tc>
          <w:tcPr>
            <w:tcW w:w="1302" w:type="dxa"/>
            <w:shd w:val="clear" w:color="auto" w:fill="C6D9F1" w:themeFill="text2" w:themeFillTint="33"/>
          </w:tcPr>
          <w:p w14:paraId="0697DBA9" w14:textId="77777777" w:rsidR="00946AD8" w:rsidRPr="004B5317" w:rsidRDefault="00946AD8" w:rsidP="00AA5E51">
            <w:pPr>
              <w:pStyle w:val="Tabletext"/>
              <w:jc w:val="center"/>
              <w:rPr>
                <w:lang w:val="en-US"/>
              </w:rPr>
            </w:pPr>
            <w:r w:rsidRPr="004B5317">
              <w:rPr>
                <w:lang w:val="en-US"/>
              </w:rPr>
              <w:t>19 (15.4)</w:t>
            </w:r>
          </w:p>
        </w:tc>
        <w:tc>
          <w:tcPr>
            <w:tcW w:w="1249" w:type="dxa"/>
            <w:shd w:val="clear" w:color="auto" w:fill="C6D9F1" w:themeFill="text2" w:themeFillTint="33"/>
          </w:tcPr>
          <w:p w14:paraId="0AD28BD5" w14:textId="77777777" w:rsidR="00946AD8" w:rsidRPr="004B5317" w:rsidRDefault="00946AD8" w:rsidP="00AA5E51">
            <w:pPr>
              <w:pStyle w:val="Tabletext"/>
              <w:jc w:val="center"/>
              <w:rPr>
                <w:lang w:val="en-US"/>
              </w:rPr>
            </w:pPr>
            <w:r w:rsidRPr="004B5317">
              <w:rPr>
                <w:lang w:val="en-US"/>
              </w:rPr>
              <w:t>52 (42.3)</w:t>
            </w:r>
          </w:p>
        </w:tc>
        <w:tc>
          <w:tcPr>
            <w:tcW w:w="1182" w:type="dxa"/>
            <w:shd w:val="clear" w:color="auto" w:fill="C6D9F1" w:themeFill="text2" w:themeFillTint="33"/>
          </w:tcPr>
          <w:p w14:paraId="4A4B2F03" w14:textId="77777777" w:rsidR="00946AD8" w:rsidRPr="004B5317" w:rsidRDefault="00946AD8" w:rsidP="00AA5E51">
            <w:pPr>
              <w:pStyle w:val="Tabletext"/>
              <w:jc w:val="center"/>
              <w:rPr>
                <w:lang w:val="en-US"/>
              </w:rPr>
            </w:pPr>
            <w:r w:rsidRPr="004B5317">
              <w:rPr>
                <w:lang w:val="en-US"/>
              </w:rPr>
              <w:t>61 (47.7)</w:t>
            </w:r>
          </w:p>
        </w:tc>
        <w:tc>
          <w:tcPr>
            <w:tcW w:w="1216" w:type="dxa"/>
            <w:shd w:val="clear" w:color="auto" w:fill="C6D9F1" w:themeFill="text2" w:themeFillTint="33"/>
          </w:tcPr>
          <w:p w14:paraId="41576E9D" w14:textId="77777777" w:rsidR="00946AD8" w:rsidRPr="004B5317" w:rsidRDefault="00946AD8" w:rsidP="00AA5E51">
            <w:pPr>
              <w:pStyle w:val="Tabletext"/>
              <w:jc w:val="center"/>
              <w:rPr>
                <w:lang w:val="en-US"/>
              </w:rPr>
            </w:pPr>
            <w:r w:rsidRPr="004B5317">
              <w:rPr>
                <w:lang w:val="en-US"/>
              </w:rPr>
              <w:t>13 (10.2)</w:t>
            </w:r>
          </w:p>
        </w:tc>
        <w:tc>
          <w:tcPr>
            <w:tcW w:w="1218" w:type="dxa"/>
            <w:shd w:val="clear" w:color="auto" w:fill="C6D9F1" w:themeFill="text2" w:themeFillTint="33"/>
          </w:tcPr>
          <w:p w14:paraId="523B65C9" w14:textId="77777777" w:rsidR="00946AD8" w:rsidRPr="004B5317" w:rsidRDefault="00946AD8" w:rsidP="00AA5E51">
            <w:pPr>
              <w:pStyle w:val="Tabletext"/>
              <w:jc w:val="center"/>
              <w:rPr>
                <w:lang w:val="en-US"/>
              </w:rPr>
            </w:pPr>
            <w:r w:rsidRPr="004B5317">
              <w:rPr>
                <w:lang w:val="en-US"/>
              </w:rPr>
              <w:t>74 (57.8)</w:t>
            </w:r>
          </w:p>
        </w:tc>
      </w:tr>
      <w:tr w:rsidR="00946AD8" w:rsidRPr="004B5317" w14:paraId="416A6165" w14:textId="77777777" w:rsidTr="004071B0">
        <w:tc>
          <w:tcPr>
            <w:tcW w:w="1623" w:type="dxa"/>
            <w:shd w:val="clear" w:color="auto" w:fill="C6D9F1" w:themeFill="text2" w:themeFillTint="33"/>
          </w:tcPr>
          <w:p w14:paraId="1F6B72FE" w14:textId="77777777" w:rsidR="00946AD8" w:rsidRPr="004B5317" w:rsidRDefault="00946AD8" w:rsidP="00F774FD">
            <w:pPr>
              <w:pStyle w:val="Tabletext"/>
              <w:rPr>
                <w:lang w:val="en-US"/>
              </w:rPr>
            </w:pPr>
            <w:r w:rsidRPr="004B5317">
              <w:rPr>
                <w:lang w:val="en-US"/>
              </w:rPr>
              <w:t xml:space="preserve">Class III </w:t>
            </w:r>
          </w:p>
        </w:tc>
        <w:tc>
          <w:tcPr>
            <w:tcW w:w="1236" w:type="dxa"/>
            <w:shd w:val="clear" w:color="auto" w:fill="C6D9F1" w:themeFill="text2" w:themeFillTint="33"/>
          </w:tcPr>
          <w:p w14:paraId="78274653" w14:textId="77777777" w:rsidR="00946AD8" w:rsidRPr="004B5317" w:rsidRDefault="00946AD8" w:rsidP="00AA5E51">
            <w:pPr>
              <w:pStyle w:val="Tabletext"/>
              <w:jc w:val="center"/>
              <w:rPr>
                <w:lang w:val="en-US"/>
              </w:rPr>
            </w:pPr>
            <w:r w:rsidRPr="004B5317">
              <w:rPr>
                <w:lang w:val="en-US"/>
              </w:rPr>
              <w:t>1 (0.8)</w:t>
            </w:r>
          </w:p>
        </w:tc>
        <w:tc>
          <w:tcPr>
            <w:tcW w:w="1302" w:type="dxa"/>
            <w:shd w:val="clear" w:color="auto" w:fill="C6D9F1" w:themeFill="text2" w:themeFillTint="33"/>
          </w:tcPr>
          <w:p w14:paraId="15C1C602" w14:textId="77777777" w:rsidR="00946AD8" w:rsidRPr="004B5317" w:rsidRDefault="00946AD8" w:rsidP="00AA5E51">
            <w:pPr>
              <w:pStyle w:val="Tabletext"/>
              <w:jc w:val="center"/>
              <w:rPr>
                <w:lang w:val="en-US"/>
              </w:rPr>
            </w:pPr>
            <w:r w:rsidRPr="004B5317">
              <w:rPr>
                <w:lang w:val="en-US"/>
              </w:rPr>
              <w:t>7 (5.7)</w:t>
            </w:r>
          </w:p>
        </w:tc>
        <w:tc>
          <w:tcPr>
            <w:tcW w:w="1249" w:type="dxa"/>
            <w:shd w:val="clear" w:color="auto" w:fill="C6D9F1" w:themeFill="text2" w:themeFillTint="33"/>
          </w:tcPr>
          <w:p w14:paraId="45D5E4E9" w14:textId="77777777" w:rsidR="00946AD8" w:rsidRPr="004B5317" w:rsidRDefault="00946AD8" w:rsidP="00AA5E51">
            <w:pPr>
              <w:pStyle w:val="Tabletext"/>
              <w:jc w:val="center"/>
              <w:rPr>
                <w:lang w:val="en-US"/>
              </w:rPr>
            </w:pPr>
            <w:r w:rsidRPr="004B5317">
              <w:rPr>
                <w:lang w:val="en-US"/>
              </w:rPr>
              <w:t>8 (6.5)</w:t>
            </w:r>
          </w:p>
        </w:tc>
        <w:tc>
          <w:tcPr>
            <w:tcW w:w="1182" w:type="dxa"/>
            <w:shd w:val="clear" w:color="auto" w:fill="C6D9F1" w:themeFill="text2" w:themeFillTint="33"/>
          </w:tcPr>
          <w:p w14:paraId="39BBA299" w14:textId="77777777" w:rsidR="00946AD8" w:rsidRPr="004B5317" w:rsidRDefault="00946AD8" w:rsidP="00AA5E51">
            <w:pPr>
              <w:pStyle w:val="Tabletext"/>
              <w:jc w:val="center"/>
              <w:rPr>
                <w:lang w:val="en-US"/>
              </w:rPr>
            </w:pPr>
            <w:r w:rsidRPr="004B5317">
              <w:rPr>
                <w:lang w:val="en-US"/>
              </w:rPr>
              <w:t>9 (7.0)</w:t>
            </w:r>
          </w:p>
        </w:tc>
        <w:tc>
          <w:tcPr>
            <w:tcW w:w="1216" w:type="dxa"/>
            <w:shd w:val="clear" w:color="auto" w:fill="C6D9F1" w:themeFill="text2" w:themeFillTint="33"/>
          </w:tcPr>
          <w:p w14:paraId="6E59AD42" w14:textId="77777777" w:rsidR="00946AD8" w:rsidRPr="004B5317" w:rsidRDefault="00946AD8" w:rsidP="00AA5E51">
            <w:pPr>
              <w:pStyle w:val="Tabletext"/>
              <w:jc w:val="center"/>
              <w:rPr>
                <w:lang w:val="en-US"/>
              </w:rPr>
            </w:pPr>
            <w:r w:rsidRPr="004B5317">
              <w:rPr>
                <w:lang w:val="en-US"/>
              </w:rPr>
              <w:t>16 (12.5)</w:t>
            </w:r>
          </w:p>
        </w:tc>
        <w:tc>
          <w:tcPr>
            <w:tcW w:w="1218" w:type="dxa"/>
            <w:shd w:val="clear" w:color="auto" w:fill="C6D9F1" w:themeFill="text2" w:themeFillTint="33"/>
          </w:tcPr>
          <w:p w14:paraId="0158A97A" w14:textId="77777777" w:rsidR="00946AD8" w:rsidRPr="004B5317" w:rsidRDefault="00946AD8" w:rsidP="00AA5E51">
            <w:pPr>
              <w:pStyle w:val="Tabletext"/>
              <w:jc w:val="center"/>
              <w:rPr>
                <w:lang w:val="en-US"/>
              </w:rPr>
            </w:pPr>
            <w:r w:rsidRPr="004B5317">
              <w:rPr>
                <w:lang w:val="en-US"/>
              </w:rPr>
              <w:t>25 (19.5)</w:t>
            </w:r>
          </w:p>
        </w:tc>
      </w:tr>
      <w:tr w:rsidR="00946AD8" w:rsidRPr="004B5317" w14:paraId="00D7CABD" w14:textId="77777777" w:rsidTr="004071B0">
        <w:tc>
          <w:tcPr>
            <w:tcW w:w="1623" w:type="dxa"/>
            <w:shd w:val="clear" w:color="auto" w:fill="C6D9F1" w:themeFill="text2" w:themeFillTint="33"/>
          </w:tcPr>
          <w:p w14:paraId="292742C0" w14:textId="77777777" w:rsidR="00946AD8" w:rsidRPr="004B5317" w:rsidRDefault="00946AD8" w:rsidP="00F774FD">
            <w:pPr>
              <w:pStyle w:val="Tabletext"/>
              <w:rPr>
                <w:lang w:val="en-US"/>
              </w:rPr>
            </w:pPr>
            <w:r w:rsidRPr="004B5317">
              <w:rPr>
                <w:lang w:val="en-US"/>
              </w:rPr>
              <w:t xml:space="preserve">Missing </w:t>
            </w:r>
          </w:p>
        </w:tc>
        <w:tc>
          <w:tcPr>
            <w:tcW w:w="1236" w:type="dxa"/>
            <w:shd w:val="clear" w:color="auto" w:fill="C6D9F1" w:themeFill="text2" w:themeFillTint="33"/>
          </w:tcPr>
          <w:p w14:paraId="623883A2" w14:textId="77777777" w:rsidR="00946AD8" w:rsidRPr="004B5317" w:rsidRDefault="00946AD8" w:rsidP="00AA5E51">
            <w:pPr>
              <w:pStyle w:val="Tabletext"/>
              <w:jc w:val="center"/>
              <w:rPr>
                <w:lang w:val="en-US"/>
              </w:rPr>
            </w:pPr>
            <w:r w:rsidRPr="004B5317">
              <w:rPr>
                <w:lang w:val="en-US"/>
              </w:rPr>
              <w:t>2 (1.6)</w:t>
            </w:r>
          </w:p>
        </w:tc>
        <w:tc>
          <w:tcPr>
            <w:tcW w:w="1302" w:type="dxa"/>
            <w:shd w:val="clear" w:color="auto" w:fill="C6D9F1" w:themeFill="text2" w:themeFillTint="33"/>
          </w:tcPr>
          <w:p w14:paraId="2D1ECD6C" w14:textId="77777777" w:rsidR="00946AD8" w:rsidRPr="004B5317" w:rsidRDefault="00946AD8" w:rsidP="00AA5E51">
            <w:pPr>
              <w:pStyle w:val="Tabletext"/>
              <w:jc w:val="center"/>
              <w:rPr>
                <w:lang w:val="en-US"/>
              </w:rPr>
            </w:pPr>
            <w:r w:rsidRPr="004B5317">
              <w:rPr>
                <w:lang w:val="en-US"/>
              </w:rPr>
              <w:t>0</w:t>
            </w:r>
          </w:p>
        </w:tc>
        <w:tc>
          <w:tcPr>
            <w:tcW w:w="1249" w:type="dxa"/>
            <w:shd w:val="clear" w:color="auto" w:fill="C6D9F1" w:themeFill="text2" w:themeFillTint="33"/>
          </w:tcPr>
          <w:p w14:paraId="11BB6D79" w14:textId="77777777" w:rsidR="00946AD8" w:rsidRPr="004B5317" w:rsidRDefault="00946AD8" w:rsidP="00AA5E51">
            <w:pPr>
              <w:pStyle w:val="Tabletext"/>
              <w:jc w:val="center"/>
              <w:rPr>
                <w:lang w:val="en-US"/>
              </w:rPr>
            </w:pPr>
            <w:r w:rsidRPr="004B5317">
              <w:rPr>
                <w:lang w:val="en-US"/>
              </w:rPr>
              <w:t>2 (1.6)</w:t>
            </w:r>
          </w:p>
        </w:tc>
        <w:tc>
          <w:tcPr>
            <w:tcW w:w="1182" w:type="dxa"/>
            <w:shd w:val="clear" w:color="auto" w:fill="C6D9F1" w:themeFill="text2" w:themeFillTint="33"/>
          </w:tcPr>
          <w:p w14:paraId="5E636823" w14:textId="77777777" w:rsidR="00946AD8" w:rsidRPr="004B5317" w:rsidRDefault="00946AD8" w:rsidP="00AA5E51">
            <w:pPr>
              <w:pStyle w:val="Tabletext"/>
              <w:jc w:val="center"/>
              <w:rPr>
                <w:lang w:val="en-US"/>
              </w:rPr>
            </w:pPr>
            <w:r w:rsidRPr="004B5317">
              <w:rPr>
                <w:lang w:val="en-US"/>
              </w:rPr>
              <w:t>1 (0.8)</w:t>
            </w:r>
          </w:p>
        </w:tc>
        <w:tc>
          <w:tcPr>
            <w:tcW w:w="1216" w:type="dxa"/>
            <w:shd w:val="clear" w:color="auto" w:fill="C6D9F1" w:themeFill="text2" w:themeFillTint="33"/>
          </w:tcPr>
          <w:p w14:paraId="269EF4DC" w14:textId="77777777" w:rsidR="00946AD8" w:rsidRPr="004B5317" w:rsidRDefault="00946AD8" w:rsidP="00AA5E51">
            <w:pPr>
              <w:pStyle w:val="Tabletext"/>
              <w:jc w:val="center"/>
              <w:rPr>
                <w:lang w:val="en-US"/>
              </w:rPr>
            </w:pPr>
            <w:r w:rsidRPr="004B5317">
              <w:rPr>
                <w:lang w:val="en-US"/>
              </w:rPr>
              <w:t>1 (0.8)</w:t>
            </w:r>
          </w:p>
        </w:tc>
        <w:tc>
          <w:tcPr>
            <w:tcW w:w="1218" w:type="dxa"/>
            <w:shd w:val="clear" w:color="auto" w:fill="C6D9F1" w:themeFill="text2" w:themeFillTint="33"/>
          </w:tcPr>
          <w:p w14:paraId="3B247636" w14:textId="77777777" w:rsidR="00946AD8" w:rsidRPr="004B5317" w:rsidRDefault="00946AD8" w:rsidP="00AA5E51">
            <w:pPr>
              <w:pStyle w:val="Tabletext"/>
              <w:jc w:val="center"/>
              <w:rPr>
                <w:lang w:val="en-US"/>
              </w:rPr>
            </w:pPr>
            <w:r w:rsidRPr="004B5317">
              <w:rPr>
                <w:lang w:val="en-US"/>
              </w:rPr>
              <w:t>2 (1.6)</w:t>
            </w:r>
          </w:p>
        </w:tc>
      </w:tr>
    </w:tbl>
    <w:p w14:paraId="71897552" w14:textId="77777777" w:rsidR="00946AD8" w:rsidRDefault="00946AD8" w:rsidP="00946AD8">
      <w:pPr>
        <w:pStyle w:val="FooterTableFigure"/>
      </w:pPr>
      <w:r>
        <w:t>Source: Table 47, p106 of the November 2022 submission</w:t>
      </w:r>
    </w:p>
    <w:p w14:paraId="4166C1A0" w14:textId="77777777" w:rsidR="00946AD8" w:rsidRPr="004B5317" w:rsidRDefault="00946AD8" w:rsidP="00946AD8">
      <w:pPr>
        <w:pStyle w:val="FooterTableFigure"/>
      </w:pPr>
      <w:r w:rsidRPr="004B5317">
        <w:t>NYHA = New York Heart Association</w:t>
      </w:r>
    </w:p>
    <w:p w14:paraId="1E1EFFA7" w14:textId="77777777" w:rsidR="00946AD8" w:rsidRPr="004B5317" w:rsidRDefault="00946AD8" w:rsidP="00946AD8">
      <w:pPr>
        <w:pStyle w:val="FooterTableFigure"/>
      </w:pPr>
      <w:r w:rsidRPr="004B5317">
        <w:t>Baseline is defined as the last non-missing measurement prior to the first dose of study drug.</w:t>
      </w:r>
    </w:p>
    <w:p w14:paraId="26426C0E" w14:textId="77777777" w:rsidR="00946AD8" w:rsidRPr="004B5317" w:rsidRDefault="00946AD8" w:rsidP="00946AD8">
      <w:pPr>
        <w:pStyle w:val="FooterTableFigure"/>
      </w:pPr>
      <w:r w:rsidRPr="004B5317">
        <w:t xml:space="preserve">All assessments are summarised by analysis visits per </w:t>
      </w:r>
      <w:r>
        <w:t>statistical analysis plan (</w:t>
      </w:r>
      <w:r w:rsidRPr="004B5317">
        <w:t>SAP</w:t>
      </w:r>
      <w:r>
        <w:t>)</w:t>
      </w:r>
      <w:r w:rsidRPr="004B5317">
        <w:t>.</w:t>
      </w:r>
    </w:p>
    <w:p w14:paraId="5D382C60" w14:textId="77777777" w:rsidR="00A24F7D" w:rsidRDefault="00946AD8" w:rsidP="00875266">
      <w:pPr>
        <w:pStyle w:val="FooterTableFigure"/>
      </w:pPr>
      <w:r w:rsidRPr="004B5317">
        <w:t>Missing NYHA class at Week 30 was imputed using available NYHA at Week 26.</w:t>
      </w:r>
    </w:p>
    <w:p w14:paraId="4F0B502A" w14:textId="77777777" w:rsidR="00117DDB" w:rsidRDefault="00117DDB" w:rsidP="00117DDB">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6623A755" w14:textId="663A2CBC" w:rsidR="00034D1D" w:rsidRDefault="00034D1D" w:rsidP="00034D1D">
      <w:pPr>
        <w:pStyle w:val="3-BodyText"/>
      </w:pPr>
      <w:r>
        <w:t xml:space="preserve">Quality of life data were collected in EXPLORER-HCM using the EQ-5D-5L. Response rates were similar between treatment arms. </w:t>
      </w:r>
      <w:r>
        <w:rPr>
          <w:rFonts w:cs="Tahoma"/>
        </w:rPr>
        <w:t xml:space="preserve">During the 30-week treatment period, the main </w:t>
      </w:r>
      <w:r>
        <w:t xml:space="preserve">EQ-5D-5L scores remained close to </w:t>
      </w:r>
      <w:r w:rsidR="00C41F11">
        <w:t xml:space="preserve">the </w:t>
      </w:r>
      <w:r>
        <w:t xml:space="preserve">baseline values for both treatment </w:t>
      </w:r>
      <w:r>
        <w:lastRenderedPageBreak/>
        <w:t>groups, with no statistically significant differences observed between the mavacamten arm and the placebo arm (</w:t>
      </w:r>
      <w:r>
        <w:fldChar w:fldCharType="begin"/>
      </w:r>
      <w:r>
        <w:instrText xml:space="preserve"> REF _Ref111191356 \h </w:instrText>
      </w:r>
      <w:r>
        <w:fldChar w:fldCharType="separate"/>
      </w:r>
      <w:r w:rsidR="00F84C70">
        <w:t xml:space="preserve">Table </w:t>
      </w:r>
      <w:r w:rsidR="00F84C70">
        <w:rPr>
          <w:noProof/>
        </w:rPr>
        <w:t>7</w:t>
      </w:r>
      <w:r>
        <w:fldChar w:fldCharType="end"/>
      </w:r>
      <w:r>
        <w:t>).</w:t>
      </w:r>
      <w:r w:rsidR="0036635A">
        <w:t xml:space="preserve"> </w:t>
      </w:r>
      <w:r w:rsidR="00571B72">
        <w:t xml:space="preserve">The PBAC noted that the moderate improvements observed in the functional outcomes of the trial (see paragraph </w:t>
      </w:r>
      <w:r w:rsidR="00571B72">
        <w:fldChar w:fldCharType="begin"/>
      </w:r>
      <w:r w:rsidR="00571B72">
        <w:instrText xml:space="preserve"> REF _Ref142309431 \r \h </w:instrText>
      </w:r>
      <w:r w:rsidR="00571B72">
        <w:fldChar w:fldCharType="separate"/>
      </w:r>
      <w:r w:rsidR="00F84C70">
        <w:t>6.17</w:t>
      </w:r>
      <w:r w:rsidR="00571B72">
        <w:fldChar w:fldCharType="end"/>
      </w:r>
      <w:r w:rsidR="00571B72">
        <w:t xml:space="preserve">) did not flow through to a difference in </w:t>
      </w:r>
      <w:proofErr w:type="gramStart"/>
      <w:r w:rsidR="00571B72">
        <w:t>quality of life</w:t>
      </w:r>
      <w:proofErr w:type="gramEnd"/>
      <w:r w:rsidR="007C72E9">
        <w:t xml:space="preserve"> measures</w:t>
      </w:r>
      <w:r w:rsidR="00571B72">
        <w:t xml:space="preserve">. </w:t>
      </w:r>
    </w:p>
    <w:p w14:paraId="00D75EA5" w14:textId="6DCBAF95" w:rsidR="00034D1D" w:rsidRDefault="00034D1D" w:rsidP="00034D1D">
      <w:pPr>
        <w:pStyle w:val="Caption"/>
      </w:pPr>
      <w:bookmarkStart w:id="51" w:name="_Ref111191356"/>
      <w:r>
        <w:t xml:space="preserve">Table </w:t>
      </w:r>
      <w:fldSimple w:instr=" SEQ Table \* ARABIC ">
        <w:r w:rsidR="00F84C70">
          <w:rPr>
            <w:noProof/>
          </w:rPr>
          <w:t>7</w:t>
        </w:r>
      </w:fldSimple>
      <w:bookmarkEnd w:id="51"/>
      <w:r>
        <w:rPr>
          <w:noProof/>
        </w:rPr>
        <w:t>:</w:t>
      </w:r>
      <w:r>
        <w:t xml:space="preserve"> EXPLORER-HCM, median (range) EQ-5D-5L results by visit (ITT)</w:t>
      </w:r>
    </w:p>
    <w:tbl>
      <w:tblPr>
        <w:tblStyle w:val="PBACtable2"/>
        <w:tblW w:w="0" w:type="auto"/>
        <w:tblLook w:val="04A0" w:firstRow="1" w:lastRow="0" w:firstColumn="1" w:lastColumn="0" w:noHBand="0" w:noVBand="1"/>
      </w:tblPr>
      <w:tblGrid>
        <w:gridCol w:w="1123"/>
        <w:gridCol w:w="786"/>
        <w:gridCol w:w="1630"/>
        <w:gridCol w:w="851"/>
        <w:gridCol w:w="1559"/>
        <w:gridCol w:w="3068"/>
      </w:tblGrid>
      <w:tr w:rsidR="00034D1D" w:rsidRPr="004B5317" w14:paraId="649634A9" w14:textId="77777777" w:rsidTr="00034D1D">
        <w:trPr>
          <w:trHeight w:val="161"/>
          <w:tblHeader/>
        </w:trPr>
        <w:tc>
          <w:tcPr>
            <w:tcW w:w="1123" w:type="dxa"/>
            <w:shd w:val="clear" w:color="auto" w:fill="C6D9F1" w:themeFill="text2" w:themeFillTint="33"/>
          </w:tcPr>
          <w:p w14:paraId="61569D3B" w14:textId="77777777" w:rsidR="00034D1D" w:rsidRPr="0060715A" w:rsidRDefault="00034D1D" w:rsidP="00F774FD">
            <w:pPr>
              <w:pStyle w:val="TableFigureHeading"/>
              <w:rPr>
                <w:sz w:val="20"/>
                <w:szCs w:val="20"/>
              </w:rPr>
            </w:pPr>
            <w:r w:rsidRPr="0060715A">
              <w:rPr>
                <w:sz w:val="20"/>
                <w:szCs w:val="20"/>
              </w:rPr>
              <w:t>Visit</w:t>
            </w:r>
          </w:p>
        </w:tc>
        <w:tc>
          <w:tcPr>
            <w:tcW w:w="2416" w:type="dxa"/>
            <w:gridSpan w:val="2"/>
            <w:shd w:val="clear" w:color="auto" w:fill="C6D9F1" w:themeFill="text2" w:themeFillTint="33"/>
          </w:tcPr>
          <w:p w14:paraId="52DAD09A" w14:textId="77777777" w:rsidR="00034D1D" w:rsidRPr="0060715A" w:rsidRDefault="00034D1D" w:rsidP="00AA5E51">
            <w:pPr>
              <w:pStyle w:val="TableFigureHeading"/>
              <w:jc w:val="center"/>
              <w:rPr>
                <w:sz w:val="20"/>
                <w:szCs w:val="20"/>
              </w:rPr>
            </w:pPr>
            <w:r w:rsidRPr="0060715A">
              <w:rPr>
                <w:sz w:val="20"/>
                <w:szCs w:val="20"/>
              </w:rPr>
              <w:t>Mavacamten (n=123)</w:t>
            </w:r>
          </w:p>
        </w:tc>
        <w:tc>
          <w:tcPr>
            <w:tcW w:w="2410" w:type="dxa"/>
            <w:gridSpan w:val="2"/>
            <w:shd w:val="clear" w:color="auto" w:fill="C6D9F1" w:themeFill="text2" w:themeFillTint="33"/>
          </w:tcPr>
          <w:p w14:paraId="2F818607" w14:textId="77777777" w:rsidR="00034D1D" w:rsidRPr="0060715A" w:rsidRDefault="00034D1D" w:rsidP="00AA5E51">
            <w:pPr>
              <w:pStyle w:val="TableFigureHeading"/>
              <w:jc w:val="center"/>
              <w:rPr>
                <w:szCs w:val="20"/>
              </w:rPr>
            </w:pPr>
            <w:r w:rsidRPr="0060715A">
              <w:rPr>
                <w:sz w:val="20"/>
                <w:szCs w:val="20"/>
              </w:rPr>
              <w:t>Placebo (n=128)</w:t>
            </w:r>
          </w:p>
        </w:tc>
        <w:tc>
          <w:tcPr>
            <w:tcW w:w="3068" w:type="dxa"/>
            <w:shd w:val="clear" w:color="auto" w:fill="C6D9F1" w:themeFill="text2" w:themeFillTint="33"/>
          </w:tcPr>
          <w:p w14:paraId="16FF8B78" w14:textId="77777777" w:rsidR="00034D1D" w:rsidRPr="0060715A" w:rsidRDefault="00034D1D" w:rsidP="00AA5E51">
            <w:pPr>
              <w:pStyle w:val="TableFigureHeading"/>
              <w:jc w:val="center"/>
              <w:rPr>
                <w:sz w:val="20"/>
                <w:szCs w:val="20"/>
              </w:rPr>
            </w:pPr>
            <w:r w:rsidRPr="0060715A">
              <w:rPr>
                <w:sz w:val="20"/>
                <w:szCs w:val="20"/>
              </w:rPr>
              <w:t>Mavacamten vs Placebo difference</w:t>
            </w:r>
          </w:p>
        </w:tc>
      </w:tr>
      <w:tr w:rsidR="00034D1D" w:rsidRPr="004B5317" w14:paraId="3180AB6E" w14:textId="77777777" w:rsidTr="00034D1D">
        <w:tc>
          <w:tcPr>
            <w:tcW w:w="1123" w:type="dxa"/>
            <w:shd w:val="clear" w:color="auto" w:fill="C6D9F1" w:themeFill="text2" w:themeFillTint="33"/>
          </w:tcPr>
          <w:p w14:paraId="716F2ED4" w14:textId="77777777" w:rsidR="00034D1D" w:rsidRPr="004B5317" w:rsidRDefault="00034D1D" w:rsidP="00F774FD">
            <w:pPr>
              <w:pStyle w:val="Tabletext"/>
            </w:pPr>
            <w:r w:rsidRPr="004B5317">
              <w:t>Baseline</w:t>
            </w:r>
          </w:p>
        </w:tc>
        <w:tc>
          <w:tcPr>
            <w:tcW w:w="786" w:type="dxa"/>
            <w:shd w:val="clear" w:color="auto" w:fill="C6D9F1" w:themeFill="text2" w:themeFillTint="33"/>
          </w:tcPr>
          <w:p w14:paraId="51646962" w14:textId="77777777" w:rsidR="00034D1D" w:rsidRPr="004B5317" w:rsidRDefault="00034D1D" w:rsidP="00AA5E51">
            <w:pPr>
              <w:pStyle w:val="Tabletext"/>
              <w:jc w:val="center"/>
            </w:pPr>
            <w:r w:rsidRPr="004B5317">
              <w:t>(n=101)</w:t>
            </w:r>
          </w:p>
        </w:tc>
        <w:tc>
          <w:tcPr>
            <w:tcW w:w="1630" w:type="dxa"/>
            <w:shd w:val="clear" w:color="auto" w:fill="C6D9F1" w:themeFill="text2" w:themeFillTint="33"/>
          </w:tcPr>
          <w:p w14:paraId="142BC3E0" w14:textId="77777777" w:rsidR="00034D1D" w:rsidRPr="004B5317" w:rsidRDefault="00034D1D" w:rsidP="00AA5E51">
            <w:pPr>
              <w:pStyle w:val="Tabletext"/>
              <w:jc w:val="center"/>
            </w:pPr>
            <w:r w:rsidRPr="004B5317">
              <w:t>0.877 (0.20,1.00)</w:t>
            </w:r>
          </w:p>
        </w:tc>
        <w:tc>
          <w:tcPr>
            <w:tcW w:w="851" w:type="dxa"/>
            <w:shd w:val="clear" w:color="auto" w:fill="C6D9F1" w:themeFill="text2" w:themeFillTint="33"/>
          </w:tcPr>
          <w:p w14:paraId="6E0611BC" w14:textId="77777777" w:rsidR="00034D1D" w:rsidRPr="004B5317" w:rsidRDefault="00034D1D" w:rsidP="00AA5E51">
            <w:pPr>
              <w:pStyle w:val="Tabletext"/>
              <w:jc w:val="center"/>
            </w:pPr>
            <w:r w:rsidRPr="004B5317">
              <w:t>(n=98)</w:t>
            </w:r>
          </w:p>
        </w:tc>
        <w:tc>
          <w:tcPr>
            <w:tcW w:w="1559" w:type="dxa"/>
            <w:shd w:val="clear" w:color="auto" w:fill="C6D9F1" w:themeFill="text2" w:themeFillTint="33"/>
          </w:tcPr>
          <w:p w14:paraId="79E33D53" w14:textId="77777777" w:rsidR="00034D1D" w:rsidRPr="004B5317" w:rsidRDefault="00034D1D" w:rsidP="00AA5E51">
            <w:pPr>
              <w:pStyle w:val="Tabletext"/>
              <w:jc w:val="center"/>
            </w:pPr>
            <w:r w:rsidRPr="004B5317">
              <w:t>0.843 (0.31,1.00)</w:t>
            </w:r>
          </w:p>
        </w:tc>
        <w:tc>
          <w:tcPr>
            <w:tcW w:w="3068" w:type="dxa"/>
            <w:shd w:val="clear" w:color="auto" w:fill="C6D9F1" w:themeFill="text2" w:themeFillTint="33"/>
          </w:tcPr>
          <w:p w14:paraId="1DB485E0" w14:textId="77777777" w:rsidR="00034D1D" w:rsidRPr="004B5317" w:rsidRDefault="00034D1D" w:rsidP="00AA5E51">
            <w:pPr>
              <w:pStyle w:val="Tabletext"/>
              <w:jc w:val="center"/>
            </w:pPr>
            <w:r w:rsidRPr="004B5317">
              <w:t>0.034</w:t>
            </w:r>
          </w:p>
        </w:tc>
      </w:tr>
      <w:tr w:rsidR="00034D1D" w:rsidRPr="004B5317" w14:paraId="605D4824" w14:textId="77777777" w:rsidTr="00034D1D">
        <w:tc>
          <w:tcPr>
            <w:tcW w:w="1123" w:type="dxa"/>
            <w:shd w:val="clear" w:color="auto" w:fill="C6D9F1" w:themeFill="text2" w:themeFillTint="33"/>
          </w:tcPr>
          <w:p w14:paraId="303D789F" w14:textId="77777777" w:rsidR="00034D1D" w:rsidRPr="004B5317" w:rsidRDefault="00034D1D" w:rsidP="00F774FD">
            <w:pPr>
              <w:pStyle w:val="Tabletext"/>
            </w:pPr>
            <w:r w:rsidRPr="004B5317">
              <w:t>Week 6</w:t>
            </w:r>
          </w:p>
        </w:tc>
        <w:tc>
          <w:tcPr>
            <w:tcW w:w="786" w:type="dxa"/>
            <w:shd w:val="clear" w:color="auto" w:fill="C6D9F1" w:themeFill="text2" w:themeFillTint="33"/>
          </w:tcPr>
          <w:p w14:paraId="4149478D" w14:textId="77777777" w:rsidR="00034D1D" w:rsidRPr="004B5317" w:rsidRDefault="00034D1D" w:rsidP="00AA5E51">
            <w:pPr>
              <w:pStyle w:val="Tabletext"/>
              <w:jc w:val="center"/>
            </w:pPr>
            <w:r w:rsidRPr="004B5317">
              <w:t>(n=106)</w:t>
            </w:r>
          </w:p>
        </w:tc>
        <w:tc>
          <w:tcPr>
            <w:tcW w:w="1630" w:type="dxa"/>
            <w:shd w:val="clear" w:color="auto" w:fill="C6D9F1" w:themeFill="text2" w:themeFillTint="33"/>
          </w:tcPr>
          <w:p w14:paraId="334AB341" w14:textId="77777777" w:rsidR="00034D1D" w:rsidRPr="004B5317" w:rsidRDefault="00034D1D" w:rsidP="00AA5E51">
            <w:pPr>
              <w:pStyle w:val="Tabletext"/>
              <w:jc w:val="center"/>
            </w:pPr>
            <w:r w:rsidRPr="004B5317">
              <w:t>0.932 (-0.37,1.00)</w:t>
            </w:r>
          </w:p>
        </w:tc>
        <w:tc>
          <w:tcPr>
            <w:tcW w:w="851" w:type="dxa"/>
            <w:shd w:val="clear" w:color="auto" w:fill="C6D9F1" w:themeFill="text2" w:themeFillTint="33"/>
          </w:tcPr>
          <w:p w14:paraId="53CBA5F2" w14:textId="77777777" w:rsidR="00034D1D" w:rsidRPr="004B5317" w:rsidRDefault="00034D1D" w:rsidP="00AA5E51">
            <w:pPr>
              <w:pStyle w:val="Tabletext"/>
              <w:jc w:val="center"/>
            </w:pPr>
            <w:r w:rsidRPr="004B5317">
              <w:t>(n=104)</w:t>
            </w:r>
          </w:p>
        </w:tc>
        <w:tc>
          <w:tcPr>
            <w:tcW w:w="1559" w:type="dxa"/>
            <w:shd w:val="clear" w:color="auto" w:fill="C6D9F1" w:themeFill="text2" w:themeFillTint="33"/>
          </w:tcPr>
          <w:p w14:paraId="46AA0CE1" w14:textId="77777777" w:rsidR="00034D1D" w:rsidRPr="004B5317" w:rsidRDefault="00034D1D" w:rsidP="00AA5E51">
            <w:pPr>
              <w:pStyle w:val="Tabletext"/>
              <w:jc w:val="center"/>
            </w:pPr>
            <w:r w:rsidRPr="004B5317">
              <w:t>0.847 (0.44,1.00)</w:t>
            </w:r>
          </w:p>
        </w:tc>
        <w:tc>
          <w:tcPr>
            <w:tcW w:w="3068" w:type="dxa"/>
            <w:shd w:val="clear" w:color="auto" w:fill="C6D9F1" w:themeFill="text2" w:themeFillTint="33"/>
          </w:tcPr>
          <w:p w14:paraId="04BCF706" w14:textId="77777777" w:rsidR="00034D1D" w:rsidRPr="004B5317" w:rsidRDefault="00034D1D" w:rsidP="00AA5E51">
            <w:pPr>
              <w:pStyle w:val="Tabletext"/>
              <w:jc w:val="center"/>
            </w:pPr>
            <w:r w:rsidRPr="004B5317">
              <w:t>0.085</w:t>
            </w:r>
          </w:p>
        </w:tc>
      </w:tr>
      <w:tr w:rsidR="00034D1D" w:rsidRPr="004B5317" w14:paraId="60BFD7C4" w14:textId="77777777" w:rsidTr="00034D1D">
        <w:tc>
          <w:tcPr>
            <w:tcW w:w="1123" w:type="dxa"/>
            <w:shd w:val="clear" w:color="auto" w:fill="C6D9F1" w:themeFill="text2" w:themeFillTint="33"/>
          </w:tcPr>
          <w:p w14:paraId="75A5784C" w14:textId="77777777" w:rsidR="00034D1D" w:rsidRPr="004B5317" w:rsidRDefault="00034D1D" w:rsidP="00F774FD">
            <w:pPr>
              <w:pStyle w:val="Tabletext"/>
            </w:pPr>
            <w:r w:rsidRPr="004B5317">
              <w:t>Week 12</w:t>
            </w:r>
          </w:p>
        </w:tc>
        <w:tc>
          <w:tcPr>
            <w:tcW w:w="786" w:type="dxa"/>
            <w:shd w:val="clear" w:color="auto" w:fill="C6D9F1" w:themeFill="text2" w:themeFillTint="33"/>
          </w:tcPr>
          <w:p w14:paraId="6804F90A" w14:textId="77777777" w:rsidR="00034D1D" w:rsidRPr="004B5317" w:rsidRDefault="00034D1D" w:rsidP="00AA5E51">
            <w:pPr>
              <w:pStyle w:val="Tabletext"/>
              <w:jc w:val="center"/>
            </w:pPr>
            <w:r w:rsidRPr="004B5317">
              <w:t>(n=109)</w:t>
            </w:r>
          </w:p>
        </w:tc>
        <w:tc>
          <w:tcPr>
            <w:tcW w:w="1630" w:type="dxa"/>
            <w:shd w:val="clear" w:color="auto" w:fill="C6D9F1" w:themeFill="text2" w:themeFillTint="33"/>
          </w:tcPr>
          <w:p w14:paraId="21D2D12C" w14:textId="77777777" w:rsidR="00034D1D" w:rsidRPr="004B5317" w:rsidRDefault="00034D1D" w:rsidP="00AA5E51">
            <w:pPr>
              <w:pStyle w:val="Tabletext"/>
              <w:jc w:val="center"/>
            </w:pPr>
            <w:r w:rsidRPr="004B5317">
              <w:t>0.943 (0.51,1.00)</w:t>
            </w:r>
          </w:p>
        </w:tc>
        <w:tc>
          <w:tcPr>
            <w:tcW w:w="851" w:type="dxa"/>
            <w:shd w:val="clear" w:color="auto" w:fill="C6D9F1" w:themeFill="text2" w:themeFillTint="33"/>
          </w:tcPr>
          <w:p w14:paraId="2FAF44F9" w14:textId="77777777" w:rsidR="00034D1D" w:rsidRPr="004B5317" w:rsidRDefault="00034D1D" w:rsidP="00AA5E51">
            <w:pPr>
              <w:pStyle w:val="Tabletext"/>
              <w:jc w:val="center"/>
            </w:pPr>
            <w:r w:rsidRPr="004B5317">
              <w:t>(n=110)</w:t>
            </w:r>
          </w:p>
        </w:tc>
        <w:tc>
          <w:tcPr>
            <w:tcW w:w="1559" w:type="dxa"/>
            <w:shd w:val="clear" w:color="auto" w:fill="C6D9F1" w:themeFill="text2" w:themeFillTint="33"/>
          </w:tcPr>
          <w:p w14:paraId="71F5E2F0" w14:textId="77777777" w:rsidR="00034D1D" w:rsidRPr="004B5317" w:rsidRDefault="00034D1D" w:rsidP="00AA5E51">
            <w:pPr>
              <w:pStyle w:val="Tabletext"/>
              <w:jc w:val="center"/>
            </w:pPr>
            <w:r w:rsidRPr="004B5317">
              <w:t>0.903 (-0.04,1.00)</w:t>
            </w:r>
          </w:p>
        </w:tc>
        <w:tc>
          <w:tcPr>
            <w:tcW w:w="3068" w:type="dxa"/>
            <w:shd w:val="clear" w:color="auto" w:fill="C6D9F1" w:themeFill="text2" w:themeFillTint="33"/>
          </w:tcPr>
          <w:p w14:paraId="01101344" w14:textId="77777777" w:rsidR="00034D1D" w:rsidRPr="004B5317" w:rsidRDefault="00034D1D" w:rsidP="00AA5E51">
            <w:pPr>
              <w:pStyle w:val="Tabletext"/>
              <w:jc w:val="center"/>
            </w:pPr>
            <w:r w:rsidRPr="004B5317">
              <w:t>0.040</w:t>
            </w:r>
          </w:p>
        </w:tc>
      </w:tr>
      <w:tr w:rsidR="00034D1D" w:rsidRPr="004B5317" w14:paraId="75C681F1" w14:textId="77777777" w:rsidTr="00034D1D">
        <w:tc>
          <w:tcPr>
            <w:tcW w:w="1123" w:type="dxa"/>
            <w:shd w:val="clear" w:color="auto" w:fill="C6D9F1" w:themeFill="text2" w:themeFillTint="33"/>
          </w:tcPr>
          <w:p w14:paraId="3AC55FA8" w14:textId="77777777" w:rsidR="00034D1D" w:rsidRPr="004B5317" w:rsidRDefault="00034D1D" w:rsidP="00F774FD">
            <w:pPr>
              <w:pStyle w:val="Tabletext"/>
            </w:pPr>
            <w:r w:rsidRPr="004B5317">
              <w:t>Week 18</w:t>
            </w:r>
          </w:p>
        </w:tc>
        <w:tc>
          <w:tcPr>
            <w:tcW w:w="786" w:type="dxa"/>
            <w:shd w:val="clear" w:color="auto" w:fill="C6D9F1" w:themeFill="text2" w:themeFillTint="33"/>
          </w:tcPr>
          <w:p w14:paraId="40F39316" w14:textId="77777777" w:rsidR="00034D1D" w:rsidRPr="004B5317" w:rsidRDefault="00034D1D" w:rsidP="00AA5E51">
            <w:pPr>
              <w:pStyle w:val="Tabletext"/>
              <w:jc w:val="center"/>
            </w:pPr>
            <w:r w:rsidRPr="004B5317">
              <w:t>(n=110)</w:t>
            </w:r>
          </w:p>
        </w:tc>
        <w:tc>
          <w:tcPr>
            <w:tcW w:w="1630" w:type="dxa"/>
            <w:shd w:val="clear" w:color="auto" w:fill="C6D9F1" w:themeFill="text2" w:themeFillTint="33"/>
          </w:tcPr>
          <w:p w14:paraId="5B5E91C6" w14:textId="77777777" w:rsidR="00034D1D" w:rsidRPr="004B5317" w:rsidRDefault="00034D1D" w:rsidP="00AA5E51">
            <w:pPr>
              <w:pStyle w:val="Tabletext"/>
              <w:jc w:val="center"/>
            </w:pPr>
            <w:r w:rsidRPr="004B5317">
              <w:t>0.940 (0.25,1.00)</w:t>
            </w:r>
          </w:p>
        </w:tc>
        <w:tc>
          <w:tcPr>
            <w:tcW w:w="851" w:type="dxa"/>
            <w:shd w:val="clear" w:color="auto" w:fill="C6D9F1" w:themeFill="text2" w:themeFillTint="33"/>
          </w:tcPr>
          <w:p w14:paraId="560B5084" w14:textId="77777777" w:rsidR="00034D1D" w:rsidRPr="004B5317" w:rsidRDefault="00034D1D" w:rsidP="00AA5E51">
            <w:pPr>
              <w:pStyle w:val="Tabletext"/>
              <w:jc w:val="center"/>
            </w:pPr>
            <w:r w:rsidRPr="004B5317">
              <w:t>(n=119)</w:t>
            </w:r>
          </w:p>
        </w:tc>
        <w:tc>
          <w:tcPr>
            <w:tcW w:w="1559" w:type="dxa"/>
            <w:shd w:val="clear" w:color="auto" w:fill="C6D9F1" w:themeFill="text2" w:themeFillTint="33"/>
          </w:tcPr>
          <w:p w14:paraId="0B1CADE6" w14:textId="77777777" w:rsidR="00034D1D" w:rsidRPr="004B5317" w:rsidRDefault="00034D1D" w:rsidP="00AA5E51">
            <w:pPr>
              <w:pStyle w:val="Tabletext"/>
              <w:jc w:val="center"/>
            </w:pPr>
            <w:r w:rsidRPr="004B5317">
              <w:t>0.932 (0.07,1.00)</w:t>
            </w:r>
          </w:p>
        </w:tc>
        <w:tc>
          <w:tcPr>
            <w:tcW w:w="3068" w:type="dxa"/>
            <w:shd w:val="clear" w:color="auto" w:fill="C6D9F1" w:themeFill="text2" w:themeFillTint="33"/>
          </w:tcPr>
          <w:p w14:paraId="66481124" w14:textId="77777777" w:rsidR="00034D1D" w:rsidRPr="004B5317" w:rsidRDefault="00034D1D" w:rsidP="00AA5E51">
            <w:pPr>
              <w:pStyle w:val="Tabletext"/>
              <w:jc w:val="center"/>
            </w:pPr>
            <w:r w:rsidRPr="004B5317">
              <w:t>0.008</w:t>
            </w:r>
          </w:p>
        </w:tc>
      </w:tr>
      <w:tr w:rsidR="00034D1D" w:rsidRPr="004B5317" w14:paraId="0B052414" w14:textId="77777777" w:rsidTr="00034D1D">
        <w:tc>
          <w:tcPr>
            <w:tcW w:w="1123" w:type="dxa"/>
            <w:shd w:val="clear" w:color="auto" w:fill="C6D9F1" w:themeFill="text2" w:themeFillTint="33"/>
          </w:tcPr>
          <w:p w14:paraId="5B740205" w14:textId="77777777" w:rsidR="00034D1D" w:rsidRPr="004B5317" w:rsidRDefault="00034D1D" w:rsidP="00F774FD">
            <w:pPr>
              <w:pStyle w:val="Tabletext"/>
            </w:pPr>
            <w:r w:rsidRPr="004B5317">
              <w:t>Week 30</w:t>
            </w:r>
          </w:p>
        </w:tc>
        <w:tc>
          <w:tcPr>
            <w:tcW w:w="786" w:type="dxa"/>
            <w:shd w:val="clear" w:color="auto" w:fill="C6D9F1" w:themeFill="text2" w:themeFillTint="33"/>
          </w:tcPr>
          <w:p w14:paraId="0C7E633E" w14:textId="77777777" w:rsidR="00034D1D" w:rsidRPr="004B5317" w:rsidRDefault="00034D1D" w:rsidP="00AA5E51">
            <w:pPr>
              <w:pStyle w:val="Tabletext"/>
              <w:jc w:val="center"/>
            </w:pPr>
            <w:r w:rsidRPr="004B5317">
              <w:t>(n=111)</w:t>
            </w:r>
          </w:p>
        </w:tc>
        <w:tc>
          <w:tcPr>
            <w:tcW w:w="1630" w:type="dxa"/>
            <w:shd w:val="clear" w:color="auto" w:fill="C6D9F1" w:themeFill="text2" w:themeFillTint="33"/>
          </w:tcPr>
          <w:p w14:paraId="67B20ACD" w14:textId="77777777" w:rsidR="00034D1D" w:rsidRPr="004B5317" w:rsidRDefault="00034D1D" w:rsidP="00AA5E51">
            <w:pPr>
              <w:pStyle w:val="Tabletext"/>
              <w:jc w:val="center"/>
            </w:pPr>
            <w:r w:rsidRPr="004B5317">
              <w:t>0.943 (0.45,1.00)</w:t>
            </w:r>
          </w:p>
        </w:tc>
        <w:tc>
          <w:tcPr>
            <w:tcW w:w="851" w:type="dxa"/>
            <w:shd w:val="clear" w:color="auto" w:fill="C6D9F1" w:themeFill="text2" w:themeFillTint="33"/>
          </w:tcPr>
          <w:p w14:paraId="34554D0A" w14:textId="77777777" w:rsidR="00034D1D" w:rsidRPr="004B5317" w:rsidRDefault="00034D1D" w:rsidP="00AA5E51">
            <w:pPr>
              <w:pStyle w:val="Tabletext"/>
              <w:jc w:val="center"/>
            </w:pPr>
            <w:r w:rsidRPr="004B5317">
              <w:t>(n=113)</w:t>
            </w:r>
          </w:p>
        </w:tc>
        <w:tc>
          <w:tcPr>
            <w:tcW w:w="1559" w:type="dxa"/>
            <w:shd w:val="clear" w:color="auto" w:fill="C6D9F1" w:themeFill="text2" w:themeFillTint="33"/>
          </w:tcPr>
          <w:p w14:paraId="4779480F" w14:textId="77777777" w:rsidR="00034D1D" w:rsidRPr="004B5317" w:rsidRDefault="00034D1D" w:rsidP="00AA5E51">
            <w:pPr>
              <w:pStyle w:val="Tabletext"/>
              <w:jc w:val="center"/>
            </w:pPr>
            <w:r w:rsidRPr="004B5317">
              <w:t>0.883 (0.12,1.00)</w:t>
            </w:r>
          </w:p>
        </w:tc>
        <w:tc>
          <w:tcPr>
            <w:tcW w:w="3068" w:type="dxa"/>
            <w:shd w:val="clear" w:color="auto" w:fill="C6D9F1" w:themeFill="text2" w:themeFillTint="33"/>
          </w:tcPr>
          <w:p w14:paraId="12CE2F9C" w14:textId="77777777" w:rsidR="00034D1D" w:rsidRPr="004B5317" w:rsidRDefault="00034D1D" w:rsidP="00AA5E51">
            <w:pPr>
              <w:pStyle w:val="Tabletext"/>
              <w:jc w:val="center"/>
            </w:pPr>
            <w:r w:rsidRPr="004B5317">
              <w:t>0.060</w:t>
            </w:r>
          </w:p>
        </w:tc>
      </w:tr>
      <w:tr w:rsidR="00034D1D" w:rsidRPr="004B5317" w14:paraId="7BEE6BAD" w14:textId="77777777" w:rsidTr="00034D1D">
        <w:tc>
          <w:tcPr>
            <w:tcW w:w="1123" w:type="dxa"/>
            <w:shd w:val="clear" w:color="auto" w:fill="C6D9F1" w:themeFill="text2" w:themeFillTint="33"/>
          </w:tcPr>
          <w:p w14:paraId="5F45D3C7" w14:textId="77777777" w:rsidR="00034D1D" w:rsidRPr="004B5317" w:rsidRDefault="00034D1D" w:rsidP="00F774FD">
            <w:pPr>
              <w:pStyle w:val="Tabletext"/>
            </w:pPr>
            <w:r w:rsidRPr="004B5317">
              <w:t>Week 38</w:t>
            </w:r>
          </w:p>
        </w:tc>
        <w:tc>
          <w:tcPr>
            <w:tcW w:w="786" w:type="dxa"/>
            <w:shd w:val="clear" w:color="auto" w:fill="C6D9F1" w:themeFill="text2" w:themeFillTint="33"/>
          </w:tcPr>
          <w:p w14:paraId="14DA6232" w14:textId="77777777" w:rsidR="00034D1D" w:rsidRPr="004B5317" w:rsidRDefault="00034D1D" w:rsidP="00AA5E51">
            <w:pPr>
              <w:pStyle w:val="Tabletext"/>
              <w:jc w:val="center"/>
            </w:pPr>
            <w:r w:rsidRPr="004B5317">
              <w:t>(n=78)</w:t>
            </w:r>
          </w:p>
        </w:tc>
        <w:tc>
          <w:tcPr>
            <w:tcW w:w="1630" w:type="dxa"/>
            <w:shd w:val="clear" w:color="auto" w:fill="C6D9F1" w:themeFill="text2" w:themeFillTint="33"/>
          </w:tcPr>
          <w:p w14:paraId="18F5D708" w14:textId="77777777" w:rsidR="00034D1D" w:rsidRPr="004B5317" w:rsidRDefault="00034D1D" w:rsidP="00AA5E51">
            <w:pPr>
              <w:pStyle w:val="Tabletext"/>
              <w:jc w:val="center"/>
            </w:pPr>
            <w:r w:rsidRPr="004B5317">
              <w:t>0.829 (0.33,1.00)</w:t>
            </w:r>
          </w:p>
        </w:tc>
        <w:tc>
          <w:tcPr>
            <w:tcW w:w="851" w:type="dxa"/>
            <w:shd w:val="clear" w:color="auto" w:fill="C6D9F1" w:themeFill="text2" w:themeFillTint="33"/>
          </w:tcPr>
          <w:p w14:paraId="2A471098" w14:textId="77777777" w:rsidR="00034D1D" w:rsidRPr="004B5317" w:rsidRDefault="00034D1D" w:rsidP="00AA5E51">
            <w:pPr>
              <w:pStyle w:val="Tabletext"/>
              <w:jc w:val="center"/>
            </w:pPr>
            <w:r w:rsidRPr="004B5317">
              <w:t>(n=81)</w:t>
            </w:r>
          </w:p>
        </w:tc>
        <w:tc>
          <w:tcPr>
            <w:tcW w:w="1559" w:type="dxa"/>
            <w:shd w:val="clear" w:color="auto" w:fill="C6D9F1" w:themeFill="text2" w:themeFillTint="33"/>
          </w:tcPr>
          <w:p w14:paraId="03546406" w14:textId="77777777" w:rsidR="00034D1D" w:rsidRPr="004B5317" w:rsidRDefault="00034D1D" w:rsidP="00AA5E51">
            <w:pPr>
              <w:pStyle w:val="Tabletext"/>
              <w:jc w:val="center"/>
            </w:pPr>
            <w:r w:rsidRPr="004B5317">
              <w:t>0.883 (0.08,1.00)</w:t>
            </w:r>
          </w:p>
        </w:tc>
        <w:tc>
          <w:tcPr>
            <w:tcW w:w="3068" w:type="dxa"/>
            <w:shd w:val="clear" w:color="auto" w:fill="C6D9F1" w:themeFill="text2" w:themeFillTint="33"/>
          </w:tcPr>
          <w:p w14:paraId="578DF49F" w14:textId="77777777" w:rsidR="00034D1D" w:rsidRPr="004B5317" w:rsidRDefault="00034D1D" w:rsidP="00AA5E51">
            <w:pPr>
              <w:pStyle w:val="Tabletext"/>
              <w:jc w:val="center"/>
            </w:pPr>
            <w:r w:rsidRPr="004B5317">
              <w:t>-0.054</w:t>
            </w:r>
          </w:p>
        </w:tc>
      </w:tr>
    </w:tbl>
    <w:p w14:paraId="04A5BC9E" w14:textId="77777777" w:rsidR="00034D1D" w:rsidRDefault="00034D1D" w:rsidP="00034D1D">
      <w:pPr>
        <w:pStyle w:val="FooterTableFigure"/>
      </w:pPr>
      <w:r>
        <w:t>Source: Table 59, p124 of the submission.</w:t>
      </w:r>
    </w:p>
    <w:p w14:paraId="6541BB1C" w14:textId="77777777" w:rsidR="00034D1D" w:rsidRDefault="00034D1D" w:rsidP="00034D1D">
      <w:pPr>
        <w:pStyle w:val="FooterTableFigure"/>
        <w:rPr>
          <w:szCs w:val="18"/>
        </w:rPr>
      </w:pPr>
      <w:r w:rsidRPr="00197737">
        <w:rPr>
          <w:szCs w:val="18"/>
        </w:rPr>
        <w:t>EQ-5D-5L = EuroQol five dimension, five levels; ITT = intention to treat; n = number of patients who provided responses</w:t>
      </w:r>
    </w:p>
    <w:p w14:paraId="25B4067A" w14:textId="77777777" w:rsidR="00117DDB" w:rsidRDefault="00117DDB" w:rsidP="00117DDB">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06693FFB" w14:textId="0654DD2B" w:rsidR="001D71B5" w:rsidRDefault="001D71B5" w:rsidP="000A424D">
      <w:pPr>
        <w:pStyle w:val="3-BodyText"/>
      </w:pPr>
      <w:r w:rsidRPr="006F6838">
        <w:t xml:space="preserve">The key clinical evidence from </w:t>
      </w:r>
      <w:r>
        <w:t>MAVA-LTE</w:t>
      </w:r>
      <w:r w:rsidRPr="006F6838">
        <w:t xml:space="preserve"> </w:t>
      </w:r>
      <w:r w:rsidR="000A424D">
        <w:t xml:space="preserve">(EXPLORER-LTE cohort) </w:t>
      </w:r>
      <w:r w:rsidRPr="006F6838">
        <w:t xml:space="preserve">is summarised </w:t>
      </w:r>
      <w:r>
        <w:t xml:space="preserve">in </w:t>
      </w:r>
      <w:r w:rsidR="000A424D">
        <w:fldChar w:fldCharType="begin"/>
      </w:r>
      <w:r w:rsidR="000A424D">
        <w:instrText xml:space="preserve"> REF _Ref132242243 \h </w:instrText>
      </w:r>
      <w:r w:rsidR="000A424D">
        <w:fldChar w:fldCharType="separate"/>
      </w:r>
      <w:r w:rsidR="00F84C70">
        <w:t xml:space="preserve">Table </w:t>
      </w:r>
      <w:r w:rsidR="00F84C70">
        <w:rPr>
          <w:noProof/>
        </w:rPr>
        <w:t>8</w:t>
      </w:r>
      <w:r w:rsidR="000A424D">
        <w:fldChar w:fldCharType="end"/>
      </w:r>
      <w:r w:rsidR="000A424D">
        <w:t xml:space="preserve">. </w:t>
      </w:r>
    </w:p>
    <w:p w14:paraId="0EC82281" w14:textId="3838B74E" w:rsidR="001D71B5" w:rsidRDefault="000A424D" w:rsidP="001D71B5">
      <w:pPr>
        <w:pStyle w:val="Caption"/>
      </w:pPr>
      <w:bookmarkStart w:id="52" w:name="_Ref132242243"/>
      <w:r>
        <w:t xml:space="preserve">Table </w:t>
      </w:r>
      <w:fldSimple w:instr=" SEQ Table \* ARABIC ">
        <w:r w:rsidR="00F84C70">
          <w:rPr>
            <w:noProof/>
          </w:rPr>
          <w:t>8</w:t>
        </w:r>
      </w:fldSimple>
      <w:bookmarkEnd w:id="52"/>
      <w:r>
        <w:rPr>
          <w:noProof/>
        </w:rPr>
        <w:t>:</w:t>
      </w:r>
      <w:r>
        <w:t xml:space="preserve"> </w:t>
      </w:r>
      <w:r w:rsidR="001D71B5">
        <w:t xml:space="preserve">MAVA-LTE (EXPLORER-LTE Cohort), </w:t>
      </w:r>
      <w:r w:rsidR="001D71B5" w:rsidRPr="006D3F54">
        <w:rPr>
          <w:iCs/>
          <w:color w:val="000000" w:themeColor="text1"/>
        </w:rPr>
        <w:t xml:space="preserve">NYHA function class change from </w:t>
      </w:r>
      <w:proofErr w:type="gramStart"/>
      <w:r w:rsidR="001D71B5" w:rsidRPr="006D3F54">
        <w:rPr>
          <w:iCs/>
          <w:color w:val="000000" w:themeColor="text1"/>
        </w:rPr>
        <w:t>baseline</w:t>
      </w:r>
      <w:proofErr w:type="gramEnd"/>
    </w:p>
    <w:tbl>
      <w:tblPr>
        <w:tblStyle w:val="TableGrid"/>
        <w:tblW w:w="0" w:type="auto"/>
        <w:tblLook w:val="04A0" w:firstRow="1" w:lastRow="0" w:firstColumn="1" w:lastColumn="0" w:noHBand="0" w:noVBand="1"/>
      </w:tblPr>
      <w:tblGrid>
        <w:gridCol w:w="2405"/>
        <w:gridCol w:w="1322"/>
        <w:gridCol w:w="1322"/>
        <w:gridCol w:w="1323"/>
        <w:gridCol w:w="1322"/>
        <w:gridCol w:w="1323"/>
      </w:tblGrid>
      <w:tr w:rsidR="001D71B5" w14:paraId="1C19F1D3" w14:textId="77777777" w:rsidTr="00F774FD">
        <w:trPr>
          <w:tblHeader/>
        </w:trPr>
        <w:tc>
          <w:tcPr>
            <w:tcW w:w="2405" w:type="dxa"/>
            <w:tcBorders>
              <w:bottom w:val="nil"/>
            </w:tcBorders>
          </w:tcPr>
          <w:p w14:paraId="2EE069AF" w14:textId="77777777" w:rsidR="001D71B5" w:rsidRPr="005B3DB3" w:rsidRDefault="001D71B5" w:rsidP="001D71B5"/>
        </w:tc>
        <w:tc>
          <w:tcPr>
            <w:tcW w:w="1322" w:type="dxa"/>
            <w:tcBorders>
              <w:bottom w:val="nil"/>
            </w:tcBorders>
            <w:vAlign w:val="center"/>
          </w:tcPr>
          <w:p w14:paraId="7243289A" w14:textId="77777777" w:rsidR="001D71B5" w:rsidRPr="005B3DB3" w:rsidRDefault="001D71B5" w:rsidP="001D71B5">
            <w:pPr>
              <w:pStyle w:val="In-tableHeading"/>
              <w:keepNext w:val="0"/>
              <w:jc w:val="center"/>
            </w:pPr>
            <w:r w:rsidRPr="005B3DB3">
              <w:t xml:space="preserve">Week 108 </w:t>
            </w:r>
          </w:p>
        </w:tc>
        <w:tc>
          <w:tcPr>
            <w:tcW w:w="1322" w:type="dxa"/>
            <w:tcBorders>
              <w:bottom w:val="nil"/>
            </w:tcBorders>
            <w:vAlign w:val="center"/>
          </w:tcPr>
          <w:p w14:paraId="15798778" w14:textId="77777777" w:rsidR="001D71B5" w:rsidRPr="005B3DB3" w:rsidRDefault="001D71B5" w:rsidP="001D71B5">
            <w:pPr>
              <w:pStyle w:val="In-tableHeading"/>
              <w:keepNext w:val="0"/>
              <w:jc w:val="center"/>
            </w:pPr>
            <w:r w:rsidRPr="005B3DB3">
              <w:t xml:space="preserve">Week 120 </w:t>
            </w:r>
          </w:p>
        </w:tc>
        <w:tc>
          <w:tcPr>
            <w:tcW w:w="1323" w:type="dxa"/>
            <w:tcBorders>
              <w:bottom w:val="nil"/>
            </w:tcBorders>
            <w:vAlign w:val="center"/>
          </w:tcPr>
          <w:p w14:paraId="724ED33E" w14:textId="77777777" w:rsidR="001D71B5" w:rsidRPr="005B3DB3" w:rsidRDefault="001D71B5" w:rsidP="001D71B5">
            <w:pPr>
              <w:pStyle w:val="In-tableHeading"/>
              <w:keepNext w:val="0"/>
              <w:jc w:val="center"/>
            </w:pPr>
            <w:r w:rsidRPr="005B3DB3">
              <w:t xml:space="preserve">Week 132 </w:t>
            </w:r>
          </w:p>
        </w:tc>
        <w:tc>
          <w:tcPr>
            <w:tcW w:w="1322" w:type="dxa"/>
            <w:tcBorders>
              <w:bottom w:val="nil"/>
            </w:tcBorders>
            <w:vAlign w:val="center"/>
          </w:tcPr>
          <w:p w14:paraId="550AEAC2" w14:textId="77777777" w:rsidR="001D71B5" w:rsidRPr="005B3DB3" w:rsidRDefault="001D71B5" w:rsidP="001D71B5">
            <w:pPr>
              <w:pStyle w:val="In-tableHeading"/>
              <w:keepNext w:val="0"/>
              <w:jc w:val="center"/>
            </w:pPr>
            <w:r w:rsidRPr="005B3DB3">
              <w:t xml:space="preserve">Week 144 </w:t>
            </w:r>
          </w:p>
        </w:tc>
        <w:tc>
          <w:tcPr>
            <w:tcW w:w="1323" w:type="dxa"/>
            <w:tcBorders>
              <w:bottom w:val="nil"/>
            </w:tcBorders>
            <w:vAlign w:val="center"/>
          </w:tcPr>
          <w:p w14:paraId="1EDCEA6C" w14:textId="77777777" w:rsidR="001D71B5" w:rsidRPr="005B3DB3" w:rsidRDefault="001D71B5" w:rsidP="001D71B5">
            <w:pPr>
              <w:pStyle w:val="In-tableHeading"/>
              <w:keepNext w:val="0"/>
              <w:jc w:val="center"/>
            </w:pPr>
            <w:r w:rsidRPr="005B3DB3">
              <w:t xml:space="preserve">Week 156 </w:t>
            </w:r>
          </w:p>
        </w:tc>
      </w:tr>
      <w:tr w:rsidR="001D71B5" w14:paraId="765B4FE0" w14:textId="77777777" w:rsidTr="00F774FD">
        <w:tc>
          <w:tcPr>
            <w:tcW w:w="2405" w:type="dxa"/>
            <w:tcBorders>
              <w:top w:val="nil"/>
            </w:tcBorders>
            <w:vAlign w:val="center"/>
          </w:tcPr>
          <w:p w14:paraId="2A5EF529" w14:textId="77777777" w:rsidR="001D71B5" w:rsidRPr="005B3DB3" w:rsidRDefault="001D71B5" w:rsidP="001D71B5">
            <w:pPr>
              <w:pStyle w:val="Tabletext"/>
              <w:ind w:right="-104"/>
              <w:rPr>
                <w:b/>
                <w:bCs/>
                <w:lang w:val="en-US" w:eastAsia="en-US"/>
              </w:rPr>
            </w:pPr>
          </w:p>
        </w:tc>
        <w:tc>
          <w:tcPr>
            <w:tcW w:w="1322" w:type="dxa"/>
            <w:tcBorders>
              <w:top w:val="nil"/>
            </w:tcBorders>
            <w:vAlign w:val="center"/>
          </w:tcPr>
          <w:p w14:paraId="17EFE0A4" w14:textId="77777777" w:rsidR="001D71B5" w:rsidRPr="005B3DB3" w:rsidRDefault="001D71B5" w:rsidP="001D71B5">
            <w:pPr>
              <w:pStyle w:val="Tabletext"/>
              <w:jc w:val="center"/>
              <w:rPr>
                <w:rFonts w:eastAsiaTheme="minorHAnsi"/>
                <w:b/>
                <w:bCs/>
                <w:color w:val="000000"/>
                <w:lang w:val="en-US" w:eastAsia="en-US"/>
              </w:rPr>
            </w:pPr>
            <w:r>
              <w:rPr>
                <w:rFonts w:eastAsiaTheme="minorHAnsi"/>
                <w:b/>
                <w:bCs/>
                <w:color w:val="000000"/>
                <w:lang w:val="en-US" w:eastAsia="en-US"/>
              </w:rPr>
              <w:t>N=</w:t>
            </w:r>
            <w:r w:rsidRPr="005B3DB3">
              <w:rPr>
                <w:rFonts w:eastAsiaTheme="minorHAnsi"/>
                <w:b/>
                <w:bCs/>
                <w:color w:val="000000"/>
                <w:lang w:val="en-US" w:eastAsia="en-US"/>
              </w:rPr>
              <w:t>101</w:t>
            </w:r>
          </w:p>
        </w:tc>
        <w:tc>
          <w:tcPr>
            <w:tcW w:w="1322" w:type="dxa"/>
            <w:tcBorders>
              <w:top w:val="nil"/>
            </w:tcBorders>
            <w:vAlign w:val="center"/>
          </w:tcPr>
          <w:p w14:paraId="6889B6A3" w14:textId="77777777" w:rsidR="001D71B5" w:rsidRPr="005B3DB3" w:rsidRDefault="001D71B5" w:rsidP="001D71B5">
            <w:pPr>
              <w:pStyle w:val="Tabletext"/>
              <w:jc w:val="center"/>
              <w:rPr>
                <w:rFonts w:eastAsiaTheme="minorHAnsi"/>
                <w:b/>
                <w:bCs/>
                <w:color w:val="000000"/>
                <w:lang w:val="en-US" w:eastAsia="en-US"/>
              </w:rPr>
            </w:pPr>
            <w:r>
              <w:rPr>
                <w:rFonts w:eastAsiaTheme="minorHAnsi"/>
                <w:b/>
                <w:bCs/>
                <w:color w:val="000000"/>
                <w:lang w:val="en-US" w:eastAsia="en-US"/>
              </w:rPr>
              <w:t>N=</w:t>
            </w:r>
            <w:r w:rsidRPr="005B3DB3">
              <w:rPr>
                <w:rFonts w:eastAsiaTheme="minorHAnsi"/>
                <w:b/>
                <w:bCs/>
                <w:color w:val="000000"/>
                <w:lang w:val="en-US" w:eastAsia="en-US"/>
              </w:rPr>
              <w:t>79</w:t>
            </w:r>
          </w:p>
        </w:tc>
        <w:tc>
          <w:tcPr>
            <w:tcW w:w="1323" w:type="dxa"/>
            <w:tcBorders>
              <w:top w:val="nil"/>
            </w:tcBorders>
            <w:vAlign w:val="center"/>
          </w:tcPr>
          <w:p w14:paraId="06307ADD" w14:textId="77777777" w:rsidR="001D71B5" w:rsidRPr="005B3DB3" w:rsidRDefault="001D71B5" w:rsidP="001D71B5">
            <w:pPr>
              <w:pStyle w:val="Tabletext"/>
              <w:jc w:val="center"/>
              <w:rPr>
                <w:rFonts w:eastAsiaTheme="minorHAnsi"/>
                <w:b/>
                <w:bCs/>
                <w:color w:val="000000"/>
                <w:lang w:val="en-US" w:eastAsia="en-US"/>
              </w:rPr>
            </w:pPr>
            <w:r>
              <w:rPr>
                <w:rFonts w:eastAsiaTheme="minorHAnsi"/>
                <w:b/>
                <w:bCs/>
                <w:color w:val="000000"/>
                <w:lang w:val="en-US" w:eastAsia="en-US"/>
              </w:rPr>
              <w:t>N=</w:t>
            </w:r>
            <w:r w:rsidRPr="005B3DB3">
              <w:rPr>
                <w:rFonts w:eastAsiaTheme="minorHAnsi"/>
                <w:b/>
                <w:bCs/>
                <w:color w:val="000000"/>
                <w:lang w:val="en-US" w:eastAsia="en-US"/>
              </w:rPr>
              <w:t>43</w:t>
            </w:r>
          </w:p>
        </w:tc>
        <w:tc>
          <w:tcPr>
            <w:tcW w:w="1322" w:type="dxa"/>
            <w:tcBorders>
              <w:top w:val="nil"/>
            </w:tcBorders>
            <w:vAlign w:val="center"/>
          </w:tcPr>
          <w:p w14:paraId="0CE61621" w14:textId="77777777" w:rsidR="001D71B5" w:rsidRPr="005B3DB3" w:rsidRDefault="001D71B5" w:rsidP="001D71B5">
            <w:pPr>
              <w:pStyle w:val="Tabletext"/>
              <w:jc w:val="center"/>
              <w:rPr>
                <w:rFonts w:eastAsiaTheme="minorHAnsi"/>
                <w:b/>
                <w:bCs/>
                <w:color w:val="000000"/>
                <w:lang w:val="en-US" w:eastAsia="en-US"/>
              </w:rPr>
            </w:pPr>
            <w:r>
              <w:rPr>
                <w:rFonts w:eastAsiaTheme="minorHAnsi"/>
                <w:b/>
                <w:bCs/>
                <w:color w:val="000000"/>
                <w:lang w:val="en-US" w:eastAsia="en-US"/>
              </w:rPr>
              <w:t>N=</w:t>
            </w:r>
            <w:r w:rsidRPr="005B3DB3">
              <w:rPr>
                <w:rFonts w:eastAsiaTheme="minorHAnsi"/>
                <w:b/>
                <w:bCs/>
                <w:color w:val="000000"/>
                <w:lang w:val="en-US" w:eastAsia="en-US"/>
              </w:rPr>
              <w:t>19</w:t>
            </w:r>
          </w:p>
        </w:tc>
        <w:tc>
          <w:tcPr>
            <w:tcW w:w="1323" w:type="dxa"/>
            <w:tcBorders>
              <w:top w:val="nil"/>
            </w:tcBorders>
            <w:vAlign w:val="center"/>
          </w:tcPr>
          <w:p w14:paraId="71EB990C" w14:textId="77777777" w:rsidR="001D71B5" w:rsidRPr="005B3DB3" w:rsidRDefault="001D71B5" w:rsidP="001D71B5">
            <w:pPr>
              <w:pStyle w:val="Tabletext"/>
              <w:jc w:val="center"/>
              <w:rPr>
                <w:rFonts w:eastAsiaTheme="minorHAnsi"/>
                <w:b/>
                <w:bCs/>
                <w:color w:val="000000"/>
                <w:lang w:val="en-US" w:eastAsia="en-US"/>
              </w:rPr>
            </w:pPr>
            <w:r>
              <w:rPr>
                <w:rFonts w:eastAsiaTheme="minorHAnsi"/>
                <w:b/>
                <w:bCs/>
                <w:color w:val="000000"/>
                <w:lang w:val="en-US" w:eastAsia="en-US"/>
              </w:rPr>
              <w:t>N=</w:t>
            </w:r>
            <w:r w:rsidRPr="005B3DB3">
              <w:rPr>
                <w:rFonts w:eastAsiaTheme="minorHAnsi"/>
                <w:b/>
                <w:bCs/>
                <w:color w:val="000000"/>
                <w:lang w:val="en-US" w:eastAsia="en-US"/>
              </w:rPr>
              <w:t>3</w:t>
            </w:r>
          </w:p>
        </w:tc>
      </w:tr>
      <w:tr w:rsidR="001D71B5" w14:paraId="2B92376E" w14:textId="77777777" w:rsidTr="00F774FD">
        <w:tc>
          <w:tcPr>
            <w:tcW w:w="2405" w:type="dxa"/>
            <w:vAlign w:val="center"/>
          </w:tcPr>
          <w:p w14:paraId="28144195" w14:textId="77777777" w:rsidR="001D71B5" w:rsidRPr="00BC726A" w:rsidRDefault="001D71B5" w:rsidP="001D71B5">
            <w:pPr>
              <w:pStyle w:val="Tabletext"/>
              <w:ind w:right="-104"/>
            </w:pPr>
            <w:r w:rsidRPr="00BC726A">
              <w:t>Improve by 1 class, n</w:t>
            </w:r>
            <w:r>
              <w:t xml:space="preserve"> </w:t>
            </w:r>
            <w:r w:rsidRPr="00BC726A">
              <w:t>(%)</w:t>
            </w:r>
          </w:p>
        </w:tc>
        <w:tc>
          <w:tcPr>
            <w:tcW w:w="1322" w:type="dxa"/>
            <w:vAlign w:val="center"/>
          </w:tcPr>
          <w:p w14:paraId="2C24B8B0" w14:textId="77777777" w:rsidR="001D71B5" w:rsidRPr="00026F70" w:rsidRDefault="001D71B5" w:rsidP="001D71B5">
            <w:pPr>
              <w:pStyle w:val="Tabletext"/>
              <w:jc w:val="center"/>
              <w:rPr>
                <w:lang w:val="en-US" w:eastAsia="en-US"/>
              </w:rPr>
            </w:pPr>
            <w:r w:rsidRPr="00026F70">
              <w:t>60 (59.4)</w:t>
            </w:r>
          </w:p>
        </w:tc>
        <w:tc>
          <w:tcPr>
            <w:tcW w:w="1322" w:type="dxa"/>
            <w:vAlign w:val="center"/>
          </w:tcPr>
          <w:p w14:paraId="17CDFD53" w14:textId="77777777" w:rsidR="001D71B5" w:rsidRPr="00026F70" w:rsidRDefault="001D71B5" w:rsidP="001D71B5">
            <w:pPr>
              <w:pStyle w:val="Tabletext"/>
              <w:jc w:val="center"/>
              <w:rPr>
                <w:lang w:val="en-US" w:eastAsia="en-US"/>
              </w:rPr>
            </w:pPr>
            <w:r w:rsidRPr="00026F70">
              <w:t>52 (65.8)</w:t>
            </w:r>
          </w:p>
        </w:tc>
        <w:tc>
          <w:tcPr>
            <w:tcW w:w="1323" w:type="dxa"/>
            <w:vAlign w:val="center"/>
          </w:tcPr>
          <w:p w14:paraId="547C1445" w14:textId="77777777" w:rsidR="001D71B5" w:rsidRPr="00A254FB" w:rsidRDefault="001D71B5" w:rsidP="001D71B5">
            <w:pPr>
              <w:pStyle w:val="Tabletext"/>
              <w:jc w:val="center"/>
            </w:pPr>
            <w:r w:rsidRPr="00026F70">
              <w:t>30 (69.8)</w:t>
            </w:r>
          </w:p>
        </w:tc>
        <w:tc>
          <w:tcPr>
            <w:tcW w:w="1322" w:type="dxa"/>
            <w:vAlign w:val="center"/>
          </w:tcPr>
          <w:p w14:paraId="372280F8" w14:textId="77777777" w:rsidR="001D71B5" w:rsidRPr="00026F70" w:rsidRDefault="001D71B5" w:rsidP="001D71B5">
            <w:pPr>
              <w:pStyle w:val="Tabletext"/>
              <w:jc w:val="center"/>
              <w:rPr>
                <w:lang w:val="en-US" w:eastAsia="en-US"/>
              </w:rPr>
            </w:pPr>
            <w:r w:rsidRPr="00026F70">
              <w:t>14 (73.7)</w:t>
            </w:r>
          </w:p>
        </w:tc>
        <w:tc>
          <w:tcPr>
            <w:tcW w:w="1323" w:type="dxa"/>
            <w:vAlign w:val="center"/>
          </w:tcPr>
          <w:p w14:paraId="41BA8522" w14:textId="77777777" w:rsidR="001D71B5" w:rsidRPr="00026F70" w:rsidRDefault="001D71B5" w:rsidP="001D71B5">
            <w:pPr>
              <w:pStyle w:val="Tabletext"/>
              <w:jc w:val="center"/>
              <w:rPr>
                <w:lang w:val="en-US" w:eastAsia="en-US"/>
              </w:rPr>
            </w:pPr>
            <w:r w:rsidRPr="00026F70">
              <w:t>1 (33.3)</w:t>
            </w:r>
          </w:p>
        </w:tc>
      </w:tr>
      <w:tr w:rsidR="001D71B5" w14:paraId="7BDB12B3" w14:textId="77777777" w:rsidTr="00F774FD">
        <w:tc>
          <w:tcPr>
            <w:tcW w:w="2405" w:type="dxa"/>
            <w:vAlign w:val="center"/>
          </w:tcPr>
          <w:p w14:paraId="236534C7" w14:textId="77777777" w:rsidR="001D71B5" w:rsidRPr="00BC726A" w:rsidRDefault="001D71B5" w:rsidP="001D71B5">
            <w:pPr>
              <w:pStyle w:val="Tabletext"/>
              <w:ind w:right="-104"/>
              <w:rPr>
                <w:lang w:val="en-US" w:eastAsia="en-US"/>
              </w:rPr>
            </w:pPr>
            <w:r w:rsidRPr="00BC726A">
              <w:t>Improve by 2 classes, n</w:t>
            </w:r>
            <w:r>
              <w:t xml:space="preserve"> </w:t>
            </w:r>
            <w:r w:rsidRPr="00BC726A">
              <w:t>(%)</w:t>
            </w:r>
          </w:p>
        </w:tc>
        <w:tc>
          <w:tcPr>
            <w:tcW w:w="1322" w:type="dxa"/>
            <w:vAlign w:val="center"/>
          </w:tcPr>
          <w:p w14:paraId="7CA68A82" w14:textId="77777777" w:rsidR="001D71B5" w:rsidRPr="00026F70" w:rsidRDefault="001D71B5" w:rsidP="001D71B5">
            <w:pPr>
              <w:pStyle w:val="Tabletext"/>
              <w:jc w:val="center"/>
              <w:rPr>
                <w:lang w:val="en-US" w:eastAsia="en-US"/>
              </w:rPr>
            </w:pPr>
            <w:r w:rsidRPr="00026F70">
              <w:t>12 (11.9)</w:t>
            </w:r>
          </w:p>
        </w:tc>
        <w:tc>
          <w:tcPr>
            <w:tcW w:w="1322" w:type="dxa"/>
            <w:vAlign w:val="center"/>
          </w:tcPr>
          <w:p w14:paraId="1C1CA3BA" w14:textId="77777777" w:rsidR="001D71B5" w:rsidRPr="00026F70" w:rsidRDefault="001D71B5" w:rsidP="001D71B5">
            <w:pPr>
              <w:pStyle w:val="Tabletext"/>
              <w:jc w:val="center"/>
              <w:rPr>
                <w:lang w:val="en-US" w:eastAsia="en-US"/>
              </w:rPr>
            </w:pPr>
            <w:r w:rsidRPr="00026F70">
              <w:t>8 (10.1)</w:t>
            </w:r>
          </w:p>
        </w:tc>
        <w:tc>
          <w:tcPr>
            <w:tcW w:w="1323" w:type="dxa"/>
            <w:vAlign w:val="center"/>
          </w:tcPr>
          <w:p w14:paraId="11C1CBD9" w14:textId="77777777" w:rsidR="001D71B5" w:rsidRPr="00026F70" w:rsidRDefault="001D71B5" w:rsidP="001D71B5">
            <w:pPr>
              <w:pStyle w:val="Tabletext"/>
              <w:jc w:val="center"/>
              <w:rPr>
                <w:lang w:val="en-US" w:eastAsia="en-US"/>
              </w:rPr>
            </w:pPr>
            <w:r w:rsidRPr="00026F70">
              <w:t>5 (11.6)</w:t>
            </w:r>
          </w:p>
        </w:tc>
        <w:tc>
          <w:tcPr>
            <w:tcW w:w="1322" w:type="dxa"/>
            <w:vAlign w:val="center"/>
          </w:tcPr>
          <w:p w14:paraId="52B5FCED" w14:textId="77777777" w:rsidR="001D71B5" w:rsidRPr="00026F70" w:rsidRDefault="001D71B5" w:rsidP="001D71B5">
            <w:pPr>
              <w:pStyle w:val="Tabletext"/>
              <w:jc w:val="center"/>
              <w:rPr>
                <w:lang w:val="en-US" w:eastAsia="en-US"/>
              </w:rPr>
            </w:pPr>
            <w:r w:rsidRPr="00026F70">
              <w:t>3 (15.8)</w:t>
            </w:r>
          </w:p>
        </w:tc>
        <w:tc>
          <w:tcPr>
            <w:tcW w:w="1323" w:type="dxa"/>
            <w:vAlign w:val="center"/>
          </w:tcPr>
          <w:p w14:paraId="2AB4F9AC" w14:textId="77777777" w:rsidR="001D71B5" w:rsidRPr="00026F70" w:rsidRDefault="001D71B5" w:rsidP="001D71B5">
            <w:pPr>
              <w:pStyle w:val="Tabletext"/>
              <w:jc w:val="center"/>
              <w:rPr>
                <w:lang w:val="en-US" w:eastAsia="en-US"/>
              </w:rPr>
            </w:pPr>
            <w:r w:rsidRPr="00026F70">
              <w:t>2 (66.7)</w:t>
            </w:r>
          </w:p>
        </w:tc>
      </w:tr>
      <w:tr w:rsidR="001D71B5" w14:paraId="068592B5" w14:textId="77777777" w:rsidTr="00F774FD">
        <w:tc>
          <w:tcPr>
            <w:tcW w:w="2405" w:type="dxa"/>
            <w:vAlign w:val="center"/>
          </w:tcPr>
          <w:p w14:paraId="1E69475A" w14:textId="77777777" w:rsidR="001D71B5" w:rsidRPr="00BC726A" w:rsidRDefault="001D71B5" w:rsidP="001D71B5">
            <w:pPr>
              <w:pStyle w:val="Tabletext"/>
              <w:ind w:right="-104"/>
              <w:rPr>
                <w:lang w:val="en-US" w:eastAsia="en-US"/>
              </w:rPr>
            </w:pPr>
            <w:r w:rsidRPr="00BC726A">
              <w:t>Remain the same, n</w:t>
            </w:r>
            <w:r>
              <w:t xml:space="preserve"> </w:t>
            </w:r>
            <w:r w:rsidRPr="00BC726A">
              <w:t>(%)</w:t>
            </w:r>
          </w:p>
        </w:tc>
        <w:tc>
          <w:tcPr>
            <w:tcW w:w="1322" w:type="dxa"/>
            <w:vAlign w:val="center"/>
          </w:tcPr>
          <w:p w14:paraId="47E317F1" w14:textId="77777777" w:rsidR="001D71B5" w:rsidRPr="00026F70" w:rsidRDefault="001D71B5" w:rsidP="001D71B5">
            <w:pPr>
              <w:pStyle w:val="Tabletext"/>
              <w:jc w:val="center"/>
              <w:rPr>
                <w:lang w:val="en-US" w:eastAsia="en-US"/>
              </w:rPr>
            </w:pPr>
            <w:r w:rsidRPr="00026F70">
              <w:t>29 (28.7)</w:t>
            </w:r>
          </w:p>
        </w:tc>
        <w:tc>
          <w:tcPr>
            <w:tcW w:w="1322" w:type="dxa"/>
            <w:vAlign w:val="center"/>
          </w:tcPr>
          <w:p w14:paraId="6E1A66FE" w14:textId="77777777" w:rsidR="001D71B5" w:rsidRPr="00026F70" w:rsidRDefault="001D71B5" w:rsidP="001D71B5">
            <w:pPr>
              <w:pStyle w:val="Tabletext"/>
              <w:jc w:val="center"/>
              <w:rPr>
                <w:lang w:val="en-US" w:eastAsia="en-US"/>
              </w:rPr>
            </w:pPr>
            <w:r w:rsidRPr="00026F70">
              <w:t>18 (22.8)</w:t>
            </w:r>
          </w:p>
        </w:tc>
        <w:tc>
          <w:tcPr>
            <w:tcW w:w="1323" w:type="dxa"/>
            <w:vAlign w:val="center"/>
          </w:tcPr>
          <w:p w14:paraId="05EE1470" w14:textId="77777777" w:rsidR="001D71B5" w:rsidRPr="00026F70" w:rsidRDefault="001D71B5" w:rsidP="001D71B5">
            <w:pPr>
              <w:pStyle w:val="Tabletext"/>
              <w:jc w:val="center"/>
              <w:rPr>
                <w:lang w:val="en-US" w:eastAsia="en-US"/>
              </w:rPr>
            </w:pPr>
            <w:r w:rsidRPr="00026F70">
              <w:t>8 (18.6)</w:t>
            </w:r>
          </w:p>
        </w:tc>
        <w:tc>
          <w:tcPr>
            <w:tcW w:w="1322" w:type="dxa"/>
            <w:vAlign w:val="center"/>
          </w:tcPr>
          <w:p w14:paraId="1992D166" w14:textId="77777777" w:rsidR="001D71B5" w:rsidRPr="00026F70" w:rsidRDefault="001D71B5" w:rsidP="001D71B5">
            <w:pPr>
              <w:pStyle w:val="Tabletext"/>
              <w:jc w:val="center"/>
              <w:rPr>
                <w:lang w:val="en-US" w:eastAsia="en-US"/>
              </w:rPr>
            </w:pPr>
            <w:r w:rsidRPr="00026F70">
              <w:t>2 (10.5)</w:t>
            </w:r>
          </w:p>
        </w:tc>
        <w:tc>
          <w:tcPr>
            <w:tcW w:w="1323" w:type="dxa"/>
            <w:vAlign w:val="center"/>
          </w:tcPr>
          <w:p w14:paraId="3077FF30" w14:textId="77777777" w:rsidR="001D71B5" w:rsidRPr="00026F70" w:rsidRDefault="001D71B5" w:rsidP="001D71B5">
            <w:pPr>
              <w:pStyle w:val="Tabletext"/>
              <w:jc w:val="center"/>
              <w:rPr>
                <w:lang w:val="en-US" w:eastAsia="en-US"/>
              </w:rPr>
            </w:pPr>
            <w:r w:rsidRPr="00026F70">
              <w:t>0</w:t>
            </w:r>
          </w:p>
        </w:tc>
      </w:tr>
      <w:tr w:rsidR="001D71B5" w14:paraId="3FA6CE9A" w14:textId="77777777" w:rsidTr="00F774FD">
        <w:tc>
          <w:tcPr>
            <w:tcW w:w="2405" w:type="dxa"/>
            <w:tcBorders>
              <w:bottom w:val="single" w:sz="4" w:space="0" w:color="auto"/>
            </w:tcBorders>
            <w:vAlign w:val="center"/>
          </w:tcPr>
          <w:p w14:paraId="4D59DB0E" w14:textId="77777777" w:rsidR="001D71B5" w:rsidRPr="00BC726A" w:rsidRDefault="001D71B5" w:rsidP="001D71B5">
            <w:pPr>
              <w:pStyle w:val="Tabletext"/>
              <w:ind w:right="-104"/>
              <w:rPr>
                <w:lang w:val="en-US" w:eastAsia="en-US"/>
              </w:rPr>
            </w:pPr>
            <w:r w:rsidRPr="00BC726A">
              <w:t>Worsen by 1 class, n</w:t>
            </w:r>
            <w:r>
              <w:t xml:space="preserve"> </w:t>
            </w:r>
            <w:r w:rsidRPr="00BC726A">
              <w:t>(%)</w:t>
            </w:r>
          </w:p>
        </w:tc>
        <w:tc>
          <w:tcPr>
            <w:tcW w:w="1322" w:type="dxa"/>
            <w:tcBorders>
              <w:bottom w:val="single" w:sz="4" w:space="0" w:color="auto"/>
            </w:tcBorders>
            <w:vAlign w:val="center"/>
          </w:tcPr>
          <w:p w14:paraId="0B3595DC" w14:textId="77777777" w:rsidR="001D71B5" w:rsidRPr="00026F70" w:rsidRDefault="001D71B5" w:rsidP="001D71B5">
            <w:pPr>
              <w:pStyle w:val="Tabletext"/>
              <w:jc w:val="center"/>
              <w:rPr>
                <w:lang w:val="en-US" w:eastAsia="en-US"/>
              </w:rPr>
            </w:pPr>
            <w:r w:rsidRPr="00026F70">
              <w:t>0</w:t>
            </w:r>
          </w:p>
        </w:tc>
        <w:tc>
          <w:tcPr>
            <w:tcW w:w="1322" w:type="dxa"/>
            <w:tcBorders>
              <w:bottom w:val="single" w:sz="4" w:space="0" w:color="auto"/>
            </w:tcBorders>
            <w:vAlign w:val="center"/>
          </w:tcPr>
          <w:p w14:paraId="21C2D05F" w14:textId="77777777" w:rsidR="001D71B5" w:rsidRPr="00026F70" w:rsidRDefault="001D71B5" w:rsidP="001D71B5">
            <w:pPr>
              <w:pStyle w:val="Tabletext"/>
              <w:jc w:val="center"/>
              <w:rPr>
                <w:lang w:val="en-US" w:eastAsia="en-US"/>
              </w:rPr>
            </w:pPr>
            <w:r w:rsidRPr="00026F70">
              <w:t>1 (1.3)</w:t>
            </w:r>
          </w:p>
        </w:tc>
        <w:tc>
          <w:tcPr>
            <w:tcW w:w="1323" w:type="dxa"/>
            <w:tcBorders>
              <w:bottom w:val="single" w:sz="4" w:space="0" w:color="auto"/>
            </w:tcBorders>
            <w:vAlign w:val="center"/>
          </w:tcPr>
          <w:p w14:paraId="49C08FDF" w14:textId="77777777" w:rsidR="001D71B5" w:rsidRPr="00026F70" w:rsidRDefault="001D71B5" w:rsidP="001D71B5">
            <w:pPr>
              <w:pStyle w:val="Tabletext"/>
              <w:jc w:val="center"/>
              <w:rPr>
                <w:lang w:val="en-US" w:eastAsia="en-US"/>
              </w:rPr>
            </w:pPr>
            <w:r w:rsidRPr="00026F70">
              <w:t>0</w:t>
            </w:r>
          </w:p>
        </w:tc>
        <w:tc>
          <w:tcPr>
            <w:tcW w:w="1322" w:type="dxa"/>
            <w:tcBorders>
              <w:bottom w:val="single" w:sz="4" w:space="0" w:color="auto"/>
            </w:tcBorders>
            <w:vAlign w:val="center"/>
          </w:tcPr>
          <w:p w14:paraId="7B5C4329" w14:textId="77777777" w:rsidR="001D71B5" w:rsidRPr="00026F70" w:rsidRDefault="001D71B5" w:rsidP="001D71B5">
            <w:pPr>
              <w:pStyle w:val="Tabletext"/>
              <w:jc w:val="center"/>
              <w:rPr>
                <w:lang w:val="en-US" w:eastAsia="en-US"/>
              </w:rPr>
            </w:pPr>
            <w:r w:rsidRPr="00026F70">
              <w:t>0</w:t>
            </w:r>
          </w:p>
        </w:tc>
        <w:tc>
          <w:tcPr>
            <w:tcW w:w="1323" w:type="dxa"/>
            <w:tcBorders>
              <w:bottom w:val="single" w:sz="4" w:space="0" w:color="auto"/>
            </w:tcBorders>
            <w:vAlign w:val="center"/>
          </w:tcPr>
          <w:p w14:paraId="1D898457" w14:textId="77777777" w:rsidR="001D71B5" w:rsidRPr="00026F70" w:rsidRDefault="001D71B5" w:rsidP="001D71B5">
            <w:pPr>
              <w:pStyle w:val="Tabletext"/>
              <w:jc w:val="center"/>
              <w:rPr>
                <w:lang w:val="en-US" w:eastAsia="en-US"/>
              </w:rPr>
            </w:pPr>
            <w:r w:rsidRPr="00026F70">
              <w:t>0</w:t>
            </w:r>
          </w:p>
        </w:tc>
      </w:tr>
      <w:tr w:rsidR="001D71B5" w14:paraId="778335A9" w14:textId="77777777" w:rsidTr="00F774FD">
        <w:tc>
          <w:tcPr>
            <w:tcW w:w="2405" w:type="dxa"/>
            <w:vAlign w:val="center"/>
          </w:tcPr>
          <w:p w14:paraId="7D50D158" w14:textId="77777777" w:rsidR="001D71B5" w:rsidRPr="00BC726A" w:rsidRDefault="001D71B5" w:rsidP="001D71B5">
            <w:pPr>
              <w:pStyle w:val="Tabletext"/>
              <w:ind w:right="-104"/>
              <w:rPr>
                <w:lang w:val="en-US" w:eastAsia="en-US"/>
              </w:rPr>
            </w:pPr>
            <w:r w:rsidRPr="00BC726A">
              <w:t>Worsen by 2 classes, n</w:t>
            </w:r>
            <w:r>
              <w:t xml:space="preserve"> </w:t>
            </w:r>
            <w:r w:rsidRPr="00BC726A">
              <w:t>(%)</w:t>
            </w:r>
          </w:p>
        </w:tc>
        <w:tc>
          <w:tcPr>
            <w:tcW w:w="1322" w:type="dxa"/>
            <w:vAlign w:val="center"/>
          </w:tcPr>
          <w:p w14:paraId="207C1049" w14:textId="77777777" w:rsidR="001D71B5" w:rsidRPr="00026F70" w:rsidRDefault="001D71B5" w:rsidP="001D71B5">
            <w:pPr>
              <w:pStyle w:val="Tabletext"/>
              <w:jc w:val="center"/>
              <w:rPr>
                <w:lang w:val="en-US" w:eastAsia="en-US"/>
              </w:rPr>
            </w:pPr>
            <w:r w:rsidRPr="00026F70">
              <w:t>0</w:t>
            </w:r>
          </w:p>
        </w:tc>
        <w:tc>
          <w:tcPr>
            <w:tcW w:w="1322" w:type="dxa"/>
            <w:vAlign w:val="center"/>
          </w:tcPr>
          <w:p w14:paraId="528988F9" w14:textId="77777777" w:rsidR="001D71B5" w:rsidRPr="00026F70" w:rsidRDefault="001D71B5" w:rsidP="001D71B5">
            <w:pPr>
              <w:pStyle w:val="Tabletext"/>
              <w:jc w:val="center"/>
              <w:rPr>
                <w:lang w:val="en-US" w:eastAsia="en-US"/>
              </w:rPr>
            </w:pPr>
            <w:r w:rsidRPr="00026F70">
              <w:t>0</w:t>
            </w:r>
          </w:p>
        </w:tc>
        <w:tc>
          <w:tcPr>
            <w:tcW w:w="1323" w:type="dxa"/>
            <w:vAlign w:val="center"/>
          </w:tcPr>
          <w:p w14:paraId="0158AB1A" w14:textId="77777777" w:rsidR="001D71B5" w:rsidRPr="00026F70" w:rsidRDefault="001D71B5" w:rsidP="001D71B5">
            <w:pPr>
              <w:pStyle w:val="Tabletext"/>
              <w:jc w:val="center"/>
              <w:rPr>
                <w:lang w:val="en-US" w:eastAsia="en-US"/>
              </w:rPr>
            </w:pPr>
            <w:r w:rsidRPr="00026F70">
              <w:t>0</w:t>
            </w:r>
          </w:p>
        </w:tc>
        <w:tc>
          <w:tcPr>
            <w:tcW w:w="1322" w:type="dxa"/>
            <w:vAlign w:val="center"/>
          </w:tcPr>
          <w:p w14:paraId="41A8B479" w14:textId="77777777" w:rsidR="001D71B5" w:rsidRPr="00026F70" w:rsidRDefault="001D71B5" w:rsidP="001D71B5">
            <w:pPr>
              <w:pStyle w:val="Tabletext"/>
              <w:jc w:val="center"/>
              <w:rPr>
                <w:lang w:val="en-US" w:eastAsia="en-US"/>
              </w:rPr>
            </w:pPr>
            <w:r w:rsidRPr="00026F70">
              <w:t>0</w:t>
            </w:r>
          </w:p>
        </w:tc>
        <w:tc>
          <w:tcPr>
            <w:tcW w:w="1323" w:type="dxa"/>
            <w:vAlign w:val="center"/>
          </w:tcPr>
          <w:p w14:paraId="0020705C" w14:textId="77777777" w:rsidR="001D71B5" w:rsidRPr="00026F70" w:rsidRDefault="001D71B5" w:rsidP="001D71B5">
            <w:pPr>
              <w:pStyle w:val="Tabletext"/>
              <w:jc w:val="center"/>
              <w:rPr>
                <w:lang w:val="en-US" w:eastAsia="en-US"/>
              </w:rPr>
            </w:pPr>
            <w:r w:rsidRPr="00026F70">
              <w:t>0</w:t>
            </w:r>
          </w:p>
        </w:tc>
      </w:tr>
      <w:tr w:rsidR="001D71B5" w14:paraId="31FDFA5F" w14:textId="77777777" w:rsidTr="00F774FD">
        <w:tc>
          <w:tcPr>
            <w:tcW w:w="2405" w:type="dxa"/>
            <w:tcBorders>
              <w:bottom w:val="single" w:sz="4" w:space="0" w:color="auto"/>
            </w:tcBorders>
            <w:vAlign w:val="center"/>
          </w:tcPr>
          <w:p w14:paraId="7FAE9618" w14:textId="77777777" w:rsidR="001D71B5" w:rsidRPr="00BC726A" w:rsidRDefault="001D71B5" w:rsidP="001D71B5">
            <w:pPr>
              <w:pStyle w:val="Tabletext"/>
              <w:ind w:right="-104"/>
              <w:rPr>
                <w:lang w:val="en-US" w:eastAsia="en-US"/>
              </w:rPr>
            </w:pPr>
            <w:r w:rsidRPr="00BC726A">
              <w:t>Patients with at least 1 class of improvement, n</w:t>
            </w:r>
            <w:r>
              <w:t xml:space="preserve"> </w:t>
            </w:r>
            <w:r w:rsidRPr="00BC726A">
              <w:t>(%) (95% CI)</w:t>
            </w:r>
          </w:p>
        </w:tc>
        <w:tc>
          <w:tcPr>
            <w:tcW w:w="1322" w:type="dxa"/>
            <w:tcBorders>
              <w:bottom w:val="single" w:sz="4" w:space="0" w:color="auto"/>
            </w:tcBorders>
            <w:vAlign w:val="center"/>
          </w:tcPr>
          <w:p w14:paraId="67C10F20" w14:textId="77777777" w:rsidR="001D71B5" w:rsidRPr="00026F70" w:rsidRDefault="001D71B5" w:rsidP="001D71B5">
            <w:pPr>
              <w:pStyle w:val="Tabletext"/>
              <w:jc w:val="center"/>
              <w:rPr>
                <w:lang w:val="en-US" w:eastAsia="en-US"/>
              </w:rPr>
            </w:pPr>
            <w:r w:rsidRPr="00026F70">
              <w:t>72 (71.3) (61.4, 79.</w:t>
            </w:r>
            <w:r>
              <w:t>9</w:t>
            </w:r>
            <w:r w:rsidRPr="00026F70">
              <w:t>)</w:t>
            </w:r>
          </w:p>
        </w:tc>
        <w:tc>
          <w:tcPr>
            <w:tcW w:w="1322" w:type="dxa"/>
            <w:tcBorders>
              <w:bottom w:val="single" w:sz="4" w:space="0" w:color="auto"/>
            </w:tcBorders>
            <w:vAlign w:val="center"/>
          </w:tcPr>
          <w:p w14:paraId="746E3AEE" w14:textId="77777777" w:rsidR="001D71B5" w:rsidRPr="00026F70" w:rsidRDefault="001D71B5" w:rsidP="001D71B5">
            <w:pPr>
              <w:pStyle w:val="Tabletext"/>
              <w:jc w:val="center"/>
              <w:rPr>
                <w:lang w:val="en-US" w:eastAsia="en-US"/>
              </w:rPr>
            </w:pPr>
            <w:r w:rsidRPr="00026F70">
              <w:t>60 (75.9) (65.0, 84.</w:t>
            </w:r>
            <w:r>
              <w:t>9</w:t>
            </w:r>
            <w:r w:rsidRPr="00026F70">
              <w:t>)</w:t>
            </w:r>
          </w:p>
        </w:tc>
        <w:tc>
          <w:tcPr>
            <w:tcW w:w="1323" w:type="dxa"/>
            <w:tcBorders>
              <w:bottom w:val="single" w:sz="4" w:space="0" w:color="auto"/>
            </w:tcBorders>
            <w:vAlign w:val="center"/>
          </w:tcPr>
          <w:p w14:paraId="43D7A36A" w14:textId="77777777" w:rsidR="001D71B5" w:rsidRPr="00026F70" w:rsidRDefault="001D71B5" w:rsidP="001D71B5">
            <w:pPr>
              <w:pStyle w:val="Tabletext"/>
              <w:jc w:val="center"/>
              <w:rPr>
                <w:lang w:val="en-US" w:eastAsia="en-US"/>
              </w:rPr>
            </w:pPr>
            <w:r w:rsidRPr="00026F70">
              <w:t>35 (81.4) (66.</w:t>
            </w:r>
            <w:r>
              <w:t>6</w:t>
            </w:r>
            <w:r w:rsidRPr="00026F70">
              <w:t>, 91.6)</w:t>
            </w:r>
          </w:p>
        </w:tc>
        <w:tc>
          <w:tcPr>
            <w:tcW w:w="1322" w:type="dxa"/>
            <w:tcBorders>
              <w:bottom w:val="single" w:sz="4" w:space="0" w:color="auto"/>
            </w:tcBorders>
            <w:vAlign w:val="center"/>
          </w:tcPr>
          <w:p w14:paraId="42A4E32A" w14:textId="77777777" w:rsidR="001D71B5" w:rsidRPr="00026F70" w:rsidRDefault="001D71B5" w:rsidP="001D71B5">
            <w:pPr>
              <w:pStyle w:val="Tabletext"/>
              <w:jc w:val="center"/>
              <w:rPr>
                <w:lang w:val="en-US" w:eastAsia="en-US"/>
              </w:rPr>
            </w:pPr>
            <w:r w:rsidRPr="00026F70">
              <w:t>17 (89.5) (66.</w:t>
            </w:r>
            <w:r>
              <w:t>9</w:t>
            </w:r>
            <w:r w:rsidRPr="00026F70">
              <w:t>, 98.</w:t>
            </w:r>
            <w:r>
              <w:t>7</w:t>
            </w:r>
            <w:r w:rsidRPr="00026F70">
              <w:t>)</w:t>
            </w:r>
          </w:p>
        </w:tc>
        <w:tc>
          <w:tcPr>
            <w:tcW w:w="1323" w:type="dxa"/>
            <w:tcBorders>
              <w:bottom w:val="single" w:sz="4" w:space="0" w:color="auto"/>
            </w:tcBorders>
            <w:vAlign w:val="center"/>
          </w:tcPr>
          <w:p w14:paraId="4AAB8AF0" w14:textId="77777777" w:rsidR="001D71B5" w:rsidRPr="00026F70" w:rsidRDefault="001D71B5" w:rsidP="001D71B5">
            <w:pPr>
              <w:pStyle w:val="Tabletext"/>
              <w:jc w:val="center"/>
              <w:rPr>
                <w:lang w:val="en-US" w:eastAsia="en-US"/>
              </w:rPr>
            </w:pPr>
            <w:r w:rsidRPr="00026F70">
              <w:t xml:space="preserve">3 (100) </w:t>
            </w:r>
            <w:r>
              <w:br/>
            </w:r>
            <w:r w:rsidRPr="00026F70">
              <w:t>(29.2, 100)</w:t>
            </w:r>
          </w:p>
        </w:tc>
      </w:tr>
    </w:tbl>
    <w:p w14:paraId="777AD88A" w14:textId="77777777" w:rsidR="001D71B5" w:rsidRDefault="001D71B5" w:rsidP="001D71B5">
      <w:pPr>
        <w:keepLines/>
        <w:rPr>
          <w:rFonts w:ascii="Arial Narrow" w:hAnsi="Arial Narrow" w:cs="Times New Roman"/>
          <w:color w:val="000000"/>
          <w:sz w:val="18"/>
          <w:szCs w:val="18"/>
        </w:rPr>
      </w:pPr>
      <w:r w:rsidRPr="005B5EC3">
        <w:rPr>
          <w:rFonts w:ascii="Arial Narrow" w:hAnsi="Arial Narrow" w:cs="Times New Roman"/>
          <w:color w:val="000000"/>
          <w:sz w:val="18"/>
          <w:szCs w:val="18"/>
        </w:rPr>
        <w:t xml:space="preserve">Source: Table </w:t>
      </w:r>
      <w:r>
        <w:rPr>
          <w:rFonts w:ascii="Arial Narrow" w:hAnsi="Arial Narrow" w:cs="Times New Roman"/>
          <w:color w:val="000000"/>
          <w:sz w:val="18"/>
          <w:szCs w:val="18"/>
        </w:rPr>
        <w:t>17</w:t>
      </w:r>
      <w:r w:rsidRPr="005B5EC3">
        <w:rPr>
          <w:rFonts w:ascii="Arial Narrow" w:hAnsi="Arial Narrow" w:cs="Times New Roman"/>
          <w:color w:val="000000"/>
          <w:sz w:val="18"/>
          <w:szCs w:val="18"/>
        </w:rPr>
        <w:t>, p</w:t>
      </w:r>
      <w:r>
        <w:rPr>
          <w:rFonts w:ascii="Arial Narrow" w:hAnsi="Arial Narrow" w:cs="Times New Roman"/>
          <w:color w:val="000000"/>
          <w:sz w:val="18"/>
          <w:szCs w:val="18"/>
        </w:rPr>
        <w:t>p40-41</w:t>
      </w:r>
      <w:r w:rsidRPr="005B5EC3">
        <w:rPr>
          <w:rFonts w:ascii="Arial Narrow" w:hAnsi="Arial Narrow" w:cs="Times New Roman"/>
          <w:color w:val="000000"/>
          <w:sz w:val="18"/>
          <w:szCs w:val="18"/>
        </w:rPr>
        <w:t xml:space="preserve"> of the</w:t>
      </w:r>
      <w:r>
        <w:rPr>
          <w:rFonts w:ascii="Arial Narrow" w:hAnsi="Arial Narrow" w:cs="Times New Roman"/>
          <w:color w:val="000000"/>
          <w:sz w:val="18"/>
          <w:szCs w:val="18"/>
        </w:rPr>
        <w:t xml:space="preserve"> re</w:t>
      </w:r>
      <w:r w:rsidRPr="005B5EC3">
        <w:rPr>
          <w:rFonts w:ascii="Arial Narrow" w:hAnsi="Arial Narrow" w:cs="Times New Roman"/>
          <w:color w:val="000000"/>
          <w:sz w:val="18"/>
          <w:szCs w:val="18"/>
        </w:rPr>
        <w:t xml:space="preserve">submission. </w:t>
      </w:r>
    </w:p>
    <w:p w14:paraId="760C8A73" w14:textId="77777777" w:rsidR="00DC155C" w:rsidRPr="00DC155C" w:rsidRDefault="00072AA2" w:rsidP="00DC155C">
      <w:pPr>
        <w:pStyle w:val="3-BodyText"/>
        <w:numPr>
          <w:ilvl w:val="0"/>
          <w:numId w:val="0"/>
        </w:numPr>
        <w:spacing w:before="120"/>
        <w:ind w:left="720" w:hanging="720"/>
        <w:rPr>
          <w:rFonts w:eastAsia="Calibri"/>
        </w:rPr>
      </w:pPr>
      <w:r w:rsidRPr="00DC155C">
        <w:rPr>
          <w:rFonts w:ascii="Arial Narrow" w:hAnsi="Arial Narrow" w:cs="Times New Roman"/>
          <w:color w:val="000000"/>
          <w:sz w:val="18"/>
          <w:szCs w:val="18"/>
        </w:rPr>
        <w:t xml:space="preserve">CI = confidence interval; </w:t>
      </w:r>
      <w:r w:rsidRPr="00DC155C">
        <w:rPr>
          <w:rFonts w:ascii="Arial Narrow" w:eastAsia="Calibri" w:hAnsi="Arial Narrow"/>
          <w:sz w:val="18"/>
          <w:szCs w:val="18"/>
        </w:rPr>
        <w:t>N = total participants in group</w:t>
      </w:r>
      <w:r w:rsidRPr="00DC155C">
        <w:rPr>
          <w:rFonts w:ascii="Arial Narrow" w:hAnsi="Arial Narrow" w:cs="Times New Roman"/>
          <w:color w:val="000000"/>
          <w:sz w:val="18"/>
          <w:szCs w:val="18"/>
        </w:rPr>
        <w:t>; NYHA = New York Heart Association.</w:t>
      </w:r>
    </w:p>
    <w:p w14:paraId="1BFC26AF" w14:textId="6A91CA58" w:rsidR="00C22100" w:rsidRPr="00DC155C" w:rsidRDefault="0056638F" w:rsidP="00DC155C">
      <w:pPr>
        <w:pStyle w:val="3-BodyText"/>
        <w:spacing w:before="120"/>
        <w:rPr>
          <w:rFonts w:eastAsia="Calibri"/>
        </w:rPr>
      </w:pPr>
      <w:r w:rsidRPr="00DC155C">
        <w:rPr>
          <w:rFonts w:eastAsia="Calibri"/>
        </w:rPr>
        <w:t xml:space="preserve">The proportion of patients with improvements in NYHA class increased at each timepoint from Week 48 to Week 156. From Week 132, no patients were classified as NYHA class III or IV and no patients experienced worsening of NYHA class compared with baseline. Noting the reduced sample size over time, the proportion of patients experiencing improvements of ≥ 1 NYHA class increased over time (Week 120: 75.9%, Week 132: 81.4%, Week 144: 89.5%, Week 156: 100%). </w:t>
      </w:r>
      <w:r w:rsidRPr="00DC155C">
        <w:rPr>
          <w:rFonts w:eastAsia="Calibri"/>
          <w:iCs/>
        </w:rPr>
        <w:t>Data for MAVA-LTE are immature; there are only 19 (8.2%) patients informing the analysis at Week 144 and 3 (1.3%) informing the analysis at Week 156.</w:t>
      </w:r>
      <w:r w:rsidR="001D6F3E" w:rsidRPr="00DC155C">
        <w:rPr>
          <w:rFonts w:eastAsia="Calibri"/>
        </w:rPr>
        <w:t xml:space="preserve">  The ESC </w:t>
      </w:r>
      <w:r w:rsidR="004115B6" w:rsidRPr="00DC155C">
        <w:rPr>
          <w:rFonts w:eastAsia="Calibri"/>
        </w:rPr>
        <w:t>considered</w:t>
      </w:r>
      <w:r w:rsidR="001D6F3E" w:rsidRPr="00DC155C">
        <w:rPr>
          <w:rFonts w:eastAsia="Calibri"/>
        </w:rPr>
        <w:t xml:space="preserve"> that this data may have been affected by attrition bias</w:t>
      </w:r>
      <w:r w:rsidR="00B00642" w:rsidRPr="00DC155C">
        <w:rPr>
          <w:rFonts w:eastAsia="Calibri"/>
        </w:rPr>
        <w:t>.</w:t>
      </w:r>
    </w:p>
    <w:p w14:paraId="3364DA72" w14:textId="66A32B46" w:rsidR="005C116B" w:rsidRDefault="0056638F" w:rsidP="005C116B">
      <w:pPr>
        <w:pStyle w:val="3-BodyText"/>
        <w:rPr>
          <w:rFonts w:eastAsia="Calibri"/>
        </w:rPr>
      </w:pPr>
      <w:r w:rsidRPr="0056638F">
        <w:rPr>
          <w:rFonts w:eastAsia="Calibri"/>
        </w:rPr>
        <w:t xml:space="preserve">The resubmission </w:t>
      </w:r>
      <w:proofErr w:type="gramStart"/>
      <w:r w:rsidRPr="0056638F">
        <w:rPr>
          <w:rFonts w:eastAsia="Calibri"/>
        </w:rPr>
        <w:t xml:space="preserve">stated  </w:t>
      </w:r>
      <w:r w:rsidR="00C41F11">
        <w:rPr>
          <w:rFonts w:eastAsia="Calibri"/>
        </w:rPr>
        <w:t>that</w:t>
      </w:r>
      <w:proofErr w:type="gramEnd"/>
      <w:r w:rsidR="00C41F11">
        <w:rPr>
          <w:rFonts w:eastAsia="Calibri"/>
        </w:rPr>
        <w:t xml:space="preserve"> </w:t>
      </w:r>
      <w:r w:rsidRPr="0056638F">
        <w:rPr>
          <w:rFonts w:eastAsia="Calibri"/>
        </w:rPr>
        <w:t xml:space="preserve">the results from EXPLORER-LTE up to Week 156 are consistent with those reported in EXPLORER-HCM. Treatment with mavacamten resulted in sustained improvements in NYHA class from Week 48 to Week 156, suggesting there is no diminishing effect with prolonged treatment. </w:t>
      </w:r>
      <w:r w:rsidRPr="00BF5BC7">
        <w:rPr>
          <w:rFonts w:eastAsia="Calibri"/>
          <w:iCs/>
        </w:rPr>
        <w:t>T</w:t>
      </w:r>
      <w:r w:rsidR="00CD3A5B">
        <w:rPr>
          <w:rFonts w:eastAsia="Calibri"/>
          <w:iCs/>
        </w:rPr>
        <w:t>he evaluation considered that t</w:t>
      </w:r>
      <w:r w:rsidRPr="00BF5BC7">
        <w:rPr>
          <w:rFonts w:eastAsia="Calibri"/>
          <w:iCs/>
        </w:rPr>
        <w:t xml:space="preserve">his </w:t>
      </w:r>
      <w:r w:rsidR="00CD3A5B">
        <w:rPr>
          <w:rFonts w:eastAsia="Calibri"/>
          <w:iCs/>
        </w:rPr>
        <w:t>wa</w:t>
      </w:r>
      <w:r w:rsidRPr="00BF5BC7">
        <w:rPr>
          <w:rFonts w:eastAsia="Calibri"/>
          <w:iCs/>
        </w:rPr>
        <w:t xml:space="preserve">s reasonable given the results up to Week 132; results thereafter reflect </w:t>
      </w:r>
      <w:r w:rsidR="00B00642">
        <w:rPr>
          <w:rFonts w:eastAsia="Calibri"/>
          <w:iCs/>
        </w:rPr>
        <w:t xml:space="preserve">very </w:t>
      </w:r>
      <w:r w:rsidRPr="00BF5BC7">
        <w:rPr>
          <w:rFonts w:eastAsia="Calibri"/>
          <w:iCs/>
        </w:rPr>
        <w:t>small sample sizes and cannot be interpreted with confidence.</w:t>
      </w:r>
    </w:p>
    <w:p w14:paraId="054070A3" w14:textId="3E9B7AB2" w:rsidR="00392890" w:rsidRPr="00F76464" w:rsidRDefault="00A20379" w:rsidP="001F6F06">
      <w:pPr>
        <w:pStyle w:val="3-BodyText"/>
        <w:spacing w:before="120"/>
        <w:rPr>
          <w:rFonts w:eastAsia="Calibri"/>
        </w:rPr>
      </w:pPr>
      <w:r w:rsidRPr="00D1771D">
        <w:rPr>
          <w:rFonts w:eastAsia="Calibri"/>
        </w:rPr>
        <w:lastRenderedPageBreak/>
        <w:t>The primary outcome</w:t>
      </w:r>
      <w:r w:rsidR="00750155" w:rsidRPr="00D1771D">
        <w:rPr>
          <w:rFonts w:eastAsia="Calibri"/>
        </w:rPr>
        <w:t xml:space="preserve"> in VALOR-HCM</w:t>
      </w:r>
      <w:r w:rsidRPr="00D1771D">
        <w:rPr>
          <w:rFonts w:eastAsia="Calibri"/>
        </w:rPr>
        <w:t xml:space="preserve"> was</w:t>
      </w:r>
      <w:r w:rsidR="00750155" w:rsidRPr="00D1771D">
        <w:rPr>
          <w:rFonts w:eastAsia="Calibri"/>
        </w:rPr>
        <w:t xml:space="preserve"> the proportion of</w:t>
      </w:r>
      <w:r w:rsidRPr="00D1771D">
        <w:rPr>
          <w:rFonts w:eastAsia="Calibri"/>
        </w:rPr>
        <w:t xml:space="preserve"> </w:t>
      </w:r>
      <w:r w:rsidR="00750155" w:rsidRPr="00D1771D">
        <w:rPr>
          <w:rFonts w:eastAsia="Calibri"/>
        </w:rPr>
        <w:t xml:space="preserve">patients proceeding with SRT or who remained guideline-eligible </w:t>
      </w:r>
      <w:r w:rsidR="00CF2D2E">
        <w:rPr>
          <w:rFonts w:eastAsia="Calibri"/>
        </w:rPr>
        <w:t xml:space="preserve">for SRT </w:t>
      </w:r>
      <w:r w:rsidR="00750155" w:rsidRPr="00D1771D">
        <w:rPr>
          <w:rFonts w:eastAsia="Calibri"/>
        </w:rPr>
        <w:t>after 16 weeks treatment.</w:t>
      </w:r>
      <w:r w:rsidR="00A85460" w:rsidRPr="00D1771D">
        <w:rPr>
          <w:rFonts w:eastAsia="Calibri"/>
        </w:rPr>
        <w:t xml:space="preserve"> </w:t>
      </w:r>
      <w:r w:rsidR="00A85460" w:rsidRPr="00D1771D">
        <w:t>At Week 16, 76.8% of patients in the placebo group met the primary outcome (need for SRT among eligible patients)</w:t>
      </w:r>
      <w:r w:rsidR="00A61D1E" w:rsidRPr="00D1771D">
        <w:t xml:space="preserve"> compared with </w:t>
      </w:r>
      <w:r w:rsidR="00D85828" w:rsidRPr="00D1771D">
        <w:t xml:space="preserve">17.9% in the mavacamten group. </w:t>
      </w:r>
      <w:r w:rsidR="00D85828" w:rsidRPr="00BF5BC7">
        <w:rPr>
          <w:iCs/>
        </w:rPr>
        <w:t>The mean difference between mavacamten and placebo in the primary SRT composite outcome at Week 16 was 58.9% (95% CI: 44.0% to 73.9%).</w:t>
      </w:r>
      <w:r w:rsidR="00A85460" w:rsidRPr="00D1771D">
        <w:t xml:space="preserve"> </w:t>
      </w:r>
      <w:r w:rsidR="004115B6" w:rsidRPr="00541454">
        <w:rPr>
          <w:iCs/>
        </w:rPr>
        <w:t xml:space="preserve">The ESC noted </w:t>
      </w:r>
      <w:r w:rsidR="00795759" w:rsidRPr="00541454">
        <w:rPr>
          <w:iCs/>
        </w:rPr>
        <w:t xml:space="preserve">that </w:t>
      </w:r>
      <w:r w:rsidR="00630F98" w:rsidRPr="00541454">
        <w:rPr>
          <w:iCs/>
        </w:rPr>
        <w:t>despite</w:t>
      </w:r>
      <w:r w:rsidR="00795759" w:rsidRPr="00541454">
        <w:rPr>
          <w:iCs/>
        </w:rPr>
        <w:t xml:space="preserve"> </w:t>
      </w:r>
      <w:r w:rsidR="00630F98" w:rsidRPr="00541454">
        <w:rPr>
          <w:iCs/>
        </w:rPr>
        <w:t>43 patients (</w:t>
      </w:r>
      <w:r w:rsidR="004115B6" w:rsidRPr="00541454">
        <w:rPr>
          <w:iCs/>
        </w:rPr>
        <w:t>76.8%</w:t>
      </w:r>
      <w:r w:rsidR="00630F98" w:rsidRPr="00541454">
        <w:rPr>
          <w:iCs/>
        </w:rPr>
        <w:t>)</w:t>
      </w:r>
      <w:r w:rsidR="004115B6" w:rsidRPr="00541454">
        <w:rPr>
          <w:iCs/>
        </w:rPr>
        <w:t xml:space="preserve"> in the placebo group </w:t>
      </w:r>
      <w:r w:rsidR="00795759" w:rsidRPr="00541454">
        <w:rPr>
          <w:iCs/>
        </w:rPr>
        <w:t>meeting</w:t>
      </w:r>
      <w:r w:rsidR="004115B6" w:rsidRPr="00541454">
        <w:rPr>
          <w:iCs/>
        </w:rPr>
        <w:t xml:space="preserve"> the primary outcome</w:t>
      </w:r>
      <w:r w:rsidR="00630F98" w:rsidRPr="00541454">
        <w:rPr>
          <w:iCs/>
        </w:rPr>
        <w:t xml:space="preserve"> (</w:t>
      </w:r>
      <w:r w:rsidR="00630F98" w:rsidRPr="00541454">
        <w:rPr>
          <w:rFonts w:cs="Times New Roman"/>
          <w:iCs/>
          <w:szCs w:val="20"/>
        </w:rPr>
        <w:t xml:space="preserve">either through decision to proceed to SRT or remained guideline eligible for SRT) only 2 patients (3.6%) </w:t>
      </w:r>
      <w:r w:rsidR="00A361F9" w:rsidRPr="00541454">
        <w:rPr>
          <w:rFonts w:cs="Times New Roman"/>
          <w:iCs/>
          <w:szCs w:val="20"/>
        </w:rPr>
        <w:t xml:space="preserve">elected to </w:t>
      </w:r>
      <w:r w:rsidR="00630F98" w:rsidRPr="00541454">
        <w:rPr>
          <w:rFonts w:cs="Times New Roman"/>
          <w:iCs/>
          <w:szCs w:val="20"/>
        </w:rPr>
        <w:t>procee</w:t>
      </w:r>
      <w:r w:rsidR="00A361F9" w:rsidRPr="00541454">
        <w:rPr>
          <w:rFonts w:cs="Times New Roman"/>
          <w:iCs/>
          <w:szCs w:val="20"/>
        </w:rPr>
        <w:t>d</w:t>
      </w:r>
      <w:r w:rsidR="00630F98" w:rsidRPr="00541454">
        <w:rPr>
          <w:rFonts w:cs="Times New Roman"/>
          <w:iCs/>
          <w:szCs w:val="20"/>
        </w:rPr>
        <w:t xml:space="preserve"> with </w:t>
      </w:r>
      <w:r w:rsidR="00A361F9" w:rsidRPr="00541454">
        <w:rPr>
          <w:rFonts w:cs="Times New Roman"/>
          <w:iCs/>
          <w:szCs w:val="20"/>
        </w:rPr>
        <w:t>SRT</w:t>
      </w:r>
      <w:r w:rsidR="00630F98" w:rsidRPr="00541454">
        <w:rPr>
          <w:rFonts w:cs="Times New Roman"/>
          <w:iCs/>
          <w:szCs w:val="20"/>
        </w:rPr>
        <w:t>.</w:t>
      </w:r>
    </w:p>
    <w:p w14:paraId="142DDDCE" w14:textId="6C1DDD0F" w:rsidR="00F76464" w:rsidRPr="00F76464" w:rsidRDefault="00224756" w:rsidP="00224756">
      <w:pPr>
        <w:pStyle w:val="3-BodyText"/>
        <w:rPr>
          <w:rFonts w:eastAsia="Calibri"/>
        </w:rPr>
      </w:pPr>
      <w:r>
        <w:rPr>
          <w:rFonts w:eastAsia="Calibri"/>
        </w:rPr>
        <w:t xml:space="preserve">The change in NYHA functional class was a secondary outcome in VALOR-HCM. A </w:t>
      </w:r>
      <w:r w:rsidR="00F76464" w:rsidRPr="00F76464">
        <w:rPr>
          <w:rFonts w:eastAsia="Calibri"/>
        </w:rPr>
        <w:t xml:space="preserve">higher proportion of patients receiving treatment with mavacamten experienced </w:t>
      </w:r>
      <w:r w:rsidR="00CF2D2E">
        <w:rPr>
          <w:rFonts w:eastAsia="Calibri"/>
        </w:rPr>
        <w:t>an</w:t>
      </w:r>
      <w:r w:rsidR="00F76464" w:rsidRPr="00F76464">
        <w:rPr>
          <w:rFonts w:eastAsia="Calibri"/>
        </w:rPr>
        <w:t xml:space="preserve"> improvement </w:t>
      </w:r>
      <w:r w:rsidR="00CF2D2E">
        <w:rPr>
          <w:rFonts w:eastAsia="Calibri"/>
        </w:rPr>
        <w:t xml:space="preserve">of at least 1 class </w:t>
      </w:r>
      <w:r w:rsidR="00F76464" w:rsidRPr="00F76464">
        <w:rPr>
          <w:rFonts w:eastAsia="Calibri"/>
        </w:rPr>
        <w:t>from baseline to Week 16 in NYHA class compared with placebo (62.5% vs 21.4% respectively</w:t>
      </w:r>
      <w:r w:rsidR="00CF2D2E">
        <w:rPr>
          <w:rFonts w:eastAsia="Calibri"/>
        </w:rPr>
        <w:t>;</w:t>
      </w:r>
      <w:r w:rsidR="00F76464" w:rsidRPr="00F76464">
        <w:rPr>
          <w:rFonts w:eastAsia="Calibri"/>
        </w:rPr>
        <w:t xml:space="preserve"> </w:t>
      </w:r>
      <w:r w:rsidR="00F76464" w:rsidRPr="00BF5BC7">
        <w:rPr>
          <w:rFonts w:eastAsia="Calibri"/>
          <w:iCs/>
        </w:rPr>
        <w:t>mean difference of 41.1%; 95% CI, 24.5 to 57.7, p&lt;0.0001)</w:t>
      </w:r>
      <w:r w:rsidR="00F76464" w:rsidRPr="00F76464">
        <w:rPr>
          <w:rFonts w:eastAsia="Calibri"/>
        </w:rPr>
        <w:t>.</w:t>
      </w:r>
      <w:r w:rsidR="00F76464">
        <w:rPr>
          <w:rFonts w:eastAsia="Calibri"/>
        </w:rPr>
        <w:t xml:space="preserve"> </w:t>
      </w:r>
      <w:r w:rsidR="000A5BC3">
        <w:rPr>
          <w:rFonts w:eastAsia="Calibri"/>
        </w:rPr>
        <w:t>T</w:t>
      </w:r>
      <w:r w:rsidR="00F76464" w:rsidRPr="00F76464">
        <w:rPr>
          <w:rFonts w:eastAsia="Calibri"/>
        </w:rPr>
        <w:t>he proportion of patients with an improvement of at least 1 NYHA class from baseline increased to 90.6% by Week 32</w:t>
      </w:r>
      <w:r w:rsidR="000A5BC3">
        <w:rPr>
          <w:rFonts w:eastAsia="Calibri"/>
        </w:rPr>
        <w:t xml:space="preserve"> </w:t>
      </w:r>
      <w:r w:rsidR="000A5BC3">
        <w:t>a</w:t>
      </w:r>
      <w:r w:rsidR="000A5BC3" w:rsidRPr="00B14777">
        <w:t xml:space="preserve">mong patients </w:t>
      </w:r>
      <w:r w:rsidR="000A5BC3">
        <w:t>receiving treatment with mavacamten</w:t>
      </w:r>
      <w:r w:rsidR="000A5BC3">
        <w:rPr>
          <w:rFonts w:eastAsia="Calibri"/>
        </w:rPr>
        <w:t xml:space="preserve"> from </w:t>
      </w:r>
      <w:r w:rsidR="00AD6DB5">
        <w:rPr>
          <w:rFonts w:eastAsia="Calibri"/>
        </w:rPr>
        <w:t>the start of the study</w:t>
      </w:r>
      <w:r w:rsidR="00F76464" w:rsidRPr="00F76464">
        <w:rPr>
          <w:rFonts w:eastAsia="Calibri"/>
        </w:rPr>
        <w:t xml:space="preserve">.  </w:t>
      </w:r>
    </w:p>
    <w:p w14:paraId="3EA2F157" w14:textId="77777777" w:rsidR="00636080" w:rsidRPr="00C9624D" w:rsidRDefault="00636080" w:rsidP="00636080">
      <w:pPr>
        <w:pStyle w:val="4-SubsectionHeading"/>
      </w:pPr>
      <w:bookmarkStart w:id="53" w:name="_Toc22897642"/>
      <w:bookmarkStart w:id="54" w:name="_Toc107927628"/>
      <w:bookmarkStart w:id="55" w:name="_Toc135223328"/>
      <w:r w:rsidRPr="00C9624D">
        <w:t>Comparative harms</w:t>
      </w:r>
      <w:bookmarkEnd w:id="53"/>
      <w:bookmarkEnd w:id="54"/>
      <w:bookmarkEnd w:id="55"/>
    </w:p>
    <w:p w14:paraId="0C1177B7" w14:textId="0889B223" w:rsidR="00636080" w:rsidRPr="005B1C6C" w:rsidRDefault="00CE402A" w:rsidP="005B1C6C">
      <w:pPr>
        <w:pStyle w:val="3-BodyText"/>
        <w:ind w:left="709"/>
      </w:pPr>
      <w:r w:rsidRPr="00D379EA">
        <w:t xml:space="preserve">A summary of the comparative harms associated with </w:t>
      </w:r>
      <w:r w:rsidR="005B1C6C">
        <w:t>mavacamten</w:t>
      </w:r>
      <w:r w:rsidRPr="00D379EA">
        <w:t xml:space="preserve"> versus </w:t>
      </w:r>
      <w:r w:rsidRPr="00394D79">
        <w:rPr>
          <w:iCs/>
        </w:rPr>
        <w:t>placebo</w:t>
      </w:r>
      <w:r w:rsidR="002B4D13">
        <w:rPr>
          <w:iCs/>
        </w:rPr>
        <w:t xml:space="preserve"> from EXPLORER-HCM and MAVA-LTE (EXPLORER-LTE</w:t>
      </w:r>
      <w:r w:rsidR="00BA5783">
        <w:rPr>
          <w:iCs/>
        </w:rPr>
        <w:t xml:space="preserve"> cohort)</w:t>
      </w:r>
      <w:r w:rsidRPr="00394D79">
        <w:rPr>
          <w:iCs/>
        </w:rPr>
        <w:t xml:space="preserve"> </w:t>
      </w:r>
      <w:r w:rsidRPr="00D379EA">
        <w:t xml:space="preserve">is presented in </w:t>
      </w:r>
      <w:r w:rsidR="00BA5783">
        <w:fldChar w:fldCharType="begin"/>
      </w:r>
      <w:r w:rsidR="00BA5783">
        <w:instrText xml:space="preserve"> REF _Ref132240539 \h </w:instrText>
      </w:r>
      <w:r w:rsidR="00BA5783">
        <w:fldChar w:fldCharType="separate"/>
      </w:r>
      <w:r w:rsidR="00F84C70">
        <w:t xml:space="preserve">Table </w:t>
      </w:r>
      <w:r w:rsidR="00F84C70">
        <w:rPr>
          <w:noProof/>
        </w:rPr>
        <w:t>9</w:t>
      </w:r>
      <w:r w:rsidR="00BA5783">
        <w:fldChar w:fldCharType="end"/>
      </w:r>
      <w:r w:rsidRPr="00D379EA">
        <w:t>.</w:t>
      </w:r>
    </w:p>
    <w:p w14:paraId="152A6A8B" w14:textId="6E6058F8" w:rsidR="008D2879" w:rsidRDefault="00636080" w:rsidP="008D2879">
      <w:pPr>
        <w:pStyle w:val="TableFigureHeading"/>
      </w:pPr>
      <w:bookmarkStart w:id="56" w:name="_Ref132240539"/>
      <w:r>
        <w:t xml:space="preserve">Table </w:t>
      </w:r>
      <w:fldSimple w:instr=" SEQ Table \* ARABIC ">
        <w:r w:rsidR="00F84C70">
          <w:rPr>
            <w:noProof/>
          </w:rPr>
          <w:t>9</w:t>
        </w:r>
      </w:fldSimple>
      <w:bookmarkEnd w:id="56"/>
      <w:r>
        <w:t xml:space="preserve">: </w:t>
      </w:r>
      <w:r w:rsidR="008D2879" w:rsidRPr="008774E9">
        <w:t xml:space="preserve">Overall summary of AEs in </w:t>
      </w:r>
      <w:r w:rsidR="0012673C">
        <w:t>EXPLORER-HCM and MAVA-LTE (EXPLORER-LTE cohort)</w:t>
      </w:r>
    </w:p>
    <w:tbl>
      <w:tblPr>
        <w:tblStyle w:val="PBACtable2"/>
        <w:tblW w:w="5000" w:type="pct"/>
        <w:tblLook w:val="04A0" w:firstRow="1" w:lastRow="0" w:firstColumn="1" w:lastColumn="0" w:noHBand="0" w:noVBand="1"/>
      </w:tblPr>
      <w:tblGrid>
        <w:gridCol w:w="3857"/>
        <w:gridCol w:w="1472"/>
        <w:gridCol w:w="1472"/>
        <w:gridCol w:w="2216"/>
      </w:tblGrid>
      <w:tr w:rsidR="008D2879" w:rsidRPr="0040357C" w14:paraId="26502078" w14:textId="77777777" w:rsidTr="002B4D13">
        <w:trPr>
          <w:tblHeader/>
        </w:trPr>
        <w:tc>
          <w:tcPr>
            <w:tcW w:w="2139" w:type="pct"/>
            <w:tcBorders>
              <w:bottom w:val="nil"/>
            </w:tcBorders>
          </w:tcPr>
          <w:p w14:paraId="17461FC7" w14:textId="77777777" w:rsidR="008D2879" w:rsidRPr="00785FBE" w:rsidRDefault="008D2879" w:rsidP="00F774FD">
            <w:pPr>
              <w:pStyle w:val="TableFigureHeading"/>
              <w:keepNext w:val="0"/>
              <w:jc w:val="left"/>
              <w:rPr>
                <w:sz w:val="20"/>
                <w:szCs w:val="20"/>
                <w:lang w:val="en-US"/>
              </w:rPr>
            </w:pPr>
          </w:p>
        </w:tc>
        <w:tc>
          <w:tcPr>
            <w:tcW w:w="1632" w:type="pct"/>
            <w:gridSpan w:val="2"/>
            <w:shd w:val="clear" w:color="auto" w:fill="C6D9F1" w:themeFill="text2" w:themeFillTint="33"/>
          </w:tcPr>
          <w:p w14:paraId="783DE17E" w14:textId="77777777" w:rsidR="008D2879" w:rsidRPr="001B2977" w:rsidRDefault="008D2879" w:rsidP="00F774FD">
            <w:pPr>
              <w:pStyle w:val="TableFigureHeading"/>
              <w:keepNext w:val="0"/>
              <w:jc w:val="center"/>
              <w:rPr>
                <w:sz w:val="20"/>
                <w:lang w:eastAsia="en-AU"/>
              </w:rPr>
            </w:pPr>
            <w:r w:rsidRPr="001B2977">
              <w:rPr>
                <w:sz w:val="20"/>
                <w:lang w:eastAsia="en-AU"/>
              </w:rPr>
              <w:t>EXPLORER-HCM</w:t>
            </w:r>
          </w:p>
        </w:tc>
        <w:tc>
          <w:tcPr>
            <w:tcW w:w="1229" w:type="pct"/>
            <w:tcBorders>
              <w:left w:val="nil"/>
            </w:tcBorders>
          </w:tcPr>
          <w:p w14:paraId="7900948F" w14:textId="77777777" w:rsidR="008D2879" w:rsidRPr="001B2977" w:rsidRDefault="008D2879" w:rsidP="00F774FD">
            <w:pPr>
              <w:pStyle w:val="TableFigureHeading"/>
              <w:keepNext w:val="0"/>
              <w:jc w:val="center"/>
              <w:rPr>
                <w:sz w:val="20"/>
                <w:lang w:eastAsia="en-AU"/>
              </w:rPr>
            </w:pPr>
            <w:r w:rsidRPr="001B2977">
              <w:rPr>
                <w:sz w:val="20"/>
                <w:lang w:eastAsia="en-AU"/>
              </w:rPr>
              <w:t>MAVA-LTE</w:t>
            </w:r>
          </w:p>
        </w:tc>
      </w:tr>
      <w:tr w:rsidR="008D2879" w:rsidRPr="0040357C" w14:paraId="5CD90457" w14:textId="77777777" w:rsidTr="002B4D13">
        <w:trPr>
          <w:tblHeader/>
        </w:trPr>
        <w:tc>
          <w:tcPr>
            <w:tcW w:w="2139" w:type="pct"/>
            <w:tcBorders>
              <w:top w:val="nil"/>
            </w:tcBorders>
          </w:tcPr>
          <w:p w14:paraId="6AFA726F" w14:textId="77777777" w:rsidR="008D2879" w:rsidRPr="00785FBE" w:rsidRDefault="008D2879" w:rsidP="00F774FD">
            <w:pPr>
              <w:pStyle w:val="TableFigureHeading"/>
              <w:keepNext w:val="0"/>
              <w:rPr>
                <w:szCs w:val="20"/>
                <w:lang w:val="en-US"/>
              </w:rPr>
            </w:pPr>
          </w:p>
        </w:tc>
        <w:tc>
          <w:tcPr>
            <w:tcW w:w="816" w:type="pct"/>
            <w:shd w:val="clear" w:color="auto" w:fill="C6D9F1" w:themeFill="text2" w:themeFillTint="33"/>
          </w:tcPr>
          <w:p w14:paraId="2504FA2C" w14:textId="77777777" w:rsidR="008D2879" w:rsidRPr="001B2977" w:rsidRDefault="008D2879" w:rsidP="00F774FD">
            <w:pPr>
              <w:pStyle w:val="TableFigureHeading"/>
              <w:keepNext w:val="0"/>
              <w:jc w:val="center"/>
              <w:rPr>
                <w:sz w:val="20"/>
                <w:lang w:eastAsia="en-AU"/>
              </w:rPr>
            </w:pPr>
            <w:r w:rsidRPr="001B2977">
              <w:rPr>
                <w:sz w:val="20"/>
                <w:lang w:eastAsia="en-AU"/>
              </w:rPr>
              <w:t>Mavacamten</w:t>
            </w:r>
            <w:r w:rsidRPr="001B2977">
              <w:rPr>
                <w:sz w:val="20"/>
                <w:lang w:eastAsia="en-AU"/>
              </w:rPr>
              <w:br/>
              <w:t>(N = 123)</w:t>
            </w:r>
          </w:p>
        </w:tc>
        <w:tc>
          <w:tcPr>
            <w:tcW w:w="816" w:type="pct"/>
            <w:shd w:val="clear" w:color="auto" w:fill="C6D9F1" w:themeFill="text2" w:themeFillTint="33"/>
          </w:tcPr>
          <w:p w14:paraId="4AFE288D" w14:textId="77777777" w:rsidR="008D2879" w:rsidRPr="001B2977" w:rsidRDefault="008D2879" w:rsidP="00F774FD">
            <w:pPr>
              <w:pStyle w:val="TableFigureHeading"/>
              <w:keepNext w:val="0"/>
              <w:jc w:val="center"/>
              <w:rPr>
                <w:sz w:val="20"/>
                <w:lang w:eastAsia="en-AU"/>
              </w:rPr>
            </w:pPr>
            <w:r w:rsidRPr="001B2977">
              <w:rPr>
                <w:sz w:val="20"/>
                <w:lang w:eastAsia="en-AU"/>
              </w:rPr>
              <w:t>Placebo</w:t>
            </w:r>
            <w:r w:rsidRPr="001B2977">
              <w:rPr>
                <w:sz w:val="20"/>
                <w:lang w:eastAsia="en-AU"/>
              </w:rPr>
              <w:br/>
              <w:t>(N = 128)</w:t>
            </w:r>
          </w:p>
        </w:tc>
        <w:tc>
          <w:tcPr>
            <w:tcW w:w="1229" w:type="pct"/>
          </w:tcPr>
          <w:p w14:paraId="13667667" w14:textId="77777777" w:rsidR="008D2879" w:rsidRPr="001B2977" w:rsidRDefault="008D2879" w:rsidP="00F774FD">
            <w:pPr>
              <w:pStyle w:val="TableFigureHeading"/>
              <w:keepNext w:val="0"/>
              <w:jc w:val="center"/>
              <w:rPr>
                <w:sz w:val="20"/>
                <w:lang w:eastAsia="en-AU"/>
              </w:rPr>
            </w:pPr>
            <w:r w:rsidRPr="001B2977">
              <w:rPr>
                <w:sz w:val="20"/>
                <w:lang w:eastAsia="en-AU"/>
              </w:rPr>
              <w:t xml:space="preserve">EXPLORER-LTE cohort </w:t>
            </w:r>
            <w:r w:rsidRPr="001B2977">
              <w:rPr>
                <w:sz w:val="20"/>
                <w:lang w:eastAsia="en-AU"/>
              </w:rPr>
              <w:br/>
              <w:t>(N = 231)</w:t>
            </w:r>
          </w:p>
        </w:tc>
      </w:tr>
      <w:tr w:rsidR="008D2879" w:rsidRPr="0040357C" w14:paraId="71EFFAB4" w14:textId="77777777" w:rsidTr="002B4D13">
        <w:tc>
          <w:tcPr>
            <w:tcW w:w="2139" w:type="pct"/>
          </w:tcPr>
          <w:p w14:paraId="0C885CEB" w14:textId="77777777" w:rsidR="008D2879" w:rsidRPr="0040357C" w:rsidRDefault="008D2879" w:rsidP="00F774FD">
            <w:pPr>
              <w:pStyle w:val="Tabletext"/>
              <w:rPr>
                <w:lang w:val="en-US"/>
              </w:rPr>
            </w:pPr>
            <w:r w:rsidRPr="0040357C">
              <w:rPr>
                <w:lang w:val="en-US"/>
              </w:rPr>
              <w:t>Total Number of TEAEs</w:t>
            </w:r>
          </w:p>
        </w:tc>
        <w:tc>
          <w:tcPr>
            <w:tcW w:w="816" w:type="pct"/>
            <w:shd w:val="clear" w:color="auto" w:fill="C6D9F1" w:themeFill="text2" w:themeFillTint="33"/>
          </w:tcPr>
          <w:p w14:paraId="666158A5" w14:textId="77777777" w:rsidR="008D2879" w:rsidRPr="0040357C" w:rsidRDefault="008D2879" w:rsidP="00F774FD">
            <w:pPr>
              <w:pStyle w:val="Tabletext"/>
              <w:jc w:val="center"/>
              <w:rPr>
                <w:lang w:val="en-US"/>
              </w:rPr>
            </w:pPr>
            <w:r w:rsidRPr="0040357C">
              <w:rPr>
                <w:lang w:val="en-US"/>
              </w:rPr>
              <w:t>536</w:t>
            </w:r>
          </w:p>
        </w:tc>
        <w:tc>
          <w:tcPr>
            <w:tcW w:w="816" w:type="pct"/>
            <w:shd w:val="clear" w:color="auto" w:fill="C6D9F1" w:themeFill="text2" w:themeFillTint="33"/>
          </w:tcPr>
          <w:p w14:paraId="3F929167" w14:textId="77777777" w:rsidR="008D2879" w:rsidRPr="0040357C" w:rsidRDefault="008D2879" w:rsidP="00F774FD">
            <w:pPr>
              <w:pStyle w:val="Tabletext"/>
              <w:jc w:val="center"/>
              <w:rPr>
                <w:lang w:val="en-US"/>
              </w:rPr>
            </w:pPr>
            <w:r w:rsidRPr="0040357C">
              <w:rPr>
                <w:lang w:val="en-US"/>
              </w:rPr>
              <w:t>495</w:t>
            </w:r>
          </w:p>
        </w:tc>
        <w:tc>
          <w:tcPr>
            <w:tcW w:w="1229" w:type="pct"/>
          </w:tcPr>
          <w:p w14:paraId="74E0DFA0" w14:textId="77777777" w:rsidR="008D2879" w:rsidRPr="0040357C" w:rsidRDefault="008D2879" w:rsidP="00F774FD">
            <w:pPr>
              <w:pStyle w:val="Tabletext"/>
              <w:jc w:val="center"/>
              <w:rPr>
                <w:lang w:val="en-US"/>
              </w:rPr>
            </w:pPr>
            <w:r w:rsidRPr="005E5596">
              <w:rPr>
                <w:rFonts w:eastAsia="Times New Roman"/>
                <w:lang w:eastAsia="en-AU"/>
              </w:rPr>
              <w:t>1323</w:t>
            </w:r>
          </w:p>
        </w:tc>
      </w:tr>
      <w:tr w:rsidR="008D2879" w:rsidRPr="0040357C" w14:paraId="36FC5640" w14:textId="77777777" w:rsidTr="002B4D13">
        <w:tc>
          <w:tcPr>
            <w:tcW w:w="2139" w:type="pct"/>
          </w:tcPr>
          <w:p w14:paraId="1E71B5B7" w14:textId="77777777" w:rsidR="008D2879" w:rsidRPr="0040357C" w:rsidRDefault="008D2879" w:rsidP="00F774FD">
            <w:pPr>
              <w:pStyle w:val="Tabletext"/>
              <w:rPr>
                <w:lang w:val="en-US"/>
              </w:rPr>
            </w:pPr>
            <w:r w:rsidRPr="0040357C">
              <w:rPr>
                <w:lang w:val="en-US"/>
              </w:rPr>
              <w:t>Patients with any:</w:t>
            </w:r>
          </w:p>
        </w:tc>
        <w:tc>
          <w:tcPr>
            <w:tcW w:w="816" w:type="pct"/>
            <w:shd w:val="clear" w:color="auto" w:fill="C6D9F1" w:themeFill="text2" w:themeFillTint="33"/>
          </w:tcPr>
          <w:p w14:paraId="0B54FDBB" w14:textId="77777777" w:rsidR="008D2879" w:rsidRPr="0040357C" w:rsidRDefault="008D2879" w:rsidP="00F774FD">
            <w:pPr>
              <w:pStyle w:val="Tabletext"/>
              <w:jc w:val="center"/>
              <w:rPr>
                <w:lang w:val="en-US"/>
              </w:rPr>
            </w:pPr>
          </w:p>
        </w:tc>
        <w:tc>
          <w:tcPr>
            <w:tcW w:w="816" w:type="pct"/>
            <w:shd w:val="clear" w:color="auto" w:fill="C6D9F1" w:themeFill="text2" w:themeFillTint="33"/>
          </w:tcPr>
          <w:p w14:paraId="5696B703" w14:textId="77777777" w:rsidR="008D2879" w:rsidRPr="0040357C" w:rsidRDefault="008D2879" w:rsidP="00F774FD">
            <w:pPr>
              <w:pStyle w:val="Tabletext"/>
              <w:jc w:val="center"/>
              <w:rPr>
                <w:lang w:val="en-US"/>
              </w:rPr>
            </w:pPr>
          </w:p>
        </w:tc>
        <w:tc>
          <w:tcPr>
            <w:tcW w:w="1229" w:type="pct"/>
          </w:tcPr>
          <w:p w14:paraId="6EF7E440" w14:textId="77777777" w:rsidR="008D2879" w:rsidRPr="0040357C" w:rsidRDefault="008D2879" w:rsidP="00F774FD">
            <w:pPr>
              <w:pStyle w:val="Tabletext"/>
              <w:jc w:val="center"/>
              <w:rPr>
                <w:lang w:val="en-US"/>
              </w:rPr>
            </w:pPr>
          </w:p>
        </w:tc>
      </w:tr>
      <w:tr w:rsidR="008D2879" w:rsidRPr="0040357C" w14:paraId="17C0A8E0" w14:textId="77777777" w:rsidTr="002B4D13">
        <w:tc>
          <w:tcPr>
            <w:tcW w:w="2139" w:type="pct"/>
          </w:tcPr>
          <w:p w14:paraId="0985976A" w14:textId="2C31B230" w:rsidR="008D2879" w:rsidRPr="0040357C" w:rsidRDefault="008D2879" w:rsidP="00F774FD">
            <w:pPr>
              <w:pStyle w:val="Tabletext"/>
              <w:ind w:left="177"/>
              <w:rPr>
                <w:lang w:val="en-US"/>
              </w:rPr>
            </w:pPr>
            <w:r w:rsidRPr="0040357C">
              <w:rPr>
                <w:lang w:val="en-US"/>
              </w:rPr>
              <w:t>TEAEs</w:t>
            </w:r>
            <w:r w:rsidR="00024C21">
              <w:rPr>
                <w:lang w:val="en-US"/>
              </w:rPr>
              <w:t>, n (%)</w:t>
            </w:r>
          </w:p>
        </w:tc>
        <w:tc>
          <w:tcPr>
            <w:tcW w:w="816" w:type="pct"/>
            <w:shd w:val="clear" w:color="auto" w:fill="C6D9F1" w:themeFill="text2" w:themeFillTint="33"/>
          </w:tcPr>
          <w:p w14:paraId="650E7FE4" w14:textId="77777777" w:rsidR="008D2879" w:rsidRPr="0040357C" w:rsidRDefault="008D2879" w:rsidP="00F774FD">
            <w:pPr>
              <w:pStyle w:val="Tabletext"/>
              <w:jc w:val="center"/>
              <w:rPr>
                <w:lang w:val="en-US"/>
              </w:rPr>
            </w:pPr>
            <w:r w:rsidRPr="0040357C">
              <w:rPr>
                <w:lang w:val="en-US"/>
              </w:rPr>
              <w:t>108 (87.8)</w:t>
            </w:r>
          </w:p>
        </w:tc>
        <w:tc>
          <w:tcPr>
            <w:tcW w:w="816" w:type="pct"/>
            <w:shd w:val="clear" w:color="auto" w:fill="C6D9F1" w:themeFill="text2" w:themeFillTint="33"/>
          </w:tcPr>
          <w:p w14:paraId="784D4B7B" w14:textId="77777777" w:rsidR="008D2879" w:rsidRPr="0040357C" w:rsidRDefault="008D2879" w:rsidP="00F774FD">
            <w:pPr>
              <w:pStyle w:val="Tabletext"/>
              <w:jc w:val="center"/>
              <w:rPr>
                <w:lang w:val="en-US"/>
              </w:rPr>
            </w:pPr>
            <w:r w:rsidRPr="0040357C">
              <w:rPr>
                <w:lang w:val="en-US"/>
              </w:rPr>
              <w:t>104 (81.3)</w:t>
            </w:r>
          </w:p>
        </w:tc>
        <w:tc>
          <w:tcPr>
            <w:tcW w:w="1229" w:type="pct"/>
          </w:tcPr>
          <w:p w14:paraId="48559EFA" w14:textId="77777777" w:rsidR="008D2879" w:rsidRPr="0040357C" w:rsidRDefault="008D2879" w:rsidP="00F774FD">
            <w:pPr>
              <w:pStyle w:val="Tabletext"/>
              <w:jc w:val="center"/>
              <w:rPr>
                <w:lang w:val="en-US"/>
              </w:rPr>
            </w:pPr>
            <w:r w:rsidRPr="005E5596">
              <w:rPr>
                <w:rFonts w:eastAsia="Times New Roman"/>
                <w:lang w:eastAsia="en-AU"/>
              </w:rPr>
              <w:t>219 (94.8)</w:t>
            </w:r>
          </w:p>
        </w:tc>
      </w:tr>
      <w:tr w:rsidR="008D2879" w:rsidRPr="0040357C" w14:paraId="674714C0" w14:textId="77777777" w:rsidTr="002B4D13">
        <w:tc>
          <w:tcPr>
            <w:tcW w:w="2139" w:type="pct"/>
          </w:tcPr>
          <w:p w14:paraId="551B5ADD" w14:textId="77777777" w:rsidR="008D2879" w:rsidRPr="0040357C" w:rsidRDefault="008D2879" w:rsidP="00F774FD">
            <w:pPr>
              <w:pStyle w:val="Tabletext"/>
              <w:ind w:left="177"/>
              <w:rPr>
                <w:lang w:val="en-US"/>
              </w:rPr>
            </w:pPr>
            <w:r w:rsidRPr="0040357C">
              <w:rPr>
                <w:lang w:val="en-US"/>
              </w:rPr>
              <w:t>Serious TEAEs</w:t>
            </w:r>
          </w:p>
        </w:tc>
        <w:tc>
          <w:tcPr>
            <w:tcW w:w="816" w:type="pct"/>
            <w:shd w:val="clear" w:color="auto" w:fill="C6D9F1" w:themeFill="text2" w:themeFillTint="33"/>
          </w:tcPr>
          <w:p w14:paraId="1579A0B0" w14:textId="77777777" w:rsidR="008D2879" w:rsidRPr="0040357C" w:rsidRDefault="008D2879" w:rsidP="00F774FD">
            <w:pPr>
              <w:pStyle w:val="Tabletext"/>
              <w:jc w:val="center"/>
              <w:rPr>
                <w:lang w:val="en-US"/>
              </w:rPr>
            </w:pPr>
            <w:r w:rsidRPr="0040357C">
              <w:rPr>
                <w:lang w:val="en-US"/>
              </w:rPr>
              <w:t>14 (11.4)</w:t>
            </w:r>
          </w:p>
        </w:tc>
        <w:tc>
          <w:tcPr>
            <w:tcW w:w="816" w:type="pct"/>
            <w:shd w:val="clear" w:color="auto" w:fill="C6D9F1" w:themeFill="text2" w:themeFillTint="33"/>
          </w:tcPr>
          <w:p w14:paraId="76162F97" w14:textId="77777777" w:rsidR="008D2879" w:rsidRPr="0040357C" w:rsidRDefault="008D2879" w:rsidP="00F774FD">
            <w:pPr>
              <w:pStyle w:val="Tabletext"/>
              <w:jc w:val="center"/>
              <w:rPr>
                <w:lang w:val="en-US"/>
              </w:rPr>
            </w:pPr>
            <w:r w:rsidRPr="0040357C">
              <w:rPr>
                <w:lang w:val="en-US"/>
              </w:rPr>
              <w:t>12 (9.4)</w:t>
            </w:r>
          </w:p>
        </w:tc>
        <w:tc>
          <w:tcPr>
            <w:tcW w:w="1229" w:type="pct"/>
          </w:tcPr>
          <w:p w14:paraId="4C2CA1C6" w14:textId="77777777" w:rsidR="008D2879" w:rsidRPr="00551AB9" w:rsidRDefault="008D2879" w:rsidP="00F774FD">
            <w:pPr>
              <w:pStyle w:val="Tabletext"/>
              <w:jc w:val="center"/>
              <w:rPr>
                <w:highlight w:val="yellow"/>
                <w:lang w:val="en-US"/>
              </w:rPr>
            </w:pPr>
            <w:r w:rsidRPr="00CF2D2E">
              <w:rPr>
                <w:lang w:val="en-US"/>
              </w:rPr>
              <w:t>[NR]</w:t>
            </w:r>
          </w:p>
        </w:tc>
      </w:tr>
      <w:tr w:rsidR="008D2879" w:rsidRPr="0040357C" w14:paraId="66E6EB01" w14:textId="77777777" w:rsidTr="002B4D13">
        <w:tc>
          <w:tcPr>
            <w:tcW w:w="2139" w:type="pct"/>
          </w:tcPr>
          <w:p w14:paraId="2CF3F234" w14:textId="77777777" w:rsidR="008D2879" w:rsidRPr="0040357C" w:rsidRDefault="008D2879" w:rsidP="00F774FD">
            <w:pPr>
              <w:pStyle w:val="Tabletext"/>
              <w:ind w:left="177"/>
              <w:rPr>
                <w:lang w:val="en-US"/>
              </w:rPr>
            </w:pPr>
            <w:r>
              <w:rPr>
                <w:lang w:val="en-US"/>
              </w:rPr>
              <w:t>D</w:t>
            </w:r>
            <w:r w:rsidRPr="0040357C">
              <w:rPr>
                <w:lang w:val="en-US"/>
              </w:rPr>
              <w:t>rug-</w:t>
            </w:r>
            <w:r>
              <w:rPr>
                <w:lang w:val="en-US"/>
              </w:rPr>
              <w:t>r</w:t>
            </w:r>
            <w:r w:rsidRPr="0040357C">
              <w:rPr>
                <w:lang w:val="en-US"/>
              </w:rPr>
              <w:t>elated TEAEs</w:t>
            </w:r>
          </w:p>
        </w:tc>
        <w:tc>
          <w:tcPr>
            <w:tcW w:w="816" w:type="pct"/>
            <w:shd w:val="clear" w:color="auto" w:fill="C6D9F1" w:themeFill="text2" w:themeFillTint="33"/>
          </w:tcPr>
          <w:p w14:paraId="259F7050" w14:textId="77777777" w:rsidR="008D2879" w:rsidRPr="0040357C" w:rsidRDefault="008D2879" w:rsidP="00F774FD">
            <w:pPr>
              <w:pStyle w:val="Tabletext"/>
              <w:jc w:val="center"/>
              <w:rPr>
                <w:lang w:val="en-US"/>
              </w:rPr>
            </w:pPr>
            <w:r w:rsidRPr="0040357C">
              <w:rPr>
                <w:lang w:val="en-US"/>
              </w:rPr>
              <w:t>19 (15.4)</w:t>
            </w:r>
          </w:p>
        </w:tc>
        <w:tc>
          <w:tcPr>
            <w:tcW w:w="816" w:type="pct"/>
            <w:shd w:val="clear" w:color="auto" w:fill="C6D9F1" w:themeFill="text2" w:themeFillTint="33"/>
          </w:tcPr>
          <w:p w14:paraId="70A4621C" w14:textId="77777777" w:rsidR="008D2879" w:rsidRPr="0040357C" w:rsidRDefault="008D2879" w:rsidP="00F774FD">
            <w:pPr>
              <w:pStyle w:val="Tabletext"/>
              <w:jc w:val="center"/>
              <w:rPr>
                <w:lang w:val="en-US"/>
              </w:rPr>
            </w:pPr>
            <w:r w:rsidRPr="0040357C">
              <w:rPr>
                <w:lang w:val="en-US"/>
              </w:rPr>
              <w:t>18 (14.1)</w:t>
            </w:r>
          </w:p>
        </w:tc>
        <w:tc>
          <w:tcPr>
            <w:tcW w:w="1229" w:type="pct"/>
          </w:tcPr>
          <w:p w14:paraId="6D54BD16" w14:textId="77777777" w:rsidR="008D2879" w:rsidRPr="0040357C" w:rsidRDefault="008D2879" w:rsidP="00F774FD">
            <w:pPr>
              <w:pStyle w:val="Tabletext"/>
              <w:jc w:val="center"/>
              <w:rPr>
                <w:lang w:val="en-US"/>
              </w:rPr>
            </w:pPr>
            <w:r w:rsidRPr="005E5596">
              <w:rPr>
                <w:rFonts w:eastAsia="Times New Roman"/>
                <w:lang w:eastAsia="en-AU"/>
              </w:rPr>
              <w:t>45 (19.5)</w:t>
            </w:r>
          </w:p>
        </w:tc>
      </w:tr>
      <w:tr w:rsidR="008D2879" w:rsidRPr="0040357C" w14:paraId="2789D842" w14:textId="77777777" w:rsidTr="002B4D13">
        <w:tc>
          <w:tcPr>
            <w:tcW w:w="2139" w:type="pct"/>
          </w:tcPr>
          <w:p w14:paraId="43D26280" w14:textId="77777777" w:rsidR="008D2879" w:rsidRPr="0040357C" w:rsidRDefault="008D2879" w:rsidP="00F774FD">
            <w:pPr>
              <w:pStyle w:val="Tabletext"/>
              <w:ind w:left="177"/>
              <w:rPr>
                <w:lang w:val="en-US"/>
              </w:rPr>
            </w:pPr>
            <w:r>
              <w:rPr>
                <w:lang w:val="en-US"/>
              </w:rPr>
              <w:t>D</w:t>
            </w:r>
            <w:r w:rsidRPr="0040357C">
              <w:rPr>
                <w:lang w:val="en-US"/>
              </w:rPr>
              <w:t>rug-</w:t>
            </w:r>
            <w:r>
              <w:rPr>
                <w:lang w:val="en-US"/>
              </w:rPr>
              <w:t>r</w:t>
            </w:r>
            <w:r w:rsidRPr="0040357C">
              <w:rPr>
                <w:lang w:val="en-US"/>
              </w:rPr>
              <w:t xml:space="preserve">elated </w:t>
            </w:r>
            <w:r>
              <w:rPr>
                <w:lang w:val="en-US"/>
              </w:rPr>
              <w:t>s</w:t>
            </w:r>
            <w:r w:rsidRPr="0040357C">
              <w:rPr>
                <w:lang w:val="en-US"/>
              </w:rPr>
              <w:t>erious TEAEs</w:t>
            </w:r>
          </w:p>
        </w:tc>
        <w:tc>
          <w:tcPr>
            <w:tcW w:w="816" w:type="pct"/>
            <w:shd w:val="clear" w:color="auto" w:fill="C6D9F1" w:themeFill="text2" w:themeFillTint="33"/>
          </w:tcPr>
          <w:p w14:paraId="791999DE" w14:textId="77777777" w:rsidR="008D2879" w:rsidRPr="0040357C" w:rsidRDefault="008D2879" w:rsidP="00F774FD">
            <w:pPr>
              <w:pStyle w:val="Tabletext"/>
              <w:jc w:val="center"/>
              <w:rPr>
                <w:lang w:val="en-US"/>
              </w:rPr>
            </w:pPr>
            <w:r w:rsidRPr="0040357C">
              <w:rPr>
                <w:lang w:val="en-US"/>
              </w:rPr>
              <w:t>0</w:t>
            </w:r>
          </w:p>
        </w:tc>
        <w:tc>
          <w:tcPr>
            <w:tcW w:w="816" w:type="pct"/>
            <w:shd w:val="clear" w:color="auto" w:fill="C6D9F1" w:themeFill="text2" w:themeFillTint="33"/>
          </w:tcPr>
          <w:p w14:paraId="6630E3E4" w14:textId="77777777" w:rsidR="008D2879" w:rsidRPr="0040357C" w:rsidRDefault="008D2879" w:rsidP="00F774FD">
            <w:pPr>
              <w:pStyle w:val="Tabletext"/>
              <w:jc w:val="center"/>
              <w:rPr>
                <w:lang w:val="en-US"/>
              </w:rPr>
            </w:pPr>
            <w:r w:rsidRPr="0040357C">
              <w:rPr>
                <w:lang w:val="en-US"/>
              </w:rPr>
              <w:t>1 (0.8)</w:t>
            </w:r>
          </w:p>
        </w:tc>
        <w:tc>
          <w:tcPr>
            <w:tcW w:w="1229" w:type="pct"/>
          </w:tcPr>
          <w:p w14:paraId="7CA3809C" w14:textId="77777777" w:rsidR="008D2879" w:rsidRPr="0040357C" w:rsidRDefault="008D2879" w:rsidP="00F774FD">
            <w:pPr>
              <w:pStyle w:val="Tabletext"/>
              <w:jc w:val="center"/>
              <w:rPr>
                <w:lang w:val="en-US"/>
              </w:rPr>
            </w:pPr>
            <w:r w:rsidRPr="005E5596">
              <w:rPr>
                <w:rFonts w:eastAsia="Times New Roman"/>
                <w:lang w:eastAsia="en-AU"/>
              </w:rPr>
              <w:t>6 (2.6)</w:t>
            </w:r>
          </w:p>
        </w:tc>
      </w:tr>
      <w:tr w:rsidR="008D2879" w:rsidRPr="0040357C" w14:paraId="480269EC" w14:textId="77777777" w:rsidTr="002B4D13">
        <w:tc>
          <w:tcPr>
            <w:tcW w:w="2139" w:type="pct"/>
          </w:tcPr>
          <w:p w14:paraId="6E3A31EB" w14:textId="77777777" w:rsidR="008D2879" w:rsidRPr="0040357C" w:rsidRDefault="008D2879" w:rsidP="00F774FD">
            <w:pPr>
              <w:pStyle w:val="Tabletext"/>
              <w:ind w:left="177"/>
              <w:rPr>
                <w:lang w:val="en-US"/>
              </w:rPr>
            </w:pPr>
            <w:r w:rsidRPr="0040357C">
              <w:rPr>
                <w:lang w:val="en-US"/>
              </w:rPr>
              <w:t xml:space="preserve">Treatment </w:t>
            </w:r>
            <w:r>
              <w:rPr>
                <w:lang w:val="en-US"/>
              </w:rPr>
              <w:t>i</w:t>
            </w:r>
            <w:r w:rsidRPr="0040357C">
              <w:rPr>
                <w:lang w:val="en-US"/>
              </w:rPr>
              <w:t>nterruption due to TEAEs</w:t>
            </w:r>
          </w:p>
        </w:tc>
        <w:tc>
          <w:tcPr>
            <w:tcW w:w="816" w:type="pct"/>
            <w:shd w:val="clear" w:color="auto" w:fill="C6D9F1" w:themeFill="text2" w:themeFillTint="33"/>
          </w:tcPr>
          <w:p w14:paraId="4999EB53" w14:textId="77777777" w:rsidR="008D2879" w:rsidRPr="0040357C" w:rsidRDefault="008D2879" w:rsidP="00F774FD">
            <w:pPr>
              <w:pStyle w:val="Tabletext"/>
              <w:jc w:val="center"/>
              <w:rPr>
                <w:lang w:val="en-US"/>
              </w:rPr>
            </w:pPr>
            <w:r w:rsidRPr="0040357C">
              <w:rPr>
                <w:lang w:val="en-US"/>
              </w:rPr>
              <w:t>3 (2.4)</w:t>
            </w:r>
          </w:p>
        </w:tc>
        <w:tc>
          <w:tcPr>
            <w:tcW w:w="816" w:type="pct"/>
            <w:shd w:val="clear" w:color="auto" w:fill="C6D9F1" w:themeFill="text2" w:themeFillTint="33"/>
          </w:tcPr>
          <w:p w14:paraId="30E598CF" w14:textId="77777777" w:rsidR="008D2879" w:rsidRPr="0040357C" w:rsidRDefault="008D2879" w:rsidP="00F774FD">
            <w:pPr>
              <w:pStyle w:val="Tabletext"/>
              <w:jc w:val="center"/>
              <w:rPr>
                <w:lang w:val="en-US"/>
              </w:rPr>
            </w:pPr>
            <w:r w:rsidRPr="0040357C">
              <w:rPr>
                <w:lang w:val="en-US"/>
              </w:rPr>
              <w:t>6 (4.7)</w:t>
            </w:r>
          </w:p>
        </w:tc>
        <w:tc>
          <w:tcPr>
            <w:tcW w:w="1229" w:type="pct"/>
          </w:tcPr>
          <w:p w14:paraId="732405E0" w14:textId="77777777" w:rsidR="008D2879" w:rsidRPr="0040357C" w:rsidRDefault="008D2879" w:rsidP="00F774FD">
            <w:pPr>
              <w:pStyle w:val="Tabletext"/>
              <w:jc w:val="center"/>
              <w:rPr>
                <w:lang w:val="en-US"/>
              </w:rPr>
            </w:pPr>
            <w:r w:rsidRPr="005E5596">
              <w:rPr>
                <w:rFonts w:eastAsia="Times New Roman"/>
                <w:lang w:eastAsia="en-AU"/>
              </w:rPr>
              <w:t>20 (8.7)</w:t>
            </w:r>
          </w:p>
        </w:tc>
      </w:tr>
      <w:tr w:rsidR="008D2879" w:rsidRPr="0040357C" w14:paraId="1A545C5F" w14:textId="77777777" w:rsidTr="002B4D13">
        <w:tc>
          <w:tcPr>
            <w:tcW w:w="2139" w:type="pct"/>
          </w:tcPr>
          <w:p w14:paraId="1FA64CD7" w14:textId="4A91A961" w:rsidR="008D2879" w:rsidRPr="0040357C" w:rsidRDefault="008D2879" w:rsidP="00F774FD">
            <w:pPr>
              <w:pStyle w:val="Tabletext"/>
              <w:ind w:left="177"/>
              <w:rPr>
                <w:lang w:val="en-US"/>
              </w:rPr>
            </w:pPr>
            <w:r w:rsidRPr="0040357C">
              <w:rPr>
                <w:lang w:val="en-US"/>
              </w:rPr>
              <w:t xml:space="preserve">Treatment </w:t>
            </w:r>
            <w:r>
              <w:rPr>
                <w:lang w:val="en-US"/>
              </w:rPr>
              <w:t>d</w:t>
            </w:r>
            <w:r w:rsidRPr="0040357C">
              <w:rPr>
                <w:lang w:val="en-US"/>
              </w:rPr>
              <w:t>iscontinuation due to TEAEs</w:t>
            </w:r>
            <w:r w:rsidRPr="0040357C">
              <w:rPr>
                <w:position w:val="-1"/>
                <w:vertAlign w:val="superscript"/>
                <w:lang w:val="en-US"/>
              </w:rPr>
              <w:fldChar w:fldCharType="begin"/>
            </w:r>
            <w:r w:rsidRPr="0040357C">
              <w:rPr>
                <w:position w:val="-1"/>
                <w:vertAlign w:val="superscript"/>
                <w:lang w:val="en-US"/>
              </w:rPr>
              <w:instrText xml:space="preserve"> SEQ SeqTableNote \* alphabetic \* MERGEFORMAT \r1</w:instrText>
            </w:r>
            <w:r w:rsidRPr="0040357C">
              <w:rPr>
                <w:position w:val="-1"/>
                <w:vertAlign w:val="superscript"/>
                <w:lang w:val="en-US"/>
              </w:rPr>
              <w:fldChar w:fldCharType="separate"/>
            </w:r>
            <w:r w:rsidR="00F84C70">
              <w:rPr>
                <w:noProof/>
                <w:position w:val="-1"/>
                <w:vertAlign w:val="superscript"/>
                <w:lang w:val="en-US"/>
              </w:rPr>
              <w:t>a</w:t>
            </w:r>
            <w:r w:rsidRPr="0040357C">
              <w:rPr>
                <w:position w:val="-1"/>
                <w:vertAlign w:val="superscript"/>
                <w:lang w:val="en-US"/>
              </w:rPr>
              <w:fldChar w:fldCharType="end"/>
            </w:r>
          </w:p>
        </w:tc>
        <w:tc>
          <w:tcPr>
            <w:tcW w:w="816" w:type="pct"/>
            <w:shd w:val="clear" w:color="auto" w:fill="C6D9F1" w:themeFill="text2" w:themeFillTint="33"/>
          </w:tcPr>
          <w:p w14:paraId="49DEA03B" w14:textId="77777777" w:rsidR="008D2879" w:rsidRPr="0040357C" w:rsidRDefault="008D2879" w:rsidP="00F774FD">
            <w:pPr>
              <w:pStyle w:val="Tabletext"/>
              <w:jc w:val="center"/>
              <w:rPr>
                <w:lang w:val="en-US"/>
              </w:rPr>
            </w:pPr>
            <w:r w:rsidRPr="0040357C">
              <w:rPr>
                <w:lang w:val="en-US"/>
              </w:rPr>
              <w:t>2 (1.6)</w:t>
            </w:r>
          </w:p>
        </w:tc>
        <w:tc>
          <w:tcPr>
            <w:tcW w:w="816" w:type="pct"/>
            <w:shd w:val="clear" w:color="auto" w:fill="C6D9F1" w:themeFill="text2" w:themeFillTint="33"/>
          </w:tcPr>
          <w:p w14:paraId="7CB5E640" w14:textId="77777777" w:rsidR="008D2879" w:rsidRPr="0040357C" w:rsidRDefault="008D2879" w:rsidP="00F774FD">
            <w:pPr>
              <w:pStyle w:val="Tabletext"/>
              <w:jc w:val="center"/>
              <w:rPr>
                <w:lang w:val="en-US"/>
              </w:rPr>
            </w:pPr>
            <w:r w:rsidRPr="0040357C">
              <w:rPr>
                <w:lang w:val="en-US"/>
              </w:rPr>
              <w:t>0</w:t>
            </w:r>
          </w:p>
        </w:tc>
        <w:tc>
          <w:tcPr>
            <w:tcW w:w="1229" w:type="pct"/>
          </w:tcPr>
          <w:p w14:paraId="694F17E3" w14:textId="77777777" w:rsidR="008D2879" w:rsidRPr="0040357C" w:rsidRDefault="008D2879" w:rsidP="00F774FD">
            <w:pPr>
              <w:pStyle w:val="Tabletext"/>
              <w:jc w:val="center"/>
              <w:rPr>
                <w:lang w:val="en-US"/>
              </w:rPr>
            </w:pPr>
            <w:r w:rsidRPr="005E5596">
              <w:rPr>
                <w:rFonts w:eastAsia="Times New Roman"/>
                <w:lang w:eastAsia="en-AU"/>
              </w:rPr>
              <w:t>11 (4.8)</w:t>
            </w:r>
          </w:p>
        </w:tc>
      </w:tr>
      <w:tr w:rsidR="008D2879" w:rsidRPr="0040357C" w14:paraId="33609A6E" w14:textId="77777777" w:rsidTr="002B4D13">
        <w:tc>
          <w:tcPr>
            <w:tcW w:w="2139" w:type="pct"/>
          </w:tcPr>
          <w:p w14:paraId="31687A7C" w14:textId="77777777" w:rsidR="008D2879" w:rsidRPr="0040357C" w:rsidRDefault="008D2879" w:rsidP="00F774FD">
            <w:pPr>
              <w:pStyle w:val="Tabletext"/>
              <w:ind w:left="177"/>
              <w:rPr>
                <w:lang w:val="en-US"/>
              </w:rPr>
            </w:pPr>
            <w:r w:rsidRPr="0040357C">
              <w:rPr>
                <w:lang w:val="en-US"/>
              </w:rPr>
              <w:t xml:space="preserve">Study </w:t>
            </w:r>
            <w:r>
              <w:rPr>
                <w:lang w:val="en-US"/>
              </w:rPr>
              <w:t>d</w:t>
            </w:r>
            <w:r w:rsidRPr="0040357C">
              <w:rPr>
                <w:lang w:val="en-US"/>
              </w:rPr>
              <w:t>iscontinuation due to TEAEs</w:t>
            </w:r>
          </w:p>
        </w:tc>
        <w:tc>
          <w:tcPr>
            <w:tcW w:w="816" w:type="pct"/>
            <w:shd w:val="clear" w:color="auto" w:fill="C6D9F1" w:themeFill="text2" w:themeFillTint="33"/>
          </w:tcPr>
          <w:p w14:paraId="102FB5F3" w14:textId="77777777" w:rsidR="008D2879" w:rsidRPr="0040357C" w:rsidRDefault="008D2879" w:rsidP="00F774FD">
            <w:pPr>
              <w:pStyle w:val="Tabletext"/>
              <w:jc w:val="center"/>
              <w:rPr>
                <w:lang w:val="en-US"/>
              </w:rPr>
            </w:pPr>
            <w:r w:rsidRPr="0040357C">
              <w:rPr>
                <w:lang w:val="en-US"/>
              </w:rPr>
              <w:t>2 (1.6)</w:t>
            </w:r>
          </w:p>
        </w:tc>
        <w:tc>
          <w:tcPr>
            <w:tcW w:w="816" w:type="pct"/>
            <w:shd w:val="clear" w:color="auto" w:fill="C6D9F1" w:themeFill="text2" w:themeFillTint="33"/>
          </w:tcPr>
          <w:p w14:paraId="1163E905" w14:textId="77777777" w:rsidR="008D2879" w:rsidRPr="0040357C" w:rsidRDefault="008D2879" w:rsidP="00F774FD">
            <w:pPr>
              <w:pStyle w:val="Tabletext"/>
              <w:jc w:val="center"/>
              <w:rPr>
                <w:lang w:val="en-US"/>
              </w:rPr>
            </w:pPr>
            <w:r w:rsidRPr="0040357C">
              <w:rPr>
                <w:lang w:val="en-US"/>
              </w:rPr>
              <w:t>1 (0.8)</w:t>
            </w:r>
          </w:p>
        </w:tc>
        <w:tc>
          <w:tcPr>
            <w:tcW w:w="1229" w:type="pct"/>
          </w:tcPr>
          <w:p w14:paraId="40EF3211" w14:textId="77777777" w:rsidR="008D2879" w:rsidRPr="0040357C" w:rsidRDefault="008D2879" w:rsidP="00F774FD">
            <w:pPr>
              <w:pStyle w:val="Tabletext"/>
              <w:jc w:val="center"/>
              <w:rPr>
                <w:lang w:val="en-US"/>
              </w:rPr>
            </w:pPr>
            <w:r w:rsidRPr="005E5596">
              <w:rPr>
                <w:rFonts w:eastAsia="Times New Roman"/>
                <w:lang w:eastAsia="en-AU"/>
              </w:rPr>
              <w:t>8 (3.5)</w:t>
            </w:r>
          </w:p>
        </w:tc>
      </w:tr>
      <w:tr w:rsidR="008D2879" w:rsidRPr="0040357C" w14:paraId="0DC28CDB" w14:textId="77777777" w:rsidTr="002B4D13">
        <w:tc>
          <w:tcPr>
            <w:tcW w:w="2139" w:type="pct"/>
          </w:tcPr>
          <w:p w14:paraId="1C114927" w14:textId="77777777" w:rsidR="008D2879" w:rsidRPr="0040357C" w:rsidRDefault="008D2879" w:rsidP="00F774FD">
            <w:pPr>
              <w:pStyle w:val="Tabletext"/>
              <w:ind w:left="177"/>
              <w:rPr>
                <w:lang w:val="en-US"/>
              </w:rPr>
            </w:pPr>
            <w:r w:rsidRPr="0040357C">
              <w:rPr>
                <w:lang w:val="en-US"/>
              </w:rPr>
              <w:t xml:space="preserve">TEAEs </w:t>
            </w:r>
            <w:r>
              <w:rPr>
                <w:lang w:val="en-US"/>
              </w:rPr>
              <w:t>l</w:t>
            </w:r>
            <w:r w:rsidRPr="0040357C">
              <w:rPr>
                <w:lang w:val="en-US"/>
              </w:rPr>
              <w:t xml:space="preserve">eading to </w:t>
            </w:r>
            <w:r>
              <w:rPr>
                <w:lang w:val="en-US"/>
              </w:rPr>
              <w:t>d</w:t>
            </w:r>
            <w:r w:rsidRPr="0040357C">
              <w:rPr>
                <w:lang w:val="en-US"/>
              </w:rPr>
              <w:t>eath</w:t>
            </w:r>
          </w:p>
        </w:tc>
        <w:tc>
          <w:tcPr>
            <w:tcW w:w="816" w:type="pct"/>
            <w:shd w:val="clear" w:color="auto" w:fill="C6D9F1" w:themeFill="text2" w:themeFillTint="33"/>
          </w:tcPr>
          <w:p w14:paraId="5E3012D1" w14:textId="77777777" w:rsidR="008D2879" w:rsidRPr="0040357C" w:rsidRDefault="008D2879" w:rsidP="00F774FD">
            <w:pPr>
              <w:pStyle w:val="Tabletext"/>
              <w:jc w:val="center"/>
              <w:rPr>
                <w:lang w:val="en-US"/>
              </w:rPr>
            </w:pPr>
            <w:r w:rsidRPr="0040357C">
              <w:rPr>
                <w:lang w:val="en-US"/>
              </w:rPr>
              <w:t>0</w:t>
            </w:r>
          </w:p>
        </w:tc>
        <w:tc>
          <w:tcPr>
            <w:tcW w:w="816" w:type="pct"/>
            <w:shd w:val="clear" w:color="auto" w:fill="C6D9F1" w:themeFill="text2" w:themeFillTint="33"/>
          </w:tcPr>
          <w:p w14:paraId="754EB7DC" w14:textId="77777777" w:rsidR="008D2879" w:rsidRPr="0040357C" w:rsidRDefault="008D2879" w:rsidP="00F774FD">
            <w:pPr>
              <w:pStyle w:val="Tabletext"/>
              <w:jc w:val="center"/>
              <w:rPr>
                <w:lang w:val="en-US"/>
              </w:rPr>
            </w:pPr>
            <w:r w:rsidRPr="0040357C">
              <w:rPr>
                <w:lang w:val="en-US"/>
              </w:rPr>
              <w:t>1 (0.8)</w:t>
            </w:r>
          </w:p>
        </w:tc>
        <w:tc>
          <w:tcPr>
            <w:tcW w:w="1229" w:type="pct"/>
          </w:tcPr>
          <w:p w14:paraId="67F06E40" w14:textId="77777777" w:rsidR="008D2879" w:rsidRPr="0040357C" w:rsidRDefault="008D2879" w:rsidP="00F774FD">
            <w:pPr>
              <w:pStyle w:val="Tabletext"/>
              <w:jc w:val="center"/>
              <w:rPr>
                <w:lang w:val="en-US"/>
              </w:rPr>
            </w:pPr>
            <w:r w:rsidRPr="005E5596">
              <w:rPr>
                <w:rFonts w:eastAsia="Times New Roman"/>
                <w:lang w:eastAsia="en-AU"/>
              </w:rPr>
              <w:t>4 (1.7)</w:t>
            </w:r>
          </w:p>
        </w:tc>
      </w:tr>
    </w:tbl>
    <w:p w14:paraId="7BA26DD8" w14:textId="77777777" w:rsidR="008D2879" w:rsidRDefault="008D2879" w:rsidP="008D2879">
      <w:pPr>
        <w:pStyle w:val="FooterTableFigure"/>
      </w:pPr>
      <w:r>
        <w:t xml:space="preserve">Source: Table 61, p127 of the November 2022 submission; Table 19 p43, of the resubmission. </w:t>
      </w:r>
    </w:p>
    <w:p w14:paraId="215CF1D4" w14:textId="77777777" w:rsidR="001B29E4" w:rsidRDefault="001B29E4" w:rsidP="00117DDB">
      <w:pPr>
        <w:pStyle w:val="FooterTableFigure"/>
        <w:rPr>
          <w:szCs w:val="24"/>
        </w:rPr>
      </w:pPr>
      <w:r w:rsidRPr="0058182C">
        <w:rPr>
          <w:szCs w:val="24"/>
        </w:rPr>
        <w:t>AE = adverse event</w:t>
      </w:r>
      <w:r>
        <w:rPr>
          <w:szCs w:val="24"/>
        </w:rPr>
        <w:t>;</w:t>
      </w:r>
      <w:r w:rsidRPr="0058182C">
        <w:rPr>
          <w:szCs w:val="24"/>
        </w:rPr>
        <w:t xml:space="preserve"> CV = cardiovascular</w:t>
      </w:r>
      <w:r>
        <w:rPr>
          <w:szCs w:val="24"/>
        </w:rPr>
        <w:t>;</w:t>
      </w:r>
      <w:r w:rsidRPr="0058182C">
        <w:rPr>
          <w:szCs w:val="24"/>
        </w:rPr>
        <w:t xml:space="preserve"> LVEF = left ventricular ejection fraction</w:t>
      </w:r>
      <w:r>
        <w:rPr>
          <w:szCs w:val="24"/>
        </w:rPr>
        <w:t>; N = number of participants in the group; NR = not reported;</w:t>
      </w:r>
      <w:r w:rsidRPr="0058182C">
        <w:rPr>
          <w:szCs w:val="24"/>
        </w:rPr>
        <w:t xml:space="preserve"> SAE = serious adverse event</w:t>
      </w:r>
      <w:r>
        <w:rPr>
          <w:szCs w:val="24"/>
        </w:rPr>
        <w:t>;</w:t>
      </w:r>
      <w:r w:rsidRPr="0058182C">
        <w:rPr>
          <w:szCs w:val="24"/>
        </w:rPr>
        <w:t xml:space="preserve"> TEAE = treatment-emergent adverse event</w:t>
      </w:r>
      <w:r>
        <w:rPr>
          <w:szCs w:val="24"/>
        </w:rPr>
        <w:t>.</w:t>
      </w:r>
    </w:p>
    <w:p w14:paraId="05B61D53" w14:textId="77777777" w:rsidR="00117DDB" w:rsidRDefault="00117DDB" w:rsidP="00117DDB">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3E466C09" w14:textId="1CC01AB0" w:rsidR="00B55E7D" w:rsidRPr="00BD6128" w:rsidRDefault="008F20A7" w:rsidP="00BD6128">
      <w:pPr>
        <w:pStyle w:val="3-BodyText"/>
      </w:pPr>
      <w:r>
        <w:t xml:space="preserve">In </w:t>
      </w:r>
      <w:r w:rsidR="00BD6128">
        <w:t>MAVA-LTE (EXPLORER-HCM cohort)</w:t>
      </w:r>
      <w:r>
        <w:t xml:space="preserve">, 94.8% of patients reported at least one </w:t>
      </w:r>
      <w:r w:rsidR="00024C21" w:rsidRPr="0058182C">
        <w:t>treatment-emergent adverse event</w:t>
      </w:r>
      <w:r w:rsidR="00024C21">
        <w:t xml:space="preserve"> (</w:t>
      </w:r>
      <w:r>
        <w:t>TEAE</w:t>
      </w:r>
      <w:r w:rsidR="00024C21">
        <w:t>)</w:t>
      </w:r>
      <w:r>
        <w:t xml:space="preserve"> (mild, 34.6%; moderate, 45.5%; severe, 13.0%). </w:t>
      </w:r>
      <w:r w:rsidR="00024C21">
        <w:t>S</w:t>
      </w:r>
      <w:r w:rsidR="00024C21" w:rsidRPr="0058182C">
        <w:t>erious adverse event</w:t>
      </w:r>
      <w:r w:rsidR="00024C21">
        <w:t>s (</w:t>
      </w:r>
      <w:r>
        <w:t>SAE</w:t>
      </w:r>
      <w:r w:rsidR="00024C21">
        <w:t>)</w:t>
      </w:r>
      <w:r>
        <w:t xml:space="preserve"> were observed in 47 patients (20.3%). Four patients experienced a TEAE leading to death (event</w:t>
      </w:r>
      <w:r w:rsidR="00FA1034">
        <w:t>s</w:t>
      </w:r>
      <w:r>
        <w:t xml:space="preserve">: bacterial endocarditis; cardiac arrest; acute myocardial infarction; and intracerebral haemorrhage). The resubmission </w:t>
      </w:r>
      <w:proofErr w:type="gramStart"/>
      <w:r>
        <w:t xml:space="preserve">stated  </w:t>
      </w:r>
      <w:r w:rsidR="00CF2D2E">
        <w:t>that</w:t>
      </w:r>
      <w:proofErr w:type="gramEnd"/>
      <w:r w:rsidR="001D6F3E">
        <w:t>,</w:t>
      </w:r>
      <w:r w:rsidR="00CF2D2E">
        <w:t xml:space="preserve"> </w:t>
      </w:r>
      <w:r>
        <w:t xml:space="preserve">while there was a slightly higher rate of TEAEs observed in MAVA-LTE (EXPLORER-HCM cohort), mavacamten was generally well tolerated and no new safety signals were observed. </w:t>
      </w:r>
      <w:r w:rsidRPr="00BF5BC7">
        <w:rPr>
          <w:iCs/>
        </w:rPr>
        <w:t xml:space="preserve">A higher </w:t>
      </w:r>
      <w:r w:rsidR="00747095" w:rsidRPr="00BF5BC7">
        <w:rPr>
          <w:iCs/>
        </w:rPr>
        <w:t>percentage</w:t>
      </w:r>
      <w:r w:rsidRPr="00BF5BC7">
        <w:rPr>
          <w:iCs/>
        </w:rPr>
        <w:t xml:space="preserve"> of TEAEs was observed over </w:t>
      </w:r>
      <w:r w:rsidRPr="00BF5BC7">
        <w:rPr>
          <w:iCs/>
        </w:rPr>
        <w:lastRenderedPageBreak/>
        <w:t xml:space="preserve">the longer-term </w:t>
      </w:r>
      <w:r w:rsidR="00985880" w:rsidRPr="00BF5BC7">
        <w:rPr>
          <w:iCs/>
        </w:rPr>
        <w:t>(</w:t>
      </w:r>
      <w:r w:rsidR="00747095" w:rsidRPr="00BF5BC7">
        <w:rPr>
          <w:iCs/>
        </w:rPr>
        <w:t>data cut-off:</w:t>
      </w:r>
      <w:r w:rsidR="00327E88" w:rsidRPr="00BF5BC7">
        <w:rPr>
          <w:iCs/>
        </w:rPr>
        <w:t xml:space="preserve"> 31 May 2022</w:t>
      </w:r>
      <w:r w:rsidR="00985880" w:rsidRPr="00BF5BC7">
        <w:rPr>
          <w:iCs/>
        </w:rPr>
        <w:t xml:space="preserve">) </w:t>
      </w:r>
      <w:r w:rsidRPr="00BF5BC7">
        <w:rPr>
          <w:iCs/>
        </w:rPr>
        <w:t>in MAVA-LTE (EXPLORER-LTE cohort) (94.8%) compared to after 30 weeks of treatment in EXPLORER-HCM (87.8%).</w:t>
      </w:r>
    </w:p>
    <w:p w14:paraId="087764A0" w14:textId="4A48BFA0" w:rsidR="00F72632" w:rsidRPr="00541454" w:rsidRDefault="00B14777" w:rsidP="00557FAE">
      <w:pPr>
        <w:pStyle w:val="3-BodyText"/>
        <w:rPr>
          <w:iCs/>
        </w:rPr>
      </w:pPr>
      <w:r>
        <w:t>In VALOR-HCM,</w:t>
      </w:r>
      <w:r w:rsidRPr="00B14777">
        <w:t xml:space="preserve"> </w:t>
      </w:r>
      <w:r>
        <w:t>t</w:t>
      </w:r>
      <w:r w:rsidRPr="00B14777">
        <w:t xml:space="preserve">he most common AEs of any grade experienced among patients </w:t>
      </w:r>
      <w:r>
        <w:t>receiving</w:t>
      </w:r>
      <w:r w:rsidR="00E37E23">
        <w:t xml:space="preserve"> treatment with mavacamten</w:t>
      </w:r>
      <w:r w:rsidRPr="00B14777">
        <w:t xml:space="preserve"> after 32 weeks included fatigue (</w:t>
      </w:r>
      <w:r w:rsidR="002C4C84">
        <w:t>n=7</w:t>
      </w:r>
      <w:r w:rsidR="005507F5">
        <w:t>; 12.5%</w:t>
      </w:r>
      <w:r w:rsidRPr="00B14777">
        <w:t>), palpitations (</w:t>
      </w:r>
      <w:r w:rsidR="005507F5">
        <w:t>n=6; 10.7%</w:t>
      </w:r>
      <w:r w:rsidRPr="00B14777">
        <w:t>), atrial fibrillation (</w:t>
      </w:r>
      <w:r w:rsidR="00D765FE">
        <w:t xml:space="preserve">n=5; </w:t>
      </w:r>
      <w:r w:rsidRPr="00B14777">
        <w:t>8.9%), nausea (</w:t>
      </w:r>
      <w:r w:rsidR="00D765FE">
        <w:t xml:space="preserve">n=5; </w:t>
      </w:r>
      <w:r w:rsidRPr="00B14777">
        <w:t>8.9%) and dizziness (</w:t>
      </w:r>
      <w:r w:rsidR="00502685">
        <w:t>8.9</w:t>
      </w:r>
      <w:r w:rsidRPr="00B14777">
        <w:t xml:space="preserve">%). For patients in the placebo crossover group </w:t>
      </w:r>
      <w:r w:rsidR="00DE6598">
        <w:t>receiving mavacamten after Week 16</w:t>
      </w:r>
      <w:r w:rsidRPr="00B14777">
        <w:t>, the most common AEs included dizziness (</w:t>
      </w:r>
      <w:r w:rsidR="003B1549">
        <w:t xml:space="preserve">n=5; </w:t>
      </w:r>
      <w:r w:rsidRPr="00B14777">
        <w:t>9.6%), palpitations (</w:t>
      </w:r>
      <w:r w:rsidR="003B1549">
        <w:t xml:space="preserve">n=3; </w:t>
      </w:r>
      <w:r w:rsidRPr="00B14777">
        <w:t>5.8%), atrial fibrillation (</w:t>
      </w:r>
      <w:r w:rsidR="003B1549">
        <w:t xml:space="preserve">n=3; </w:t>
      </w:r>
      <w:r w:rsidRPr="00B14777">
        <w:t>5.8%) and headache (</w:t>
      </w:r>
      <w:r w:rsidR="007776BF">
        <w:t xml:space="preserve">n=3; </w:t>
      </w:r>
      <w:r w:rsidRPr="00B14777">
        <w:t xml:space="preserve">5.8%) after 16 weeks of treatment with mavacamten. </w:t>
      </w:r>
      <w:r>
        <w:t xml:space="preserve"> </w:t>
      </w:r>
      <w:r w:rsidR="008C25C4">
        <w:t xml:space="preserve"> </w:t>
      </w:r>
    </w:p>
    <w:p w14:paraId="63EC2A26" w14:textId="6DBEE038" w:rsidR="00AC22CC" w:rsidRPr="00541454" w:rsidRDefault="00E3066E" w:rsidP="00557FAE">
      <w:pPr>
        <w:pStyle w:val="3-BodyText"/>
        <w:rPr>
          <w:iCs/>
        </w:rPr>
      </w:pPr>
      <w:r w:rsidRPr="00541454">
        <w:rPr>
          <w:iCs/>
        </w:rPr>
        <w:t xml:space="preserve">The ESC recalled its previous advice that the primary adverse event of concern was reduced LVEF. The ESC had previously noted this was infrequently observed and reversible with temporary treatment cessation (para. 6.28, mavacamten, Public Summary Document, November 2022 PBAC meeting). However, given patients would require monitoring with echocardiography every 3 months after dose stabilisation to reduce the risk of left ventricular systolic dysfunction developing, the additional patient burden of frequent monitoring and barriers to access </w:t>
      </w:r>
      <w:bookmarkStart w:id="57" w:name="_Hlk138062667"/>
      <w:r w:rsidR="0006484B" w:rsidRPr="00541454">
        <w:rPr>
          <w:iCs/>
        </w:rPr>
        <w:t>requires consideration before prescribing</w:t>
      </w:r>
      <w:bookmarkEnd w:id="57"/>
      <w:r w:rsidRPr="00541454">
        <w:rPr>
          <w:iCs/>
        </w:rPr>
        <w:t>.</w:t>
      </w:r>
    </w:p>
    <w:p w14:paraId="7B92AEE6" w14:textId="77777777" w:rsidR="00636080" w:rsidRPr="00C9624D" w:rsidRDefault="00636080" w:rsidP="00636080">
      <w:pPr>
        <w:pStyle w:val="4-SubsectionHeading"/>
      </w:pPr>
      <w:bookmarkStart w:id="58" w:name="_Toc22897643"/>
      <w:bookmarkStart w:id="59" w:name="_Toc107927629"/>
      <w:bookmarkStart w:id="60" w:name="_Toc135223329"/>
      <w:r w:rsidRPr="00C9624D">
        <w:t>Benefits/harms</w:t>
      </w:r>
      <w:bookmarkEnd w:id="58"/>
      <w:bookmarkEnd w:id="59"/>
      <w:bookmarkEnd w:id="60"/>
    </w:p>
    <w:p w14:paraId="454CA2AB" w14:textId="114C0862" w:rsidR="00636080" w:rsidRPr="00D2155B" w:rsidRDefault="00636080" w:rsidP="00636080">
      <w:pPr>
        <w:pStyle w:val="3-BodyText"/>
        <w:rPr>
          <w:rStyle w:val="CommentReference"/>
          <w:color w:val="0066FF"/>
        </w:rPr>
      </w:pPr>
      <w:r w:rsidRPr="00ED5BD4">
        <w:rPr>
          <w:lang w:val="en-US"/>
        </w:rPr>
        <w:t>A summary of the comparative benefits and harms</w:t>
      </w:r>
      <w:r w:rsidR="0095723B">
        <w:rPr>
          <w:lang w:val="en-US"/>
        </w:rPr>
        <w:t xml:space="preserve"> from </w:t>
      </w:r>
      <w:r w:rsidR="007320A2">
        <w:rPr>
          <w:lang w:val="en-US"/>
        </w:rPr>
        <w:t xml:space="preserve">the </w:t>
      </w:r>
      <w:r w:rsidR="0095723B">
        <w:rPr>
          <w:lang w:val="en-US"/>
        </w:rPr>
        <w:t>key trial EXPLORER-HCM</w:t>
      </w:r>
      <w:r w:rsidRPr="00ED5BD4">
        <w:rPr>
          <w:lang w:val="en-US"/>
        </w:rPr>
        <w:t xml:space="preserve"> for </w:t>
      </w:r>
      <w:r w:rsidR="00D140D4">
        <w:rPr>
          <w:lang w:val="en-US"/>
        </w:rPr>
        <w:t xml:space="preserve">mavacamten </w:t>
      </w:r>
      <w:r w:rsidRPr="00ED5BD4">
        <w:rPr>
          <w:lang w:val="en-US"/>
        </w:rPr>
        <w:t xml:space="preserve">versus </w:t>
      </w:r>
      <w:r w:rsidR="00D140D4">
        <w:rPr>
          <w:lang w:val="en-US"/>
        </w:rPr>
        <w:t>placebo</w:t>
      </w:r>
      <w:r w:rsidRPr="00ED5BD4">
        <w:rPr>
          <w:lang w:val="en-US"/>
        </w:rPr>
        <w:t xml:space="preserve"> is presented in</w:t>
      </w:r>
      <w:r>
        <w:rPr>
          <w:lang w:val="en-US"/>
        </w:rPr>
        <w:t xml:space="preserve"> </w:t>
      </w:r>
      <w:r>
        <w:rPr>
          <w:lang w:val="en-US"/>
        </w:rPr>
        <w:fldChar w:fldCharType="begin"/>
      </w:r>
      <w:r>
        <w:rPr>
          <w:lang w:val="en-US"/>
        </w:rPr>
        <w:instrText xml:space="preserve"> REF _Ref104805037 \h </w:instrText>
      </w:r>
      <w:r>
        <w:rPr>
          <w:lang w:val="en-US"/>
        </w:rPr>
      </w:r>
      <w:r>
        <w:rPr>
          <w:lang w:val="en-US"/>
        </w:rPr>
        <w:fldChar w:fldCharType="separate"/>
      </w:r>
      <w:r w:rsidR="00F84C70">
        <w:t xml:space="preserve">Table </w:t>
      </w:r>
      <w:r w:rsidR="00F84C70">
        <w:rPr>
          <w:noProof/>
        </w:rPr>
        <w:t>10</w:t>
      </w:r>
      <w:r>
        <w:rPr>
          <w:lang w:val="en-US"/>
        </w:rPr>
        <w:fldChar w:fldCharType="end"/>
      </w:r>
      <w:r w:rsidRPr="00D2155B">
        <w:t>.</w:t>
      </w:r>
      <w:r w:rsidR="00D140D4">
        <w:t xml:space="preserve"> </w:t>
      </w:r>
    </w:p>
    <w:p w14:paraId="28095BE8" w14:textId="48EBB8AC" w:rsidR="00636080" w:rsidRDefault="00636080" w:rsidP="00636080">
      <w:pPr>
        <w:pStyle w:val="Caption"/>
        <w:rPr>
          <w:rStyle w:val="CommentReference"/>
          <w:b/>
          <w:szCs w:val="24"/>
        </w:rPr>
      </w:pPr>
      <w:bookmarkStart w:id="61" w:name="_Ref104805037"/>
      <w:r>
        <w:t xml:space="preserve">Table </w:t>
      </w:r>
      <w:fldSimple w:instr=" SEQ Table \* ARABIC ">
        <w:r w:rsidR="00F84C70">
          <w:rPr>
            <w:noProof/>
          </w:rPr>
          <w:t>10</w:t>
        </w:r>
      </w:fldSimple>
      <w:bookmarkEnd w:id="61"/>
      <w:r>
        <w:t xml:space="preserve">: </w:t>
      </w:r>
      <w:r w:rsidRPr="00D2155B">
        <w:rPr>
          <w:rStyle w:val="CommentReference"/>
          <w:b/>
          <w:szCs w:val="24"/>
        </w:rPr>
        <w:t xml:space="preserve">Summary of comparative benefits and harms for </w:t>
      </w:r>
      <w:r w:rsidR="005F28B3" w:rsidRPr="005F28B3">
        <w:rPr>
          <w:rStyle w:val="CommentReference"/>
          <w:b/>
          <w:szCs w:val="24"/>
        </w:rPr>
        <w:t>mavacamten versus placebo</w:t>
      </w:r>
    </w:p>
    <w:tbl>
      <w:tblPr>
        <w:tblW w:w="5000" w:type="pct"/>
        <w:tblLayout w:type="fixed"/>
        <w:tblCellMar>
          <w:left w:w="28" w:type="dxa"/>
          <w:right w:w="28" w:type="dxa"/>
        </w:tblCellMar>
        <w:tblLook w:val="04A0" w:firstRow="1" w:lastRow="0" w:firstColumn="1" w:lastColumn="0" w:noHBand="0" w:noVBand="1"/>
      </w:tblPr>
      <w:tblGrid>
        <w:gridCol w:w="1413"/>
        <w:gridCol w:w="434"/>
        <w:gridCol w:w="700"/>
        <w:gridCol w:w="287"/>
        <w:gridCol w:w="741"/>
        <w:gridCol w:w="263"/>
        <w:gridCol w:w="839"/>
        <w:gridCol w:w="453"/>
        <w:gridCol w:w="541"/>
        <w:gridCol w:w="678"/>
        <w:gridCol w:w="314"/>
        <w:gridCol w:w="821"/>
        <w:gridCol w:w="1533"/>
      </w:tblGrid>
      <w:tr w:rsidR="009F662A" w:rsidRPr="00E2771E" w14:paraId="5F47B3F2" w14:textId="77777777" w:rsidTr="009F662A">
        <w:trPr>
          <w:cantSplit/>
          <w:trHeight w:val="150"/>
        </w:trPr>
        <w:tc>
          <w:tcPr>
            <w:tcW w:w="78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178856" w14:textId="77777777" w:rsidR="009F662A" w:rsidRPr="00E2771E" w:rsidRDefault="009F662A" w:rsidP="00F774FD">
            <w:pPr>
              <w:pStyle w:val="In-tableHeading"/>
              <w:keepNext w:val="0"/>
            </w:pPr>
            <w:r>
              <w:t>Outcome</w:t>
            </w:r>
          </w:p>
        </w:tc>
        <w:tc>
          <w:tcPr>
            <w:tcW w:w="629"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D5EF6F" w14:textId="77777777" w:rsidR="009F662A" w:rsidRDefault="009F662A" w:rsidP="00F774FD">
            <w:pPr>
              <w:pStyle w:val="In-tableHeading"/>
              <w:keepNext w:val="0"/>
              <w:jc w:val="center"/>
            </w:pPr>
            <w:r>
              <w:t>Mavacamten</w:t>
            </w:r>
          </w:p>
          <w:p w14:paraId="014F44E7" w14:textId="77777777" w:rsidR="009F662A" w:rsidRPr="00E2771E" w:rsidRDefault="009F662A" w:rsidP="00F774FD">
            <w:pPr>
              <w:pStyle w:val="In-tableHeading"/>
              <w:keepNext w:val="0"/>
              <w:jc w:val="center"/>
            </w:pPr>
            <w:r>
              <w:t>n/N</w:t>
            </w:r>
          </w:p>
        </w:tc>
        <w:tc>
          <w:tcPr>
            <w:tcW w:w="570"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1301A5" w14:textId="77777777" w:rsidR="009F662A" w:rsidRDefault="009F662A" w:rsidP="00F774FD">
            <w:pPr>
              <w:pStyle w:val="In-tableHeading"/>
              <w:keepNext w:val="0"/>
              <w:jc w:val="center"/>
            </w:pPr>
            <w:r>
              <w:t>Placebo</w:t>
            </w:r>
          </w:p>
          <w:p w14:paraId="49330BD5" w14:textId="77777777" w:rsidR="009F662A" w:rsidRPr="00E2771E" w:rsidRDefault="009F662A" w:rsidP="00F774FD">
            <w:pPr>
              <w:pStyle w:val="In-tableHeading"/>
              <w:keepNext w:val="0"/>
              <w:jc w:val="center"/>
            </w:pPr>
            <w:r>
              <w:t>n/N</w:t>
            </w:r>
          </w:p>
        </w:tc>
        <w:tc>
          <w:tcPr>
            <w:tcW w:w="862" w:type="pct"/>
            <w:gridSpan w:val="3"/>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9B71B" w14:textId="77777777" w:rsidR="009F662A" w:rsidRPr="00E2771E" w:rsidRDefault="009F662A" w:rsidP="00F774FD">
            <w:pPr>
              <w:pStyle w:val="In-tableHeading"/>
              <w:keepNext w:val="0"/>
              <w:jc w:val="center"/>
            </w:pPr>
            <w:r w:rsidRPr="00E2771E">
              <w:t>RR</w:t>
            </w:r>
          </w:p>
          <w:p w14:paraId="7AD260A5" w14:textId="77777777" w:rsidR="009F662A" w:rsidRPr="00E2771E" w:rsidRDefault="009F662A" w:rsidP="00F774FD">
            <w:pPr>
              <w:pStyle w:val="In-tableHeading"/>
              <w:keepNext w:val="0"/>
              <w:jc w:val="center"/>
            </w:pPr>
            <w:r w:rsidRPr="00E2771E">
              <w:t>(95% CI)</w:t>
            </w:r>
          </w:p>
        </w:tc>
        <w:tc>
          <w:tcPr>
            <w:tcW w:w="1305"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291F9" w14:textId="77777777" w:rsidR="009F662A" w:rsidRPr="00E2771E" w:rsidRDefault="009F662A" w:rsidP="00F774FD">
            <w:pPr>
              <w:pStyle w:val="In-tableHeading"/>
              <w:keepNext w:val="0"/>
              <w:jc w:val="center"/>
            </w:pPr>
            <w:r w:rsidRPr="00E2771E">
              <w:t>Event rate/100 patients</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6FD5B" w14:textId="77777777" w:rsidR="009F662A" w:rsidRPr="00E2771E" w:rsidRDefault="009F662A" w:rsidP="00F774FD">
            <w:pPr>
              <w:pStyle w:val="In-tableHeading"/>
              <w:keepNext w:val="0"/>
              <w:jc w:val="center"/>
            </w:pPr>
            <w:r w:rsidRPr="00E2771E">
              <w:t>RD</w:t>
            </w:r>
          </w:p>
          <w:p w14:paraId="08A28EAA" w14:textId="77777777" w:rsidR="009F662A" w:rsidRPr="00E2771E" w:rsidRDefault="009F662A" w:rsidP="00F774FD">
            <w:pPr>
              <w:pStyle w:val="In-tableHeading"/>
              <w:keepNext w:val="0"/>
              <w:jc w:val="center"/>
            </w:pPr>
            <w:r w:rsidRPr="00E2771E">
              <w:t>(95% CI)</w:t>
            </w:r>
          </w:p>
        </w:tc>
      </w:tr>
      <w:tr w:rsidR="009F662A" w:rsidRPr="00E2771E" w14:paraId="20BC0E67" w14:textId="77777777" w:rsidTr="009F662A">
        <w:trPr>
          <w:cantSplit/>
          <w:trHeight w:val="315"/>
        </w:trPr>
        <w:tc>
          <w:tcPr>
            <w:tcW w:w="784"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CF40DA" w14:textId="77777777" w:rsidR="009F662A" w:rsidRPr="00E2771E" w:rsidRDefault="009F662A" w:rsidP="00F774FD">
            <w:pPr>
              <w:pStyle w:val="In-tableHeading"/>
              <w:keepNext w:val="0"/>
              <w:jc w:val="center"/>
            </w:pPr>
          </w:p>
        </w:tc>
        <w:tc>
          <w:tcPr>
            <w:tcW w:w="629" w:type="pct"/>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F7C14A" w14:textId="77777777" w:rsidR="009F662A" w:rsidRPr="00E2771E" w:rsidRDefault="009F662A" w:rsidP="00F774FD">
            <w:pPr>
              <w:pStyle w:val="In-tableHeading"/>
              <w:keepNext w:val="0"/>
              <w:jc w:val="center"/>
            </w:pPr>
          </w:p>
        </w:tc>
        <w:tc>
          <w:tcPr>
            <w:tcW w:w="570" w:type="pct"/>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F0268" w14:textId="77777777" w:rsidR="009F662A" w:rsidRPr="00E2771E" w:rsidRDefault="009F662A" w:rsidP="00F774FD">
            <w:pPr>
              <w:pStyle w:val="In-tableHeading"/>
              <w:keepNext w:val="0"/>
              <w:jc w:val="center"/>
            </w:pPr>
          </w:p>
        </w:tc>
        <w:tc>
          <w:tcPr>
            <w:tcW w:w="862" w:type="pct"/>
            <w:gridSpan w:val="3"/>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CC3769" w14:textId="77777777" w:rsidR="009F662A" w:rsidRPr="00E2771E" w:rsidRDefault="009F662A" w:rsidP="00F774FD">
            <w:pPr>
              <w:pStyle w:val="In-tableHeading"/>
              <w:keepNext w:val="0"/>
              <w:jc w:val="center"/>
            </w:pPr>
          </w:p>
        </w:tc>
        <w:tc>
          <w:tcPr>
            <w:tcW w:w="67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7672A4" w14:textId="77777777" w:rsidR="009F662A" w:rsidRPr="00E2771E" w:rsidRDefault="009F662A" w:rsidP="00F774FD">
            <w:pPr>
              <w:pStyle w:val="In-tableHeading"/>
              <w:keepNext w:val="0"/>
              <w:jc w:val="center"/>
            </w:pPr>
            <w:r>
              <w:t>Mavacamten</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8B998" w14:textId="77777777" w:rsidR="009F662A" w:rsidRPr="00E2771E" w:rsidRDefault="009F662A" w:rsidP="00F774FD">
            <w:pPr>
              <w:pStyle w:val="In-tableHeading"/>
              <w:keepNext w:val="0"/>
              <w:jc w:val="center"/>
            </w:pPr>
            <w:r>
              <w:t>Placebo</w:t>
            </w:r>
          </w:p>
        </w:tc>
        <w:tc>
          <w:tcPr>
            <w:tcW w:w="85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94E904" w14:textId="77777777" w:rsidR="009F662A" w:rsidRPr="00E2771E" w:rsidRDefault="009F662A" w:rsidP="00F774FD">
            <w:pPr>
              <w:pStyle w:val="In-tableHeading"/>
              <w:keepNext w:val="0"/>
              <w:jc w:val="center"/>
            </w:pPr>
          </w:p>
        </w:tc>
      </w:tr>
      <w:tr w:rsidR="009F662A" w:rsidRPr="00E2771E" w14:paraId="22196532" w14:textId="77777777" w:rsidTr="009F662A">
        <w:trPr>
          <w:cantSplit/>
        </w:trPr>
        <w:tc>
          <w:tcPr>
            <w:tcW w:w="5000" w:type="pct"/>
            <w:gridSpan w:val="13"/>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698157FD" w14:textId="77777777" w:rsidR="009F662A" w:rsidRPr="00E2771E" w:rsidRDefault="009F662A" w:rsidP="00F774FD">
            <w:pPr>
              <w:pStyle w:val="In-tableHeading"/>
              <w:keepNext w:val="0"/>
            </w:pPr>
            <w:r w:rsidRPr="00E2771E">
              <w:t>Benefits</w:t>
            </w:r>
          </w:p>
        </w:tc>
      </w:tr>
      <w:tr w:rsidR="009F662A" w:rsidRPr="00E2771E" w14:paraId="539B4438" w14:textId="77777777" w:rsidTr="009F662A">
        <w:trPr>
          <w:cantSplit/>
        </w:trPr>
        <w:tc>
          <w:tcPr>
            <w:tcW w:w="5000" w:type="pct"/>
            <w:gridSpan w:val="13"/>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434BF24D" w14:textId="77777777" w:rsidR="009F662A" w:rsidRPr="00E2771E" w:rsidRDefault="009F662A" w:rsidP="00F774FD">
            <w:pPr>
              <w:pStyle w:val="In-tableHeading"/>
              <w:keepNext w:val="0"/>
            </w:pPr>
            <w:r w:rsidRPr="00E2771E">
              <w:t xml:space="preserve">Dichotomous </w:t>
            </w:r>
            <w:r>
              <w:t>o</w:t>
            </w:r>
            <w:r w:rsidRPr="00E2771E">
              <w:t>utcome</w:t>
            </w:r>
            <w:r>
              <w:t>s</w:t>
            </w:r>
          </w:p>
        </w:tc>
      </w:tr>
      <w:tr w:rsidR="009F662A" w:rsidRPr="00E2771E" w14:paraId="1B3B4E1E" w14:textId="77777777" w:rsidTr="009F662A">
        <w:trPr>
          <w:cantSplit/>
        </w:trPr>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9506CB" w14:textId="77777777" w:rsidR="009F662A" w:rsidRPr="00E2771E" w:rsidRDefault="009F662A" w:rsidP="00F774FD">
            <w:pPr>
              <w:pStyle w:val="TableText0"/>
              <w:keepNext w:val="0"/>
            </w:pPr>
            <w:r>
              <w:t>Achieved composite functional endpoint</w:t>
            </w:r>
            <w:r>
              <w:rPr>
                <w:rFonts w:eastAsia="Calibri"/>
                <w:vertAlign w:val="superscript"/>
              </w:rPr>
              <w:t>a</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32432F" w14:textId="77777777" w:rsidR="009F662A" w:rsidRPr="00E2771E" w:rsidRDefault="009F662A" w:rsidP="00F774FD">
            <w:pPr>
              <w:pStyle w:val="TableText0"/>
              <w:keepNext w:val="0"/>
              <w:jc w:val="center"/>
            </w:pPr>
            <w:r>
              <w:t>45/123</w:t>
            </w:r>
          </w:p>
        </w:tc>
        <w:tc>
          <w:tcPr>
            <w:tcW w:w="57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4826B6" w14:textId="77777777" w:rsidR="009F662A" w:rsidRPr="00E2771E" w:rsidRDefault="009F662A" w:rsidP="00F774FD">
            <w:pPr>
              <w:pStyle w:val="TableText0"/>
              <w:keepNext w:val="0"/>
              <w:jc w:val="center"/>
            </w:pPr>
            <w:r>
              <w:t>22/128</w:t>
            </w:r>
          </w:p>
        </w:tc>
        <w:tc>
          <w:tcPr>
            <w:tcW w:w="862"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01D648" w14:textId="77777777" w:rsidR="009F662A" w:rsidRPr="00E2771E" w:rsidRDefault="009F662A" w:rsidP="00F774FD">
            <w:pPr>
              <w:pStyle w:val="TableText0"/>
              <w:keepNext w:val="0"/>
              <w:jc w:val="center"/>
            </w:pPr>
            <w:r w:rsidRPr="007C7BFF">
              <w:rPr>
                <w:b/>
              </w:rPr>
              <w:t>2.13 (1.36, 3.32)</w:t>
            </w:r>
          </w:p>
        </w:tc>
        <w:tc>
          <w:tcPr>
            <w:tcW w:w="67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864A8B" w14:textId="77777777" w:rsidR="009F662A" w:rsidRPr="00E2771E" w:rsidRDefault="009F662A" w:rsidP="00F774FD">
            <w:pPr>
              <w:pStyle w:val="TableText0"/>
              <w:keepNext w:val="0"/>
              <w:jc w:val="center"/>
            </w:pPr>
            <w:r>
              <w:t>36.6</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E68DCA" w14:textId="77777777" w:rsidR="009F662A" w:rsidRPr="00E2771E" w:rsidRDefault="009F662A" w:rsidP="00F774FD">
            <w:pPr>
              <w:pStyle w:val="TableText0"/>
              <w:keepNext w:val="0"/>
              <w:jc w:val="center"/>
            </w:pPr>
            <w:r>
              <w:t>17.2</w:t>
            </w:r>
          </w:p>
        </w:tc>
        <w:tc>
          <w:tcPr>
            <w:tcW w:w="85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DA494F" w14:textId="77777777" w:rsidR="009F662A" w:rsidRPr="00E2771E" w:rsidRDefault="009F662A" w:rsidP="00F774FD">
            <w:pPr>
              <w:pStyle w:val="TableText0"/>
              <w:keepNext w:val="0"/>
              <w:jc w:val="center"/>
            </w:pPr>
            <w:r w:rsidRPr="007C7BFF">
              <w:rPr>
                <w:b/>
                <w:color w:val="000000"/>
                <w:lang w:val="en-US"/>
              </w:rPr>
              <w:t>19.4 (8.67, 30.13)</w:t>
            </w:r>
          </w:p>
        </w:tc>
      </w:tr>
      <w:tr w:rsidR="009F662A" w:rsidRPr="00E2771E" w14:paraId="10C09E2F" w14:textId="77777777" w:rsidTr="009F662A">
        <w:trPr>
          <w:cantSplit/>
        </w:trPr>
        <w:tc>
          <w:tcPr>
            <w:tcW w:w="784"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4D309663" w14:textId="77777777" w:rsidR="009F662A" w:rsidRPr="00E2771E" w:rsidRDefault="009F662A" w:rsidP="00F774FD">
            <w:pPr>
              <w:pStyle w:val="TableText0"/>
              <w:keepNext w:val="0"/>
            </w:pPr>
            <w:r w:rsidRPr="004B5317">
              <w:rPr>
                <w:lang w:val="en-US"/>
              </w:rPr>
              <w:t>Proportion of patients with</w:t>
            </w:r>
            <w:r w:rsidRPr="004B5317">
              <w:rPr>
                <w:lang w:val="en-US"/>
              </w:rPr>
              <w:br/>
              <w:t>≥ 3 mL/kg/min in pVO</w:t>
            </w:r>
            <w:r w:rsidRPr="004B5317">
              <w:rPr>
                <w:vertAlign w:val="subscript"/>
                <w:lang w:val="en-US"/>
              </w:rPr>
              <w:t>2</w:t>
            </w:r>
            <w:r w:rsidRPr="004B5317">
              <w:rPr>
                <w:lang w:val="en-US"/>
              </w:rPr>
              <w:t xml:space="preserve"> and improvement ≥ 1 NYHA class</w:t>
            </w:r>
            <w:r>
              <w:rPr>
                <w:rFonts w:cs="Arial"/>
                <w:position w:val="-1"/>
                <w:vertAlign w:val="superscript"/>
                <w:lang w:val="en-US"/>
              </w:rPr>
              <w:t>b</w:t>
            </w:r>
          </w:p>
        </w:tc>
        <w:tc>
          <w:tcPr>
            <w:tcW w:w="629"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5C06245D" w14:textId="77777777" w:rsidR="009F662A" w:rsidRPr="00E2771E" w:rsidRDefault="009F662A" w:rsidP="00F774FD">
            <w:pPr>
              <w:pStyle w:val="TableText0"/>
              <w:keepNext w:val="0"/>
              <w:jc w:val="center"/>
            </w:pPr>
            <w:r>
              <w:t>25/123</w:t>
            </w:r>
          </w:p>
        </w:tc>
        <w:tc>
          <w:tcPr>
            <w:tcW w:w="570"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72ADD9CD" w14:textId="77777777" w:rsidR="009F662A" w:rsidRPr="00E2771E" w:rsidRDefault="009F662A" w:rsidP="00F774FD">
            <w:pPr>
              <w:pStyle w:val="TableText0"/>
              <w:keepNext w:val="0"/>
              <w:jc w:val="center"/>
            </w:pPr>
            <w:r>
              <w:t>10/128</w:t>
            </w:r>
          </w:p>
        </w:tc>
        <w:tc>
          <w:tcPr>
            <w:tcW w:w="862" w:type="pct"/>
            <w:gridSpan w:val="3"/>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12897B65" w14:textId="77777777" w:rsidR="009F662A" w:rsidRPr="00E2771E" w:rsidRDefault="009F662A" w:rsidP="00F774FD">
            <w:pPr>
              <w:pStyle w:val="TableText0"/>
              <w:keepNext w:val="0"/>
              <w:jc w:val="center"/>
            </w:pPr>
            <w:r w:rsidRPr="007C7BFF">
              <w:rPr>
                <w:b/>
              </w:rPr>
              <w:t>2.60 (1.30, 5.19)</w:t>
            </w:r>
          </w:p>
        </w:tc>
        <w:tc>
          <w:tcPr>
            <w:tcW w:w="676"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3F4F9726" w14:textId="77777777" w:rsidR="009F662A" w:rsidRPr="00E2771E" w:rsidRDefault="009F662A" w:rsidP="00F774FD">
            <w:pPr>
              <w:pStyle w:val="TableText0"/>
              <w:keepNext w:val="0"/>
              <w:jc w:val="center"/>
            </w:pPr>
            <w:r>
              <w:t>20.3</w:t>
            </w:r>
          </w:p>
        </w:tc>
        <w:tc>
          <w:tcPr>
            <w:tcW w:w="629"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6B667541" w14:textId="77777777" w:rsidR="009F662A" w:rsidRPr="00E2771E" w:rsidRDefault="009F662A" w:rsidP="00F774FD">
            <w:pPr>
              <w:pStyle w:val="TableText0"/>
              <w:keepNext w:val="0"/>
              <w:jc w:val="center"/>
            </w:pPr>
            <w:r>
              <w:t>7.8</w:t>
            </w:r>
          </w:p>
        </w:tc>
        <w:tc>
          <w:tcPr>
            <w:tcW w:w="850"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54AD2065" w14:textId="77777777" w:rsidR="009F662A" w:rsidRPr="00E2771E" w:rsidRDefault="009F662A" w:rsidP="00F774FD">
            <w:pPr>
              <w:pStyle w:val="TableText0"/>
              <w:keepNext w:val="0"/>
              <w:jc w:val="center"/>
            </w:pPr>
            <w:r w:rsidRPr="007C7BFF">
              <w:rPr>
                <w:b/>
                <w:color w:val="000000"/>
                <w:lang w:val="en-US"/>
              </w:rPr>
              <w:t>12.5 (4.02, 21.01)</w:t>
            </w:r>
          </w:p>
        </w:tc>
      </w:tr>
      <w:tr w:rsidR="009F662A" w:rsidRPr="00E2771E" w14:paraId="1C24F541" w14:textId="77777777" w:rsidTr="009F662A">
        <w:trPr>
          <w:cantSplit/>
        </w:trPr>
        <w:tc>
          <w:tcPr>
            <w:tcW w:w="5000" w:type="pct"/>
            <w:gridSpan w:val="13"/>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48811C3C" w14:textId="77777777" w:rsidR="009F662A" w:rsidRPr="00E2771E" w:rsidRDefault="009F662A" w:rsidP="00F774FD">
            <w:pPr>
              <w:pStyle w:val="In-tableHeading"/>
              <w:keepNext w:val="0"/>
            </w:pPr>
            <w:r w:rsidRPr="00E2771E">
              <w:t xml:space="preserve">Continuous </w:t>
            </w:r>
            <w:r>
              <w:t>o</w:t>
            </w:r>
            <w:r w:rsidRPr="00E2771E">
              <w:t>utcome</w:t>
            </w:r>
            <w:r>
              <w:t>s</w:t>
            </w:r>
            <w:r w:rsidRPr="00E2771E">
              <w:t xml:space="preserve">: change from baseline </w:t>
            </w:r>
            <w:r>
              <w:t xml:space="preserve">to Week 30 </w:t>
            </w:r>
          </w:p>
        </w:tc>
      </w:tr>
      <w:tr w:rsidR="009F662A" w:rsidRPr="00E2771E" w14:paraId="241D7F6F" w14:textId="77777777" w:rsidTr="009F662A">
        <w:trPr>
          <w:cantSplit/>
          <w:trHeight w:val="225"/>
        </w:trPr>
        <w:tc>
          <w:tcPr>
            <w:tcW w:w="78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E16EB7" w14:textId="77777777" w:rsidR="009F662A" w:rsidRPr="00E2771E" w:rsidRDefault="009F662A" w:rsidP="00F774FD">
            <w:pPr>
              <w:pStyle w:val="TableText0"/>
              <w:keepNext w:val="0"/>
            </w:pPr>
          </w:p>
        </w:tc>
        <w:tc>
          <w:tcPr>
            <w:tcW w:w="1345"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6153D8" w14:textId="77777777" w:rsidR="009F662A" w:rsidRPr="00E2771E" w:rsidRDefault="009F662A" w:rsidP="00F774FD">
            <w:pPr>
              <w:pStyle w:val="In-tableHeading"/>
              <w:keepNext w:val="0"/>
              <w:jc w:val="center"/>
            </w:pPr>
            <w:r>
              <w:t xml:space="preserve">Mavacamten </w:t>
            </w:r>
          </w:p>
        </w:tc>
        <w:tc>
          <w:tcPr>
            <w:tcW w:w="1566"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DA7ED9" w14:textId="77777777" w:rsidR="009F662A" w:rsidRPr="00E2771E" w:rsidRDefault="009F662A" w:rsidP="00F774FD">
            <w:pPr>
              <w:pStyle w:val="In-tableHeading"/>
              <w:keepNext w:val="0"/>
              <w:jc w:val="center"/>
            </w:pPr>
            <w:r>
              <w:t>Placebo</w:t>
            </w:r>
          </w:p>
        </w:tc>
        <w:tc>
          <w:tcPr>
            <w:tcW w:w="1305"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4154EE" w14:textId="0AEE0F6A" w:rsidR="009F662A" w:rsidRPr="00E2771E" w:rsidRDefault="009F662A" w:rsidP="00F774FD">
            <w:pPr>
              <w:pStyle w:val="In-tableHeading"/>
              <w:keepNext w:val="0"/>
              <w:jc w:val="center"/>
            </w:pPr>
            <w:r w:rsidRPr="00E2771E">
              <w:t xml:space="preserve">Mean </w:t>
            </w:r>
            <w:proofErr w:type="gramStart"/>
            <w:r w:rsidRPr="00E2771E">
              <w:t>difference</w:t>
            </w:r>
            <w:proofErr w:type="gramEnd"/>
          </w:p>
          <w:p w14:paraId="2963D8F2" w14:textId="77777777" w:rsidR="009F662A" w:rsidRPr="00E2771E" w:rsidRDefault="009F662A" w:rsidP="00F774FD">
            <w:pPr>
              <w:pStyle w:val="In-tableHeading"/>
              <w:keepNext w:val="0"/>
              <w:jc w:val="center"/>
              <w:rPr>
                <w:szCs w:val="18"/>
              </w:rPr>
            </w:pPr>
            <w:r>
              <w:rPr>
                <w:szCs w:val="18"/>
              </w:rPr>
              <w:t>Mavacamten</w:t>
            </w:r>
            <w:r w:rsidRPr="00E2771E">
              <w:rPr>
                <w:szCs w:val="18"/>
              </w:rPr>
              <w:t xml:space="preserve"> vs. </w:t>
            </w:r>
            <w:r>
              <w:rPr>
                <w:szCs w:val="18"/>
              </w:rPr>
              <w:t>placebo</w:t>
            </w:r>
          </w:p>
          <w:p w14:paraId="76869560" w14:textId="77777777" w:rsidR="009F662A" w:rsidRPr="00E2771E" w:rsidRDefault="009F662A" w:rsidP="00F774FD">
            <w:pPr>
              <w:pStyle w:val="In-tableHeading"/>
              <w:keepNext w:val="0"/>
              <w:jc w:val="center"/>
              <w:rPr>
                <w:szCs w:val="18"/>
              </w:rPr>
            </w:pPr>
            <w:r w:rsidRPr="00E2771E">
              <w:rPr>
                <w:szCs w:val="18"/>
              </w:rPr>
              <w:t>(95% CI)</w:t>
            </w:r>
          </w:p>
        </w:tc>
      </w:tr>
      <w:tr w:rsidR="009F662A" w:rsidRPr="00E2771E" w14:paraId="6FF112E9" w14:textId="77777777" w:rsidTr="009F662A">
        <w:trPr>
          <w:cantSplit/>
          <w:trHeight w:val="225"/>
        </w:trPr>
        <w:tc>
          <w:tcPr>
            <w:tcW w:w="784"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E8D08" w14:textId="77777777" w:rsidR="009F662A" w:rsidRPr="00E2771E" w:rsidRDefault="009F662A" w:rsidP="00F774FD">
            <w:pPr>
              <w:keepLines/>
              <w:rPr>
                <w:rFonts w:ascii="Arial Narrow" w:hAnsi="Arial Narrow"/>
                <w:color w:val="000000"/>
                <w:sz w:val="20"/>
                <w:szCs w:val="18"/>
              </w:rPr>
            </w:pPr>
          </w:p>
        </w:tc>
        <w:tc>
          <w:tcPr>
            <w:tcW w:w="24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653F3A" w14:textId="77777777" w:rsidR="009F662A" w:rsidRPr="00E2771E" w:rsidRDefault="009F662A" w:rsidP="00F774FD">
            <w:pPr>
              <w:pStyle w:val="In-tableHeading"/>
              <w:keepNext w:val="0"/>
              <w:jc w:val="center"/>
            </w:pPr>
            <w:r>
              <w:t>N</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76D50" w14:textId="77777777" w:rsidR="009F662A" w:rsidRPr="00E2771E" w:rsidRDefault="009F662A" w:rsidP="00F774FD">
            <w:pPr>
              <w:pStyle w:val="In-tableHeading"/>
              <w:keepNext w:val="0"/>
              <w:jc w:val="center"/>
            </w:pPr>
            <w:r w:rsidRPr="00E2771E">
              <w:t xml:space="preserve">Mean ∆ baseline </w:t>
            </w:r>
            <w:r>
              <w:t>LVOT (mmHg)</w:t>
            </w:r>
          </w:p>
        </w:tc>
        <w:tc>
          <w:tcPr>
            <w:tcW w:w="5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69565A" w14:textId="77777777" w:rsidR="009F662A" w:rsidRPr="00E2771E" w:rsidRDefault="009F662A" w:rsidP="00F774FD">
            <w:pPr>
              <w:pStyle w:val="In-tableHeading"/>
              <w:keepNext w:val="0"/>
              <w:jc w:val="center"/>
            </w:pPr>
            <w:r w:rsidRPr="00E2771E">
              <w:t>SD</w:t>
            </w:r>
          </w:p>
        </w:tc>
        <w:tc>
          <w:tcPr>
            <w:tcW w:w="4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228EB0" w14:textId="77777777" w:rsidR="009F662A" w:rsidRPr="00E2771E" w:rsidRDefault="009F662A" w:rsidP="00F774FD">
            <w:pPr>
              <w:pStyle w:val="In-tableHeading"/>
              <w:keepNext w:val="0"/>
              <w:jc w:val="center"/>
            </w:pPr>
            <w:r>
              <w:t>N</w:t>
            </w:r>
          </w:p>
        </w:tc>
        <w:tc>
          <w:tcPr>
            <w:tcW w:w="55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8E788" w14:textId="77777777" w:rsidR="009F662A" w:rsidRPr="00E2771E" w:rsidRDefault="009F662A" w:rsidP="00F774FD">
            <w:pPr>
              <w:pStyle w:val="In-tableHeading"/>
              <w:keepNext w:val="0"/>
              <w:jc w:val="center"/>
            </w:pPr>
            <w:r w:rsidRPr="00E2771E">
              <w:t xml:space="preserve">Mean ∆ baseline </w:t>
            </w:r>
            <w:r>
              <w:t>LVOT (mmHg)</w:t>
            </w:r>
          </w:p>
        </w:tc>
        <w:tc>
          <w:tcPr>
            <w:tcW w:w="55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670DF7" w14:textId="77777777" w:rsidR="009F662A" w:rsidRPr="00E2771E" w:rsidRDefault="009F662A" w:rsidP="00F774FD">
            <w:pPr>
              <w:pStyle w:val="In-tableHeading"/>
              <w:keepNext w:val="0"/>
              <w:jc w:val="center"/>
            </w:pPr>
            <w:r w:rsidRPr="00E2771E">
              <w:t>SD</w:t>
            </w:r>
          </w:p>
        </w:tc>
        <w:tc>
          <w:tcPr>
            <w:tcW w:w="1305" w:type="pct"/>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8FBA76" w14:textId="77777777" w:rsidR="009F662A" w:rsidRPr="00E2771E" w:rsidRDefault="009F662A" w:rsidP="00F774FD">
            <w:pPr>
              <w:keepLines/>
              <w:jc w:val="center"/>
              <w:rPr>
                <w:rFonts w:ascii="Arial Narrow" w:hAnsi="Arial Narrow"/>
                <w:b/>
                <w:sz w:val="20"/>
                <w:szCs w:val="18"/>
              </w:rPr>
            </w:pPr>
          </w:p>
        </w:tc>
      </w:tr>
      <w:tr w:rsidR="009F662A" w:rsidRPr="00E2771E" w14:paraId="7E0F1F74" w14:textId="77777777" w:rsidTr="009F662A">
        <w:trPr>
          <w:cantSplit/>
        </w:trPr>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6F70E1" w14:textId="77777777" w:rsidR="009F662A" w:rsidRPr="00E2771E" w:rsidRDefault="009F662A" w:rsidP="00F774FD">
            <w:pPr>
              <w:pStyle w:val="TableText0"/>
              <w:keepNext w:val="0"/>
            </w:pPr>
            <w:r>
              <w:t>Post exercise LVOT peak gradient (mmHg)</w:t>
            </w:r>
          </w:p>
        </w:tc>
        <w:tc>
          <w:tcPr>
            <w:tcW w:w="24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4A2182" w14:textId="77777777" w:rsidR="009F662A" w:rsidRPr="00E2771E" w:rsidRDefault="009F662A" w:rsidP="00F774FD">
            <w:pPr>
              <w:pStyle w:val="TableText0"/>
              <w:keepNext w:val="0"/>
              <w:jc w:val="center"/>
            </w:pPr>
            <w:r>
              <w:t>117</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F453CB" w14:textId="77777777" w:rsidR="009F662A" w:rsidRPr="00E2771E" w:rsidRDefault="009F662A" w:rsidP="00F774FD">
            <w:pPr>
              <w:pStyle w:val="TableText0"/>
              <w:keepNext w:val="0"/>
              <w:jc w:val="center"/>
            </w:pPr>
            <w:r>
              <w:t>-47</w:t>
            </w:r>
          </w:p>
        </w:tc>
        <w:tc>
          <w:tcPr>
            <w:tcW w:w="5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3F44DF" w14:textId="77777777" w:rsidR="009F662A" w:rsidRPr="00E2771E" w:rsidRDefault="009F662A" w:rsidP="00F774FD">
            <w:pPr>
              <w:pStyle w:val="TableText0"/>
              <w:keepNext w:val="0"/>
              <w:jc w:val="center"/>
            </w:pPr>
            <w:r>
              <w:t>40.3</w:t>
            </w:r>
          </w:p>
        </w:tc>
        <w:tc>
          <w:tcPr>
            <w:tcW w:w="4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20CB5" w14:textId="77777777" w:rsidR="009F662A" w:rsidRPr="00E2771E" w:rsidRDefault="009F662A" w:rsidP="00F774FD">
            <w:pPr>
              <w:pStyle w:val="TableText0"/>
              <w:keepNext w:val="0"/>
              <w:jc w:val="center"/>
            </w:pPr>
            <w:r>
              <w:t>122</w:t>
            </w:r>
          </w:p>
        </w:tc>
        <w:tc>
          <w:tcPr>
            <w:tcW w:w="55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EE5299" w14:textId="77777777" w:rsidR="009F662A" w:rsidRPr="00E2771E" w:rsidRDefault="009F662A" w:rsidP="00F774FD">
            <w:pPr>
              <w:pStyle w:val="TableText0"/>
              <w:keepNext w:val="0"/>
              <w:jc w:val="center"/>
            </w:pPr>
            <w:r w:rsidRPr="00E2771E">
              <w:t>-0.30</w:t>
            </w:r>
          </w:p>
        </w:tc>
        <w:tc>
          <w:tcPr>
            <w:tcW w:w="55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E37F10" w14:textId="77777777" w:rsidR="009F662A" w:rsidRPr="00E2771E" w:rsidRDefault="009F662A" w:rsidP="00F774FD">
            <w:pPr>
              <w:pStyle w:val="TableText0"/>
              <w:keepNext w:val="0"/>
              <w:jc w:val="center"/>
            </w:pPr>
            <w:r>
              <w:t>29.6</w:t>
            </w:r>
          </w:p>
        </w:tc>
        <w:tc>
          <w:tcPr>
            <w:tcW w:w="130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8E6D98" w14:textId="77777777" w:rsidR="009F662A" w:rsidRPr="007C7BFF" w:rsidRDefault="009F662A" w:rsidP="00F774FD">
            <w:pPr>
              <w:pStyle w:val="TableText0"/>
              <w:keepNext w:val="0"/>
              <w:jc w:val="center"/>
              <w:rPr>
                <w:b/>
              </w:rPr>
            </w:pPr>
            <w:r w:rsidRPr="007C7BFF">
              <w:rPr>
                <w:b/>
                <w:color w:val="000000"/>
                <w:lang w:val="en-US"/>
              </w:rPr>
              <w:t>-35 (-43.2, -28.1)</w:t>
            </w:r>
          </w:p>
        </w:tc>
      </w:tr>
      <w:tr w:rsidR="009F662A" w:rsidRPr="00E2771E" w14:paraId="382EB627" w14:textId="77777777" w:rsidTr="009F662A">
        <w:trPr>
          <w:cantSplit/>
        </w:trPr>
        <w:tc>
          <w:tcPr>
            <w:tcW w:w="784"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2536B109" w14:textId="77777777" w:rsidR="009F662A" w:rsidRPr="003949CA" w:rsidRDefault="009F662A" w:rsidP="00F774FD">
            <w:pPr>
              <w:pStyle w:val="TableText0"/>
              <w:keepNext w:val="0"/>
            </w:pPr>
            <w:r>
              <w:lastRenderedPageBreak/>
              <w:t>Peak oxygen consumption (pVO</w:t>
            </w:r>
            <w:r>
              <w:rPr>
                <w:vertAlign w:val="subscript"/>
              </w:rPr>
              <w:t>2</w:t>
            </w:r>
            <w:r>
              <w:t>)</w:t>
            </w:r>
          </w:p>
        </w:tc>
        <w:tc>
          <w:tcPr>
            <w:tcW w:w="241"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3E325E8B" w14:textId="77777777" w:rsidR="009F662A" w:rsidRPr="00E2771E" w:rsidRDefault="009F662A" w:rsidP="00F774FD">
            <w:pPr>
              <w:pStyle w:val="TableText0"/>
              <w:keepNext w:val="0"/>
              <w:jc w:val="center"/>
            </w:pPr>
            <w:r>
              <w:t>120</w:t>
            </w:r>
          </w:p>
        </w:tc>
        <w:tc>
          <w:tcPr>
            <w:tcW w:w="547"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2D61BDC8" w14:textId="77777777" w:rsidR="009F662A" w:rsidRPr="00E2771E" w:rsidRDefault="009F662A" w:rsidP="00F774FD">
            <w:pPr>
              <w:pStyle w:val="TableText0"/>
              <w:keepNext w:val="0"/>
              <w:jc w:val="center"/>
            </w:pPr>
            <w:r>
              <w:t>1.4</w:t>
            </w:r>
          </w:p>
        </w:tc>
        <w:tc>
          <w:tcPr>
            <w:tcW w:w="557"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19BA7FD8" w14:textId="77777777" w:rsidR="009F662A" w:rsidRPr="00E2771E" w:rsidRDefault="009F662A" w:rsidP="00F774FD">
            <w:pPr>
              <w:pStyle w:val="TableText0"/>
              <w:keepNext w:val="0"/>
              <w:jc w:val="center"/>
            </w:pPr>
            <w:r>
              <w:t>3.12</w:t>
            </w:r>
          </w:p>
        </w:tc>
        <w:tc>
          <w:tcPr>
            <w:tcW w:w="465"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22C7414F" w14:textId="77777777" w:rsidR="009F662A" w:rsidRPr="00E2771E" w:rsidRDefault="009F662A" w:rsidP="00F774FD">
            <w:pPr>
              <w:pStyle w:val="TableText0"/>
              <w:keepNext w:val="0"/>
              <w:jc w:val="center"/>
            </w:pPr>
            <w:r>
              <w:t>125</w:t>
            </w:r>
          </w:p>
        </w:tc>
        <w:tc>
          <w:tcPr>
            <w:tcW w:w="551"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5121443F" w14:textId="77777777" w:rsidR="009F662A" w:rsidRPr="00E2771E" w:rsidRDefault="009F662A" w:rsidP="00F774FD">
            <w:pPr>
              <w:pStyle w:val="TableText0"/>
              <w:keepNext w:val="0"/>
              <w:jc w:val="center"/>
            </w:pPr>
            <w:r>
              <w:t>-0.05</w:t>
            </w:r>
          </w:p>
        </w:tc>
        <w:tc>
          <w:tcPr>
            <w:tcW w:w="550"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044408D8" w14:textId="77777777" w:rsidR="009F662A" w:rsidRPr="00E2771E" w:rsidRDefault="009F662A" w:rsidP="00F774FD">
            <w:pPr>
              <w:pStyle w:val="TableText0"/>
              <w:keepNext w:val="0"/>
              <w:jc w:val="center"/>
            </w:pPr>
            <w:r>
              <w:t>3.02</w:t>
            </w:r>
          </w:p>
        </w:tc>
        <w:tc>
          <w:tcPr>
            <w:tcW w:w="1305"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411405C9" w14:textId="77777777" w:rsidR="009F662A" w:rsidRPr="007C7BFF" w:rsidRDefault="009F662A" w:rsidP="00F774FD">
            <w:pPr>
              <w:pStyle w:val="TableText0"/>
              <w:keepNext w:val="0"/>
              <w:jc w:val="center"/>
              <w:rPr>
                <w:b/>
              </w:rPr>
            </w:pPr>
            <w:r w:rsidRPr="007C7BFF">
              <w:rPr>
                <w:b/>
                <w:color w:val="000000"/>
                <w:lang w:val="en-US"/>
              </w:rPr>
              <w:t>1.4 (0.59, 2.12)</w:t>
            </w:r>
          </w:p>
        </w:tc>
      </w:tr>
      <w:tr w:rsidR="009F662A" w:rsidRPr="00E2771E" w14:paraId="1A65AD5E" w14:textId="77777777" w:rsidTr="009F662A">
        <w:trPr>
          <w:cantSplit/>
        </w:trPr>
        <w:tc>
          <w:tcPr>
            <w:tcW w:w="5000" w:type="pct"/>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0ED09B" w14:textId="77777777" w:rsidR="009F662A" w:rsidRPr="004B5317" w:rsidRDefault="009F662A" w:rsidP="00F774FD">
            <w:pPr>
              <w:pStyle w:val="In-tableHeading"/>
              <w:keepNext w:val="0"/>
              <w:rPr>
                <w:color w:val="000000"/>
              </w:rPr>
            </w:pPr>
            <w:r w:rsidRPr="00FF1104">
              <w:t>Categorical outcomes: NYHA class: proportion reduced from baseline to Week 30</w:t>
            </w:r>
            <w:r>
              <w:rPr>
                <w:color w:val="000000"/>
              </w:rPr>
              <w:t xml:space="preserve"> </w:t>
            </w:r>
          </w:p>
        </w:tc>
      </w:tr>
      <w:tr w:rsidR="009F662A" w:rsidRPr="00E2771E" w14:paraId="0038A86B" w14:textId="77777777" w:rsidTr="009F662A">
        <w:trPr>
          <w:cantSplit/>
        </w:trPr>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8A7B8" w14:textId="77777777" w:rsidR="009F662A" w:rsidRPr="00E2771E" w:rsidDel="003949CA" w:rsidRDefault="009F662A" w:rsidP="00F774FD">
            <w:pPr>
              <w:pStyle w:val="TableText0"/>
              <w:keepNext w:val="0"/>
            </w:pPr>
          </w:p>
        </w:tc>
        <w:tc>
          <w:tcPr>
            <w:tcW w:w="1345"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71D01" w14:textId="77777777" w:rsidR="009F662A" w:rsidRPr="00FF1104" w:rsidDel="003949CA" w:rsidRDefault="009F662A" w:rsidP="00F774FD">
            <w:pPr>
              <w:pStyle w:val="TableText0"/>
              <w:keepNext w:val="0"/>
              <w:jc w:val="center"/>
              <w:rPr>
                <w:b/>
              </w:rPr>
            </w:pPr>
            <w:r w:rsidRPr="00FF1104">
              <w:rPr>
                <w:b/>
              </w:rPr>
              <w:t xml:space="preserve">Mavacamten </w:t>
            </w:r>
          </w:p>
        </w:tc>
        <w:tc>
          <w:tcPr>
            <w:tcW w:w="1566"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F07D10" w14:textId="77777777" w:rsidR="009F662A" w:rsidRPr="00FF1104" w:rsidDel="003949CA" w:rsidRDefault="009F662A" w:rsidP="00F774FD">
            <w:pPr>
              <w:pStyle w:val="TableText0"/>
              <w:keepNext w:val="0"/>
              <w:jc w:val="center"/>
              <w:rPr>
                <w:b/>
              </w:rPr>
            </w:pPr>
            <w:r w:rsidRPr="00FF1104">
              <w:rPr>
                <w:b/>
              </w:rPr>
              <w:t>Placebo</w:t>
            </w:r>
          </w:p>
        </w:tc>
        <w:tc>
          <w:tcPr>
            <w:tcW w:w="130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FAB683" w14:textId="77777777" w:rsidR="009F662A" w:rsidRPr="00CB1F05" w:rsidRDefault="009F662A" w:rsidP="00F774FD">
            <w:pPr>
              <w:pStyle w:val="TableText0"/>
              <w:keepNext w:val="0"/>
              <w:jc w:val="center"/>
              <w:rPr>
                <w:b/>
                <w:color w:val="000000"/>
                <w:lang w:val="en-US"/>
              </w:rPr>
            </w:pPr>
            <w:r w:rsidRPr="00CB1F05">
              <w:rPr>
                <w:b/>
                <w:color w:val="000000"/>
                <w:lang w:val="en-US"/>
              </w:rPr>
              <w:t>RR (95%CI)</w:t>
            </w:r>
          </w:p>
        </w:tc>
      </w:tr>
      <w:tr w:rsidR="009F662A" w:rsidRPr="00BF5BC7" w14:paraId="08F5B50E" w14:textId="77777777" w:rsidTr="009F662A">
        <w:trPr>
          <w:cantSplit/>
        </w:trPr>
        <w:tc>
          <w:tcPr>
            <w:tcW w:w="784"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18A1C8D8" w14:textId="77777777" w:rsidR="009F662A" w:rsidRPr="00BF5BC7" w:rsidRDefault="009F662A" w:rsidP="00F774FD">
            <w:pPr>
              <w:pStyle w:val="TableText0"/>
              <w:keepNext w:val="0"/>
            </w:pPr>
            <w:r w:rsidRPr="00BF5BC7">
              <w:t>Downgraded ≥</w:t>
            </w:r>
            <w:r w:rsidR="00D068C7" w:rsidRPr="00BF5BC7">
              <w:t xml:space="preserve"> </w:t>
            </w:r>
            <w:r w:rsidRPr="00BF5BC7">
              <w:t>1 class</w:t>
            </w:r>
          </w:p>
        </w:tc>
        <w:tc>
          <w:tcPr>
            <w:tcW w:w="1345" w:type="pct"/>
            <w:gridSpan w:val="5"/>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11A2D440" w14:textId="77777777" w:rsidR="009F662A" w:rsidRPr="00BF5BC7" w:rsidRDefault="009F662A" w:rsidP="00F774FD">
            <w:pPr>
              <w:pStyle w:val="TableText0"/>
              <w:keepNext w:val="0"/>
              <w:jc w:val="center"/>
            </w:pPr>
            <w:r w:rsidRPr="00BF5BC7">
              <w:t>80/123 (65.0%)</w:t>
            </w:r>
          </w:p>
        </w:tc>
        <w:tc>
          <w:tcPr>
            <w:tcW w:w="1566" w:type="pct"/>
            <w:gridSpan w:val="5"/>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2EB54B90" w14:textId="77777777" w:rsidR="009F662A" w:rsidRPr="00BF5BC7" w:rsidRDefault="009F662A" w:rsidP="00F774FD">
            <w:pPr>
              <w:pStyle w:val="TableText0"/>
              <w:keepNext w:val="0"/>
              <w:jc w:val="center"/>
            </w:pPr>
            <w:r w:rsidRPr="00BF5BC7">
              <w:t>40/128 (31.3%)</w:t>
            </w:r>
          </w:p>
        </w:tc>
        <w:tc>
          <w:tcPr>
            <w:tcW w:w="1305"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7C2094B4" w14:textId="77777777" w:rsidR="009F662A" w:rsidRPr="00BF5BC7" w:rsidRDefault="009F662A" w:rsidP="00F774FD">
            <w:pPr>
              <w:pStyle w:val="TableText0"/>
              <w:keepNext w:val="0"/>
              <w:jc w:val="center"/>
              <w:rPr>
                <w:b/>
                <w:color w:val="000000"/>
                <w:lang w:val="en-US"/>
              </w:rPr>
            </w:pPr>
            <w:r w:rsidRPr="00BF5BC7">
              <w:rPr>
                <w:b/>
                <w:color w:val="000000"/>
                <w:lang w:val="en-US"/>
              </w:rPr>
              <w:t>2.08 (1.56, 2.78)</w:t>
            </w:r>
          </w:p>
        </w:tc>
      </w:tr>
      <w:tr w:rsidR="009F662A" w:rsidRPr="00E2771E" w14:paraId="1CCF598E" w14:textId="77777777" w:rsidTr="009F662A">
        <w:trPr>
          <w:cantSplit/>
        </w:trPr>
        <w:tc>
          <w:tcPr>
            <w:tcW w:w="5000" w:type="pct"/>
            <w:gridSpan w:val="13"/>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552F90B5" w14:textId="77777777" w:rsidR="009F662A" w:rsidRPr="00E2771E" w:rsidRDefault="009F662A" w:rsidP="00F774FD">
            <w:pPr>
              <w:pStyle w:val="In-tableHeading"/>
              <w:keepNext w:val="0"/>
            </w:pPr>
            <w:r w:rsidRPr="00E2771E">
              <w:t xml:space="preserve">Harms </w:t>
            </w:r>
          </w:p>
        </w:tc>
      </w:tr>
      <w:tr w:rsidR="009F662A" w:rsidRPr="00E2771E" w14:paraId="175726E7" w14:textId="77777777" w:rsidTr="009F662A">
        <w:trPr>
          <w:cantSplit/>
          <w:trHeight w:val="70"/>
        </w:trPr>
        <w:tc>
          <w:tcPr>
            <w:tcW w:w="78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AB6258" w14:textId="77777777" w:rsidR="009F662A" w:rsidRPr="00E2771E" w:rsidRDefault="009F662A" w:rsidP="00F774FD">
            <w:pPr>
              <w:pStyle w:val="In-tableHeading"/>
              <w:keepNext w:val="0"/>
            </w:pPr>
          </w:p>
        </w:tc>
        <w:tc>
          <w:tcPr>
            <w:tcW w:w="629"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E8A7EE" w14:textId="77777777" w:rsidR="009F662A" w:rsidRDefault="009F662A" w:rsidP="00F774FD">
            <w:pPr>
              <w:pStyle w:val="In-tableHeading"/>
              <w:keepNext w:val="0"/>
              <w:jc w:val="center"/>
            </w:pPr>
            <w:r>
              <w:t>Mavacamten</w:t>
            </w:r>
          </w:p>
          <w:p w14:paraId="5E7F26C2" w14:textId="77777777" w:rsidR="009F662A" w:rsidRPr="00E2771E" w:rsidRDefault="009F662A" w:rsidP="00F774FD">
            <w:pPr>
              <w:pStyle w:val="In-tableHeading"/>
              <w:keepNext w:val="0"/>
              <w:jc w:val="center"/>
            </w:pPr>
            <w:r>
              <w:t>n/N</w:t>
            </w:r>
          </w:p>
        </w:tc>
        <w:tc>
          <w:tcPr>
            <w:tcW w:w="570"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FEBD63" w14:textId="77777777" w:rsidR="009F662A" w:rsidRDefault="009F662A" w:rsidP="00F774FD">
            <w:pPr>
              <w:pStyle w:val="In-tableHeading"/>
              <w:keepNext w:val="0"/>
              <w:jc w:val="center"/>
            </w:pPr>
            <w:r>
              <w:t>Placebo</w:t>
            </w:r>
          </w:p>
          <w:p w14:paraId="1DB461CC" w14:textId="77777777" w:rsidR="009F662A" w:rsidRPr="00E2771E" w:rsidRDefault="009F662A" w:rsidP="00F774FD">
            <w:pPr>
              <w:pStyle w:val="In-tableHeading"/>
              <w:keepNext w:val="0"/>
              <w:jc w:val="center"/>
            </w:pPr>
            <w:r>
              <w:t>n/N</w:t>
            </w:r>
          </w:p>
        </w:tc>
        <w:tc>
          <w:tcPr>
            <w:tcW w:w="862" w:type="pct"/>
            <w:gridSpan w:val="3"/>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1898FD" w14:textId="77777777" w:rsidR="009F662A" w:rsidRPr="00E2771E" w:rsidRDefault="009F662A" w:rsidP="00F774FD">
            <w:pPr>
              <w:pStyle w:val="In-tableHeading"/>
              <w:keepNext w:val="0"/>
              <w:jc w:val="center"/>
            </w:pPr>
            <w:r w:rsidRPr="00E2771E">
              <w:t>RR</w:t>
            </w:r>
          </w:p>
          <w:p w14:paraId="46B1FF7F" w14:textId="77777777" w:rsidR="009F662A" w:rsidRPr="00E2771E" w:rsidRDefault="009F662A" w:rsidP="00F774FD">
            <w:pPr>
              <w:pStyle w:val="In-tableHeading"/>
              <w:keepNext w:val="0"/>
              <w:jc w:val="center"/>
            </w:pPr>
            <w:r w:rsidRPr="00E2771E">
              <w:t>(95% CI)</w:t>
            </w:r>
          </w:p>
        </w:tc>
        <w:tc>
          <w:tcPr>
            <w:tcW w:w="1305"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A37FF5" w14:textId="69D1FF17" w:rsidR="009F662A" w:rsidRPr="00E2771E" w:rsidRDefault="009F662A" w:rsidP="00F774FD">
            <w:pPr>
              <w:pStyle w:val="In-tableHeading"/>
              <w:keepNext w:val="0"/>
              <w:jc w:val="center"/>
            </w:pPr>
            <w:r w:rsidRPr="00E2771E">
              <w:t>Event rate/100 patients</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70A528" w14:textId="77777777" w:rsidR="009F662A" w:rsidRPr="00E2771E" w:rsidRDefault="009F662A" w:rsidP="00F774FD">
            <w:pPr>
              <w:pStyle w:val="In-tableHeading"/>
              <w:keepNext w:val="0"/>
              <w:jc w:val="center"/>
            </w:pPr>
            <w:r w:rsidRPr="00E2771E">
              <w:t>RD</w:t>
            </w:r>
          </w:p>
          <w:p w14:paraId="687CD07C" w14:textId="77777777" w:rsidR="009F662A" w:rsidRPr="00E2771E" w:rsidRDefault="009F662A" w:rsidP="00F774FD">
            <w:pPr>
              <w:pStyle w:val="In-tableHeading"/>
              <w:keepNext w:val="0"/>
              <w:jc w:val="center"/>
            </w:pPr>
            <w:r w:rsidRPr="00E2771E">
              <w:t>(95% CI)</w:t>
            </w:r>
          </w:p>
        </w:tc>
      </w:tr>
      <w:tr w:rsidR="009F662A" w:rsidRPr="00E2771E" w14:paraId="6E82F139" w14:textId="77777777" w:rsidTr="009F662A">
        <w:trPr>
          <w:cantSplit/>
          <w:trHeight w:val="390"/>
        </w:trPr>
        <w:tc>
          <w:tcPr>
            <w:tcW w:w="784"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7C1715" w14:textId="77777777" w:rsidR="009F662A" w:rsidRPr="00E2771E" w:rsidRDefault="009F662A" w:rsidP="00F774FD">
            <w:pPr>
              <w:pStyle w:val="In-tableHeading"/>
              <w:keepNext w:val="0"/>
            </w:pPr>
          </w:p>
        </w:tc>
        <w:tc>
          <w:tcPr>
            <w:tcW w:w="629" w:type="pct"/>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8E25B9" w14:textId="77777777" w:rsidR="009F662A" w:rsidRPr="00E2771E" w:rsidRDefault="009F662A" w:rsidP="00F774FD">
            <w:pPr>
              <w:pStyle w:val="In-tableHeading"/>
              <w:keepNext w:val="0"/>
            </w:pPr>
          </w:p>
        </w:tc>
        <w:tc>
          <w:tcPr>
            <w:tcW w:w="570" w:type="pct"/>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9DA4F" w14:textId="77777777" w:rsidR="009F662A" w:rsidRPr="00E2771E" w:rsidRDefault="009F662A" w:rsidP="00F774FD">
            <w:pPr>
              <w:pStyle w:val="In-tableHeading"/>
              <w:keepNext w:val="0"/>
            </w:pPr>
          </w:p>
        </w:tc>
        <w:tc>
          <w:tcPr>
            <w:tcW w:w="862" w:type="pct"/>
            <w:gridSpan w:val="3"/>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48FA12" w14:textId="77777777" w:rsidR="009F662A" w:rsidRPr="00E2771E" w:rsidRDefault="009F662A" w:rsidP="00F774FD">
            <w:pPr>
              <w:pStyle w:val="In-tableHeading"/>
              <w:keepNext w:val="0"/>
            </w:pPr>
          </w:p>
        </w:tc>
        <w:tc>
          <w:tcPr>
            <w:tcW w:w="67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AE3132" w14:textId="77777777" w:rsidR="009F662A" w:rsidRPr="00E2771E" w:rsidRDefault="009F662A" w:rsidP="00F774FD">
            <w:pPr>
              <w:pStyle w:val="In-tableHeading"/>
              <w:keepNext w:val="0"/>
              <w:jc w:val="center"/>
            </w:pPr>
            <w:r>
              <w:t>Mavacamten</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A22EE5" w14:textId="77777777" w:rsidR="009F662A" w:rsidRPr="00E2771E" w:rsidRDefault="009F662A" w:rsidP="00F774FD">
            <w:pPr>
              <w:pStyle w:val="In-tableHeading"/>
              <w:keepNext w:val="0"/>
              <w:jc w:val="center"/>
            </w:pPr>
            <w:r>
              <w:t>Placebo</w:t>
            </w:r>
          </w:p>
        </w:tc>
        <w:tc>
          <w:tcPr>
            <w:tcW w:w="85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EDD7F6" w14:textId="77777777" w:rsidR="009F662A" w:rsidRPr="00E2771E" w:rsidRDefault="009F662A" w:rsidP="00F774FD">
            <w:pPr>
              <w:pStyle w:val="In-tableHeading"/>
              <w:keepNext w:val="0"/>
            </w:pPr>
          </w:p>
        </w:tc>
      </w:tr>
      <w:tr w:rsidR="009F662A" w:rsidRPr="00E2771E" w14:paraId="6429D82A" w14:textId="77777777" w:rsidTr="009F662A">
        <w:trPr>
          <w:cantSplit/>
        </w:trPr>
        <w:tc>
          <w:tcPr>
            <w:tcW w:w="5000" w:type="pct"/>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D1776" w14:textId="77777777" w:rsidR="009F662A" w:rsidRPr="00E2771E" w:rsidRDefault="009F662A" w:rsidP="00F774FD">
            <w:pPr>
              <w:pStyle w:val="In-tableHeading"/>
              <w:keepNext w:val="0"/>
              <w:jc w:val="both"/>
            </w:pPr>
            <w:r w:rsidRPr="00E2771E">
              <w:t xml:space="preserve">Adverse event </w:t>
            </w:r>
            <w:r>
              <w:t>between baseline and Week 30</w:t>
            </w:r>
          </w:p>
        </w:tc>
      </w:tr>
      <w:tr w:rsidR="009F662A" w:rsidRPr="00BF5BC7" w14:paraId="3ED02321" w14:textId="77777777" w:rsidTr="009F662A">
        <w:trPr>
          <w:cantSplit/>
        </w:trPr>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56BC58" w14:textId="77777777" w:rsidR="009F662A" w:rsidRPr="00BF5BC7" w:rsidRDefault="009F662A" w:rsidP="00F774FD">
            <w:pPr>
              <w:pStyle w:val="TableText0"/>
              <w:keepNext w:val="0"/>
            </w:pPr>
            <w:r w:rsidRPr="00BF5BC7">
              <w:t>Patients with ≥</w:t>
            </w:r>
            <w:r w:rsidR="00D068C7" w:rsidRPr="00BF5BC7">
              <w:t xml:space="preserve"> </w:t>
            </w:r>
            <w:r w:rsidRPr="00BF5BC7">
              <w:t>1 TEAE</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8443D2" w14:textId="77777777" w:rsidR="009F662A" w:rsidRPr="00BF5BC7" w:rsidRDefault="009F662A" w:rsidP="00F774FD">
            <w:pPr>
              <w:pStyle w:val="TableText0"/>
              <w:keepNext w:val="0"/>
              <w:jc w:val="center"/>
            </w:pPr>
            <w:r w:rsidRPr="00BF5BC7">
              <w:t>108/123</w:t>
            </w:r>
          </w:p>
        </w:tc>
        <w:tc>
          <w:tcPr>
            <w:tcW w:w="57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2AD6E9" w14:textId="77777777" w:rsidR="009F662A" w:rsidRPr="00BF5BC7" w:rsidRDefault="009F662A" w:rsidP="00F774FD">
            <w:pPr>
              <w:pStyle w:val="TableText0"/>
              <w:keepNext w:val="0"/>
              <w:jc w:val="center"/>
            </w:pPr>
            <w:r w:rsidRPr="00BF5BC7">
              <w:t>101/128</w:t>
            </w:r>
          </w:p>
        </w:tc>
        <w:tc>
          <w:tcPr>
            <w:tcW w:w="862"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8379CC" w14:textId="77777777" w:rsidR="009F662A" w:rsidRPr="00BF5BC7" w:rsidRDefault="009F662A" w:rsidP="00F774FD">
            <w:pPr>
              <w:pStyle w:val="TableText0"/>
              <w:keepNext w:val="0"/>
              <w:jc w:val="center"/>
            </w:pPr>
            <w:r w:rsidRPr="00BF5BC7">
              <w:t>1.11 (1.00, 1.24)</w:t>
            </w:r>
          </w:p>
        </w:tc>
        <w:tc>
          <w:tcPr>
            <w:tcW w:w="67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E42FB9" w14:textId="77777777" w:rsidR="009F662A" w:rsidRPr="00BF5BC7" w:rsidRDefault="009F662A" w:rsidP="00F774FD">
            <w:pPr>
              <w:pStyle w:val="TableText0"/>
              <w:keepNext w:val="0"/>
              <w:jc w:val="center"/>
            </w:pPr>
            <w:r w:rsidRPr="00BF5BC7">
              <w:t>87.8</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0790EA" w14:textId="77777777" w:rsidR="009F662A" w:rsidRPr="00BF5BC7" w:rsidRDefault="009F662A" w:rsidP="00F774FD">
            <w:pPr>
              <w:pStyle w:val="TableText0"/>
              <w:keepNext w:val="0"/>
              <w:jc w:val="center"/>
            </w:pPr>
            <w:r w:rsidRPr="00BF5BC7">
              <w:t>78.9</w:t>
            </w:r>
          </w:p>
        </w:tc>
        <w:tc>
          <w:tcPr>
            <w:tcW w:w="85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4F5081" w14:textId="77777777" w:rsidR="009F662A" w:rsidRPr="00BF5BC7" w:rsidRDefault="009F662A" w:rsidP="00F774FD">
            <w:pPr>
              <w:pStyle w:val="TableText0"/>
              <w:keepNext w:val="0"/>
              <w:jc w:val="center"/>
            </w:pPr>
            <w:r w:rsidRPr="00BF5BC7">
              <w:t>8.9 (-0.27, 18.07)</w:t>
            </w:r>
          </w:p>
        </w:tc>
      </w:tr>
      <w:tr w:rsidR="009F662A" w:rsidRPr="00BF5BC7" w14:paraId="36F3BE07" w14:textId="77777777" w:rsidTr="009F662A">
        <w:trPr>
          <w:cantSplit/>
          <w:trHeight w:val="396"/>
        </w:trPr>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E080A7" w14:textId="77777777" w:rsidR="009F662A" w:rsidRPr="00BF5BC7" w:rsidRDefault="009F662A" w:rsidP="00F774FD">
            <w:pPr>
              <w:pStyle w:val="TableText0"/>
              <w:keepNext w:val="0"/>
            </w:pPr>
            <w:r w:rsidRPr="00BF5BC7">
              <w:t>Patients with serious TEAE</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B47470" w14:textId="77777777" w:rsidR="009F662A" w:rsidRPr="00BF5BC7" w:rsidRDefault="009F662A" w:rsidP="00F774FD">
            <w:pPr>
              <w:pStyle w:val="TableText0"/>
              <w:keepNext w:val="0"/>
              <w:jc w:val="center"/>
            </w:pPr>
            <w:r w:rsidRPr="00BF5BC7">
              <w:t>14/123</w:t>
            </w:r>
          </w:p>
        </w:tc>
        <w:tc>
          <w:tcPr>
            <w:tcW w:w="57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E3CA80" w14:textId="77777777" w:rsidR="009F662A" w:rsidRPr="00BF5BC7" w:rsidRDefault="009F662A" w:rsidP="00F774FD">
            <w:pPr>
              <w:pStyle w:val="TableText0"/>
              <w:keepNext w:val="0"/>
              <w:jc w:val="center"/>
            </w:pPr>
            <w:r w:rsidRPr="00BF5BC7">
              <w:t>12/128</w:t>
            </w:r>
          </w:p>
        </w:tc>
        <w:tc>
          <w:tcPr>
            <w:tcW w:w="862"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DC53DC" w14:textId="77777777" w:rsidR="009F662A" w:rsidRPr="00BF5BC7" w:rsidRDefault="009F662A" w:rsidP="00F774FD">
            <w:pPr>
              <w:pStyle w:val="TableText0"/>
              <w:keepNext w:val="0"/>
              <w:jc w:val="center"/>
            </w:pPr>
            <w:r w:rsidRPr="00BF5BC7">
              <w:t>1.21 (0.58, 2.52)</w:t>
            </w:r>
          </w:p>
        </w:tc>
        <w:tc>
          <w:tcPr>
            <w:tcW w:w="67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8A0414" w14:textId="77777777" w:rsidR="009F662A" w:rsidRPr="00BF5BC7" w:rsidRDefault="009F662A" w:rsidP="00F774FD">
            <w:pPr>
              <w:pStyle w:val="TableText0"/>
              <w:keepNext w:val="0"/>
              <w:jc w:val="center"/>
            </w:pPr>
            <w:r w:rsidRPr="00BF5BC7">
              <w:t>11.4</w:t>
            </w:r>
          </w:p>
        </w:tc>
        <w:tc>
          <w:tcPr>
            <w:tcW w:w="62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CB2EFC" w14:textId="77777777" w:rsidR="009F662A" w:rsidRPr="00BF5BC7" w:rsidRDefault="009F662A" w:rsidP="00F774FD">
            <w:pPr>
              <w:pStyle w:val="TableText0"/>
              <w:keepNext w:val="0"/>
              <w:jc w:val="center"/>
            </w:pPr>
            <w:r w:rsidRPr="00BF5BC7">
              <w:t>9.4</w:t>
            </w:r>
          </w:p>
        </w:tc>
        <w:tc>
          <w:tcPr>
            <w:tcW w:w="85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64A79" w14:textId="77777777" w:rsidR="009F662A" w:rsidRPr="00BF5BC7" w:rsidRDefault="009F662A" w:rsidP="00F774FD">
            <w:pPr>
              <w:pStyle w:val="TableText0"/>
              <w:keepNext w:val="0"/>
              <w:jc w:val="center"/>
            </w:pPr>
            <w:r w:rsidRPr="00BF5BC7">
              <w:t>2.00 (-5.53, 9.54)</w:t>
            </w:r>
          </w:p>
        </w:tc>
      </w:tr>
    </w:tbl>
    <w:p w14:paraId="3FCDE39E" w14:textId="77777777" w:rsidR="002D3743" w:rsidRPr="00842869" w:rsidRDefault="002D3743" w:rsidP="002D3743">
      <w:pPr>
        <w:pStyle w:val="FooterTableFigure"/>
      </w:pPr>
      <w:r>
        <w:t xml:space="preserve">Source: </w:t>
      </w:r>
      <w:r w:rsidRPr="00A1674F">
        <w:t>Ta</w:t>
      </w:r>
      <w:r>
        <w:t xml:space="preserve">ble 43 p101, </w:t>
      </w:r>
      <w:r w:rsidRPr="00D35C59">
        <w:rPr>
          <w:rFonts w:eastAsia="Calibri"/>
        </w:rPr>
        <w:t>T</w:t>
      </w:r>
      <w:r>
        <w:rPr>
          <w:rFonts w:eastAsia="Calibri"/>
        </w:rPr>
        <w:t xml:space="preserve">able 44 p102, </w:t>
      </w:r>
      <w:r>
        <w:t>Table 45 p103, Table 47 p106, Table 61 p127, T</w:t>
      </w:r>
      <w:r w:rsidRPr="00C72A7E">
        <w:t xml:space="preserve">able </w:t>
      </w:r>
      <w:r>
        <w:t xml:space="preserve">62, pp127-128 of the November 2022 submission. </w:t>
      </w:r>
    </w:p>
    <w:p w14:paraId="58A1EC67" w14:textId="77777777" w:rsidR="002A1598" w:rsidRPr="00AF3FD8" w:rsidRDefault="002A1598" w:rsidP="002A1598">
      <w:pPr>
        <w:pStyle w:val="FooterTableFigure"/>
        <w:rPr>
          <w:szCs w:val="24"/>
        </w:rPr>
      </w:pPr>
      <w:r w:rsidRPr="00B40358">
        <w:rPr>
          <w:rFonts w:eastAsia="Calibri"/>
        </w:rPr>
        <w:t xml:space="preserve">CI = confidence interval; </w:t>
      </w:r>
      <w:r w:rsidRPr="00501F1B">
        <w:rPr>
          <w:szCs w:val="18"/>
        </w:rPr>
        <w:t xml:space="preserve">LVOT = left ventricular outflow tract; </w:t>
      </w:r>
      <w:r w:rsidRPr="00B40358">
        <w:rPr>
          <w:rFonts w:eastAsia="Calibri"/>
        </w:rPr>
        <w:t>n = number of participants with event; N = total participants in group</w:t>
      </w:r>
      <w:r>
        <w:rPr>
          <w:rFonts w:eastAsia="Calibri"/>
        </w:rPr>
        <w:t xml:space="preserve">; </w:t>
      </w:r>
      <w:r w:rsidRPr="00A1674F">
        <w:rPr>
          <w:rFonts w:eastAsia="Calibri"/>
        </w:rPr>
        <w:t>NYHA = New York Heart Association, pVO</w:t>
      </w:r>
      <w:r w:rsidRPr="00BF2787">
        <w:rPr>
          <w:rFonts w:eastAsia="Calibri"/>
          <w:vertAlign w:val="subscript"/>
        </w:rPr>
        <w:t>2</w:t>
      </w:r>
      <w:r w:rsidRPr="00A1674F">
        <w:rPr>
          <w:rFonts w:eastAsia="Calibri"/>
        </w:rPr>
        <w:t xml:space="preserve"> = peak oxygen consumption</w:t>
      </w:r>
      <w:r>
        <w:rPr>
          <w:rFonts w:eastAsia="Calibri"/>
        </w:rPr>
        <w:t xml:space="preserve">; </w:t>
      </w:r>
      <w:r w:rsidRPr="0072416F">
        <w:t>RD = risk difference; RR = risk ratio</w:t>
      </w:r>
      <w:r>
        <w:t xml:space="preserve">; SD = standard deviation; </w:t>
      </w:r>
      <w:r w:rsidRPr="0058182C">
        <w:rPr>
          <w:szCs w:val="24"/>
        </w:rPr>
        <w:t>TEAE = treatment-emergent adverse event.</w:t>
      </w:r>
    </w:p>
    <w:p w14:paraId="56F71A9C" w14:textId="77777777" w:rsidR="002D3743" w:rsidRPr="00A1674F" w:rsidRDefault="002D3743" w:rsidP="002D3743">
      <w:pPr>
        <w:pStyle w:val="FooterTableFigure"/>
        <w:rPr>
          <w:rFonts w:eastAsia="Calibri"/>
        </w:rPr>
      </w:pPr>
      <w:r w:rsidRPr="00B83739">
        <w:rPr>
          <w:rFonts w:eastAsia="Calibri"/>
          <w:b/>
          <w:bCs/>
        </w:rPr>
        <w:t>Bold</w:t>
      </w:r>
      <w:r w:rsidRPr="00B83739">
        <w:rPr>
          <w:rFonts w:eastAsia="Calibri"/>
        </w:rPr>
        <w:t xml:space="preserve"> indicates statistically significant results.</w:t>
      </w:r>
    </w:p>
    <w:p w14:paraId="60C4C1CA" w14:textId="77777777" w:rsidR="002D3743" w:rsidRPr="00A1674F" w:rsidRDefault="002D3743" w:rsidP="002D3743">
      <w:pPr>
        <w:pStyle w:val="FooterTableFigure"/>
        <w:rPr>
          <w:rFonts w:eastAsia="Calibri"/>
        </w:rPr>
      </w:pPr>
      <w:proofErr w:type="spellStart"/>
      <w:r w:rsidRPr="00BF2787">
        <w:rPr>
          <w:vertAlign w:val="superscript"/>
        </w:rPr>
        <w:t>a</w:t>
      </w:r>
      <w:proofErr w:type="spellEnd"/>
      <w:r w:rsidRPr="00A1674F">
        <w:rPr>
          <w:rFonts w:eastAsia="Calibri"/>
        </w:rPr>
        <w:t xml:space="preserve"> </w:t>
      </w:r>
      <w:proofErr w:type="gramStart"/>
      <w:r w:rsidRPr="00A1674F">
        <w:rPr>
          <w:rFonts w:eastAsia="Calibri"/>
        </w:rPr>
        <w:t>The</w:t>
      </w:r>
      <w:proofErr w:type="gramEnd"/>
      <w:r w:rsidRPr="00A1674F">
        <w:rPr>
          <w:rFonts w:eastAsia="Calibri"/>
        </w:rPr>
        <w:t xml:space="preserve"> composite functional endpoint was defined as either: Type 1) an improvement of at least 1.5 mL/kg/min in pVO</w:t>
      </w:r>
      <w:r w:rsidRPr="008940B9">
        <w:rPr>
          <w:rFonts w:eastAsia="Calibri"/>
          <w:vertAlign w:val="subscript"/>
        </w:rPr>
        <w:t>2</w:t>
      </w:r>
      <w:r w:rsidRPr="00A1674F">
        <w:rPr>
          <w:rFonts w:eastAsia="Calibri"/>
        </w:rPr>
        <w:t xml:space="preserve"> and improvement of one or more NYHA class</w:t>
      </w:r>
      <w:r>
        <w:rPr>
          <w:rFonts w:eastAsia="Calibri"/>
        </w:rPr>
        <w:t>,</w:t>
      </w:r>
      <w:r w:rsidRPr="00A1674F">
        <w:rPr>
          <w:rFonts w:eastAsia="Calibri"/>
        </w:rPr>
        <w:t xml:space="preserve"> or Type 2) an improvement of at least 3.0 mL/kg/min in pVO</w:t>
      </w:r>
      <w:r w:rsidRPr="009B3AC2">
        <w:rPr>
          <w:rFonts w:eastAsia="Calibri"/>
          <w:vertAlign w:val="subscript"/>
        </w:rPr>
        <w:t>2</w:t>
      </w:r>
      <w:r w:rsidRPr="00A1674F">
        <w:rPr>
          <w:rFonts w:eastAsia="Calibri"/>
        </w:rPr>
        <w:t xml:space="preserve"> with no worsening in NYHA class, unless otherwise denoted. Missing NYHA class at Week 30 was imputed using available NYHA class at Week 26. After the imputation, the patients whose response status at Week 30 was still missing were classified as non-responders.</w:t>
      </w:r>
    </w:p>
    <w:p w14:paraId="774B4A88" w14:textId="77777777" w:rsidR="009F662A" w:rsidRDefault="002D3743" w:rsidP="0095723B">
      <w:pPr>
        <w:pStyle w:val="FooterTableFigure"/>
        <w:rPr>
          <w:rFonts w:eastAsia="Calibri"/>
        </w:rPr>
      </w:pPr>
      <w:r>
        <w:rPr>
          <w:rFonts w:eastAsia="Calibri"/>
          <w:vertAlign w:val="superscript"/>
        </w:rPr>
        <w:t>b</w:t>
      </w:r>
      <w:r w:rsidRPr="005518CE">
        <w:rPr>
          <w:rFonts w:eastAsia="Calibri"/>
        </w:rPr>
        <w:t xml:space="preserve"> These are the most stringent pVO</w:t>
      </w:r>
      <w:r w:rsidRPr="00363C1B">
        <w:rPr>
          <w:rFonts w:eastAsia="Calibri"/>
          <w:vertAlign w:val="subscript"/>
        </w:rPr>
        <w:t>2</w:t>
      </w:r>
      <w:r w:rsidRPr="005518CE">
        <w:rPr>
          <w:rFonts w:eastAsia="Calibri"/>
        </w:rPr>
        <w:t xml:space="preserve"> and NYHA class components of the composite functiona</w:t>
      </w:r>
      <w:r w:rsidR="00043F2B">
        <w:rPr>
          <w:rFonts w:eastAsia="Calibri"/>
        </w:rPr>
        <w:t>l</w:t>
      </w:r>
      <w:r w:rsidRPr="005518CE">
        <w:rPr>
          <w:rFonts w:eastAsia="Calibri"/>
        </w:rPr>
        <w:t xml:space="preserve"> endpoint</w:t>
      </w:r>
      <w:r>
        <w:rPr>
          <w:rFonts w:eastAsia="Calibri"/>
        </w:rPr>
        <w:t xml:space="preserve"> combined</w:t>
      </w:r>
      <w:r w:rsidRPr="00BF5BC7">
        <w:rPr>
          <w:rFonts w:eastAsia="Calibri"/>
        </w:rPr>
        <w:t xml:space="preserve"> and do not reflect either component 1 or component 2 of the composite functional endpoint</w:t>
      </w:r>
      <w:r w:rsidRPr="005518CE">
        <w:rPr>
          <w:rFonts w:eastAsia="Calibri"/>
        </w:rPr>
        <w:t>.</w:t>
      </w:r>
    </w:p>
    <w:p w14:paraId="1E772FAE" w14:textId="77777777" w:rsidR="00117DDB" w:rsidRDefault="00117DDB" w:rsidP="0095723B">
      <w:pPr>
        <w:pStyle w:val="FooterTableFigure"/>
        <w:rPr>
          <w:rFonts w:eastAsia="Calibri"/>
        </w:rPr>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5D6CEBD1" w14:textId="77777777" w:rsidR="008F1921" w:rsidRDefault="008F1921" w:rsidP="008F1921">
      <w:pPr>
        <w:pStyle w:val="3-BodyText"/>
      </w:pPr>
      <w:proofErr w:type="gramStart"/>
      <w:r>
        <w:t>On the basis of</w:t>
      </w:r>
      <w:proofErr w:type="gramEnd"/>
      <w:r>
        <w:t xml:space="preserve"> evidence presented by the submission</w:t>
      </w:r>
      <w:r w:rsidR="001221BE">
        <w:t xml:space="preserve"> from EXPLORER-HCM</w:t>
      </w:r>
      <w:r>
        <w:t xml:space="preserve">, for every 100 patients with symptomatic obstructive </w:t>
      </w:r>
      <w:r w:rsidR="007320A2">
        <w:t>HCM</w:t>
      </w:r>
      <w:r>
        <w:t xml:space="preserve"> treated with mavacamten ± BB/CCB in comparison with placebo ± BB/CCB over a 30 Week period:</w:t>
      </w:r>
    </w:p>
    <w:p w14:paraId="369FA750" w14:textId="249C94FA" w:rsidR="008F1921" w:rsidRDefault="008F1921" w:rsidP="00206BC1">
      <w:pPr>
        <w:pStyle w:val="ListParagraph"/>
        <w:numPr>
          <w:ilvl w:val="0"/>
          <w:numId w:val="3"/>
        </w:numPr>
        <w:ind w:left="1134"/>
      </w:pPr>
      <w:r w:rsidRPr="00184B0E">
        <w:t>Approximately</w:t>
      </w:r>
      <w:r>
        <w:t xml:space="preserve"> 19 additional patients will meet the composite functional endpoint. The endpoint was defined as either: (1) a small (at least 1.5 mL/kg/min in </w:t>
      </w:r>
      <w:r w:rsidRPr="00206BC1">
        <w:t>pVO</w:t>
      </w:r>
      <w:r w:rsidRPr="00363C1B">
        <w:rPr>
          <w:vertAlign w:val="subscript"/>
        </w:rPr>
        <w:t>2</w:t>
      </w:r>
      <w:r>
        <w:t xml:space="preserve">) improvement in the maximum amount of oxygen that an individual can utilise during intense or maximal exercise combined with an increase in the ability to do physical activities (shown by an improvement of NYHA class), or: (2) a larger (at least 3.0 mL/kg/min in </w:t>
      </w:r>
      <w:r w:rsidRPr="00206BC1">
        <w:t>pVO</w:t>
      </w:r>
      <w:r w:rsidRPr="00363C1B">
        <w:rPr>
          <w:vertAlign w:val="subscript"/>
        </w:rPr>
        <w:t>2</w:t>
      </w:r>
      <w:r>
        <w:t>) improvement in the maximum amount of oxygen that an individual can utilise during intense or maximal exercise, with no worsening in physical activities</w:t>
      </w:r>
      <w:r w:rsidR="00196B52">
        <w:t>.</w:t>
      </w:r>
    </w:p>
    <w:p w14:paraId="25E2819B" w14:textId="77777777" w:rsidR="008F1921" w:rsidRDefault="008F1921" w:rsidP="00206BC1">
      <w:pPr>
        <w:pStyle w:val="ListParagraph"/>
        <w:numPr>
          <w:ilvl w:val="0"/>
          <w:numId w:val="3"/>
        </w:numPr>
        <w:ind w:left="1134"/>
      </w:pPr>
      <w:r>
        <w:t xml:space="preserve">Approximately 13 additional patients will achieve a significant improvement in the maximum amount of oxygen that an individual can utilise during intense or maximal exercise (at least 3.0 mL/kg/min in </w:t>
      </w:r>
      <w:r w:rsidRPr="00A85EEE">
        <w:t>pVO</w:t>
      </w:r>
      <w:r w:rsidRPr="00363C1B">
        <w:rPr>
          <w:vertAlign w:val="subscript"/>
        </w:rPr>
        <w:t>2</w:t>
      </w:r>
      <w:r w:rsidRPr="00A85EEE">
        <w:t xml:space="preserve">) and </w:t>
      </w:r>
      <w:r>
        <w:t>an increase in the ability to do physical activities (shown by an improvement of NYHA class).</w:t>
      </w:r>
    </w:p>
    <w:p w14:paraId="7D92CD1B" w14:textId="74183859" w:rsidR="008F1921" w:rsidRPr="00B275CD" w:rsidRDefault="008F1921" w:rsidP="00206BC1">
      <w:pPr>
        <w:pStyle w:val="ListParagraph"/>
        <w:numPr>
          <w:ilvl w:val="0"/>
          <w:numId w:val="3"/>
        </w:numPr>
        <w:ind w:left="1134"/>
      </w:pPr>
      <w:r>
        <w:t>Approximately 34 additional patients would have a measurable improvement in the ability to do physical activities (shown by an improvement of NYHA class).</w:t>
      </w:r>
      <w:r w:rsidR="007C5E99">
        <w:t xml:space="preserve"> </w:t>
      </w:r>
    </w:p>
    <w:p w14:paraId="03D36EB0" w14:textId="77777777" w:rsidR="00636080" w:rsidRPr="00C9624D" w:rsidRDefault="00636080" w:rsidP="00636080">
      <w:pPr>
        <w:pStyle w:val="4-SubsectionHeading"/>
      </w:pPr>
      <w:bookmarkStart w:id="62" w:name="_Toc22897644"/>
      <w:bookmarkStart w:id="63" w:name="_Toc107927630"/>
      <w:bookmarkStart w:id="64" w:name="_Toc135223330"/>
      <w:r w:rsidRPr="00C9624D">
        <w:lastRenderedPageBreak/>
        <w:t>Clinical claim</w:t>
      </w:r>
      <w:bookmarkEnd w:id="62"/>
      <w:bookmarkEnd w:id="63"/>
      <w:bookmarkEnd w:id="64"/>
    </w:p>
    <w:p w14:paraId="12B85B8A" w14:textId="77777777" w:rsidR="002C24BB" w:rsidRDefault="00636080" w:rsidP="00636080">
      <w:pPr>
        <w:pStyle w:val="3-BodyText"/>
        <w:rPr>
          <w:rFonts w:eastAsia="Calibri"/>
        </w:rPr>
      </w:pPr>
      <w:r w:rsidRPr="005D6F6E">
        <w:rPr>
          <w:rFonts w:eastAsia="Calibri"/>
        </w:rPr>
        <w:t xml:space="preserve">The </w:t>
      </w:r>
      <w:r w:rsidR="007320A2">
        <w:rPr>
          <w:rFonts w:eastAsia="Calibri"/>
        </w:rPr>
        <w:t xml:space="preserve">resubmission </w:t>
      </w:r>
      <w:r w:rsidR="0062006E" w:rsidRPr="00CF7C44">
        <w:rPr>
          <w:rFonts w:eastAsia="Calibri"/>
        </w:rPr>
        <w:t xml:space="preserve">described mavacamten ± BB/CCB as superior in terms of effectiveness </w:t>
      </w:r>
      <w:r w:rsidR="00A03F74">
        <w:rPr>
          <w:rFonts w:eastAsia="Calibri"/>
        </w:rPr>
        <w:t xml:space="preserve">and </w:t>
      </w:r>
      <w:r w:rsidR="00A03F74" w:rsidRPr="00CF7C44">
        <w:rPr>
          <w:rFonts w:eastAsia="Calibri"/>
        </w:rPr>
        <w:t xml:space="preserve">inferior in terms of safety </w:t>
      </w:r>
      <w:r w:rsidR="0062006E" w:rsidRPr="00CF7C44">
        <w:rPr>
          <w:rFonts w:eastAsia="Calibri"/>
        </w:rPr>
        <w:t xml:space="preserve">compared to </w:t>
      </w:r>
      <w:r w:rsidR="00CF2D2E">
        <w:rPr>
          <w:rFonts w:eastAsia="Calibri"/>
        </w:rPr>
        <w:t>SOC</w:t>
      </w:r>
      <w:r w:rsidR="0062006E" w:rsidRPr="00CF7C44">
        <w:rPr>
          <w:rFonts w:eastAsia="Calibri"/>
        </w:rPr>
        <w:t xml:space="preserve"> alone (BB/CCB). </w:t>
      </w:r>
    </w:p>
    <w:p w14:paraId="49C799D4" w14:textId="21742B9B" w:rsidR="002C24BB" w:rsidRPr="002C24BB" w:rsidRDefault="00B3582B" w:rsidP="00636080">
      <w:pPr>
        <w:pStyle w:val="3-BodyText"/>
        <w:rPr>
          <w:rFonts w:eastAsia="Calibri"/>
        </w:rPr>
      </w:pPr>
      <w:r w:rsidRPr="00BF5BC7">
        <w:rPr>
          <w:iCs/>
        </w:rPr>
        <w:t xml:space="preserve">The therapeutic conclusion </w:t>
      </w:r>
      <w:r w:rsidR="00D436AE" w:rsidRPr="00BF5BC7">
        <w:rPr>
          <w:iCs/>
        </w:rPr>
        <w:t xml:space="preserve">for comparative effectiveness </w:t>
      </w:r>
      <w:r w:rsidRPr="00BF5BC7">
        <w:rPr>
          <w:iCs/>
        </w:rPr>
        <w:t xml:space="preserve">presented in the resubmission </w:t>
      </w:r>
      <w:r w:rsidR="00CF2D2E" w:rsidRPr="00BF5BC7">
        <w:rPr>
          <w:iCs/>
        </w:rPr>
        <w:t>wa</w:t>
      </w:r>
      <w:r w:rsidRPr="00BF5BC7">
        <w:rPr>
          <w:iCs/>
        </w:rPr>
        <w:t>s reasonable for the management of symptomatic outcomes pertaining to obstructive HCM.</w:t>
      </w:r>
      <w:r w:rsidR="000A7E9C" w:rsidRPr="00BF5BC7">
        <w:rPr>
          <w:iCs/>
        </w:rPr>
        <w:t xml:space="preserve"> The PBAC </w:t>
      </w:r>
      <w:r w:rsidR="00E36887" w:rsidRPr="00BF5BC7">
        <w:rPr>
          <w:iCs/>
        </w:rPr>
        <w:t xml:space="preserve">previously noted that EXPLORER-HCM </w:t>
      </w:r>
      <w:r w:rsidR="00CC3BF7" w:rsidRPr="00BF5BC7">
        <w:rPr>
          <w:iCs/>
        </w:rPr>
        <w:t>was a small trial</w:t>
      </w:r>
      <w:r w:rsidR="000470D4" w:rsidRPr="00BF5BC7">
        <w:rPr>
          <w:iCs/>
        </w:rPr>
        <w:t xml:space="preserve"> (N=251) with a short duration of comparative follow up </w:t>
      </w:r>
      <w:r w:rsidR="006C6CB9" w:rsidRPr="00BF5BC7">
        <w:rPr>
          <w:iCs/>
        </w:rPr>
        <w:t>(30 weeks);</w:t>
      </w:r>
      <w:r w:rsidR="00E36887" w:rsidRPr="00BF5BC7">
        <w:rPr>
          <w:iCs/>
        </w:rPr>
        <w:t xml:space="preserve"> </w:t>
      </w:r>
      <w:r w:rsidR="00EA2CD0" w:rsidRPr="00BF5BC7">
        <w:rPr>
          <w:iCs/>
        </w:rPr>
        <w:t xml:space="preserve">and </w:t>
      </w:r>
      <w:r w:rsidR="00E36887" w:rsidRPr="00BF5BC7">
        <w:rPr>
          <w:iCs/>
        </w:rPr>
        <w:t>symptomatic/functional endpoints</w:t>
      </w:r>
      <w:r w:rsidR="006C6CB9" w:rsidRPr="00BF5BC7">
        <w:rPr>
          <w:iCs/>
        </w:rPr>
        <w:t xml:space="preserve"> were only reported</w:t>
      </w:r>
      <w:r w:rsidR="00286FEC" w:rsidRPr="00BF5BC7">
        <w:rPr>
          <w:iCs/>
        </w:rPr>
        <w:t xml:space="preserve">. </w:t>
      </w:r>
      <w:r w:rsidR="00E60452" w:rsidRPr="00BF5BC7">
        <w:rPr>
          <w:iCs/>
        </w:rPr>
        <w:t xml:space="preserve">It was noted that the goal of therapy was symptomatic improvement, preferably through reduction </w:t>
      </w:r>
      <w:r w:rsidR="00CC342C" w:rsidRPr="00BF5BC7">
        <w:rPr>
          <w:iCs/>
        </w:rPr>
        <w:t>in disease severity (</w:t>
      </w:r>
      <w:r w:rsidR="00CC342C" w:rsidRPr="00BF5BC7">
        <w:rPr>
          <w:rFonts w:eastAsia="Calibri"/>
          <w:iCs/>
        </w:rPr>
        <w:t>para. 7.6 mavacamten, Public Summary Document, November 2022 PBAC meeting</w:t>
      </w:r>
      <w:r w:rsidR="00CC342C" w:rsidRPr="00BF5BC7">
        <w:rPr>
          <w:iCs/>
        </w:rPr>
        <w:t xml:space="preserve">). </w:t>
      </w:r>
    </w:p>
    <w:p w14:paraId="6149FC60" w14:textId="368E8DDE" w:rsidR="00872846" w:rsidRPr="000A17FA" w:rsidRDefault="00F50A96" w:rsidP="00636080">
      <w:pPr>
        <w:pStyle w:val="3-BodyText"/>
        <w:rPr>
          <w:rFonts w:eastAsia="Calibri"/>
        </w:rPr>
      </w:pPr>
      <w:r w:rsidRPr="00BF5BC7">
        <w:rPr>
          <w:iCs/>
        </w:rPr>
        <w:t xml:space="preserve">The therapeutic conclusion for comparative safety revised in the resubmission was reasonable. The PBAC </w:t>
      </w:r>
      <w:r w:rsidR="00795759" w:rsidRPr="00541454">
        <w:t>previously</w:t>
      </w:r>
      <w:r w:rsidR="00795759">
        <w:rPr>
          <w:iCs/>
        </w:rPr>
        <w:t xml:space="preserve"> </w:t>
      </w:r>
      <w:r w:rsidRPr="00BF5BC7">
        <w:rPr>
          <w:iCs/>
        </w:rPr>
        <w:t xml:space="preserve">considered that the primary adverse event of concern was reduced LVEF and noted that the long-term consequences of treatment compared with SOC </w:t>
      </w:r>
      <w:r w:rsidR="0067734B">
        <w:rPr>
          <w:iCs/>
        </w:rPr>
        <w:t>were</w:t>
      </w:r>
      <w:r w:rsidR="0067734B" w:rsidRPr="00BF5BC7">
        <w:rPr>
          <w:iCs/>
        </w:rPr>
        <w:t xml:space="preserve"> </w:t>
      </w:r>
      <w:r w:rsidRPr="00BF5BC7">
        <w:rPr>
          <w:iCs/>
        </w:rPr>
        <w:t>unknown (para. 7.7, mavacamten, Public Summary Document, November 2022 PBAC meeting).</w:t>
      </w:r>
      <w:r w:rsidR="00795759">
        <w:rPr>
          <w:iCs/>
        </w:rPr>
        <w:t xml:space="preserve"> </w:t>
      </w:r>
      <w:r w:rsidR="00795759" w:rsidRPr="00541454">
        <w:t xml:space="preserve">The ESC recalled its previous consideration of </w:t>
      </w:r>
      <w:r w:rsidR="0067734B" w:rsidRPr="00541454">
        <w:t xml:space="preserve">the </w:t>
      </w:r>
      <w:r w:rsidR="00795759" w:rsidRPr="00541454">
        <w:t xml:space="preserve">increased risk of reduced LVEF associated with mavacamten and noted the additional </w:t>
      </w:r>
      <w:r w:rsidR="00520257" w:rsidRPr="00541454">
        <w:t>4</w:t>
      </w:r>
      <w:r w:rsidR="00520257" w:rsidRPr="00541454">
        <w:sym w:font="Symbol" w:char="F02D"/>
      </w:r>
      <w:r w:rsidR="009915F2" w:rsidRPr="00541454">
        <w:t>8</w:t>
      </w:r>
      <w:r w:rsidR="00520257" w:rsidRPr="00541454">
        <w:t xml:space="preserve"> </w:t>
      </w:r>
      <w:r w:rsidR="00795759" w:rsidRPr="00541454">
        <w:t>echocardiograms</w:t>
      </w:r>
      <w:r w:rsidR="00F15C0C" w:rsidRPr="00541454">
        <w:t xml:space="preserve"> </w:t>
      </w:r>
      <w:r w:rsidR="00520257" w:rsidRPr="00541454">
        <w:t xml:space="preserve">per year </w:t>
      </w:r>
      <w:r w:rsidR="00795759" w:rsidRPr="00541454">
        <w:t>that would be required</w:t>
      </w:r>
      <w:r w:rsidR="0067734B" w:rsidRPr="00541454">
        <w:t xml:space="preserve"> to </w:t>
      </w:r>
      <w:r w:rsidR="00520257" w:rsidRPr="00541454">
        <w:t xml:space="preserve">monitor </w:t>
      </w:r>
      <w:r w:rsidR="0067734B" w:rsidRPr="00541454">
        <w:t>patients prescribed mavacamten</w:t>
      </w:r>
      <w:r w:rsidR="00795759" w:rsidRPr="00541454">
        <w:t>.</w:t>
      </w:r>
    </w:p>
    <w:p w14:paraId="6E63CFAE" w14:textId="4900D04C" w:rsidR="000A17FA" w:rsidRPr="004133FC" w:rsidRDefault="000A17FA" w:rsidP="00636080">
      <w:pPr>
        <w:pStyle w:val="3-BodyText"/>
        <w:rPr>
          <w:rFonts w:eastAsia="Calibri"/>
          <w:iCs/>
        </w:rPr>
      </w:pPr>
      <w:r w:rsidRPr="00BF5BC7">
        <w:rPr>
          <w:rFonts w:eastAsia="Calibri"/>
          <w:iCs/>
        </w:rPr>
        <w:t>At the November 2022 meeting, the PBAC considered it is likely that mavacamten ± BB/CCB provided at least a short-term, moderate clinical benefit over standard of care (BB/CCB), but the longer-term clinical benefit and safety and the impact on other patient-relevant clinical endpoints such as hospitalisations or mortality was unknown (</w:t>
      </w:r>
      <w:r w:rsidR="00CF2D2E" w:rsidRPr="00BF5BC7">
        <w:rPr>
          <w:rFonts w:eastAsia="Calibri"/>
          <w:iCs/>
        </w:rPr>
        <w:t xml:space="preserve">para. 7.1, </w:t>
      </w:r>
      <w:r w:rsidRPr="00BF5BC7">
        <w:rPr>
          <w:rFonts w:eastAsia="Calibri"/>
          <w:iCs/>
        </w:rPr>
        <w:t>mavacamten</w:t>
      </w:r>
      <w:r w:rsidR="00CF2D2E" w:rsidRPr="00BF5BC7">
        <w:rPr>
          <w:rFonts w:eastAsia="Calibri"/>
          <w:iCs/>
        </w:rPr>
        <w:t>,</w:t>
      </w:r>
      <w:r w:rsidRPr="00BF5BC7">
        <w:rPr>
          <w:rFonts w:eastAsia="Calibri"/>
          <w:iCs/>
        </w:rPr>
        <w:t xml:space="preserve"> P</w:t>
      </w:r>
      <w:r w:rsidR="00CF2D2E" w:rsidRPr="00BF5BC7">
        <w:rPr>
          <w:rFonts w:eastAsia="Calibri"/>
          <w:iCs/>
        </w:rPr>
        <w:t xml:space="preserve">ublic </w:t>
      </w:r>
      <w:r w:rsidRPr="00BF5BC7">
        <w:rPr>
          <w:rFonts w:eastAsia="Calibri"/>
          <w:iCs/>
        </w:rPr>
        <w:t>S</w:t>
      </w:r>
      <w:r w:rsidR="00CF2D2E" w:rsidRPr="00BF5BC7">
        <w:rPr>
          <w:rFonts w:eastAsia="Calibri"/>
          <w:iCs/>
        </w:rPr>
        <w:t xml:space="preserve">ummary </w:t>
      </w:r>
      <w:r w:rsidRPr="00BF5BC7">
        <w:rPr>
          <w:rFonts w:eastAsia="Calibri"/>
          <w:iCs/>
        </w:rPr>
        <w:t>D</w:t>
      </w:r>
      <w:r w:rsidR="00CF2D2E" w:rsidRPr="00BF5BC7">
        <w:rPr>
          <w:rFonts w:eastAsia="Calibri"/>
          <w:iCs/>
        </w:rPr>
        <w:t>ocument,</w:t>
      </w:r>
      <w:r w:rsidRPr="00BF5BC7">
        <w:rPr>
          <w:rFonts w:eastAsia="Calibri"/>
          <w:iCs/>
        </w:rPr>
        <w:t xml:space="preserve"> November 2022</w:t>
      </w:r>
      <w:r w:rsidR="00CF2D2E" w:rsidRPr="00BF5BC7">
        <w:rPr>
          <w:rFonts w:eastAsia="Calibri"/>
          <w:iCs/>
        </w:rPr>
        <w:t xml:space="preserve"> PBAC meeting</w:t>
      </w:r>
      <w:r w:rsidRPr="00BF5BC7">
        <w:rPr>
          <w:rFonts w:eastAsia="Calibri"/>
          <w:iCs/>
        </w:rPr>
        <w:t>).</w:t>
      </w:r>
      <w:r w:rsidR="00877831" w:rsidRPr="00BF5BC7">
        <w:rPr>
          <w:rFonts w:eastAsia="Calibri"/>
          <w:iCs/>
        </w:rPr>
        <w:t xml:space="preserve"> </w:t>
      </w:r>
      <w:r w:rsidR="005A2AEB" w:rsidRPr="00BF5BC7">
        <w:rPr>
          <w:bCs/>
        </w:rPr>
        <w:t xml:space="preserve">The PBAC considered that the effect mavacamten has on other patient relevant outcomes such as hospitalisation and mortality cannot be practically evaluated in trials in HCM patients because </w:t>
      </w:r>
      <w:r w:rsidR="005639BF" w:rsidRPr="00BF5BC7">
        <w:rPr>
          <w:bCs/>
        </w:rPr>
        <w:t xml:space="preserve">these </w:t>
      </w:r>
      <w:r w:rsidR="005A2AEB" w:rsidRPr="00BF5BC7">
        <w:rPr>
          <w:bCs/>
        </w:rPr>
        <w:t>events are rare. Furthermore, although obstruction is a risk predictor for sudden cardiac death in HCM, there is no evidence that these deaths would be reduced with mavacamten and</w:t>
      </w:r>
      <w:r w:rsidR="00EA12DC">
        <w:rPr>
          <w:bCs/>
        </w:rPr>
        <w:t xml:space="preserve"> hence </w:t>
      </w:r>
      <w:r w:rsidR="005A2AEB" w:rsidRPr="00BF5BC7">
        <w:rPr>
          <w:bCs/>
        </w:rPr>
        <w:t xml:space="preserve">mavacamten is therefore not expected to provide mortality benefits </w:t>
      </w:r>
      <w:r w:rsidR="005A2AEB" w:rsidRPr="00BF5BC7">
        <w:rPr>
          <w:iCs/>
        </w:rPr>
        <w:t>(</w:t>
      </w:r>
      <w:r w:rsidR="005A2AEB" w:rsidRPr="00BF5BC7">
        <w:rPr>
          <w:rFonts w:eastAsia="Calibri"/>
          <w:iCs/>
        </w:rPr>
        <w:t>para. 7.6, mavacamten, Public Summary Document, November 2022 PBAC meeting</w:t>
      </w:r>
      <w:r w:rsidR="005A2AEB" w:rsidRPr="00BF5BC7">
        <w:rPr>
          <w:iCs/>
        </w:rPr>
        <w:t>)</w:t>
      </w:r>
      <w:r w:rsidR="005A2AEB" w:rsidRPr="00BF5BC7">
        <w:rPr>
          <w:bCs/>
        </w:rPr>
        <w:t xml:space="preserve">. </w:t>
      </w:r>
      <w:r w:rsidR="00877831" w:rsidRPr="00BF5BC7">
        <w:rPr>
          <w:iCs/>
        </w:rPr>
        <w:t xml:space="preserve">While there </w:t>
      </w:r>
      <w:r w:rsidR="00520257">
        <w:rPr>
          <w:iCs/>
        </w:rPr>
        <w:t>wa</w:t>
      </w:r>
      <w:r w:rsidR="00877831" w:rsidRPr="00BF5BC7">
        <w:rPr>
          <w:iCs/>
        </w:rPr>
        <w:t xml:space="preserve">s evidence </w:t>
      </w:r>
      <w:r w:rsidR="00CF2D2E" w:rsidRPr="00BF5BC7">
        <w:rPr>
          <w:iCs/>
        </w:rPr>
        <w:t xml:space="preserve">for </w:t>
      </w:r>
      <w:r w:rsidR="00877831" w:rsidRPr="00BF5BC7">
        <w:rPr>
          <w:iCs/>
        </w:rPr>
        <w:t xml:space="preserve">mavacamten use in the longer-term, up to 132 weeks, evidence for relevant events of interest, such as </w:t>
      </w:r>
      <w:r w:rsidR="00877831" w:rsidRPr="00BF5BC7">
        <w:rPr>
          <w:rFonts w:eastAsia="Calibri"/>
          <w:iCs/>
        </w:rPr>
        <w:t>hospitalisations</w:t>
      </w:r>
      <w:r w:rsidR="00877831" w:rsidRPr="00BF5BC7">
        <w:rPr>
          <w:iCs/>
        </w:rPr>
        <w:t xml:space="preserve"> and mortality, </w:t>
      </w:r>
      <w:r w:rsidR="00520257">
        <w:rPr>
          <w:iCs/>
        </w:rPr>
        <w:t>wa</w:t>
      </w:r>
      <w:r w:rsidR="00877831" w:rsidRPr="00BF5BC7">
        <w:rPr>
          <w:iCs/>
        </w:rPr>
        <w:t>s lacking.</w:t>
      </w:r>
      <w:r w:rsidR="00196B52">
        <w:rPr>
          <w:iCs/>
        </w:rPr>
        <w:t xml:space="preserve">  The PBAC also noted the absence of any supportive quality of life data.</w:t>
      </w:r>
    </w:p>
    <w:p w14:paraId="698041C3" w14:textId="1F07674A" w:rsidR="004133FC" w:rsidRPr="00CE42B4" w:rsidRDefault="004133FC" w:rsidP="004133FC">
      <w:pPr>
        <w:widowControl w:val="0"/>
        <w:numPr>
          <w:ilvl w:val="1"/>
          <w:numId w:val="1"/>
        </w:numPr>
        <w:spacing w:after="120"/>
        <w:rPr>
          <w:rFonts w:asciiTheme="minorHAnsi" w:hAnsiTheme="minorHAnsi"/>
          <w:snapToGrid w:val="0"/>
          <w:szCs w:val="20"/>
        </w:rPr>
      </w:pPr>
      <w:bookmarkStart w:id="65"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reasonable.</w:t>
      </w:r>
    </w:p>
    <w:p w14:paraId="3913B4FB" w14:textId="5A096F03" w:rsidR="004133FC" w:rsidRPr="004133FC" w:rsidRDefault="004133FC" w:rsidP="004133FC">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inferior comparative safety was reasonable.</w:t>
      </w:r>
      <w:bookmarkEnd w:id="65"/>
    </w:p>
    <w:p w14:paraId="06233A21" w14:textId="77777777" w:rsidR="00636080" w:rsidRPr="00C9624D" w:rsidRDefault="00636080" w:rsidP="00636080">
      <w:pPr>
        <w:pStyle w:val="4-SubsectionHeading"/>
      </w:pPr>
      <w:bookmarkStart w:id="66" w:name="_Toc22897645"/>
      <w:bookmarkStart w:id="67" w:name="_Toc107927631"/>
      <w:bookmarkStart w:id="68" w:name="_Toc135223331"/>
      <w:r w:rsidRPr="00C9624D">
        <w:lastRenderedPageBreak/>
        <w:t>Economic analysis</w:t>
      </w:r>
      <w:bookmarkEnd w:id="66"/>
      <w:bookmarkEnd w:id="67"/>
      <w:bookmarkEnd w:id="68"/>
      <w:r w:rsidRPr="00C9624D">
        <w:t xml:space="preserve"> </w:t>
      </w:r>
    </w:p>
    <w:p w14:paraId="1079B778" w14:textId="10CC87E4" w:rsidR="0010358A" w:rsidRPr="0010358A" w:rsidRDefault="007850DF" w:rsidP="00C556E5">
      <w:pPr>
        <w:pStyle w:val="3-BodyText"/>
      </w:pPr>
      <w:r w:rsidRPr="007850DF">
        <w:t xml:space="preserve">In </w:t>
      </w:r>
      <w:r w:rsidRPr="007850DF">
        <w:rPr>
          <w:lang w:val="en-US"/>
        </w:rPr>
        <w:t xml:space="preserve">November 2022, the PBAC considered that the estimated cost per </w:t>
      </w:r>
      <w:r w:rsidR="00832830">
        <w:rPr>
          <w:lang w:val="en-US"/>
        </w:rPr>
        <w:t>quality adjusted life year (</w:t>
      </w:r>
      <w:r w:rsidRPr="007850DF">
        <w:rPr>
          <w:lang w:val="en-US"/>
        </w:rPr>
        <w:t>QALY</w:t>
      </w:r>
      <w:r w:rsidR="00832830">
        <w:rPr>
          <w:lang w:val="en-US"/>
        </w:rPr>
        <w:t>)</w:t>
      </w:r>
      <w:r w:rsidRPr="007850DF">
        <w:rPr>
          <w:lang w:val="en-US"/>
        </w:rPr>
        <w:t xml:space="preserve"> gained for mavacamten</w:t>
      </w:r>
      <w:r w:rsidR="00AE5DBA">
        <w:rPr>
          <w:lang w:val="en-US"/>
        </w:rPr>
        <w:t> </w:t>
      </w:r>
      <w:r w:rsidRPr="007850DF">
        <w:rPr>
          <w:lang w:val="en-US"/>
        </w:rPr>
        <w:t>+</w:t>
      </w:r>
      <w:r w:rsidR="00AE5DBA">
        <w:rPr>
          <w:lang w:val="en-US"/>
        </w:rPr>
        <w:t> </w:t>
      </w:r>
      <w:r w:rsidRPr="007850DF">
        <w:rPr>
          <w:lang w:val="en-US"/>
        </w:rPr>
        <w:t>BB/CCB compared with BB/CCB</w:t>
      </w:r>
      <w:r w:rsidR="00494083">
        <w:rPr>
          <w:lang w:val="en-US"/>
        </w:rPr>
        <w:t xml:space="preserve"> </w:t>
      </w:r>
      <w:r w:rsidR="001117D7" w:rsidRPr="007850DF">
        <w:rPr>
          <w:lang w:val="en-US"/>
        </w:rPr>
        <w:t>of $</w:t>
      </w:r>
      <w:r w:rsidR="00585419">
        <w:rPr>
          <w:lang w:val="en-US"/>
        </w:rPr>
        <w:t>35,000 to &lt; $45,000</w:t>
      </w:r>
      <w:r w:rsidR="001117D7" w:rsidRPr="007850DF">
        <w:rPr>
          <w:lang w:val="en-US"/>
        </w:rPr>
        <w:t>/QALY gained for the submission’s base case</w:t>
      </w:r>
      <w:r w:rsidRPr="007850DF">
        <w:rPr>
          <w:lang w:val="en-US"/>
        </w:rPr>
        <w:t xml:space="preserve"> was likely to be underestimated</w:t>
      </w:r>
      <w:r w:rsidR="0015505F">
        <w:rPr>
          <w:lang w:val="en-US"/>
        </w:rPr>
        <w:t xml:space="preserve"> (</w:t>
      </w:r>
      <w:bookmarkStart w:id="69" w:name="_Hlk132619339"/>
      <w:r w:rsidR="00F55FEF" w:rsidRPr="00F55FEF">
        <w:t>para. 7.1 &amp; 7.9, mavacamten, Public Summary Document</w:t>
      </w:r>
      <w:r w:rsidR="00585419">
        <w:t xml:space="preserve"> (PSD)</w:t>
      </w:r>
      <w:r w:rsidR="00F55FEF" w:rsidRPr="00F55FEF">
        <w:t>, November 2022 PBAC meeting</w:t>
      </w:r>
      <w:bookmarkEnd w:id="69"/>
      <w:r w:rsidR="0015505F">
        <w:rPr>
          <w:lang w:val="en-US"/>
        </w:rPr>
        <w:t>)</w:t>
      </w:r>
      <w:r w:rsidRPr="007850DF">
        <w:rPr>
          <w:lang w:val="en-US"/>
        </w:rPr>
        <w:t>. The PBAC considered</w:t>
      </w:r>
      <w:r w:rsidR="00495F2C">
        <w:rPr>
          <w:lang w:val="en-US"/>
        </w:rPr>
        <w:t xml:space="preserve"> </w:t>
      </w:r>
      <w:r w:rsidRPr="007850DF">
        <w:rPr>
          <w:lang w:val="en-US"/>
        </w:rPr>
        <w:t>that the</w:t>
      </w:r>
      <w:r w:rsidR="00D50505">
        <w:rPr>
          <w:lang w:val="en-US"/>
        </w:rPr>
        <w:t xml:space="preserve"> incremental cost-effectiveness ratio</w:t>
      </w:r>
      <w:r w:rsidRPr="007850DF">
        <w:rPr>
          <w:lang w:val="en-US"/>
        </w:rPr>
        <w:t xml:space="preserve"> </w:t>
      </w:r>
      <w:r w:rsidR="00D50505">
        <w:rPr>
          <w:lang w:val="en-US"/>
        </w:rPr>
        <w:t>(</w:t>
      </w:r>
      <w:r w:rsidR="00ED6FA0">
        <w:rPr>
          <w:lang w:val="en-US"/>
        </w:rPr>
        <w:t>ICER</w:t>
      </w:r>
      <w:r w:rsidR="00D50505">
        <w:rPr>
          <w:lang w:val="en-US"/>
        </w:rPr>
        <w:t>)</w:t>
      </w:r>
      <w:r w:rsidR="00ED6FA0">
        <w:rPr>
          <w:lang w:val="en-US"/>
        </w:rPr>
        <w:t xml:space="preserve"> </w:t>
      </w:r>
      <w:r w:rsidRPr="007850DF">
        <w:rPr>
          <w:lang w:val="en-US"/>
        </w:rPr>
        <w:t xml:space="preserve">was highly sensitive to </w:t>
      </w:r>
      <w:proofErr w:type="gramStart"/>
      <w:r w:rsidRPr="007850DF">
        <w:rPr>
          <w:lang w:val="en-US"/>
        </w:rPr>
        <w:t>a number of</w:t>
      </w:r>
      <w:proofErr w:type="gramEnd"/>
      <w:r w:rsidRPr="007850DF">
        <w:rPr>
          <w:lang w:val="en-US"/>
        </w:rPr>
        <w:t xml:space="preserve"> the modelled assumptions and </w:t>
      </w:r>
      <w:r w:rsidR="00ED6FA0">
        <w:rPr>
          <w:lang w:val="en-US"/>
        </w:rPr>
        <w:t>that</w:t>
      </w:r>
      <w:r w:rsidRPr="007850DF">
        <w:rPr>
          <w:lang w:val="en-US"/>
        </w:rPr>
        <w:t xml:space="preserve"> a respecified base case should include</w:t>
      </w:r>
      <w:r w:rsidR="00ED6FA0">
        <w:rPr>
          <w:lang w:val="en-US"/>
        </w:rPr>
        <w:t xml:space="preserve"> the following</w:t>
      </w:r>
      <w:r w:rsidRPr="007850DF">
        <w:rPr>
          <w:lang w:val="en-US"/>
        </w:rPr>
        <w:t xml:space="preserve">: </w:t>
      </w:r>
    </w:p>
    <w:p w14:paraId="288021E7" w14:textId="77777777" w:rsidR="00D57274" w:rsidRPr="00D57274" w:rsidRDefault="00D57274" w:rsidP="00206BC1">
      <w:pPr>
        <w:pStyle w:val="ListParagraph"/>
        <w:numPr>
          <w:ilvl w:val="0"/>
          <w:numId w:val="3"/>
        </w:numPr>
        <w:ind w:left="1134"/>
      </w:pPr>
      <w:r w:rsidRPr="00206BC1">
        <w:t>A</w:t>
      </w:r>
      <w:r w:rsidR="007850DF" w:rsidRPr="00206BC1">
        <w:t xml:space="preserve"> 10</w:t>
      </w:r>
      <w:r w:rsidR="001C6DB7">
        <w:t>-</w:t>
      </w:r>
      <w:r w:rsidR="007850DF" w:rsidRPr="00206BC1">
        <w:t xml:space="preserve">year time </w:t>
      </w:r>
      <w:proofErr w:type="gramStart"/>
      <w:r w:rsidR="007850DF" w:rsidRPr="00D57274">
        <w:t>horizon</w:t>
      </w:r>
      <w:r w:rsidR="00022AB8" w:rsidRPr="00206BC1">
        <w:t>;</w:t>
      </w:r>
      <w:proofErr w:type="gramEnd"/>
      <w:r w:rsidR="007850DF" w:rsidRPr="00206BC1">
        <w:t xml:space="preserve"> </w:t>
      </w:r>
    </w:p>
    <w:p w14:paraId="56A1744E" w14:textId="4DA0A816" w:rsidR="00D57274" w:rsidRPr="00D57274" w:rsidRDefault="00022AB8" w:rsidP="00206BC1">
      <w:pPr>
        <w:pStyle w:val="ListParagraph"/>
        <w:numPr>
          <w:ilvl w:val="0"/>
          <w:numId w:val="3"/>
        </w:numPr>
        <w:ind w:left="1134"/>
      </w:pPr>
      <w:r w:rsidRPr="00206BC1">
        <w:t>T</w:t>
      </w:r>
      <w:r w:rsidR="007850DF" w:rsidRPr="00206BC1">
        <w:t>runcation at 30 weeks in both arms</w:t>
      </w:r>
      <w:r w:rsidR="00B54922">
        <w:t xml:space="preserve"> </w:t>
      </w:r>
      <w:r w:rsidR="00874D0D">
        <w:t>(</w:t>
      </w:r>
      <w:r w:rsidR="00B54922">
        <w:t xml:space="preserve">at </w:t>
      </w:r>
      <w:r w:rsidR="00B54922" w:rsidRPr="00CF0C33">
        <w:rPr>
          <w:szCs w:val="20"/>
        </w:rPr>
        <w:t>d</w:t>
      </w:r>
      <w:r w:rsidR="00B54922" w:rsidRPr="003D2A58">
        <w:rPr>
          <w:szCs w:val="20"/>
        </w:rPr>
        <w:t>uration of comparative follow-up</w:t>
      </w:r>
      <w:proofErr w:type="gramStart"/>
      <w:r w:rsidR="00874D0D">
        <w:rPr>
          <w:szCs w:val="20"/>
        </w:rPr>
        <w:t>)</w:t>
      </w:r>
      <w:r w:rsidRPr="00206BC1">
        <w:t>;</w:t>
      </w:r>
      <w:proofErr w:type="gramEnd"/>
      <w:r w:rsidR="007850DF" w:rsidRPr="00206BC1">
        <w:t xml:space="preserve"> </w:t>
      </w:r>
    </w:p>
    <w:p w14:paraId="0AF7C8EE" w14:textId="77777777" w:rsidR="00D57274" w:rsidRPr="00D57274" w:rsidRDefault="00022AB8" w:rsidP="00206BC1">
      <w:pPr>
        <w:pStyle w:val="ListParagraph"/>
        <w:numPr>
          <w:ilvl w:val="0"/>
          <w:numId w:val="3"/>
        </w:numPr>
        <w:ind w:left="1134"/>
      </w:pPr>
      <w:r w:rsidRPr="00206BC1">
        <w:t>N</w:t>
      </w:r>
      <w:r w:rsidR="007850DF" w:rsidRPr="00206BC1">
        <w:t>o mortality benefit for mavacamten</w:t>
      </w:r>
      <w:r w:rsidRPr="00206BC1">
        <w:t>;</w:t>
      </w:r>
      <w:r w:rsidR="007850DF" w:rsidRPr="00206BC1">
        <w:t xml:space="preserve"> and </w:t>
      </w:r>
    </w:p>
    <w:p w14:paraId="5EE3F7D9" w14:textId="77777777" w:rsidR="00B0580B" w:rsidRPr="00B0580B" w:rsidRDefault="00022AB8" w:rsidP="00206BC1">
      <w:pPr>
        <w:pStyle w:val="ListParagraph"/>
        <w:numPr>
          <w:ilvl w:val="0"/>
          <w:numId w:val="3"/>
        </w:numPr>
        <w:ind w:left="1134"/>
      </w:pPr>
      <w:r w:rsidRPr="00206BC1">
        <w:t>A</w:t>
      </w:r>
      <w:r w:rsidR="007850DF" w:rsidRPr="00206BC1">
        <w:t>mended inputs for</w:t>
      </w:r>
      <w:r w:rsidRPr="00206BC1">
        <w:t>:</w:t>
      </w:r>
      <w:r w:rsidR="007850DF" w:rsidRPr="00206BC1">
        <w:t xml:space="preserve"> cardiovascular hospitalisation rates and costs, SRT costs, disopyramide benefits, and discontinuation rates. </w:t>
      </w:r>
    </w:p>
    <w:p w14:paraId="5F47A11C" w14:textId="0A6A736D" w:rsidR="00E12300" w:rsidRPr="00BF5BC7" w:rsidRDefault="007850DF" w:rsidP="00782052">
      <w:pPr>
        <w:pStyle w:val="3-BodyText"/>
        <w:ind w:left="709"/>
        <w:rPr>
          <w:iCs/>
        </w:rPr>
      </w:pPr>
      <w:r w:rsidRPr="00BF5BC7">
        <w:rPr>
          <w:iCs/>
          <w:lang w:val="en-US"/>
        </w:rPr>
        <w:t xml:space="preserve">The </w:t>
      </w:r>
      <w:r w:rsidR="00290D70" w:rsidRPr="00541454">
        <w:rPr>
          <w:lang w:val="en-US"/>
        </w:rPr>
        <w:t>ESC noted that the</w:t>
      </w:r>
      <w:r w:rsidR="00290D70">
        <w:rPr>
          <w:iCs/>
          <w:lang w:val="en-US"/>
        </w:rPr>
        <w:t xml:space="preserve"> </w:t>
      </w:r>
      <w:r w:rsidRPr="00BF5BC7">
        <w:rPr>
          <w:iCs/>
          <w:lang w:val="en-US"/>
        </w:rPr>
        <w:t xml:space="preserve">resubmission did not implement </w:t>
      </w:r>
      <w:r w:rsidR="00290D70" w:rsidRPr="00541454">
        <w:rPr>
          <w:lang w:val="en-US"/>
        </w:rPr>
        <w:t>several</w:t>
      </w:r>
      <w:r w:rsidRPr="00BF5BC7">
        <w:rPr>
          <w:iCs/>
          <w:lang w:val="en-US"/>
        </w:rPr>
        <w:t xml:space="preserve"> </w:t>
      </w:r>
      <w:r w:rsidR="001C6DB7" w:rsidRPr="00BF5BC7">
        <w:rPr>
          <w:iCs/>
          <w:lang w:val="en-US"/>
        </w:rPr>
        <w:t xml:space="preserve">of </w:t>
      </w:r>
      <w:r w:rsidRPr="00BF5BC7">
        <w:rPr>
          <w:iCs/>
          <w:lang w:val="en-US"/>
        </w:rPr>
        <w:t xml:space="preserve">the PBAC’s </w:t>
      </w:r>
      <w:r w:rsidR="002E22B7" w:rsidRPr="00BF5BC7">
        <w:rPr>
          <w:iCs/>
          <w:lang w:val="en-US"/>
        </w:rPr>
        <w:t xml:space="preserve">recommended </w:t>
      </w:r>
      <w:r w:rsidRPr="00BF5BC7">
        <w:rPr>
          <w:iCs/>
          <w:lang w:val="en-US"/>
        </w:rPr>
        <w:t>changes for the respecified base case</w:t>
      </w:r>
      <w:r w:rsidR="00D50505" w:rsidRPr="00BF5BC7">
        <w:rPr>
          <w:iCs/>
          <w:lang w:val="en-US"/>
        </w:rPr>
        <w:t>. The resubmission</w:t>
      </w:r>
      <w:r w:rsidR="00352F5E" w:rsidRPr="00BF5BC7">
        <w:rPr>
          <w:iCs/>
          <w:lang w:val="en-US"/>
        </w:rPr>
        <w:t xml:space="preserve"> did not amend the time horizon to 10 years, </w:t>
      </w:r>
      <w:r w:rsidR="00D50505" w:rsidRPr="00BF5BC7">
        <w:rPr>
          <w:iCs/>
          <w:lang w:val="en-US"/>
        </w:rPr>
        <w:t xml:space="preserve">it </w:t>
      </w:r>
      <w:r w:rsidR="00352F5E" w:rsidRPr="00BF5BC7">
        <w:rPr>
          <w:iCs/>
          <w:lang w:val="en-US"/>
        </w:rPr>
        <w:t xml:space="preserve">maintained differential points for the truncation of observed data </w:t>
      </w:r>
      <w:r w:rsidR="001E3185" w:rsidRPr="00BF5BC7">
        <w:rPr>
          <w:iCs/>
          <w:lang w:val="en-US"/>
        </w:rPr>
        <w:t>related to change in NYHA functional class</w:t>
      </w:r>
      <w:r w:rsidR="00EA5E9B" w:rsidRPr="00BF5BC7">
        <w:rPr>
          <w:iCs/>
          <w:lang w:val="en-US"/>
        </w:rPr>
        <w:t>,</w:t>
      </w:r>
      <w:r w:rsidR="001E3185" w:rsidRPr="00BF5BC7">
        <w:rPr>
          <w:iCs/>
          <w:lang w:val="en-US"/>
        </w:rPr>
        <w:t xml:space="preserve"> </w:t>
      </w:r>
      <w:r w:rsidR="00352F5E" w:rsidRPr="00BF5BC7">
        <w:rPr>
          <w:iCs/>
          <w:lang w:val="en-US"/>
        </w:rPr>
        <w:t>and</w:t>
      </w:r>
      <w:r w:rsidR="00D50505" w:rsidRPr="00BF5BC7">
        <w:rPr>
          <w:iCs/>
          <w:lang w:val="en-US"/>
        </w:rPr>
        <w:t xml:space="preserve"> it</w:t>
      </w:r>
      <w:r w:rsidR="00352F5E" w:rsidRPr="00BF5BC7">
        <w:rPr>
          <w:iCs/>
          <w:lang w:val="en-US"/>
        </w:rPr>
        <w:t xml:space="preserve"> retained an assumed mortality benefit for mavacamten</w:t>
      </w:r>
      <w:r w:rsidR="00A67BF7" w:rsidRPr="00BF5BC7">
        <w:rPr>
          <w:iCs/>
          <w:lang w:val="en-US"/>
        </w:rPr>
        <w:t>.</w:t>
      </w:r>
      <w:r w:rsidR="00042234" w:rsidRPr="00BF5BC7">
        <w:rPr>
          <w:iCs/>
          <w:lang w:val="en-US"/>
        </w:rPr>
        <w:t xml:space="preserve"> </w:t>
      </w:r>
      <w:r w:rsidR="00A67BF7" w:rsidRPr="00BF5BC7">
        <w:rPr>
          <w:iCs/>
          <w:lang w:val="en-US"/>
        </w:rPr>
        <w:t>The resubmission did not amend the</w:t>
      </w:r>
      <w:r w:rsidR="00042234" w:rsidRPr="00BF5BC7">
        <w:rPr>
          <w:iCs/>
          <w:lang w:val="en-US"/>
        </w:rPr>
        <w:t xml:space="preserve"> cardiovascular </w:t>
      </w:r>
      <w:r w:rsidR="00042234" w:rsidRPr="00543556">
        <w:rPr>
          <w:iCs/>
        </w:rPr>
        <w:t>hospitali</w:t>
      </w:r>
      <w:r w:rsidR="00874D0D" w:rsidRPr="00543556">
        <w:rPr>
          <w:iCs/>
        </w:rPr>
        <w:t>s</w:t>
      </w:r>
      <w:r w:rsidR="00042234" w:rsidRPr="00543556">
        <w:rPr>
          <w:iCs/>
        </w:rPr>
        <w:t>ation</w:t>
      </w:r>
      <w:r w:rsidR="00042234" w:rsidRPr="00BF5BC7">
        <w:rPr>
          <w:iCs/>
          <w:lang w:val="en-US"/>
        </w:rPr>
        <w:t xml:space="preserve"> rate</w:t>
      </w:r>
      <w:r w:rsidR="00A67BF7" w:rsidRPr="00BF5BC7">
        <w:rPr>
          <w:iCs/>
          <w:lang w:val="en-US"/>
        </w:rPr>
        <w:t>s</w:t>
      </w:r>
      <w:r w:rsidR="00042234" w:rsidRPr="00BF5BC7">
        <w:rPr>
          <w:iCs/>
          <w:lang w:val="en-US"/>
        </w:rPr>
        <w:t xml:space="preserve"> and </w:t>
      </w:r>
      <w:r w:rsidR="00C86F7D" w:rsidRPr="00BF5BC7">
        <w:rPr>
          <w:iCs/>
          <w:lang w:val="en-US"/>
        </w:rPr>
        <w:t>estimated cost for SRT</w:t>
      </w:r>
      <w:r w:rsidR="00CF236B" w:rsidRPr="00BF5BC7">
        <w:rPr>
          <w:iCs/>
          <w:lang w:val="en-US"/>
        </w:rPr>
        <w:t>.</w:t>
      </w:r>
      <w:r w:rsidR="003A4E9C">
        <w:rPr>
          <w:lang w:val="en-US"/>
        </w:rPr>
        <w:t xml:space="preserve"> </w:t>
      </w:r>
      <w:r w:rsidR="00782052" w:rsidRPr="00D379EA">
        <w:t xml:space="preserve">The key components of the revised </w:t>
      </w:r>
      <w:r w:rsidR="0079047B">
        <w:t xml:space="preserve">economic </w:t>
      </w:r>
      <w:r w:rsidR="00782052" w:rsidRPr="00D379EA">
        <w:t xml:space="preserve">model and </w:t>
      </w:r>
      <w:r w:rsidR="00782052">
        <w:t xml:space="preserve">how it differed </w:t>
      </w:r>
      <w:r w:rsidR="00782052" w:rsidRPr="00D379EA">
        <w:t>from th</w:t>
      </w:r>
      <w:r w:rsidR="00782052">
        <w:t>at in</w:t>
      </w:r>
      <w:r w:rsidR="00782052" w:rsidRPr="00D379EA">
        <w:t xml:space="preserve"> </w:t>
      </w:r>
      <w:r w:rsidR="00782052">
        <w:rPr>
          <w:iCs/>
        </w:rPr>
        <w:t>November 2022</w:t>
      </w:r>
      <w:r w:rsidR="00782052">
        <w:t xml:space="preserve"> </w:t>
      </w:r>
      <w:r w:rsidR="00782052" w:rsidRPr="00D379EA">
        <w:t xml:space="preserve">are </w:t>
      </w:r>
      <w:r w:rsidR="00782052">
        <w:t xml:space="preserve">summarised </w:t>
      </w:r>
      <w:r w:rsidR="00782052" w:rsidRPr="00D379EA">
        <w:t>in</w:t>
      </w:r>
      <w:r w:rsidR="00782052">
        <w:t xml:space="preserve"> </w:t>
      </w:r>
      <w:r w:rsidR="00782052">
        <w:fldChar w:fldCharType="begin"/>
      </w:r>
      <w:r w:rsidR="00782052">
        <w:instrText xml:space="preserve"> REF _Ref132274498 \h </w:instrText>
      </w:r>
      <w:r w:rsidR="00782052">
        <w:fldChar w:fldCharType="separate"/>
      </w:r>
      <w:r w:rsidR="00F84C70">
        <w:t xml:space="preserve">Table </w:t>
      </w:r>
      <w:r w:rsidR="00F84C70">
        <w:rPr>
          <w:noProof/>
        </w:rPr>
        <w:t>11</w:t>
      </w:r>
      <w:r w:rsidR="00782052">
        <w:fldChar w:fldCharType="end"/>
      </w:r>
      <w:r w:rsidR="00782052" w:rsidRPr="00D379EA">
        <w:t>.</w:t>
      </w:r>
    </w:p>
    <w:p w14:paraId="354F449F" w14:textId="4C19CD87" w:rsidR="00677461" w:rsidRPr="00641FB3" w:rsidRDefault="00677461" w:rsidP="00677461">
      <w:pPr>
        <w:pStyle w:val="Caption"/>
        <w:jc w:val="left"/>
        <w:rPr>
          <w:rStyle w:val="CommentReference"/>
          <w:b/>
          <w:szCs w:val="24"/>
        </w:rPr>
      </w:pPr>
      <w:bookmarkStart w:id="70" w:name="_Ref132274498"/>
      <w:r>
        <w:t xml:space="preserve">Table </w:t>
      </w:r>
      <w:fldSimple w:instr=" SEQ Table \* ARABIC ">
        <w:r w:rsidR="00F84C70">
          <w:rPr>
            <w:noProof/>
          </w:rPr>
          <w:t>11</w:t>
        </w:r>
      </w:fldSimple>
      <w:bookmarkEnd w:id="70"/>
      <w:r>
        <w:t>:</w:t>
      </w:r>
      <w:r w:rsidRPr="00641FB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2"/>
        <w:gridCol w:w="5527"/>
        <w:gridCol w:w="2218"/>
      </w:tblGrid>
      <w:tr w:rsidR="00E64E12" w:rsidRPr="003D1DE4" w14:paraId="5C8FC8C9" w14:textId="77777777" w:rsidTr="004C47F9">
        <w:trPr>
          <w:cantSplit/>
          <w:tblHeader/>
        </w:trPr>
        <w:tc>
          <w:tcPr>
            <w:tcW w:w="705" w:type="pct"/>
            <w:shd w:val="clear" w:color="auto" w:fill="auto"/>
            <w:vAlign w:val="center"/>
          </w:tcPr>
          <w:p w14:paraId="3D085FF4" w14:textId="77777777" w:rsidR="00677461" w:rsidRPr="00641FB3" w:rsidRDefault="00677461" w:rsidP="004C47F9">
            <w:pPr>
              <w:pStyle w:val="In-tableHeading"/>
              <w:keepNext w:val="0"/>
            </w:pPr>
            <w:r w:rsidRPr="00641FB3">
              <w:t>Component</w:t>
            </w:r>
          </w:p>
        </w:tc>
        <w:tc>
          <w:tcPr>
            <w:tcW w:w="3065" w:type="pct"/>
            <w:shd w:val="clear" w:color="auto" w:fill="auto"/>
            <w:vAlign w:val="center"/>
          </w:tcPr>
          <w:p w14:paraId="0555E577" w14:textId="77777777" w:rsidR="00677461" w:rsidRPr="00641FB3" w:rsidRDefault="00677461" w:rsidP="004C47F9">
            <w:pPr>
              <w:pStyle w:val="In-tableHeading"/>
              <w:keepNext w:val="0"/>
            </w:pPr>
            <w:r>
              <w:t>November 2022 model</w:t>
            </w:r>
          </w:p>
        </w:tc>
        <w:tc>
          <w:tcPr>
            <w:tcW w:w="1230" w:type="pct"/>
          </w:tcPr>
          <w:p w14:paraId="4B50C731" w14:textId="77777777" w:rsidR="00677461" w:rsidRPr="00641FB3" w:rsidRDefault="00677461" w:rsidP="004C47F9">
            <w:pPr>
              <w:pStyle w:val="In-tableHeading"/>
              <w:keepNext w:val="0"/>
            </w:pPr>
            <w:r>
              <w:t>Resubmission model</w:t>
            </w:r>
          </w:p>
        </w:tc>
      </w:tr>
      <w:tr w:rsidR="00E047AA" w:rsidRPr="000B0AD7" w14:paraId="56446DE2" w14:textId="77777777" w:rsidTr="004C47F9">
        <w:trPr>
          <w:cantSplit/>
        </w:trPr>
        <w:tc>
          <w:tcPr>
            <w:tcW w:w="705" w:type="pct"/>
            <w:shd w:val="clear" w:color="auto" w:fill="auto"/>
            <w:vAlign w:val="center"/>
          </w:tcPr>
          <w:p w14:paraId="31DE714F" w14:textId="77777777" w:rsidR="00677461" w:rsidRPr="00E2771E" w:rsidRDefault="00677461" w:rsidP="004C47F9">
            <w:pPr>
              <w:pStyle w:val="TableText0"/>
              <w:keepNext w:val="0"/>
            </w:pPr>
            <w:r>
              <w:t>Treatments</w:t>
            </w:r>
          </w:p>
        </w:tc>
        <w:tc>
          <w:tcPr>
            <w:tcW w:w="3065" w:type="pct"/>
            <w:shd w:val="clear" w:color="auto" w:fill="C6D9F1" w:themeFill="text2" w:themeFillTint="33"/>
            <w:vAlign w:val="center"/>
          </w:tcPr>
          <w:p w14:paraId="3DADA8B5" w14:textId="2855D125" w:rsidR="00677461" w:rsidRPr="006D4DDF" w:rsidRDefault="00677461" w:rsidP="004C47F9">
            <w:pPr>
              <w:pStyle w:val="TableText0"/>
              <w:keepNext w:val="0"/>
            </w:pPr>
            <w:r w:rsidRPr="006F755E">
              <w:t xml:space="preserve">Mavacamten </w:t>
            </w:r>
            <w:r>
              <w:t>+</w:t>
            </w:r>
            <w:r w:rsidRPr="006F755E">
              <w:t xml:space="preserve"> BB/CCB</w:t>
            </w:r>
            <w:r w:rsidRPr="006D4DDF">
              <w:t xml:space="preserve"> </w:t>
            </w:r>
            <w:r w:rsidRPr="00BF5BC7">
              <w:t>v</w:t>
            </w:r>
            <w:r w:rsidR="00BF5BC7">
              <w:t>ersus</w:t>
            </w:r>
            <w:r w:rsidRPr="00BF5BC7">
              <w:t xml:space="preserve"> </w:t>
            </w:r>
            <w:r w:rsidRPr="006D4DDF">
              <w:t>BB/CCB alone</w:t>
            </w:r>
          </w:p>
        </w:tc>
        <w:tc>
          <w:tcPr>
            <w:tcW w:w="1230" w:type="pct"/>
            <w:shd w:val="clear" w:color="auto" w:fill="C6D9F1" w:themeFill="text2" w:themeFillTint="33"/>
          </w:tcPr>
          <w:p w14:paraId="4A2E0CC2" w14:textId="77777777" w:rsidR="00677461" w:rsidRPr="006F755E" w:rsidRDefault="00677461" w:rsidP="004C47F9">
            <w:pPr>
              <w:pStyle w:val="TableText0"/>
              <w:keepNext w:val="0"/>
            </w:pPr>
            <w:r>
              <w:t>Unchanged.</w:t>
            </w:r>
          </w:p>
        </w:tc>
      </w:tr>
      <w:tr w:rsidR="00E64E12" w:rsidRPr="00E2771E" w14:paraId="6CC35EA5" w14:textId="77777777" w:rsidTr="004C47F9">
        <w:trPr>
          <w:cantSplit/>
        </w:trPr>
        <w:tc>
          <w:tcPr>
            <w:tcW w:w="705" w:type="pct"/>
            <w:shd w:val="clear" w:color="auto" w:fill="auto"/>
            <w:vAlign w:val="center"/>
          </w:tcPr>
          <w:p w14:paraId="6284A6ED" w14:textId="77777777" w:rsidR="00677461" w:rsidRPr="00E2771E" w:rsidRDefault="00677461" w:rsidP="004C47F9">
            <w:pPr>
              <w:pStyle w:val="TableText0"/>
              <w:keepNext w:val="0"/>
            </w:pPr>
            <w:r w:rsidRPr="00E2771E">
              <w:t>Time horizon</w:t>
            </w:r>
          </w:p>
        </w:tc>
        <w:tc>
          <w:tcPr>
            <w:tcW w:w="3065" w:type="pct"/>
            <w:shd w:val="clear" w:color="auto" w:fill="C6D9F1" w:themeFill="text2" w:themeFillTint="33"/>
          </w:tcPr>
          <w:p w14:paraId="1604B1C9" w14:textId="77777777" w:rsidR="00677461" w:rsidRPr="00E2771E" w:rsidRDefault="00677461" w:rsidP="004C47F9">
            <w:pPr>
              <w:pStyle w:val="TableText0"/>
              <w:keepNext w:val="0"/>
            </w:pPr>
            <w:r w:rsidRPr="003D37D6">
              <w:t xml:space="preserve">25 years in the model base case </w:t>
            </w:r>
            <w:r w:rsidRPr="00BF5BC7">
              <w:t>versus</w:t>
            </w:r>
            <w:r w:rsidRPr="003D37D6">
              <w:t xml:space="preserve"> </w:t>
            </w:r>
            <w:r>
              <w:t xml:space="preserve">38 weeks in the key trial EXPLORER-HCM (30-week treatment period + 8-week follow-up) </w:t>
            </w:r>
          </w:p>
        </w:tc>
        <w:tc>
          <w:tcPr>
            <w:tcW w:w="1230" w:type="pct"/>
          </w:tcPr>
          <w:p w14:paraId="4D251DC5" w14:textId="77777777" w:rsidR="00677461" w:rsidRPr="003D37D6" w:rsidRDefault="00677461" w:rsidP="004C47F9">
            <w:pPr>
              <w:pStyle w:val="TableText0"/>
              <w:keepNext w:val="0"/>
            </w:pPr>
            <w:r>
              <w:t xml:space="preserve">Revised to 20 years </w:t>
            </w:r>
            <w:r>
              <w:br/>
              <w:t>(</w:t>
            </w:r>
            <w:r w:rsidRPr="00286ED5">
              <w:t>PBAC advice: 10 years</w:t>
            </w:r>
            <w:proofErr w:type="gramStart"/>
            <w:r>
              <w:t>)</w:t>
            </w:r>
            <w:r w:rsidRPr="00286ED5">
              <w:t xml:space="preserve"> </w:t>
            </w:r>
            <w:r>
              <w:t>.</w:t>
            </w:r>
            <w:proofErr w:type="gramEnd"/>
          </w:p>
        </w:tc>
      </w:tr>
      <w:tr w:rsidR="00E047AA" w:rsidRPr="00E2771E" w14:paraId="22D1401B" w14:textId="77777777" w:rsidTr="004C47F9">
        <w:trPr>
          <w:cantSplit/>
        </w:trPr>
        <w:tc>
          <w:tcPr>
            <w:tcW w:w="705" w:type="pct"/>
            <w:shd w:val="clear" w:color="auto" w:fill="auto"/>
            <w:vAlign w:val="center"/>
          </w:tcPr>
          <w:p w14:paraId="62A8871A" w14:textId="77777777" w:rsidR="00677461" w:rsidRPr="00E2771E" w:rsidRDefault="00677461" w:rsidP="004C47F9">
            <w:pPr>
              <w:pStyle w:val="TableText0"/>
              <w:keepNext w:val="0"/>
            </w:pPr>
            <w:r w:rsidRPr="00E2771E">
              <w:t>Outcomes</w:t>
            </w:r>
          </w:p>
        </w:tc>
        <w:tc>
          <w:tcPr>
            <w:tcW w:w="3065" w:type="pct"/>
            <w:shd w:val="clear" w:color="auto" w:fill="C6D9F1" w:themeFill="text2" w:themeFillTint="33"/>
            <w:vAlign w:val="center"/>
          </w:tcPr>
          <w:p w14:paraId="7653DC6A" w14:textId="77777777" w:rsidR="00677461" w:rsidRPr="00E2771E" w:rsidRDefault="00677461" w:rsidP="004C47F9">
            <w:pPr>
              <w:pStyle w:val="TableText0"/>
              <w:keepNext w:val="0"/>
            </w:pPr>
            <w:r>
              <w:t>Number of r</w:t>
            </w:r>
            <w:r w:rsidRPr="0003419C">
              <w:t>esponder</w:t>
            </w:r>
            <w:r>
              <w:t>s</w:t>
            </w:r>
            <w:r w:rsidRPr="0003419C">
              <w:t>, life years gained, quality-adjusted life years</w:t>
            </w:r>
            <w:r>
              <w:t xml:space="preserve"> gained</w:t>
            </w:r>
          </w:p>
        </w:tc>
        <w:tc>
          <w:tcPr>
            <w:tcW w:w="1230" w:type="pct"/>
            <w:shd w:val="clear" w:color="auto" w:fill="C6D9F1" w:themeFill="text2" w:themeFillTint="33"/>
          </w:tcPr>
          <w:p w14:paraId="0A3BC4E6" w14:textId="77777777" w:rsidR="00677461" w:rsidRDefault="00677461" w:rsidP="004C47F9">
            <w:pPr>
              <w:pStyle w:val="TableText0"/>
              <w:keepNext w:val="0"/>
            </w:pPr>
            <w:r>
              <w:t>Unchanged.</w:t>
            </w:r>
          </w:p>
        </w:tc>
      </w:tr>
      <w:tr w:rsidR="00E047AA" w:rsidRPr="00E2771E" w14:paraId="0697C5BA" w14:textId="77777777" w:rsidTr="004C47F9">
        <w:trPr>
          <w:cantSplit/>
        </w:trPr>
        <w:tc>
          <w:tcPr>
            <w:tcW w:w="705" w:type="pct"/>
            <w:shd w:val="clear" w:color="auto" w:fill="auto"/>
            <w:vAlign w:val="center"/>
          </w:tcPr>
          <w:p w14:paraId="60280818" w14:textId="77777777" w:rsidR="00677461" w:rsidRPr="00E2771E" w:rsidRDefault="00677461" w:rsidP="004C47F9">
            <w:pPr>
              <w:pStyle w:val="TableText0"/>
              <w:keepNext w:val="0"/>
            </w:pPr>
            <w:r w:rsidRPr="00E2771E">
              <w:t>Methods used to generate results</w:t>
            </w:r>
          </w:p>
        </w:tc>
        <w:tc>
          <w:tcPr>
            <w:tcW w:w="3065" w:type="pct"/>
            <w:shd w:val="clear" w:color="auto" w:fill="C6D9F1" w:themeFill="text2" w:themeFillTint="33"/>
            <w:vAlign w:val="center"/>
          </w:tcPr>
          <w:p w14:paraId="7ACB6A97" w14:textId="77777777" w:rsidR="00677461" w:rsidRPr="00E2771E" w:rsidRDefault="00677461" w:rsidP="004C47F9">
            <w:pPr>
              <w:pStyle w:val="TableText0"/>
              <w:keepNext w:val="0"/>
            </w:pPr>
            <w:r w:rsidRPr="0003419C">
              <w:t>Markov state transition model</w:t>
            </w:r>
          </w:p>
        </w:tc>
        <w:tc>
          <w:tcPr>
            <w:tcW w:w="1230" w:type="pct"/>
            <w:shd w:val="clear" w:color="auto" w:fill="C6D9F1" w:themeFill="text2" w:themeFillTint="33"/>
          </w:tcPr>
          <w:p w14:paraId="68C515F1" w14:textId="77777777" w:rsidR="00677461" w:rsidRPr="0003419C" w:rsidRDefault="00677461" w:rsidP="004C47F9">
            <w:pPr>
              <w:pStyle w:val="TableText0"/>
              <w:keepNext w:val="0"/>
            </w:pPr>
            <w:r>
              <w:t>Unchanged.</w:t>
            </w:r>
          </w:p>
        </w:tc>
      </w:tr>
      <w:tr w:rsidR="00E047AA" w:rsidRPr="00E2771E" w14:paraId="6ED3B557" w14:textId="77777777" w:rsidTr="004C47F9">
        <w:trPr>
          <w:cantSplit/>
        </w:trPr>
        <w:tc>
          <w:tcPr>
            <w:tcW w:w="705" w:type="pct"/>
            <w:shd w:val="clear" w:color="auto" w:fill="auto"/>
            <w:vAlign w:val="center"/>
          </w:tcPr>
          <w:p w14:paraId="348DC3C9" w14:textId="77777777" w:rsidR="00677461" w:rsidRPr="00E2771E" w:rsidRDefault="00677461" w:rsidP="004C47F9">
            <w:pPr>
              <w:pStyle w:val="TableText0"/>
              <w:keepNext w:val="0"/>
            </w:pPr>
            <w:r w:rsidRPr="00E2771E">
              <w:t>Health states</w:t>
            </w:r>
          </w:p>
        </w:tc>
        <w:tc>
          <w:tcPr>
            <w:tcW w:w="3065" w:type="pct"/>
            <w:shd w:val="clear" w:color="auto" w:fill="C6D9F1" w:themeFill="text2" w:themeFillTint="33"/>
            <w:vAlign w:val="center"/>
          </w:tcPr>
          <w:p w14:paraId="3D9CCF8F" w14:textId="77777777" w:rsidR="00677461" w:rsidRPr="00E2771E" w:rsidRDefault="00677461" w:rsidP="004C47F9">
            <w:pPr>
              <w:pStyle w:val="TableText0"/>
              <w:keepNext w:val="0"/>
            </w:pPr>
            <w:r w:rsidRPr="0003419C">
              <w:t>Four health states: NYHA class I, NYHA class II, NYHA class III/IV, death</w:t>
            </w:r>
          </w:p>
        </w:tc>
        <w:tc>
          <w:tcPr>
            <w:tcW w:w="1230" w:type="pct"/>
            <w:shd w:val="clear" w:color="auto" w:fill="C6D9F1" w:themeFill="text2" w:themeFillTint="33"/>
          </w:tcPr>
          <w:p w14:paraId="43D37D1C" w14:textId="77777777" w:rsidR="00677461" w:rsidRPr="0003419C" w:rsidRDefault="00677461" w:rsidP="004C47F9">
            <w:pPr>
              <w:pStyle w:val="TableText0"/>
              <w:keepNext w:val="0"/>
            </w:pPr>
            <w:r>
              <w:t>Unchanged.</w:t>
            </w:r>
          </w:p>
        </w:tc>
      </w:tr>
      <w:tr w:rsidR="00E64E12" w:rsidRPr="00E2771E" w14:paraId="5E9CE452" w14:textId="77777777" w:rsidTr="004C47F9">
        <w:trPr>
          <w:cantSplit/>
        </w:trPr>
        <w:tc>
          <w:tcPr>
            <w:tcW w:w="705" w:type="pct"/>
            <w:shd w:val="clear" w:color="auto" w:fill="auto"/>
            <w:vAlign w:val="center"/>
          </w:tcPr>
          <w:p w14:paraId="21C3EA17" w14:textId="77777777" w:rsidR="00677461" w:rsidRPr="00E2771E" w:rsidRDefault="00677461" w:rsidP="004C47F9">
            <w:pPr>
              <w:pStyle w:val="TableText0"/>
              <w:keepNext w:val="0"/>
            </w:pPr>
            <w:r w:rsidRPr="00E2771E">
              <w:t>Cycle length</w:t>
            </w:r>
          </w:p>
        </w:tc>
        <w:tc>
          <w:tcPr>
            <w:tcW w:w="3065" w:type="pct"/>
            <w:shd w:val="clear" w:color="auto" w:fill="C6D9F1" w:themeFill="text2" w:themeFillTint="33"/>
            <w:vAlign w:val="center"/>
          </w:tcPr>
          <w:p w14:paraId="73F827D4" w14:textId="77777777" w:rsidR="00677461" w:rsidRDefault="00677461" w:rsidP="004C47F9">
            <w:pPr>
              <w:pStyle w:val="TableText0"/>
              <w:keepNext w:val="0"/>
            </w:pPr>
            <w:r>
              <w:t xml:space="preserve">Short-term (within 30 weeks, </w:t>
            </w:r>
            <w:proofErr w:type="gramStart"/>
            <w:r w:rsidRPr="00BF5BC7">
              <w:t>i.e.</w:t>
            </w:r>
            <w:proofErr w:type="gramEnd"/>
            <w:r w:rsidRPr="00BF5BC7">
              <w:t xml:space="preserve"> </w:t>
            </w:r>
            <w:r>
              <w:t>the treatment period in the trial): consistent with the visit schedule for efficacy measures in EXPLORER-HCM (either 2 weeks or 4 weeks)</w:t>
            </w:r>
          </w:p>
          <w:p w14:paraId="121CE80E" w14:textId="77777777" w:rsidR="00677461" w:rsidRPr="00E2771E" w:rsidRDefault="00677461" w:rsidP="004C47F9">
            <w:pPr>
              <w:pStyle w:val="TableText0"/>
              <w:keepNext w:val="0"/>
            </w:pPr>
            <w:r>
              <w:t xml:space="preserve">Long-term (beyond 30 weeks): 4 weeks </w:t>
            </w:r>
          </w:p>
        </w:tc>
        <w:tc>
          <w:tcPr>
            <w:tcW w:w="1230" w:type="pct"/>
            <w:shd w:val="clear" w:color="auto" w:fill="C6D9F1" w:themeFill="text2" w:themeFillTint="33"/>
          </w:tcPr>
          <w:p w14:paraId="79FF1442" w14:textId="77777777" w:rsidR="00677461" w:rsidRDefault="00677461" w:rsidP="004C47F9">
            <w:pPr>
              <w:pStyle w:val="TableText0"/>
              <w:keepNext w:val="0"/>
            </w:pPr>
            <w:r>
              <w:t>Unchanged.</w:t>
            </w:r>
          </w:p>
        </w:tc>
      </w:tr>
      <w:tr w:rsidR="00E64E12" w:rsidRPr="00E2771E" w14:paraId="578BC6BD" w14:textId="77777777" w:rsidTr="004C47F9">
        <w:trPr>
          <w:cantSplit/>
        </w:trPr>
        <w:tc>
          <w:tcPr>
            <w:tcW w:w="705" w:type="pct"/>
            <w:tcBorders>
              <w:bottom w:val="single" w:sz="4" w:space="0" w:color="auto"/>
            </w:tcBorders>
            <w:shd w:val="clear" w:color="auto" w:fill="auto"/>
            <w:vAlign w:val="center"/>
          </w:tcPr>
          <w:p w14:paraId="5FA05A86" w14:textId="77777777" w:rsidR="00677461" w:rsidRPr="00E2771E" w:rsidRDefault="00677461" w:rsidP="004C47F9">
            <w:pPr>
              <w:pStyle w:val="TableText0"/>
              <w:keepNext w:val="0"/>
            </w:pPr>
            <w:r w:rsidRPr="00E2771E">
              <w:t>Transition probabilities</w:t>
            </w:r>
          </w:p>
        </w:tc>
        <w:tc>
          <w:tcPr>
            <w:tcW w:w="3065" w:type="pct"/>
            <w:tcBorders>
              <w:bottom w:val="single" w:sz="4" w:space="0" w:color="auto"/>
            </w:tcBorders>
            <w:shd w:val="clear" w:color="auto" w:fill="C6D9F1" w:themeFill="text2" w:themeFillTint="33"/>
            <w:vAlign w:val="center"/>
          </w:tcPr>
          <w:p w14:paraId="25BDA158" w14:textId="77777777" w:rsidR="00677461" w:rsidRPr="00E2771E" w:rsidRDefault="00677461" w:rsidP="004C47F9">
            <w:pPr>
              <w:pStyle w:val="TableText0"/>
              <w:keepNext w:val="0"/>
            </w:pPr>
            <w:r>
              <w:t>Transition probabilities among NYHA health states were estimated based on the trial data from EXPLORER-HCM up to 30 weeks for mavacamten + BB/CCB and up to 46 weeks for SOC (</w:t>
            </w:r>
            <w:proofErr w:type="gramStart"/>
            <w:r w:rsidRPr="00BF5BC7">
              <w:t>i.e.</w:t>
            </w:r>
            <w:proofErr w:type="gramEnd"/>
            <w:r w:rsidRPr="00BF5BC7">
              <w:t xml:space="preserve"> </w:t>
            </w:r>
            <w:r>
              <w:t xml:space="preserve">BB/CCB). </w:t>
            </w:r>
          </w:p>
        </w:tc>
        <w:tc>
          <w:tcPr>
            <w:tcW w:w="1230" w:type="pct"/>
            <w:tcBorders>
              <w:bottom w:val="single" w:sz="4" w:space="0" w:color="auto"/>
            </w:tcBorders>
          </w:tcPr>
          <w:p w14:paraId="76E37E90" w14:textId="77777777" w:rsidR="00677461" w:rsidRDefault="00677461" w:rsidP="004C47F9">
            <w:pPr>
              <w:pStyle w:val="TableText0"/>
              <w:keepNext w:val="0"/>
              <w:shd w:val="clear" w:color="auto" w:fill="C6D9F1" w:themeFill="text2" w:themeFillTint="33"/>
            </w:pPr>
            <w:r>
              <w:t>Unchanged for mavacamten + BB/CCB arm.</w:t>
            </w:r>
          </w:p>
          <w:p w14:paraId="107B531A" w14:textId="69215888" w:rsidR="00677461" w:rsidRDefault="00B22F32" w:rsidP="004C47F9">
            <w:pPr>
              <w:pStyle w:val="TableText0"/>
              <w:keepNext w:val="0"/>
            </w:pPr>
            <w:r>
              <w:t>Truncation point r</w:t>
            </w:r>
            <w:r w:rsidR="00677461">
              <w:t xml:space="preserve">evised from 46 weeks to 38 weeks for SOC arm (PBAC advice: revise to 30 weeks for both arms). Sensitivity was presented truncation time point of 30 weeks for both arms. </w:t>
            </w:r>
          </w:p>
        </w:tc>
      </w:tr>
      <w:tr w:rsidR="00E64E12" w:rsidRPr="00E2771E" w14:paraId="1CBEDF9F" w14:textId="77777777" w:rsidTr="004C47F9">
        <w:trPr>
          <w:cantSplit/>
        </w:trPr>
        <w:tc>
          <w:tcPr>
            <w:tcW w:w="705" w:type="pct"/>
            <w:tcBorders>
              <w:bottom w:val="nil"/>
            </w:tcBorders>
            <w:shd w:val="clear" w:color="auto" w:fill="auto"/>
            <w:vAlign w:val="center"/>
          </w:tcPr>
          <w:p w14:paraId="4FC31F57" w14:textId="77777777" w:rsidR="00677461" w:rsidRPr="00E2771E" w:rsidRDefault="00677461" w:rsidP="004C47F9">
            <w:pPr>
              <w:pStyle w:val="TableText0"/>
              <w:keepNext w:val="0"/>
            </w:pPr>
            <w:r>
              <w:lastRenderedPageBreak/>
              <w:t>Extrapolation method</w:t>
            </w:r>
          </w:p>
        </w:tc>
        <w:tc>
          <w:tcPr>
            <w:tcW w:w="3065" w:type="pct"/>
            <w:tcBorders>
              <w:bottom w:val="nil"/>
            </w:tcBorders>
            <w:shd w:val="clear" w:color="auto" w:fill="C6D9F1" w:themeFill="text2" w:themeFillTint="33"/>
            <w:vAlign w:val="center"/>
          </w:tcPr>
          <w:p w14:paraId="0B961C1C" w14:textId="77777777" w:rsidR="00677461" w:rsidRDefault="00677461" w:rsidP="004C47F9">
            <w:pPr>
              <w:pStyle w:val="TableText0"/>
              <w:keepNext w:val="0"/>
            </w:pPr>
            <w:r>
              <w:t xml:space="preserve">After the trial data truncation time point, the model assumed that patients receiving mavacamten + BB/CCB or BB/CCB alone experienced no further NYHA class change except for underlying natural disease progression. The estimate of the disease progression rate in patients treated with BB/CCB was sourced from an external study by Maron </w:t>
            </w:r>
            <w:r w:rsidRPr="00BF5BC7">
              <w:t>et al</w:t>
            </w:r>
            <w:r>
              <w:t xml:space="preserve"> (2016). The rate of natural disease progression for mavacamten + BB/CCB was estimated by applying a relative difference of 50.85% (derived from EXPLORER-HCM) to the assumed disease progression rate for BB/CCB.</w:t>
            </w:r>
          </w:p>
          <w:p w14:paraId="18C106F0" w14:textId="77777777" w:rsidR="00677461" w:rsidRDefault="00677461" w:rsidP="00A83EFD">
            <w:pPr>
              <w:pStyle w:val="TableText0"/>
              <w:keepNext w:val="0"/>
            </w:pPr>
          </w:p>
        </w:tc>
        <w:tc>
          <w:tcPr>
            <w:tcW w:w="1230" w:type="pct"/>
            <w:tcBorders>
              <w:bottom w:val="nil"/>
            </w:tcBorders>
            <w:shd w:val="clear" w:color="auto" w:fill="C6D9F1" w:themeFill="text2" w:themeFillTint="33"/>
          </w:tcPr>
          <w:p w14:paraId="4033D178" w14:textId="77777777" w:rsidR="00677461" w:rsidRDefault="00677461" w:rsidP="004C47F9">
            <w:pPr>
              <w:pStyle w:val="TableText0"/>
              <w:keepNext w:val="0"/>
            </w:pPr>
            <w:r>
              <w:t>Unchanged.</w:t>
            </w:r>
          </w:p>
        </w:tc>
      </w:tr>
      <w:tr w:rsidR="00E64E12" w:rsidRPr="00E2771E" w14:paraId="046A12F5" w14:textId="77777777" w:rsidTr="004C47F9">
        <w:trPr>
          <w:cantSplit/>
        </w:trPr>
        <w:tc>
          <w:tcPr>
            <w:tcW w:w="705" w:type="pct"/>
            <w:tcBorders>
              <w:top w:val="nil"/>
              <w:bottom w:val="nil"/>
            </w:tcBorders>
            <w:shd w:val="clear" w:color="auto" w:fill="auto"/>
            <w:vAlign w:val="center"/>
          </w:tcPr>
          <w:p w14:paraId="23ED76D9" w14:textId="77777777" w:rsidR="00677461" w:rsidRPr="00E2771E" w:rsidRDefault="00677461" w:rsidP="004C47F9">
            <w:pPr>
              <w:pStyle w:val="TableText0"/>
              <w:keepNext w:val="0"/>
            </w:pPr>
          </w:p>
        </w:tc>
        <w:tc>
          <w:tcPr>
            <w:tcW w:w="3065" w:type="pct"/>
            <w:tcBorders>
              <w:top w:val="nil"/>
              <w:bottom w:val="nil"/>
            </w:tcBorders>
            <w:shd w:val="clear" w:color="auto" w:fill="C6D9F1" w:themeFill="text2" w:themeFillTint="33"/>
            <w:vAlign w:val="center"/>
          </w:tcPr>
          <w:p w14:paraId="67F53374" w14:textId="77777777" w:rsidR="00677461" w:rsidRPr="00E2771E" w:rsidRDefault="00677461" w:rsidP="004C47F9">
            <w:pPr>
              <w:pStyle w:val="TableText0"/>
              <w:keepNext w:val="0"/>
            </w:pPr>
            <w:r>
              <w:t xml:space="preserve">The submission assumed that patients would remain on their initial treatment with mavacamten + BB/CCB or BB/CCB alone for the first 30 weeks. Thereafter, patients have a probability of discontinuing mavacamten treatment, due to AEs or lack of efficacy, and receive subsequent therapy with BB/CCB, disopyramide + BB/CCB or SRT + BB/CCB. Patients </w:t>
            </w:r>
            <w:r w:rsidRPr="00830B18">
              <w:t xml:space="preserve">not responding to </w:t>
            </w:r>
            <w:r>
              <w:t xml:space="preserve">BB/CCB monotherapy have a probability of receiving </w:t>
            </w:r>
            <w:r w:rsidRPr="00830B18">
              <w:t>subsequent treatments (</w:t>
            </w:r>
            <w:proofErr w:type="gramStart"/>
            <w:r w:rsidRPr="00BF5BC7">
              <w:t>i.e.</w:t>
            </w:r>
            <w:proofErr w:type="gramEnd"/>
            <w:r w:rsidRPr="00830B18">
              <w:t xml:space="preserve"> disopyramide </w:t>
            </w:r>
            <w:r>
              <w:t xml:space="preserve">+ BB/CCB or </w:t>
            </w:r>
            <w:r w:rsidRPr="00830B18">
              <w:t>and SRT</w:t>
            </w:r>
            <w:r>
              <w:t xml:space="preserve"> +</w:t>
            </w:r>
            <w:r w:rsidRPr="00830B18">
              <w:t xml:space="preserve"> BB/CCB</w:t>
            </w:r>
            <w:r>
              <w:t>)</w:t>
            </w:r>
            <w:r w:rsidRPr="00830B18">
              <w:t xml:space="preserve">. </w:t>
            </w:r>
            <w:r>
              <w:t>The proportion of patients who would receive subsequent therapies and the market share of subsequent therapies were estimated based on EXPLORER-HCM and expert opinion from an Advisory Board.</w:t>
            </w:r>
          </w:p>
        </w:tc>
        <w:tc>
          <w:tcPr>
            <w:tcW w:w="1230" w:type="pct"/>
            <w:tcBorders>
              <w:top w:val="nil"/>
              <w:bottom w:val="nil"/>
            </w:tcBorders>
          </w:tcPr>
          <w:p w14:paraId="666E79F7" w14:textId="1B495FFE" w:rsidR="00725646" w:rsidRDefault="00D802C8" w:rsidP="00AD72DB">
            <w:pPr>
              <w:pStyle w:val="TableText0"/>
              <w:keepNext w:val="0"/>
              <w:shd w:val="clear" w:color="auto" w:fill="C6D9F1" w:themeFill="text2" w:themeFillTint="33"/>
            </w:pPr>
            <w:r>
              <w:t xml:space="preserve">Assumption unchanged for patients discontinuing </w:t>
            </w:r>
            <w:r w:rsidR="00AD72DB">
              <w:t xml:space="preserve">mavacamten treated due to lack of efficacy </w:t>
            </w:r>
            <w:r w:rsidR="0084413A">
              <w:t>(ESC Advice: stronger justi</w:t>
            </w:r>
            <w:r w:rsidR="0045424C">
              <w:t>fication needed for long-term discontinuation)</w:t>
            </w:r>
          </w:p>
          <w:p w14:paraId="4A326B16" w14:textId="77777777" w:rsidR="00725646" w:rsidRDefault="00725646" w:rsidP="004C47F9">
            <w:pPr>
              <w:pStyle w:val="TableText0"/>
              <w:keepNext w:val="0"/>
            </w:pPr>
          </w:p>
          <w:p w14:paraId="44C3D410" w14:textId="27F3ACA1" w:rsidR="00677461" w:rsidRDefault="00677461" w:rsidP="004C47F9">
            <w:pPr>
              <w:pStyle w:val="TableText0"/>
              <w:keepNext w:val="0"/>
            </w:pPr>
            <w:r>
              <w:t xml:space="preserve">Changes made in resubmission model: </w:t>
            </w:r>
          </w:p>
          <w:p w14:paraId="27AB4B5F" w14:textId="77777777" w:rsidR="00677461" w:rsidRDefault="00677461" w:rsidP="00EE280A">
            <w:pPr>
              <w:pStyle w:val="TableText0"/>
              <w:keepNext w:val="0"/>
              <w:numPr>
                <w:ilvl w:val="0"/>
                <w:numId w:val="14"/>
              </w:numPr>
              <w:ind w:left="243" w:hanging="175"/>
            </w:pPr>
            <w:r>
              <w:t xml:space="preserve">Disopyramide was removed as a subsequent therapy from the model’s structure. </w:t>
            </w:r>
          </w:p>
          <w:p w14:paraId="71774204" w14:textId="77777777" w:rsidR="00677461" w:rsidRDefault="00677461" w:rsidP="00EE280A">
            <w:pPr>
              <w:pStyle w:val="TableText0"/>
              <w:keepNext w:val="0"/>
              <w:numPr>
                <w:ilvl w:val="0"/>
                <w:numId w:val="14"/>
              </w:numPr>
              <w:ind w:left="243" w:hanging="175"/>
            </w:pPr>
            <w:r>
              <w:t xml:space="preserve">Assumed market share for disopyramide were shifted to BB/CCB for the mavacamten arm and to SRT + BB/CCB for the SOC arm. </w:t>
            </w:r>
          </w:p>
          <w:p w14:paraId="3C8E9CC8" w14:textId="6ADB9B39" w:rsidR="00677461" w:rsidRDefault="00677461" w:rsidP="00EE280A">
            <w:pPr>
              <w:pStyle w:val="TableText0"/>
              <w:keepNext w:val="0"/>
              <w:numPr>
                <w:ilvl w:val="0"/>
                <w:numId w:val="14"/>
              </w:numPr>
              <w:ind w:left="243" w:hanging="175"/>
            </w:pPr>
            <w:r w:rsidRPr="002F3E01">
              <w:t>Discontinuation rates revised</w:t>
            </w:r>
            <w:r w:rsidR="00DA6424">
              <w:t xml:space="preserve"> for p</w:t>
            </w:r>
            <w:r>
              <w:t>atients discontinuing mavacamten</w:t>
            </w:r>
            <w:r w:rsidR="00DA6424">
              <w:t xml:space="preserve"> due to SAEs:</w:t>
            </w:r>
            <w:r>
              <w:t xml:space="preserve"> after 30 weeks</w:t>
            </w:r>
            <w:r w:rsidRPr="002F3E01">
              <w:t xml:space="preserve"> from 1.6% to 5.0%</w:t>
            </w:r>
            <w:r>
              <w:t xml:space="preserve">; Patients discontinuing due to SAEs </w:t>
            </w:r>
            <w:r w:rsidR="00DA6424">
              <w:t xml:space="preserve">annually </w:t>
            </w:r>
            <w:r>
              <w:t>was revised from 2.8% to 8.53%</w:t>
            </w:r>
            <w:r w:rsidR="00DA6424">
              <w:t xml:space="preserve"> (</w:t>
            </w:r>
            <w:r w:rsidR="00E35952">
              <w:t>calculation applied based on week 30 discontinuation rate</w:t>
            </w:r>
            <w:r w:rsidR="00DA6424">
              <w:t>)</w:t>
            </w:r>
            <w:r>
              <w:t xml:space="preserve">.   </w:t>
            </w:r>
          </w:p>
          <w:p w14:paraId="072C90BD" w14:textId="77777777" w:rsidR="00725646" w:rsidRDefault="00725646" w:rsidP="004D7FAA">
            <w:pPr>
              <w:pStyle w:val="TableText0"/>
              <w:keepNext w:val="0"/>
            </w:pPr>
          </w:p>
        </w:tc>
      </w:tr>
      <w:tr w:rsidR="00E64E12" w:rsidRPr="00E2771E" w14:paraId="366453AB" w14:textId="77777777" w:rsidTr="004C47F9">
        <w:trPr>
          <w:cantSplit/>
        </w:trPr>
        <w:tc>
          <w:tcPr>
            <w:tcW w:w="705" w:type="pct"/>
            <w:tcBorders>
              <w:top w:val="nil"/>
              <w:bottom w:val="nil"/>
            </w:tcBorders>
            <w:shd w:val="clear" w:color="auto" w:fill="auto"/>
            <w:vAlign w:val="center"/>
          </w:tcPr>
          <w:p w14:paraId="0675620C" w14:textId="77777777" w:rsidR="00677461" w:rsidRDefault="00677461" w:rsidP="004C47F9">
            <w:pPr>
              <w:pStyle w:val="TableText0"/>
              <w:keepNext w:val="0"/>
            </w:pPr>
          </w:p>
        </w:tc>
        <w:tc>
          <w:tcPr>
            <w:tcW w:w="3065" w:type="pct"/>
            <w:tcBorders>
              <w:top w:val="nil"/>
              <w:bottom w:val="nil"/>
            </w:tcBorders>
            <w:shd w:val="clear" w:color="auto" w:fill="C6D9F1" w:themeFill="text2" w:themeFillTint="33"/>
            <w:vAlign w:val="center"/>
          </w:tcPr>
          <w:p w14:paraId="603F25F9" w14:textId="77777777" w:rsidR="00677461" w:rsidRDefault="00677461" w:rsidP="004C47F9">
            <w:pPr>
              <w:pStyle w:val="TableText0"/>
              <w:keepNext w:val="0"/>
            </w:pPr>
            <w:r>
              <w:t xml:space="preserve">The submission assumed that patients treated with disopyramide + BB/CCB experienced no improvement in NYHA class but followed the natural disease progression. The transition probabilities among NYHA class health states in patients receiving SRT + BB/CCB were sourced from a Ukrainian study (Knyshov </w:t>
            </w:r>
            <w:r w:rsidRPr="00BF5BC7">
              <w:t>et al</w:t>
            </w:r>
            <w:r>
              <w:t>., 2013).</w:t>
            </w:r>
          </w:p>
          <w:p w14:paraId="71A0A376" w14:textId="77777777" w:rsidR="00677461" w:rsidRDefault="00677461" w:rsidP="004C47F9">
            <w:pPr>
              <w:pStyle w:val="TableText0"/>
              <w:keepNext w:val="0"/>
            </w:pPr>
          </w:p>
        </w:tc>
        <w:tc>
          <w:tcPr>
            <w:tcW w:w="1230" w:type="pct"/>
            <w:tcBorders>
              <w:top w:val="nil"/>
              <w:bottom w:val="nil"/>
            </w:tcBorders>
            <w:shd w:val="clear" w:color="auto" w:fill="C6D9F1" w:themeFill="text2" w:themeFillTint="33"/>
          </w:tcPr>
          <w:p w14:paraId="3AABD62F" w14:textId="77777777" w:rsidR="00677461" w:rsidRDefault="00677461" w:rsidP="004C47F9">
            <w:pPr>
              <w:pStyle w:val="TableText0"/>
              <w:keepNext w:val="0"/>
            </w:pPr>
            <w:r>
              <w:t xml:space="preserve">Unchanged. </w:t>
            </w:r>
          </w:p>
        </w:tc>
      </w:tr>
      <w:tr w:rsidR="00E64E12" w:rsidRPr="00E2771E" w14:paraId="4F85EFFA" w14:textId="77777777" w:rsidTr="004C47F9">
        <w:trPr>
          <w:cantSplit/>
        </w:trPr>
        <w:tc>
          <w:tcPr>
            <w:tcW w:w="705" w:type="pct"/>
            <w:tcBorders>
              <w:top w:val="nil"/>
              <w:bottom w:val="nil"/>
            </w:tcBorders>
            <w:shd w:val="clear" w:color="auto" w:fill="auto"/>
            <w:vAlign w:val="center"/>
          </w:tcPr>
          <w:p w14:paraId="7EC8AA0E" w14:textId="77777777" w:rsidR="00677461" w:rsidRDefault="00677461" w:rsidP="004C47F9">
            <w:pPr>
              <w:pStyle w:val="TableText0"/>
              <w:keepNext w:val="0"/>
            </w:pPr>
          </w:p>
        </w:tc>
        <w:tc>
          <w:tcPr>
            <w:tcW w:w="3065" w:type="pct"/>
            <w:tcBorders>
              <w:top w:val="nil"/>
              <w:bottom w:val="nil"/>
            </w:tcBorders>
            <w:shd w:val="clear" w:color="auto" w:fill="C6D9F1" w:themeFill="text2" w:themeFillTint="33"/>
            <w:vAlign w:val="center"/>
          </w:tcPr>
          <w:p w14:paraId="7330C901" w14:textId="77777777" w:rsidR="00677461" w:rsidRDefault="00677461" w:rsidP="004C47F9">
            <w:pPr>
              <w:pStyle w:val="TableText0"/>
              <w:keepNext w:val="0"/>
            </w:pPr>
            <w:r>
              <w:t xml:space="preserve">The mortality rate in NYHA class I patients was the general population mortality rate obtained from ABS Life Tables. Hazard ratios were used to reflect the </w:t>
            </w:r>
            <w:bookmarkStart w:id="71" w:name="_Hlk137818614"/>
            <w:r>
              <w:t>excess mortality associated with NYHA class II and NYHA class III/IV, based on adjusted analyses using the Sarcomeric Human Cardiomyopathy Registry</w:t>
            </w:r>
            <w:bookmarkEnd w:id="71"/>
            <w:r>
              <w:t>.</w:t>
            </w:r>
          </w:p>
        </w:tc>
        <w:tc>
          <w:tcPr>
            <w:tcW w:w="1230" w:type="pct"/>
            <w:tcBorders>
              <w:top w:val="nil"/>
              <w:bottom w:val="nil"/>
            </w:tcBorders>
            <w:shd w:val="clear" w:color="auto" w:fill="auto"/>
          </w:tcPr>
          <w:p w14:paraId="319C1730" w14:textId="77777777" w:rsidR="00677461" w:rsidRPr="00BF5BC7" w:rsidRDefault="00677461" w:rsidP="004C47F9">
            <w:pPr>
              <w:pStyle w:val="TableText0"/>
              <w:keepNext w:val="0"/>
              <w:shd w:val="clear" w:color="auto" w:fill="C6D9F1" w:themeFill="text2" w:themeFillTint="33"/>
              <w:rPr>
                <w:iCs/>
              </w:rPr>
            </w:pPr>
            <w:r>
              <w:t>Unchanged.</w:t>
            </w:r>
          </w:p>
          <w:p w14:paraId="4C324E99" w14:textId="77777777" w:rsidR="00677461" w:rsidRPr="00BF5BC7" w:rsidRDefault="00677461" w:rsidP="004C47F9">
            <w:pPr>
              <w:pStyle w:val="TableText0"/>
              <w:keepNext w:val="0"/>
              <w:rPr>
                <w:iCs/>
              </w:rPr>
            </w:pPr>
            <w:r w:rsidRPr="00BF5BC7">
              <w:rPr>
                <w:iCs/>
              </w:rPr>
              <w:t xml:space="preserve">Technical reports for analyses were not provided; validity of the adjusted HR results could not be validated or reliably assessed. </w:t>
            </w:r>
          </w:p>
          <w:p w14:paraId="40FE2C55" w14:textId="77777777" w:rsidR="00677461" w:rsidRPr="00592703" w:rsidRDefault="00677461" w:rsidP="004C47F9">
            <w:pPr>
              <w:pStyle w:val="TableText0"/>
              <w:keepNext w:val="0"/>
              <w:rPr>
                <w:i/>
                <w:iCs/>
              </w:rPr>
            </w:pPr>
            <w:r w:rsidRPr="00BF5BC7">
              <w:rPr>
                <w:iCs/>
              </w:rPr>
              <w:t>(PBAC advice: remove mortality benefits)</w:t>
            </w:r>
          </w:p>
        </w:tc>
      </w:tr>
      <w:tr w:rsidR="00E64E12" w:rsidRPr="00E2771E" w14:paraId="4EF31DA9" w14:textId="77777777" w:rsidTr="004C47F9">
        <w:trPr>
          <w:cantSplit/>
        </w:trPr>
        <w:tc>
          <w:tcPr>
            <w:tcW w:w="705" w:type="pct"/>
            <w:tcBorders>
              <w:top w:val="nil"/>
            </w:tcBorders>
            <w:shd w:val="clear" w:color="auto" w:fill="auto"/>
            <w:vAlign w:val="center"/>
          </w:tcPr>
          <w:p w14:paraId="4162B2EA" w14:textId="77777777" w:rsidR="00677461" w:rsidRDefault="00677461" w:rsidP="004C47F9">
            <w:pPr>
              <w:pStyle w:val="TableText0"/>
              <w:keepNext w:val="0"/>
            </w:pPr>
          </w:p>
        </w:tc>
        <w:tc>
          <w:tcPr>
            <w:tcW w:w="3065" w:type="pct"/>
            <w:tcBorders>
              <w:top w:val="nil"/>
            </w:tcBorders>
            <w:shd w:val="clear" w:color="auto" w:fill="C6D9F1" w:themeFill="text2" w:themeFillTint="33"/>
            <w:vAlign w:val="center"/>
          </w:tcPr>
          <w:p w14:paraId="02768710" w14:textId="77777777" w:rsidR="00677461" w:rsidRDefault="00677461" w:rsidP="004C47F9">
            <w:pPr>
              <w:pStyle w:val="TableText0"/>
              <w:keepNext w:val="0"/>
            </w:pPr>
            <w:r>
              <w:t xml:space="preserve">98% of the incremental QALYs and 77% of the incremental costs occurred in the extrapolated </w:t>
            </w:r>
            <w:r w:rsidRPr="00D6319F">
              <w:t>period (</w:t>
            </w:r>
            <w:proofErr w:type="gramStart"/>
            <w:r w:rsidRPr="00D6319F">
              <w:t>i.e.</w:t>
            </w:r>
            <w:proofErr w:type="gramEnd"/>
            <w:r w:rsidRPr="00D6319F">
              <w:t xml:space="preserve"> from</w:t>
            </w:r>
            <w:r>
              <w:t xml:space="preserve"> 30 weeks to 25 years).</w:t>
            </w:r>
          </w:p>
        </w:tc>
        <w:tc>
          <w:tcPr>
            <w:tcW w:w="1230" w:type="pct"/>
            <w:tcBorders>
              <w:top w:val="nil"/>
            </w:tcBorders>
          </w:tcPr>
          <w:p w14:paraId="1828324D" w14:textId="77777777" w:rsidR="00677461" w:rsidRDefault="00677461" w:rsidP="004C47F9">
            <w:pPr>
              <w:pStyle w:val="TableText0"/>
              <w:keepNext w:val="0"/>
            </w:pPr>
            <w:r>
              <w:t>98% of the incremental QALYs and 72% of the incremental costs occurred in the extrapolated period (</w:t>
            </w:r>
            <w:r w:rsidRPr="00D6319F">
              <w:t>i.e.,</w:t>
            </w:r>
            <w:r>
              <w:t xml:space="preserve"> from 30 weeks to 20 years).</w:t>
            </w:r>
          </w:p>
        </w:tc>
      </w:tr>
      <w:tr w:rsidR="00E64E12" w:rsidRPr="00E2771E" w14:paraId="61E5FFD7" w14:textId="77777777" w:rsidTr="004C47F9">
        <w:trPr>
          <w:cantSplit/>
        </w:trPr>
        <w:tc>
          <w:tcPr>
            <w:tcW w:w="705" w:type="pct"/>
            <w:tcBorders>
              <w:bottom w:val="single" w:sz="4" w:space="0" w:color="auto"/>
            </w:tcBorders>
            <w:shd w:val="clear" w:color="auto" w:fill="auto"/>
            <w:vAlign w:val="center"/>
          </w:tcPr>
          <w:p w14:paraId="02C91D89" w14:textId="77777777" w:rsidR="00677461" w:rsidRPr="001F4081" w:rsidRDefault="00677461" w:rsidP="004C47F9">
            <w:pPr>
              <w:pStyle w:val="TableText0"/>
              <w:keepNext w:val="0"/>
            </w:pPr>
            <w:r>
              <w:t>Health related quality of life</w:t>
            </w:r>
          </w:p>
        </w:tc>
        <w:tc>
          <w:tcPr>
            <w:tcW w:w="3065" w:type="pct"/>
            <w:tcBorders>
              <w:bottom w:val="single" w:sz="4" w:space="0" w:color="auto"/>
            </w:tcBorders>
            <w:shd w:val="clear" w:color="auto" w:fill="C6D9F1" w:themeFill="text2" w:themeFillTint="33"/>
            <w:vAlign w:val="center"/>
          </w:tcPr>
          <w:p w14:paraId="787ECF42" w14:textId="77777777" w:rsidR="00677461" w:rsidRDefault="00677461" w:rsidP="004C47F9">
            <w:pPr>
              <w:pStyle w:val="TableText0"/>
              <w:keepNext w:val="0"/>
            </w:pPr>
            <w:r w:rsidRPr="001B3B4B">
              <w:t xml:space="preserve">Utilities were NYHA functional class dependent, regardless of the treatments the patients received. </w:t>
            </w:r>
            <w:r>
              <w:t xml:space="preserve">No AE-associated utility decrements were included in the economic model. Health state utility values were estimated based on the EQ-5D data from </w:t>
            </w:r>
            <w:r w:rsidRPr="001B3B4B">
              <w:t>EXPLORER-HCM</w:t>
            </w:r>
            <w:r>
              <w:t>.</w:t>
            </w:r>
          </w:p>
          <w:p w14:paraId="33E2038D" w14:textId="77777777" w:rsidR="00677461" w:rsidRDefault="00677461" w:rsidP="004C47F9">
            <w:pPr>
              <w:pStyle w:val="TableText0"/>
              <w:keepNext w:val="0"/>
            </w:pPr>
          </w:p>
          <w:p w14:paraId="00AF0A46" w14:textId="77777777" w:rsidR="00677461" w:rsidRPr="00E2771E" w:rsidRDefault="00677461" w:rsidP="004C47F9">
            <w:pPr>
              <w:pStyle w:val="TableText0"/>
              <w:keepNext w:val="0"/>
            </w:pPr>
            <w:r>
              <w:t>NYHA class I: 0.909; NYHA class II: 0.827; NYHA class III/IV: 0.730</w:t>
            </w:r>
          </w:p>
        </w:tc>
        <w:tc>
          <w:tcPr>
            <w:tcW w:w="1230" w:type="pct"/>
            <w:tcBorders>
              <w:bottom w:val="single" w:sz="4" w:space="0" w:color="auto"/>
            </w:tcBorders>
            <w:shd w:val="clear" w:color="auto" w:fill="C6D9F1" w:themeFill="text2" w:themeFillTint="33"/>
          </w:tcPr>
          <w:p w14:paraId="5629CEEF" w14:textId="77777777" w:rsidR="00677461" w:rsidRPr="001B3B4B" w:rsidRDefault="00677461" w:rsidP="004C47F9">
            <w:pPr>
              <w:pStyle w:val="TableText0"/>
              <w:keepNext w:val="0"/>
            </w:pPr>
            <w:r>
              <w:t>Unchanged.</w:t>
            </w:r>
          </w:p>
        </w:tc>
      </w:tr>
      <w:tr w:rsidR="00E64E12" w:rsidRPr="00E2771E" w14:paraId="47F11679" w14:textId="77777777" w:rsidTr="004C47F9">
        <w:trPr>
          <w:cantSplit/>
        </w:trPr>
        <w:tc>
          <w:tcPr>
            <w:tcW w:w="705" w:type="pct"/>
            <w:tcBorders>
              <w:bottom w:val="nil"/>
            </w:tcBorders>
            <w:shd w:val="clear" w:color="auto" w:fill="auto"/>
            <w:vAlign w:val="center"/>
          </w:tcPr>
          <w:p w14:paraId="6BE48C49" w14:textId="77777777" w:rsidR="00677461" w:rsidRPr="00E2771E" w:rsidRDefault="00677461" w:rsidP="004C47F9">
            <w:pPr>
              <w:pStyle w:val="TableText0"/>
              <w:keepNext w:val="0"/>
            </w:pPr>
            <w:r>
              <w:t xml:space="preserve">Costs </w:t>
            </w:r>
          </w:p>
        </w:tc>
        <w:tc>
          <w:tcPr>
            <w:tcW w:w="3065" w:type="pct"/>
            <w:tcBorders>
              <w:bottom w:val="nil"/>
            </w:tcBorders>
            <w:shd w:val="clear" w:color="auto" w:fill="C6D9F1" w:themeFill="text2" w:themeFillTint="33"/>
            <w:vAlign w:val="center"/>
          </w:tcPr>
          <w:p w14:paraId="39E6CB99" w14:textId="77777777" w:rsidR="00677461" w:rsidRPr="00E2771E" w:rsidRDefault="00677461" w:rsidP="004C47F9">
            <w:pPr>
              <w:pStyle w:val="TableText0"/>
              <w:keepNext w:val="0"/>
            </w:pPr>
            <w:r>
              <w:t xml:space="preserve">Drug costs were estimated based on the proposed or published PBS prices. </w:t>
            </w:r>
          </w:p>
        </w:tc>
        <w:tc>
          <w:tcPr>
            <w:tcW w:w="1230" w:type="pct"/>
            <w:tcBorders>
              <w:bottom w:val="nil"/>
            </w:tcBorders>
          </w:tcPr>
          <w:p w14:paraId="661D88D1" w14:textId="7120CE17" w:rsidR="00677461" w:rsidRDefault="00677461" w:rsidP="004C47F9">
            <w:pPr>
              <w:pStyle w:val="TableText0"/>
              <w:keepNext w:val="0"/>
            </w:pPr>
            <w:r>
              <w:t>Effective DPMQ for mavacamten reduced from $</w:t>
            </w:r>
            <w:r w:rsidR="00F5190C" w:rsidRPr="00F5190C">
              <w:rPr>
                <w:color w:val="000000"/>
                <w:spacing w:val="53"/>
                <w:shd w:val="solid" w:color="000000" w:fill="000000"/>
                <w:fitText w:val="332" w:id="-1167926777"/>
                <w14:textFill>
                  <w14:solidFill>
                    <w14:srgbClr w14:val="000000">
                      <w14:alpha w14:val="100000"/>
                    </w14:srgbClr>
                  </w14:solidFill>
                </w14:textFill>
              </w:rPr>
              <w:t>|||</w:t>
            </w:r>
            <w:r w:rsidR="00F5190C" w:rsidRPr="00F5190C">
              <w:rPr>
                <w:color w:val="000000"/>
                <w:spacing w:val="1"/>
                <w:shd w:val="solid" w:color="000000" w:fill="000000"/>
                <w:fitText w:val="332" w:id="-1167926777"/>
                <w14:textFill>
                  <w14:solidFill>
                    <w14:srgbClr w14:val="000000">
                      <w14:alpha w14:val="100000"/>
                    </w14:srgbClr>
                  </w14:solidFill>
                </w14:textFill>
              </w:rPr>
              <w:t>|</w:t>
            </w:r>
            <w:r w:rsidR="00B63528" w:rsidRPr="00B63528">
              <w:t xml:space="preserve"> </w:t>
            </w:r>
            <w:r>
              <w:t>to $</w:t>
            </w:r>
            <w:r w:rsidR="00F5190C" w:rsidRPr="00F5190C">
              <w:rPr>
                <w:color w:val="000000"/>
                <w:spacing w:val="53"/>
                <w:shd w:val="solid" w:color="000000" w:fill="000000"/>
                <w:fitText w:val="333" w:id="-1167926776"/>
                <w14:textFill>
                  <w14:solidFill>
                    <w14:srgbClr w14:val="000000">
                      <w14:alpha w14:val="100000"/>
                    </w14:srgbClr>
                  </w14:solidFill>
                </w14:textFill>
              </w:rPr>
              <w:t>|||</w:t>
            </w:r>
            <w:r w:rsidR="00F5190C" w:rsidRPr="00F5190C">
              <w:rPr>
                <w:color w:val="000000"/>
                <w:spacing w:val="2"/>
                <w:shd w:val="solid" w:color="000000" w:fill="000000"/>
                <w:fitText w:val="333" w:id="-1167926776"/>
                <w14:textFill>
                  <w14:solidFill>
                    <w14:srgbClr w14:val="000000">
                      <w14:alpha w14:val="100000"/>
                    </w14:srgbClr>
                  </w14:solidFill>
                </w14:textFill>
              </w:rPr>
              <w:t>|</w:t>
            </w:r>
            <w:r>
              <w:t xml:space="preserve">. </w:t>
            </w:r>
          </w:p>
        </w:tc>
      </w:tr>
      <w:tr w:rsidR="00E64E12" w:rsidRPr="00E2771E" w14:paraId="00E5467F" w14:textId="77777777" w:rsidTr="004C47F9">
        <w:trPr>
          <w:cantSplit/>
        </w:trPr>
        <w:tc>
          <w:tcPr>
            <w:tcW w:w="705" w:type="pct"/>
            <w:tcBorders>
              <w:top w:val="nil"/>
              <w:bottom w:val="nil"/>
            </w:tcBorders>
            <w:shd w:val="clear" w:color="auto" w:fill="auto"/>
            <w:vAlign w:val="center"/>
          </w:tcPr>
          <w:p w14:paraId="7EA2102B" w14:textId="77777777" w:rsidR="00677461" w:rsidRDefault="00677461" w:rsidP="004C47F9">
            <w:pPr>
              <w:pStyle w:val="TableText0"/>
              <w:keepNext w:val="0"/>
            </w:pPr>
          </w:p>
        </w:tc>
        <w:tc>
          <w:tcPr>
            <w:tcW w:w="3065" w:type="pct"/>
            <w:tcBorders>
              <w:top w:val="nil"/>
              <w:bottom w:val="nil"/>
            </w:tcBorders>
            <w:shd w:val="clear" w:color="auto" w:fill="C6D9F1" w:themeFill="text2" w:themeFillTint="33"/>
            <w:vAlign w:val="center"/>
          </w:tcPr>
          <w:p w14:paraId="2A534233" w14:textId="77777777" w:rsidR="00677461" w:rsidRDefault="00677461" w:rsidP="004C47F9">
            <w:pPr>
              <w:pStyle w:val="TableText0"/>
              <w:keepNext w:val="0"/>
            </w:pPr>
            <w:r>
              <w:t xml:space="preserve">The health care resource use associated with treatment monitoring and management of disease was sourced from the mavacamten PI and expert opinion from the Advisory Board. MBS Schedule fees were used to cost related medical services. The cost of cardiovascular hospitalisation for disease management and the cost for SRT were estimated as the weighted average of selected AR-DRGs items. </w:t>
            </w:r>
          </w:p>
        </w:tc>
        <w:tc>
          <w:tcPr>
            <w:tcW w:w="1230" w:type="pct"/>
            <w:tcBorders>
              <w:top w:val="nil"/>
              <w:bottom w:val="nil"/>
            </w:tcBorders>
          </w:tcPr>
          <w:p w14:paraId="571F6CAD" w14:textId="77777777" w:rsidR="00677461" w:rsidRDefault="00677461" w:rsidP="004C47F9">
            <w:pPr>
              <w:pStyle w:val="TableText0"/>
              <w:keepNext w:val="0"/>
              <w:shd w:val="clear" w:color="auto" w:fill="C6D9F1" w:themeFill="text2" w:themeFillTint="33"/>
            </w:pPr>
            <w:r>
              <w:t>Costs unchanged:</w:t>
            </w:r>
          </w:p>
          <w:p w14:paraId="6B9913FE" w14:textId="77777777" w:rsidR="00677461" w:rsidRDefault="00677461" w:rsidP="00EE280A">
            <w:pPr>
              <w:pStyle w:val="TableText0"/>
              <w:keepNext w:val="0"/>
              <w:numPr>
                <w:ilvl w:val="0"/>
                <w:numId w:val="14"/>
              </w:numPr>
              <w:shd w:val="clear" w:color="auto" w:fill="C6D9F1" w:themeFill="text2" w:themeFillTint="33"/>
              <w:ind w:left="243" w:hanging="175"/>
            </w:pPr>
            <w:r>
              <w:t xml:space="preserve">SRT: </w:t>
            </w:r>
            <w:r w:rsidRPr="00286ED5">
              <w:t>$55,911</w:t>
            </w:r>
            <w:r>
              <w:t xml:space="preserve"> (PBAC advice: amend as cost due to SRT was overestimated).</w:t>
            </w:r>
          </w:p>
          <w:p w14:paraId="6AA0EDBC" w14:textId="4D837DF9" w:rsidR="00677461" w:rsidRDefault="00677461" w:rsidP="00EE280A">
            <w:pPr>
              <w:pStyle w:val="TableText0"/>
              <w:keepNext w:val="0"/>
              <w:numPr>
                <w:ilvl w:val="0"/>
                <w:numId w:val="14"/>
              </w:numPr>
              <w:shd w:val="clear" w:color="auto" w:fill="C6D9F1" w:themeFill="text2" w:themeFillTint="33"/>
              <w:ind w:left="243" w:hanging="175"/>
            </w:pPr>
            <w:r>
              <w:t>CV hospitalisation rates</w:t>
            </w:r>
            <w:r w:rsidR="005F6E89">
              <w:t>: NY</w:t>
            </w:r>
            <w:r w:rsidR="006145B6">
              <w:t>H</w:t>
            </w:r>
            <w:r w:rsidR="005F6E89">
              <w:t xml:space="preserve">A II, </w:t>
            </w:r>
            <w:r w:rsidR="00FB7940">
              <w:t xml:space="preserve">0.38 and NYHA III/IV, 1.0 </w:t>
            </w:r>
            <w:r>
              <w:t xml:space="preserve">(PBAC advice: amend input). </w:t>
            </w:r>
          </w:p>
          <w:p w14:paraId="3ACD25E1" w14:textId="77777777" w:rsidR="00677461" w:rsidRDefault="00677461" w:rsidP="004C47F9">
            <w:pPr>
              <w:pStyle w:val="TableText0"/>
              <w:keepNext w:val="0"/>
            </w:pPr>
            <w:r>
              <w:t>Costs revised:</w:t>
            </w:r>
          </w:p>
          <w:p w14:paraId="6B3307BF" w14:textId="77777777" w:rsidR="00677461" w:rsidRDefault="00677461" w:rsidP="00EE280A">
            <w:pPr>
              <w:pStyle w:val="TableText0"/>
              <w:keepNext w:val="0"/>
              <w:numPr>
                <w:ilvl w:val="0"/>
                <w:numId w:val="14"/>
              </w:numPr>
              <w:ind w:left="243" w:hanging="175"/>
            </w:pPr>
            <w:r>
              <w:t xml:space="preserve">CV hospitalisation cost: reduced from $27,780 to $12,486. </w:t>
            </w:r>
          </w:p>
          <w:p w14:paraId="1FBD1084" w14:textId="3C58F667" w:rsidR="00677461" w:rsidRDefault="00677461" w:rsidP="00EE280A">
            <w:pPr>
              <w:pStyle w:val="TableText0"/>
              <w:keepNext w:val="0"/>
              <w:numPr>
                <w:ilvl w:val="0"/>
                <w:numId w:val="14"/>
              </w:numPr>
              <w:ind w:left="243" w:hanging="175"/>
            </w:pPr>
            <w:r>
              <w:t>Costs of other treatments (met</w:t>
            </w:r>
            <w:r w:rsidR="00900C13">
              <w:t>o</w:t>
            </w:r>
            <w:r>
              <w:t xml:space="preserve">prolol, atenolol, bisoprolol, diltiazem, verapamil) and monitoring costs. </w:t>
            </w:r>
          </w:p>
        </w:tc>
      </w:tr>
      <w:tr w:rsidR="00E64E12" w:rsidRPr="00E2771E" w14:paraId="24E18589" w14:textId="77777777" w:rsidTr="004C47F9">
        <w:trPr>
          <w:cantSplit/>
        </w:trPr>
        <w:tc>
          <w:tcPr>
            <w:tcW w:w="705" w:type="pct"/>
            <w:tcBorders>
              <w:top w:val="nil"/>
            </w:tcBorders>
            <w:shd w:val="clear" w:color="auto" w:fill="auto"/>
            <w:vAlign w:val="center"/>
          </w:tcPr>
          <w:p w14:paraId="3BC0665A" w14:textId="77777777" w:rsidR="00677461" w:rsidRDefault="00677461" w:rsidP="004C47F9">
            <w:pPr>
              <w:pStyle w:val="TableText0"/>
              <w:keepNext w:val="0"/>
            </w:pPr>
          </w:p>
        </w:tc>
        <w:tc>
          <w:tcPr>
            <w:tcW w:w="3065" w:type="pct"/>
            <w:tcBorders>
              <w:top w:val="nil"/>
            </w:tcBorders>
            <w:shd w:val="clear" w:color="auto" w:fill="C6D9F1" w:themeFill="text2" w:themeFillTint="33"/>
            <w:vAlign w:val="center"/>
          </w:tcPr>
          <w:p w14:paraId="5F236BE0" w14:textId="77777777" w:rsidR="00677461" w:rsidRDefault="00677461" w:rsidP="004C47F9">
            <w:pPr>
              <w:pStyle w:val="TableText0"/>
              <w:keepNext w:val="0"/>
            </w:pPr>
            <w:r>
              <w:t xml:space="preserve">The terminal care cost was sourced from an Australian study </w:t>
            </w:r>
            <w:r w:rsidRPr="00587B8E">
              <w:t xml:space="preserve">which </w:t>
            </w:r>
            <w:r>
              <w:t>reported</w:t>
            </w:r>
            <w:r w:rsidRPr="00587B8E">
              <w:t xml:space="preserve"> the hospital inpatient costs among older people in </w:t>
            </w:r>
            <w:r>
              <w:t>their last year of life.</w:t>
            </w:r>
          </w:p>
        </w:tc>
        <w:tc>
          <w:tcPr>
            <w:tcW w:w="1230" w:type="pct"/>
            <w:tcBorders>
              <w:top w:val="nil"/>
            </w:tcBorders>
            <w:shd w:val="clear" w:color="auto" w:fill="C6D9F1" w:themeFill="text2" w:themeFillTint="33"/>
          </w:tcPr>
          <w:p w14:paraId="6CEE60C4" w14:textId="77777777" w:rsidR="00677461" w:rsidRDefault="00677461" w:rsidP="004C47F9">
            <w:pPr>
              <w:pStyle w:val="TableText0"/>
              <w:keepNext w:val="0"/>
            </w:pPr>
            <w:r>
              <w:t>Unchanged.</w:t>
            </w:r>
          </w:p>
        </w:tc>
      </w:tr>
    </w:tbl>
    <w:p w14:paraId="648AEE38" w14:textId="6F9870A1" w:rsidR="00677461" w:rsidRDefault="00677461" w:rsidP="00677461">
      <w:pPr>
        <w:pStyle w:val="FooterTableFigure"/>
      </w:pPr>
      <w:r w:rsidRPr="0021291A">
        <w:t xml:space="preserve">Source: Table 81, p189 and Sections 3.4 to 3.6, pp191-217 of the November 2022 submission; </w:t>
      </w:r>
      <w:r w:rsidR="00CE618D" w:rsidRPr="0021291A">
        <w:t xml:space="preserve">Table 39, pp72-74, and </w:t>
      </w:r>
      <w:r w:rsidR="003E286E" w:rsidRPr="0021291A">
        <w:t xml:space="preserve">Section </w:t>
      </w:r>
      <w:r w:rsidR="00CE618D" w:rsidRPr="0021291A">
        <w:t>3</w:t>
      </w:r>
      <w:r w:rsidR="0021291A" w:rsidRPr="0021291A">
        <w:t xml:space="preserve">.1 to 3.6 </w:t>
      </w:r>
      <w:r w:rsidRPr="0021291A">
        <w:t>of the resubmission</w:t>
      </w:r>
    </w:p>
    <w:p w14:paraId="2DB059D6" w14:textId="0D79E2E1" w:rsidR="00677461" w:rsidRPr="00677461" w:rsidRDefault="00677461" w:rsidP="00677461">
      <w:pPr>
        <w:pStyle w:val="FooterTableFigure"/>
      </w:pPr>
      <w:r>
        <w:t>A</w:t>
      </w:r>
      <w:bookmarkStart w:id="72" w:name="_Hlk132562868"/>
      <w:r>
        <w:t xml:space="preserve">BS = Australian Bureau of Statistics; </w:t>
      </w:r>
      <w:bookmarkEnd w:id="72"/>
      <w:r>
        <w:t xml:space="preserve">AE = adverse events; AR-DRGs = </w:t>
      </w:r>
      <w:r w:rsidRPr="00587B8E">
        <w:t>Australian Refined Diagnosis Related Groups</w:t>
      </w:r>
      <w:r>
        <w:t xml:space="preserve">; BB = beta-blocker; CCB = calcium channel blocker; </w:t>
      </w:r>
      <w:bookmarkStart w:id="73" w:name="_Hlk132561806"/>
      <w:r w:rsidRPr="00363631">
        <w:t>CV = cardiovascular;</w:t>
      </w:r>
      <w:bookmarkEnd w:id="73"/>
      <w:r w:rsidRPr="00363631">
        <w:t xml:space="preserve"> </w:t>
      </w:r>
      <w:r w:rsidRPr="00363631">
        <w:rPr>
          <w:szCs w:val="18"/>
        </w:rPr>
        <w:t>DPMQ</w:t>
      </w:r>
      <w:r w:rsidRPr="00501F1B">
        <w:rPr>
          <w:szCs w:val="18"/>
        </w:rPr>
        <w:t xml:space="preserve"> = dispensed price </w:t>
      </w:r>
      <w:r>
        <w:rPr>
          <w:szCs w:val="18"/>
        </w:rPr>
        <w:t>for</w:t>
      </w:r>
      <w:r w:rsidRPr="00501F1B">
        <w:rPr>
          <w:szCs w:val="18"/>
        </w:rPr>
        <w:t xml:space="preserve"> maximum quantity; </w:t>
      </w:r>
      <w:r>
        <w:t xml:space="preserve">EQ-5D = </w:t>
      </w:r>
      <w:r w:rsidRPr="001B3B4B">
        <w:t>EuroQol 5-Dimensions</w:t>
      </w:r>
      <w:r>
        <w:t>;</w:t>
      </w:r>
      <w:r w:rsidRPr="001B3B4B">
        <w:t xml:space="preserve"> </w:t>
      </w:r>
      <w:r>
        <w:t xml:space="preserve">HCM = hypertrophic cardiomyopathy; </w:t>
      </w:r>
      <w:bookmarkStart w:id="74" w:name="_Hlk132561360"/>
      <w:r>
        <w:t xml:space="preserve">HR = hazard ratio; MBS = Medicare Benefits </w:t>
      </w:r>
      <w:bookmarkEnd w:id="74"/>
      <w:r>
        <w:t xml:space="preserve">Schedule; NYHA = New York Heart Association; </w:t>
      </w:r>
      <w:r w:rsidRPr="00501F1B">
        <w:rPr>
          <w:szCs w:val="18"/>
        </w:rPr>
        <w:t xml:space="preserve">PBAC = Pharmaceutical Benefits Advisory Committee;  </w:t>
      </w:r>
      <w:r>
        <w:t xml:space="preserve">PI = Product Information; SOC = standard of care; SRT = septal reduction therapy. </w:t>
      </w:r>
    </w:p>
    <w:p w14:paraId="0E09F32C" w14:textId="19009492" w:rsidR="00454B54" w:rsidRPr="00677461" w:rsidRDefault="007F102C" w:rsidP="00677461">
      <w:pPr>
        <w:pStyle w:val="3-BodyText"/>
      </w:pPr>
      <w:r w:rsidRPr="00381B4A">
        <w:t xml:space="preserve">A summary of the changes requested by the PBAC for a respecified base case and components of the revised model are </w:t>
      </w:r>
      <w:r w:rsidR="00776ACA">
        <w:t>provided</w:t>
      </w:r>
      <w:r w:rsidRPr="00381B4A">
        <w:t xml:space="preserve"> in</w:t>
      </w:r>
      <w:r w:rsidR="00381B4A" w:rsidRPr="00381B4A">
        <w:t xml:space="preserve"> </w:t>
      </w:r>
      <w:r w:rsidR="00381B4A" w:rsidRPr="00381B4A">
        <w:fldChar w:fldCharType="begin"/>
      </w:r>
      <w:r w:rsidR="00381B4A" w:rsidRPr="00381B4A">
        <w:instrText xml:space="preserve"> REF _Ref132280462 \h </w:instrText>
      </w:r>
      <w:r w:rsidR="00381B4A" w:rsidRPr="00381B4A">
        <w:fldChar w:fldCharType="separate"/>
      </w:r>
      <w:r w:rsidR="00F84C70">
        <w:t xml:space="preserve">Table </w:t>
      </w:r>
      <w:r w:rsidR="00F84C70">
        <w:rPr>
          <w:noProof/>
        </w:rPr>
        <w:t>12</w:t>
      </w:r>
      <w:r w:rsidR="00381B4A" w:rsidRPr="00381B4A">
        <w:fldChar w:fldCharType="end"/>
      </w:r>
      <w:r w:rsidRPr="00381B4A">
        <w:t>.</w:t>
      </w:r>
      <w:r w:rsidR="006B3E20">
        <w:t xml:space="preserve"> Changes pertaining to the main sources of uncertainty as noted by the PBAC</w:t>
      </w:r>
      <w:r w:rsidR="000463B5">
        <w:t xml:space="preserve"> and the</w:t>
      </w:r>
      <w:r w:rsidR="009B56ED">
        <w:t xml:space="preserve"> ESC </w:t>
      </w:r>
      <w:r w:rsidR="001E1DF1">
        <w:t>from that in</w:t>
      </w:r>
      <w:r w:rsidR="009B56ED">
        <w:t xml:space="preserve"> November 2022</w:t>
      </w:r>
      <w:r w:rsidR="006B3E20">
        <w:t xml:space="preserve"> are discussed </w:t>
      </w:r>
      <w:r w:rsidR="00454B54">
        <w:t xml:space="preserve">in </w:t>
      </w:r>
      <w:r w:rsidR="006B3E20">
        <w:t>the paragraphs below</w:t>
      </w:r>
      <w:r w:rsidR="00B31268">
        <w:t xml:space="preserve"> </w:t>
      </w:r>
      <w:r w:rsidR="0031060D">
        <w:t>and</w:t>
      </w:r>
      <w:r w:rsidR="00430562">
        <w:t xml:space="preserve"> in</w:t>
      </w:r>
      <w:r w:rsidR="0031060D">
        <w:t xml:space="preserve"> </w:t>
      </w:r>
      <w:r w:rsidR="00B31268" w:rsidRPr="00381B4A">
        <w:fldChar w:fldCharType="begin"/>
      </w:r>
      <w:r w:rsidR="00B31268" w:rsidRPr="00381B4A">
        <w:instrText xml:space="preserve"> REF _Ref132280462 \h </w:instrText>
      </w:r>
      <w:r w:rsidR="00B31268" w:rsidRPr="00381B4A">
        <w:fldChar w:fldCharType="separate"/>
      </w:r>
      <w:r w:rsidR="00F84C70">
        <w:t xml:space="preserve">Table </w:t>
      </w:r>
      <w:r w:rsidR="00F84C70">
        <w:rPr>
          <w:noProof/>
        </w:rPr>
        <w:t>12</w:t>
      </w:r>
      <w:r w:rsidR="00B31268" w:rsidRPr="00381B4A">
        <w:fldChar w:fldCharType="end"/>
      </w:r>
      <w:r w:rsidR="006B3E20">
        <w:t xml:space="preserve">. </w:t>
      </w:r>
    </w:p>
    <w:p w14:paraId="2EC28E44" w14:textId="520CF998" w:rsidR="00B47AF3" w:rsidRPr="00E40E2D" w:rsidRDefault="00D314B2" w:rsidP="009C63B8">
      <w:pPr>
        <w:pStyle w:val="Caption"/>
        <w:jc w:val="left"/>
        <w:rPr>
          <w:szCs w:val="24"/>
        </w:rPr>
      </w:pPr>
      <w:bookmarkStart w:id="75" w:name="_Ref132280462"/>
      <w:r>
        <w:lastRenderedPageBreak/>
        <w:t xml:space="preserve">Table </w:t>
      </w:r>
      <w:fldSimple w:instr=" SEQ Table \* ARABIC ">
        <w:r w:rsidR="00F84C70">
          <w:rPr>
            <w:noProof/>
          </w:rPr>
          <w:t>12</w:t>
        </w:r>
      </w:fldSimple>
      <w:bookmarkEnd w:id="75"/>
      <w:r>
        <w:t>:</w:t>
      </w:r>
      <w:r w:rsidRPr="00641FB3">
        <w:rPr>
          <w:rStyle w:val="CommentReference"/>
          <w:b/>
          <w:szCs w:val="24"/>
        </w:rPr>
        <w:t xml:space="preserve"> Summary of model structure, key inputs and rationale</w:t>
      </w:r>
    </w:p>
    <w:tbl>
      <w:tblPr>
        <w:tblStyle w:val="TableGrid"/>
        <w:tblW w:w="5000" w:type="pct"/>
        <w:tblLook w:val="04A0" w:firstRow="1" w:lastRow="0" w:firstColumn="1" w:lastColumn="0" w:noHBand="0" w:noVBand="1"/>
      </w:tblPr>
      <w:tblGrid>
        <w:gridCol w:w="1952"/>
        <w:gridCol w:w="1348"/>
        <w:gridCol w:w="1347"/>
        <w:gridCol w:w="4370"/>
      </w:tblGrid>
      <w:tr w:rsidR="00B47AF3" w14:paraId="2527FB61" w14:textId="77777777" w:rsidTr="000F4414">
        <w:trPr>
          <w:tblHeader/>
        </w:trPr>
        <w:tc>
          <w:tcPr>
            <w:tcW w:w="1082" w:type="pct"/>
            <w:tcBorders>
              <w:top w:val="single" w:sz="4" w:space="0" w:color="auto"/>
              <w:left w:val="single" w:sz="4" w:space="0" w:color="auto"/>
              <w:bottom w:val="single" w:sz="4" w:space="0" w:color="auto"/>
              <w:right w:val="single" w:sz="4" w:space="0" w:color="auto"/>
            </w:tcBorders>
            <w:hideMark/>
          </w:tcPr>
          <w:p w14:paraId="78D891C7" w14:textId="77777777" w:rsidR="00B47AF3" w:rsidRPr="00286ED5" w:rsidRDefault="00B47AF3" w:rsidP="009C63B8">
            <w:pPr>
              <w:pStyle w:val="TableText0"/>
              <w:rPr>
                <w:b/>
                <w:bCs w:val="0"/>
              </w:rPr>
            </w:pPr>
            <w:r w:rsidRPr="00286ED5">
              <w:rPr>
                <w:b/>
                <w:bCs w:val="0"/>
              </w:rPr>
              <w:t>Parameter</w:t>
            </w:r>
          </w:p>
        </w:tc>
        <w:tc>
          <w:tcPr>
            <w:tcW w:w="747" w:type="pct"/>
            <w:tcBorders>
              <w:top w:val="single" w:sz="4" w:space="0" w:color="auto"/>
              <w:left w:val="single" w:sz="4" w:space="0" w:color="auto"/>
              <w:bottom w:val="single" w:sz="4" w:space="0" w:color="auto"/>
              <w:right w:val="single" w:sz="4" w:space="0" w:color="auto"/>
            </w:tcBorders>
            <w:hideMark/>
          </w:tcPr>
          <w:p w14:paraId="275D7FA6" w14:textId="77777777" w:rsidR="00B47AF3" w:rsidRPr="00286ED5" w:rsidRDefault="00B47AF3" w:rsidP="009C63B8">
            <w:pPr>
              <w:pStyle w:val="TableText0"/>
              <w:rPr>
                <w:b/>
                <w:bCs w:val="0"/>
              </w:rPr>
            </w:pPr>
            <w:r w:rsidRPr="00286ED5">
              <w:rPr>
                <w:b/>
                <w:bCs w:val="0"/>
              </w:rPr>
              <w:t>JUL 2023</w:t>
            </w:r>
          </w:p>
        </w:tc>
        <w:tc>
          <w:tcPr>
            <w:tcW w:w="747" w:type="pct"/>
            <w:tcBorders>
              <w:top w:val="single" w:sz="4" w:space="0" w:color="auto"/>
              <w:left w:val="single" w:sz="4" w:space="0" w:color="auto"/>
              <w:bottom w:val="single" w:sz="4" w:space="0" w:color="auto"/>
              <w:right w:val="single" w:sz="4" w:space="0" w:color="auto"/>
            </w:tcBorders>
            <w:hideMark/>
          </w:tcPr>
          <w:p w14:paraId="48F6BCA0" w14:textId="77777777" w:rsidR="00B47AF3" w:rsidRPr="00286ED5" w:rsidRDefault="00B47AF3" w:rsidP="009C63B8">
            <w:pPr>
              <w:pStyle w:val="TableText0"/>
              <w:rPr>
                <w:b/>
                <w:bCs w:val="0"/>
              </w:rPr>
            </w:pPr>
            <w:r w:rsidRPr="00286ED5">
              <w:rPr>
                <w:b/>
                <w:bCs w:val="0"/>
              </w:rPr>
              <w:t>NOV 2022</w:t>
            </w:r>
          </w:p>
        </w:tc>
        <w:tc>
          <w:tcPr>
            <w:tcW w:w="2423" w:type="pct"/>
            <w:tcBorders>
              <w:top w:val="single" w:sz="4" w:space="0" w:color="auto"/>
              <w:left w:val="single" w:sz="4" w:space="0" w:color="auto"/>
              <w:bottom w:val="single" w:sz="4" w:space="0" w:color="auto"/>
              <w:right w:val="single" w:sz="4" w:space="0" w:color="auto"/>
            </w:tcBorders>
          </w:tcPr>
          <w:p w14:paraId="3CAF1E3E" w14:textId="5DC90905" w:rsidR="00B47AF3" w:rsidRPr="00286ED5" w:rsidRDefault="00B47AF3" w:rsidP="009C63B8">
            <w:pPr>
              <w:pStyle w:val="TableText0"/>
              <w:rPr>
                <w:b/>
                <w:bCs w:val="0"/>
              </w:rPr>
            </w:pPr>
            <w:r w:rsidRPr="00286ED5">
              <w:rPr>
                <w:b/>
                <w:bCs w:val="0"/>
              </w:rPr>
              <w:t>Comments</w:t>
            </w:r>
            <w:r w:rsidR="00777426">
              <w:rPr>
                <w:b/>
                <w:bCs w:val="0"/>
              </w:rPr>
              <w:t xml:space="preserve"> (PBAC from Nov 2022)</w:t>
            </w:r>
          </w:p>
        </w:tc>
      </w:tr>
      <w:tr w:rsidR="00B47AF3" w14:paraId="435B93D0" w14:textId="77777777" w:rsidTr="000F4414">
        <w:tc>
          <w:tcPr>
            <w:tcW w:w="1082" w:type="pct"/>
            <w:tcBorders>
              <w:top w:val="single" w:sz="4" w:space="0" w:color="auto"/>
              <w:left w:val="single" w:sz="4" w:space="0" w:color="auto"/>
              <w:bottom w:val="single" w:sz="4" w:space="0" w:color="auto"/>
              <w:right w:val="single" w:sz="4" w:space="0" w:color="auto"/>
            </w:tcBorders>
          </w:tcPr>
          <w:p w14:paraId="09E37D53" w14:textId="77777777" w:rsidR="00B47AF3" w:rsidRPr="00286ED5" w:rsidRDefault="00B47AF3" w:rsidP="009C63B8">
            <w:pPr>
              <w:pStyle w:val="TableText0"/>
            </w:pPr>
            <w:r w:rsidRPr="00286ED5">
              <w:t>Effective AEMP</w:t>
            </w:r>
          </w:p>
        </w:tc>
        <w:tc>
          <w:tcPr>
            <w:tcW w:w="747" w:type="pct"/>
            <w:tcBorders>
              <w:top w:val="single" w:sz="4" w:space="0" w:color="auto"/>
              <w:left w:val="single" w:sz="4" w:space="0" w:color="auto"/>
              <w:bottom w:val="single" w:sz="4" w:space="0" w:color="auto"/>
              <w:right w:val="single" w:sz="4" w:space="0" w:color="auto"/>
            </w:tcBorders>
          </w:tcPr>
          <w:p w14:paraId="774B9EC2" w14:textId="52B9A0B0" w:rsidR="00B47AF3" w:rsidRPr="00286ED5" w:rsidRDefault="00B47AF3" w:rsidP="009C63B8">
            <w:pPr>
              <w:pStyle w:val="TableText0"/>
            </w:pPr>
            <w:r w:rsidRPr="00286ED5">
              <w:t>$</w:t>
            </w:r>
            <w:r w:rsidR="00F5190C" w:rsidRPr="00F5190C">
              <w:rPr>
                <w:color w:val="000000"/>
                <w:spacing w:val="53"/>
                <w:shd w:val="solid" w:color="000000" w:fill="000000"/>
                <w:fitText w:val="332" w:id="-1167926775"/>
                <w14:textFill>
                  <w14:solidFill>
                    <w14:srgbClr w14:val="000000">
                      <w14:alpha w14:val="100000"/>
                    </w14:srgbClr>
                  </w14:solidFill>
                </w14:textFill>
              </w:rPr>
              <w:t>|||</w:t>
            </w:r>
            <w:r w:rsidR="00F5190C" w:rsidRPr="00F5190C">
              <w:rPr>
                <w:color w:val="000000"/>
                <w:spacing w:val="1"/>
                <w:shd w:val="solid" w:color="000000" w:fill="000000"/>
                <w:fitText w:val="332" w:id="-1167926775"/>
                <w14:textFill>
                  <w14:solidFill>
                    <w14:srgbClr w14:val="000000">
                      <w14:alpha w14:val="100000"/>
                    </w14:srgbClr>
                  </w14:solidFill>
                </w14:textFill>
              </w:rPr>
              <w:t>|</w:t>
            </w:r>
          </w:p>
        </w:tc>
        <w:tc>
          <w:tcPr>
            <w:tcW w:w="747" w:type="pct"/>
            <w:tcBorders>
              <w:top w:val="single" w:sz="4" w:space="0" w:color="auto"/>
              <w:left w:val="single" w:sz="4" w:space="0" w:color="auto"/>
              <w:bottom w:val="single" w:sz="4" w:space="0" w:color="auto"/>
              <w:right w:val="single" w:sz="4" w:space="0" w:color="auto"/>
            </w:tcBorders>
          </w:tcPr>
          <w:p w14:paraId="2B166EDD" w14:textId="24515C32" w:rsidR="00B47AF3" w:rsidRPr="00286ED5" w:rsidRDefault="00B47AF3" w:rsidP="009C63B8">
            <w:pPr>
              <w:pStyle w:val="TableText0"/>
            </w:pPr>
            <w:r w:rsidRPr="00286ED5">
              <w:t>$</w:t>
            </w:r>
            <w:r w:rsidR="00F5190C" w:rsidRPr="00F5190C">
              <w:rPr>
                <w:color w:val="000000"/>
                <w:spacing w:val="53"/>
                <w:shd w:val="solid" w:color="000000" w:fill="000000"/>
                <w:fitText w:val="332" w:id="-1167926774"/>
                <w14:textFill>
                  <w14:solidFill>
                    <w14:srgbClr w14:val="000000">
                      <w14:alpha w14:val="100000"/>
                    </w14:srgbClr>
                  </w14:solidFill>
                </w14:textFill>
              </w:rPr>
              <w:t>|||</w:t>
            </w:r>
            <w:r w:rsidR="00F5190C" w:rsidRPr="00F5190C">
              <w:rPr>
                <w:color w:val="000000"/>
                <w:spacing w:val="1"/>
                <w:shd w:val="solid" w:color="000000" w:fill="000000"/>
                <w:fitText w:val="332" w:id="-1167926774"/>
                <w14:textFill>
                  <w14:solidFill>
                    <w14:srgbClr w14:val="000000">
                      <w14:alpha w14:val="100000"/>
                    </w14:srgbClr>
                  </w14:solidFill>
                </w14:textFill>
              </w:rPr>
              <w:t>|</w:t>
            </w:r>
          </w:p>
        </w:tc>
        <w:tc>
          <w:tcPr>
            <w:tcW w:w="2423" w:type="pct"/>
            <w:tcBorders>
              <w:top w:val="nil"/>
              <w:left w:val="single" w:sz="4" w:space="0" w:color="auto"/>
              <w:bottom w:val="single" w:sz="4" w:space="0" w:color="auto"/>
              <w:right w:val="single" w:sz="4" w:space="0" w:color="auto"/>
            </w:tcBorders>
          </w:tcPr>
          <w:p w14:paraId="16A7EDD4" w14:textId="26371A35" w:rsidR="00B47AF3" w:rsidRPr="00286ED5" w:rsidRDefault="00B47AF3" w:rsidP="009C63B8">
            <w:pPr>
              <w:pStyle w:val="TableText0"/>
            </w:pPr>
            <w:r w:rsidRPr="00286ED5">
              <w:t xml:space="preserve">Price reduction of </w:t>
            </w:r>
            <w:r w:rsidR="00F5190C" w:rsidRPr="00F5190C">
              <w:rPr>
                <w:color w:val="000000"/>
                <w:spacing w:val="53"/>
                <w:shd w:val="solid" w:color="000000" w:fill="000000"/>
                <w:fitText w:val="332" w:id="-1167926773"/>
                <w14:textFill>
                  <w14:solidFill>
                    <w14:srgbClr w14:val="000000">
                      <w14:alpha w14:val="100000"/>
                    </w14:srgbClr>
                  </w14:solidFill>
                </w14:textFill>
              </w:rPr>
              <w:t>|||</w:t>
            </w:r>
            <w:r w:rsidR="00F5190C" w:rsidRPr="00F5190C">
              <w:rPr>
                <w:color w:val="000000"/>
                <w:spacing w:val="1"/>
                <w:shd w:val="solid" w:color="000000" w:fill="000000"/>
                <w:fitText w:val="332" w:id="-1167926773"/>
                <w14:textFill>
                  <w14:solidFill>
                    <w14:srgbClr w14:val="000000">
                      <w14:alpha w14:val="100000"/>
                    </w14:srgbClr>
                  </w14:solidFill>
                </w14:textFill>
              </w:rPr>
              <w:t>|</w:t>
            </w:r>
            <w:r w:rsidRPr="00286ED5">
              <w:t xml:space="preserve">% off last price offered. </w:t>
            </w:r>
          </w:p>
        </w:tc>
      </w:tr>
      <w:tr w:rsidR="00B47AF3" w14:paraId="1E0048C1" w14:textId="77777777" w:rsidTr="000F4414">
        <w:tc>
          <w:tcPr>
            <w:tcW w:w="1082" w:type="pct"/>
            <w:tcBorders>
              <w:top w:val="single" w:sz="4" w:space="0" w:color="auto"/>
              <w:left w:val="single" w:sz="4" w:space="0" w:color="auto"/>
              <w:bottom w:val="nil"/>
              <w:right w:val="single" w:sz="4" w:space="0" w:color="auto"/>
            </w:tcBorders>
          </w:tcPr>
          <w:p w14:paraId="2B427C70" w14:textId="77777777" w:rsidR="00B47AF3" w:rsidRPr="00286ED5" w:rsidRDefault="00B47AF3" w:rsidP="009C63B8">
            <w:pPr>
              <w:pStyle w:val="TableText0"/>
            </w:pPr>
            <w:r w:rsidRPr="00286ED5">
              <w:t>Time horizon</w:t>
            </w:r>
          </w:p>
        </w:tc>
        <w:tc>
          <w:tcPr>
            <w:tcW w:w="747" w:type="pct"/>
            <w:tcBorders>
              <w:top w:val="single" w:sz="4" w:space="0" w:color="auto"/>
              <w:left w:val="single" w:sz="4" w:space="0" w:color="auto"/>
              <w:bottom w:val="nil"/>
              <w:right w:val="single" w:sz="4" w:space="0" w:color="auto"/>
            </w:tcBorders>
          </w:tcPr>
          <w:p w14:paraId="30ACA16A" w14:textId="77777777" w:rsidR="00B47AF3" w:rsidRPr="00286ED5" w:rsidRDefault="00B47AF3" w:rsidP="009C63B8">
            <w:pPr>
              <w:pStyle w:val="TableText0"/>
            </w:pPr>
            <w:r w:rsidRPr="00286ED5">
              <w:t>20 years</w:t>
            </w:r>
          </w:p>
        </w:tc>
        <w:tc>
          <w:tcPr>
            <w:tcW w:w="747" w:type="pct"/>
            <w:tcBorders>
              <w:top w:val="single" w:sz="4" w:space="0" w:color="auto"/>
              <w:left w:val="single" w:sz="4" w:space="0" w:color="auto"/>
              <w:bottom w:val="nil"/>
              <w:right w:val="single" w:sz="4" w:space="0" w:color="auto"/>
            </w:tcBorders>
          </w:tcPr>
          <w:p w14:paraId="69B93958" w14:textId="77777777" w:rsidR="00B47AF3" w:rsidRPr="00286ED5" w:rsidRDefault="00B47AF3" w:rsidP="009C63B8">
            <w:pPr>
              <w:pStyle w:val="TableText0"/>
            </w:pPr>
            <w:r w:rsidRPr="00286ED5">
              <w:t>25 years</w:t>
            </w:r>
          </w:p>
        </w:tc>
        <w:tc>
          <w:tcPr>
            <w:tcW w:w="2423" w:type="pct"/>
            <w:tcBorders>
              <w:top w:val="single" w:sz="4" w:space="0" w:color="auto"/>
              <w:left w:val="single" w:sz="4" w:space="0" w:color="auto"/>
              <w:bottom w:val="nil"/>
              <w:right w:val="single" w:sz="4" w:space="0" w:color="auto"/>
            </w:tcBorders>
          </w:tcPr>
          <w:p w14:paraId="01D9DD02" w14:textId="6D7A3599" w:rsidR="00B47AF3" w:rsidRPr="00286ED5" w:rsidRDefault="00B47AF3" w:rsidP="009C63B8">
            <w:pPr>
              <w:pStyle w:val="TableText0"/>
            </w:pPr>
            <w:r w:rsidRPr="00286ED5">
              <w:t xml:space="preserve">PBAC: 10 years </w:t>
            </w:r>
            <w:r>
              <w:t>–</w:t>
            </w:r>
            <w:r w:rsidRPr="00286ED5">
              <w:t xml:space="preserve"> not implemented</w:t>
            </w:r>
          </w:p>
        </w:tc>
      </w:tr>
      <w:tr w:rsidR="00B47AF3" w14:paraId="10D886F6" w14:textId="77777777" w:rsidTr="000F4414">
        <w:tc>
          <w:tcPr>
            <w:tcW w:w="1082" w:type="pct"/>
            <w:tcBorders>
              <w:top w:val="nil"/>
              <w:left w:val="single" w:sz="4" w:space="0" w:color="auto"/>
              <w:bottom w:val="nil"/>
              <w:right w:val="single" w:sz="4" w:space="0" w:color="auto"/>
            </w:tcBorders>
          </w:tcPr>
          <w:p w14:paraId="0BF3E258" w14:textId="77777777" w:rsidR="00B47AF3" w:rsidRPr="00286ED5" w:rsidRDefault="00B47AF3" w:rsidP="009C63B8">
            <w:pPr>
              <w:pStyle w:val="TableText0"/>
            </w:pPr>
          </w:p>
        </w:tc>
        <w:tc>
          <w:tcPr>
            <w:tcW w:w="747" w:type="pct"/>
            <w:tcBorders>
              <w:top w:val="nil"/>
              <w:left w:val="single" w:sz="4" w:space="0" w:color="auto"/>
              <w:bottom w:val="nil"/>
              <w:right w:val="single" w:sz="4" w:space="0" w:color="auto"/>
            </w:tcBorders>
          </w:tcPr>
          <w:p w14:paraId="263F065D" w14:textId="77777777" w:rsidR="00B47AF3" w:rsidRPr="00286ED5" w:rsidRDefault="00B47AF3" w:rsidP="009C63B8">
            <w:pPr>
              <w:pStyle w:val="TableText0"/>
            </w:pPr>
          </w:p>
        </w:tc>
        <w:tc>
          <w:tcPr>
            <w:tcW w:w="747" w:type="pct"/>
            <w:tcBorders>
              <w:top w:val="nil"/>
              <w:left w:val="single" w:sz="4" w:space="0" w:color="auto"/>
              <w:bottom w:val="nil"/>
              <w:right w:val="single" w:sz="4" w:space="0" w:color="auto"/>
            </w:tcBorders>
          </w:tcPr>
          <w:p w14:paraId="5AE3E0B2" w14:textId="77777777" w:rsidR="00B47AF3" w:rsidRPr="00286ED5" w:rsidRDefault="00B47AF3" w:rsidP="009C63B8">
            <w:pPr>
              <w:pStyle w:val="TableText0"/>
            </w:pPr>
          </w:p>
        </w:tc>
        <w:tc>
          <w:tcPr>
            <w:tcW w:w="2423" w:type="pct"/>
            <w:tcBorders>
              <w:top w:val="nil"/>
              <w:left w:val="single" w:sz="4" w:space="0" w:color="auto"/>
              <w:bottom w:val="nil"/>
              <w:right w:val="single" w:sz="4" w:space="0" w:color="auto"/>
            </w:tcBorders>
          </w:tcPr>
          <w:p w14:paraId="732FEE5E" w14:textId="57313D12" w:rsidR="00B47AF3" w:rsidRPr="00286ED5" w:rsidRDefault="00F024CF" w:rsidP="009C63B8">
            <w:pPr>
              <w:pStyle w:val="TableText0"/>
            </w:pPr>
            <w:r>
              <w:t>Res</w:t>
            </w:r>
            <w:r w:rsidR="00B47AF3" w:rsidRPr="00286ED5">
              <w:t xml:space="preserve">ubmission: time horizon of 20 years based on long-term data from MAVA-LTE (EXPLORER-LTE cohort) </w:t>
            </w:r>
            <w:proofErr w:type="gramStart"/>
            <w:r w:rsidR="00B47AF3" w:rsidRPr="00286ED5">
              <w:t>( submission</w:t>
            </w:r>
            <w:proofErr w:type="gramEnd"/>
            <w:r w:rsidR="00B47AF3" w:rsidRPr="00286ED5">
              <w:t>)</w:t>
            </w:r>
          </w:p>
        </w:tc>
      </w:tr>
      <w:tr w:rsidR="00B47AF3" w14:paraId="65F2026E" w14:textId="77777777" w:rsidTr="000F4414">
        <w:tc>
          <w:tcPr>
            <w:tcW w:w="1082" w:type="pct"/>
            <w:tcBorders>
              <w:top w:val="single" w:sz="4" w:space="0" w:color="auto"/>
              <w:left w:val="single" w:sz="4" w:space="0" w:color="auto"/>
              <w:bottom w:val="nil"/>
              <w:right w:val="single" w:sz="4" w:space="0" w:color="auto"/>
            </w:tcBorders>
          </w:tcPr>
          <w:p w14:paraId="5DBE33C1" w14:textId="77777777" w:rsidR="00B47AF3" w:rsidRPr="00286ED5" w:rsidRDefault="00B47AF3" w:rsidP="009C63B8">
            <w:pPr>
              <w:pStyle w:val="TableText0"/>
            </w:pPr>
            <w:r w:rsidRPr="00286ED5">
              <w:t xml:space="preserve">Truncation point </w:t>
            </w:r>
          </w:p>
        </w:tc>
        <w:tc>
          <w:tcPr>
            <w:tcW w:w="747" w:type="pct"/>
            <w:tcBorders>
              <w:top w:val="single" w:sz="4" w:space="0" w:color="auto"/>
              <w:left w:val="single" w:sz="4" w:space="0" w:color="auto"/>
              <w:bottom w:val="nil"/>
              <w:right w:val="single" w:sz="4" w:space="0" w:color="auto"/>
            </w:tcBorders>
          </w:tcPr>
          <w:p w14:paraId="64D44947" w14:textId="77777777" w:rsidR="00B47AF3" w:rsidRPr="00286ED5" w:rsidRDefault="00B47AF3" w:rsidP="009C63B8">
            <w:pPr>
              <w:pStyle w:val="TableText0"/>
            </w:pPr>
          </w:p>
        </w:tc>
        <w:tc>
          <w:tcPr>
            <w:tcW w:w="747" w:type="pct"/>
            <w:tcBorders>
              <w:top w:val="single" w:sz="4" w:space="0" w:color="auto"/>
              <w:left w:val="single" w:sz="4" w:space="0" w:color="auto"/>
              <w:bottom w:val="nil"/>
              <w:right w:val="single" w:sz="4" w:space="0" w:color="auto"/>
            </w:tcBorders>
          </w:tcPr>
          <w:p w14:paraId="3F0C24A6" w14:textId="77777777" w:rsidR="00B47AF3" w:rsidRPr="00286ED5" w:rsidRDefault="00B47AF3" w:rsidP="009C63B8">
            <w:pPr>
              <w:pStyle w:val="TableText0"/>
            </w:pPr>
          </w:p>
        </w:tc>
        <w:tc>
          <w:tcPr>
            <w:tcW w:w="2423" w:type="pct"/>
            <w:tcBorders>
              <w:top w:val="single" w:sz="4" w:space="0" w:color="auto"/>
              <w:left w:val="single" w:sz="4" w:space="0" w:color="auto"/>
              <w:bottom w:val="nil"/>
              <w:right w:val="single" w:sz="4" w:space="0" w:color="auto"/>
            </w:tcBorders>
          </w:tcPr>
          <w:p w14:paraId="4FE6D7CF" w14:textId="77777777" w:rsidR="00B47AF3" w:rsidRPr="00286ED5" w:rsidRDefault="00B47AF3" w:rsidP="009C63B8">
            <w:pPr>
              <w:pStyle w:val="TableText0"/>
            </w:pPr>
          </w:p>
        </w:tc>
      </w:tr>
      <w:tr w:rsidR="00B47AF3" w14:paraId="1B890DC9" w14:textId="77777777" w:rsidTr="000F4414">
        <w:tc>
          <w:tcPr>
            <w:tcW w:w="1082" w:type="pct"/>
            <w:tcBorders>
              <w:top w:val="nil"/>
              <w:left w:val="single" w:sz="4" w:space="0" w:color="auto"/>
              <w:bottom w:val="nil"/>
              <w:right w:val="single" w:sz="4" w:space="0" w:color="auto"/>
            </w:tcBorders>
            <w:hideMark/>
          </w:tcPr>
          <w:p w14:paraId="105414D3" w14:textId="77777777" w:rsidR="00B47AF3" w:rsidRPr="00286ED5" w:rsidRDefault="00B47AF3" w:rsidP="009C63B8">
            <w:pPr>
              <w:pStyle w:val="TableText0"/>
            </w:pPr>
            <w:r w:rsidRPr="00286ED5">
              <w:t>MAV</w:t>
            </w:r>
            <w:r w:rsidR="00406AA1">
              <w:t>A</w:t>
            </w:r>
            <w:r w:rsidRPr="00286ED5">
              <w:t> + BB/CCB</w:t>
            </w:r>
          </w:p>
        </w:tc>
        <w:tc>
          <w:tcPr>
            <w:tcW w:w="747" w:type="pct"/>
            <w:tcBorders>
              <w:top w:val="nil"/>
              <w:left w:val="single" w:sz="4" w:space="0" w:color="auto"/>
              <w:bottom w:val="nil"/>
              <w:right w:val="single" w:sz="4" w:space="0" w:color="auto"/>
            </w:tcBorders>
          </w:tcPr>
          <w:p w14:paraId="04AF947C" w14:textId="77777777" w:rsidR="00B47AF3" w:rsidRPr="00286ED5" w:rsidRDefault="00B47AF3" w:rsidP="009C63B8">
            <w:pPr>
              <w:pStyle w:val="TableText0"/>
            </w:pPr>
            <w:r w:rsidRPr="00286ED5">
              <w:t>30 weeks</w:t>
            </w:r>
          </w:p>
        </w:tc>
        <w:tc>
          <w:tcPr>
            <w:tcW w:w="747" w:type="pct"/>
            <w:tcBorders>
              <w:top w:val="nil"/>
              <w:left w:val="single" w:sz="4" w:space="0" w:color="auto"/>
              <w:bottom w:val="nil"/>
              <w:right w:val="single" w:sz="4" w:space="0" w:color="auto"/>
            </w:tcBorders>
          </w:tcPr>
          <w:p w14:paraId="5EE00481" w14:textId="77777777" w:rsidR="00B47AF3" w:rsidRPr="00286ED5" w:rsidRDefault="00B47AF3" w:rsidP="009C63B8">
            <w:pPr>
              <w:pStyle w:val="TableText0"/>
            </w:pPr>
            <w:r w:rsidRPr="00286ED5">
              <w:t>30 weeks</w:t>
            </w:r>
          </w:p>
        </w:tc>
        <w:tc>
          <w:tcPr>
            <w:tcW w:w="2423" w:type="pct"/>
            <w:tcBorders>
              <w:top w:val="nil"/>
              <w:left w:val="single" w:sz="4" w:space="0" w:color="auto"/>
              <w:bottom w:val="nil"/>
              <w:right w:val="single" w:sz="4" w:space="0" w:color="auto"/>
            </w:tcBorders>
          </w:tcPr>
          <w:p w14:paraId="5319B030" w14:textId="046713AA" w:rsidR="00B47AF3" w:rsidRPr="00286ED5" w:rsidRDefault="00B47AF3" w:rsidP="009C63B8">
            <w:pPr>
              <w:pStyle w:val="TableText0"/>
            </w:pPr>
            <w:r w:rsidRPr="00286ED5">
              <w:t xml:space="preserve">PBAC: 30 weeks in both arms </w:t>
            </w:r>
            <w:r>
              <w:t>–</w:t>
            </w:r>
            <w:r w:rsidRPr="00286ED5">
              <w:t xml:space="preserve"> not implemented</w:t>
            </w:r>
          </w:p>
        </w:tc>
      </w:tr>
      <w:tr w:rsidR="00B47AF3" w14:paraId="1FA147A1" w14:textId="77777777" w:rsidTr="000F4414">
        <w:tc>
          <w:tcPr>
            <w:tcW w:w="1082" w:type="pct"/>
            <w:tcBorders>
              <w:top w:val="nil"/>
              <w:left w:val="single" w:sz="4" w:space="0" w:color="auto"/>
              <w:bottom w:val="nil"/>
              <w:right w:val="single" w:sz="4" w:space="0" w:color="auto"/>
            </w:tcBorders>
          </w:tcPr>
          <w:p w14:paraId="73E2A485" w14:textId="77777777" w:rsidR="00B47AF3" w:rsidRPr="00286ED5" w:rsidRDefault="00B47AF3" w:rsidP="00F774FD">
            <w:pPr>
              <w:pStyle w:val="TableText0"/>
              <w:keepNext w:val="0"/>
            </w:pPr>
            <w:r w:rsidRPr="00286ED5">
              <w:t>SOC (BB/CCB)</w:t>
            </w:r>
          </w:p>
        </w:tc>
        <w:tc>
          <w:tcPr>
            <w:tcW w:w="747" w:type="pct"/>
            <w:tcBorders>
              <w:top w:val="nil"/>
              <w:left w:val="single" w:sz="4" w:space="0" w:color="auto"/>
              <w:bottom w:val="nil"/>
              <w:right w:val="single" w:sz="4" w:space="0" w:color="auto"/>
            </w:tcBorders>
          </w:tcPr>
          <w:p w14:paraId="58CE6D9D" w14:textId="77777777" w:rsidR="00B47AF3" w:rsidRPr="00286ED5" w:rsidRDefault="00B47AF3" w:rsidP="00F774FD">
            <w:pPr>
              <w:pStyle w:val="TableText0"/>
              <w:keepNext w:val="0"/>
            </w:pPr>
            <w:r w:rsidRPr="00286ED5">
              <w:t>38 weeks</w:t>
            </w:r>
          </w:p>
        </w:tc>
        <w:tc>
          <w:tcPr>
            <w:tcW w:w="747" w:type="pct"/>
            <w:tcBorders>
              <w:top w:val="nil"/>
              <w:left w:val="single" w:sz="4" w:space="0" w:color="auto"/>
              <w:bottom w:val="nil"/>
              <w:right w:val="single" w:sz="4" w:space="0" w:color="auto"/>
            </w:tcBorders>
          </w:tcPr>
          <w:p w14:paraId="024FFE13" w14:textId="77777777" w:rsidR="00B47AF3" w:rsidRPr="00286ED5" w:rsidRDefault="00B47AF3" w:rsidP="00F774FD">
            <w:pPr>
              <w:pStyle w:val="TableText0"/>
              <w:keepNext w:val="0"/>
            </w:pPr>
            <w:r w:rsidRPr="00286ED5">
              <w:t>46 weeks</w:t>
            </w:r>
          </w:p>
        </w:tc>
        <w:tc>
          <w:tcPr>
            <w:tcW w:w="2423" w:type="pct"/>
            <w:tcBorders>
              <w:top w:val="nil"/>
              <w:left w:val="single" w:sz="4" w:space="0" w:color="auto"/>
              <w:bottom w:val="nil"/>
              <w:right w:val="single" w:sz="4" w:space="0" w:color="auto"/>
            </w:tcBorders>
          </w:tcPr>
          <w:p w14:paraId="51D2D0CE" w14:textId="1700C198" w:rsidR="00B47AF3" w:rsidRPr="00286ED5" w:rsidRDefault="00591EF9" w:rsidP="00F774FD">
            <w:pPr>
              <w:pStyle w:val="TableText0"/>
              <w:keepNext w:val="0"/>
            </w:pPr>
            <w:r>
              <w:t>Res</w:t>
            </w:r>
            <w:r w:rsidR="00B47AF3" w:rsidRPr="00286ED5">
              <w:t>ubmission: truncation point at 38 weeks, which is the end of EXPLORER-HCM follow up (submission).</w:t>
            </w:r>
          </w:p>
        </w:tc>
      </w:tr>
      <w:tr w:rsidR="00B47AF3" w14:paraId="66EBE6C1" w14:textId="77777777" w:rsidTr="000F4414">
        <w:tc>
          <w:tcPr>
            <w:tcW w:w="1082" w:type="pct"/>
            <w:vMerge w:val="restart"/>
            <w:tcBorders>
              <w:top w:val="single" w:sz="4" w:space="0" w:color="auto"/>
              <w:left w:val="single" w:sz="4" w:space="0" w:color="auto"/>
              <w:right w:val="single" w:sz="4" w:space="0" w:color="auto"/>
            </w:tcBorders>
            <w:hideMark/>
          </w:tcPr>
          <w:p w14:paraId="0945BF56" w14:textId="77777777" w:rsidR="00B47AF3" w:rsidRPr="00286ED5" w:rsidRDefault="00B47AF3" w:rsidP="00F774FD">
            <w:pPr>
              <w:pStyle w:val="TableText0"/>
              <w:keepNext w:val="0"/>
            </w:pPr>
            <w:r w:rsidRPr="00286ED5">
              <w:t>Mortality benefit</w:t>
            </w:r>
          </w:p>
        </w:tc>
        <w:tc>
          <w:tcPr>
            <w:tcW w:w="747" w:type="pct"/>
            <w:vMerge w:val="restart"/>
            <w:tcBorders>
              <w:top w:val="single" w:sz="4" w:space="0" w:color="auto"/>
              <w:left w:val="single" w:sz="4" w:space="0" w:color="auto"/>
              <w:right w:val="single" w:sz="4" w:space="0" w:color="auto"/>
            </w:tcBorders>
          </w:tcPr>
          <w:p w14:paraId="53CA0388" w14:textId="77777777" w:rsidR="00B47AF3" w:rsidRPr="00286ED5" w:rsidRDefault="00B47AF3" w:rsidP="00F774FD">
            <w:pPr>
              <w:pStyle w:val="TableText0"/>
              <w:keepNext w:val="0"/>
            </w:pPr>
            <w:r w:rsidRPr="00286ED5">
              <w:t>Morality benefit modelled</w:t>
            </w:r>
          </w:p>
        </w:tc>
        <w:tc>
          <w:tcPr>
            <w:tcW w:w="747" w:type="pct"/>
            <w:vMerge w:val="restart"/>
            <w:tcBorders>
              <w:top w:val="single" w:sz="4" w:space="0" w:color="auto"/>
              <w:left w:val="single" w:sz="4" w:space="0" w:color="auto"/>
              <w:right w:val="single" w:sz="4" w:space="0" w:color="auto"/>
            </w:tcBorders>
          </w:tcPr>
          <w:p w14:paraId="07F66894" w14:textId="77777777" w:rsidR="00B47AF3" w:rsidRPr="00286ED5" w:rsidRDefault="00B47AF3" w:rsidP="00F774FD">
            <w:pPr>
              <w:pStyle w:val="TableText0"/>
              <w:keepNext w:val="0"/>
            </w:pPr>
            <w:r w:rsidRPr="00286ED5">
              <w:t>Mortality benefit modelled</w:t>
            </w:r>
          </w:p>
        </w:tc>
        <w:tc>
          <w:tcPr>
            <w:tcW w:w="2423" w:type="pct"/>
            <w:tcBorders>
              <w:top w:val="single" w:sz="4" w:space="0" w:color="auto"/>
              <w:left w:val="single" w:sz="4" w:space="0" w:color="auto"/>
              <w:bottom w:val="nil"/>
              <w:right w:val="single" w:sz="4" w:space="0" w:color="auto"/>
            </w:tcBorders>
          </w:tcPr>
          <w:p w14:paraId="1316A606" w14:textId="016A1596" w:rsidR="00B47AF3" w:rsidRPr="00286ED5" w:rsidRDefault="00B47AF3" w:rsidP="00F774FD">
            <w:pPr>
              <w:pStyle w:val="TableText0"/>
              <w:keepNext w:val="0"/>
            </w:pPr>
            <w:r w:rsidRPr="00286ED5">
              <w:t xml:space="preserve">PBAC: Remove mortality benefit </w:t>
            </w:r>
            <w:r>
              <w:t>–</w:t>
            </w:r>
            <w:r w:rsidRPr="00286ED5">
              <w:t xml:space="preserve"> not implemented</w:t>
            </w:r>
          </w:p>
        </w:tc>
      </w:tr>
      <w:tr w:rsidR="00B47AF3" w14:paraId="1EB820F5" w14:textId="77777777" w:rsidTr="000F4414">
        <w:tc>
          <w:tcPr>
            <w:tcW w:w="1082" w:type="pct"/>
            <w:vMerge/>
            <w:tcBorders>
              <w:left w:val="single" w:sz="4" w:space="0" w:color="auto"/>
              <w:bottom w:val="single" w:sz="4" w:space="0" w:color="auto"/>
              <w:right w:val="single" w:sz="4" w:space="0" w:color="auto"/>
            </w:tcBorders>
          </w:tcPr>
          <w:p w14:paraId="03006B42" w14:textId="77777777" w:rsidR="00B47AF3" w:rsidRPr="00286ED5" w:rsidRDefault="00B47AF3" w:rsidP="00F774FD">
            <w:pPr>
              <w:pStyle w:val="TableText0"/>
              <w:keepNext w:val="0"/>
            </w:pPr>
          </w:p>
        </w:tc>
        <w:tc>
          <w:tcPr>
            <w:tcW w:w="747" w:type="pct"/>
            <w:vMerge/>
            <w:tcBorders>
              <w:left w:val="single" w:sz="4" w:space="0" w:color="auto"/>
              <w:bottom w:val="single" w:sz="4" w:space="0" w:color="auto"/>
              <w:right w:val="single" w:sz="4" w:space="0" w:color="auto"/>
            </w:tcBorders>
          </w:tcPr>
          <w:p w14:paraId="421F8118" w14:textId="77777777" w:rsidR="00B47AF3" w:rsidRPr="00286ED5" w:rsidRDefault="00B47AF3" w:rsidP="00F774FD">
            <w:pPr>
              <w:pStyle w:val="TableText0"/>
              <w:keepNext w:val="0"/>
            </w:pPr>
          </w:p>
        </w:tc>
        <w:tc>
          <w:tcPr>
            <w:tcW w:w="747" w:type="pct"/>
            <w:vMerge/>
            <w:tcBorders>
              <w:left w:val="single" w:sz="4" w:space="0" w:color="auto"/>
              <w:bottom w:val="single" w:sz="4" w:space="0" w:color="auto"/>
              <w:right w:val="single" w:sz="4" w:space="0" w:color="auto"/>
            </w:tcBorders>
          </w:tcPr>
          <w:p w14:paraId="4DA83F73" w14:textId="77777777" w:rsidR="00B47AF3" w:rsidRPr="00286ED5" w:rsidRDefault="00B47AF3" w:rsidP="00F774FD">
            <w:pPr>
              <w:pStyle w:val="TableText0"/>
              <w:keepNext w:val="0"/>
            </w:pPr>
          </w:p>
        </w:tc>
        <w:tc>
          <w:tcPr>
            <w:tcW w:w="2423" w:type="pct"/>
            <w:tcBorders>
              <w:top w:val="nil"/>
              <w:left w:val="single" w:sz="4" w:space="0" w:color="auto"/>
              <w:bottom w:val="single" w:sz="4" w:space="0" w:color="auto"/>
              <w:right w:val="single" w:sz="4" w:space="0" w:color="auto"/>
            </w:tcBorders>
          </w:tcPr>
          <w:p w14:paraId="4A97056E" w14:textId="130FA6D5" w:rsidR="00B47AF3" w:rsidRPr="00286ED5" w:rsidRDefault="00591EF9" w:rsidP="00F774FD">
            <w:pPr>
              <w:pStyle w:val="TableText0"/>
              <w:keepNext w:val="0"/>
            </w:pPr>
            <w:r>
              <w:t>Res</w:t>
            </w:r>
            <w:r w:rsidR="00B47AF3" w:rsidRPr="00286ED5">
              <w:t xml:space="preserve">ubmission: Maintained mortality benefit. Based on Jacobsen et al (2023) and Zampieri et al (2022) (of the submission). </w:t>
            </w:r>
          </w:p>
        </w:tc>
      </w:tr>
      <w:tr w:rsidR="00E54AED" w14:paraId="4F83D638" w14:textId="77777777" w:rsidTr="000F4414">
        <w:tc>
          <w:tcPr>
            <w:tcW w:w="1082" w:type="pct"/>
            <w:tcBorders>
              <w:top w:val="nil"/>
              <w:left w:val="single" w:sz="4" w:space="0" w:color="auto"/>
              <w:bottom w:val="single" w:sz="4" w:space="0" w:color="auto"/>
              <w:right w:val="single" w:sz="4" w:space="0" w:color="auto"/>
            </w:tcBorders>
          </w:tcPr>
          <w:p w14:paraId="18D5223C" w14:textId="002324ED" w:rsidR="00E54AED" w:rsidRPr="00286ED5" w:rsidRDefault="00E54AED" w:rsidP="00F774FD">
            <w:pPr>
              <w:pStyle w:val="TableText0"/>
              <w:keepNext w:val="0"/>
            </w:pPr>
            <w:r w:rsidRPr="00286ED5">
              <w:t>CV hospitalisation costs</w:t>
            </w:r>
          </w:p>
        </w:tc>
        <w:tc>
          <w:tcPr>
            <w:tcW w:w="747" w:type="pct"/>
            <w:tcBorders>
              <w:top w:val="nil"/>
              <w:left w:val="single" w:sz="4" w:space="0" w:color="auto"/>
              <w:bottom w:val="single" w:sz="4" w:space="0" w:color="auto"/>
              <w:right w:val="single" w:sz="4" w:space="0" w:color="auto"/>
            </w:tcBorders>
          </w:tcPr>
          <w:p w14:paraId="438F195C" w14:textId="77777777" w:rsidR="00E54AED" w:rsidRPr="00286ED5" w:rsidRDefault="00E54AED" w:rsidP="00F774FD">
            <w:pPr>
              <w:pStyle w:val="TableText0"/>
              <w:keepNext w:val="0"/>
            </w:pPr>
            <w:r w:rsidRPr="00286ED5">
              <w:t>$12,486</w:t>
            </w:r>
          </w:p>
        </w:tc>
        <w:tc>
          <w:tcPr>
            <w:tcW w:w="747" w:type="pct"/>
            <w:tcBorders>
              <w:top w:val="nil"/>
              <w:left w:val="single" w:sz="4" w:space="0" w:color="auto"/>
              <w:bottom w:val="single" w:sz="4" w:space="0" w:color="auto"/>
              <w:right w:val="single" w:sz="4" w:space="0" w:color="auto"/>
            </w:tcBorders>
          </w:tcPr>
          <w:p w14:paraId="63CCB5C9" w14:textId="77777777" w:rsidR="00E54AED" w:rsidRPr="00286ED5" w:rsidRDefault="00E54AED" w:rsidP="00F774FD">
            <w:pPr>
              <w:pStyle w:val="TableText0"/>
              <w:keepNext w:val="0"/>
            </w:pPr>
            <w:r w:rsidRPr="00286ED5">
              <w:t>$27,780</w:t>
            </w:r>
          </w:p>
        </w:tc>
        <w:tc>
          <w:tcPr>
            <w:tcW w:w="2423" w:type="pct"/>
            <w:vMerge w:val="restart"/>
            <w:tcBorders>
              <w:top w:val="nil"/>
              <w:left w:val="single" w:sz="4" w:space="0" w:color="auto"/>
              <w:right w:val="single" w:sz="4" w:space="0" w:color="auto"/>
            </w:tcBorders>
          </w:tcPr>
          <w:p w14:paraId="3F66D848" w14:textId="5DCAD124" w:rsidR="00E54AED" w:rsidRDefault="00E54AED" w:rsidP="00F774FD">
            <w:pPr>
              <w:pStyle w:val="TableText0"/>
              <w:keepNext w:val="0"/>
            </w:pPr>
            <w:r w:rsidRPr="00286ED5">
              <w:t xml:space="preserve">PBAC: revised base case should </w:t>
            </w:r>
            <w:r w:rsidR="00F51060">
              <w:t xml:space="preserve">amend cost of hospitalisation – implemented; and </w:t>
            </w:r>
            <w:r w:rsidRPr="00286ED5">
              <w:t>remove differences in hospitalisations</w:t>
            </w:r>
            <w:r>
              <w:t xml:space="preserve"> –</w:t>
            </w:r>
            <w:r w:rsidRPr="00286ED5">
              <w:t xml:space="preserve"> </w:t>
            </w:r>
            <w:r>
              <w:t xml:space="preserve">not </w:t>
            </w:r>
            <w:r w:rsidRPr="00286ED5">
              <w:t xml:space="preserve">implemented. </w:t>
            </w:r>
          </w:p>
          <w:p w14:paraId="67840A16" w14:textId="5A7FFF36" w:rsidR="00E54AED" w:rsidRPr="00286ED5" w:rsidRDefault="00E54AED" w:rsidP="00F774FD">
            <w:pPr>
              <w:pStyle w:val="TableText0"/>
              <w:keepNext w:val="0"/>
            </w:pPr>
            <w:r>
              <w:t>Res</w:t>
            </w:r>
            <w:r w:rsidRPr="00286ED5">
              <w:t xml:space="preserve">ubmission: revised costs based on AIHW (2022). Rates have not been revised </w:t>
            </w:r>
            <w:r>
              <w:t xml:space="preserve">and was </w:t>
            </w:r>
            <w:r w:rsidRPr="00286ED5">
              <w:t xml:space="preserve">based on Advisory Board survey (of 9 cardiologists) (submission). </w:t>
            </w:r>
          </w:p>
        </w:tc>
      </w:tr>
      <w:tr w:rsidR="007D5EFB" w14:paraId="5437D9E5" w14:textId="77777777" w:rsidTr="000F4414">
        <w:tc>
          <w:tcPr>
            <w:tcW w:w="1082" w:type="pct"/>
            <w:tcBorders>
              <w:top w:val="nil"/>
              <w:left w:val="single" w:sz="4" w:space="0" w:color="auto"/>
              <w:bottom w:val="single" w:sz="4" w:space="0" w:color="auto"/>
              <w:right w:val="single" w:sz="4" w:space="0" w:color="auto"/>
            </w:tcBorders>
          </w:tcPr>
          <w:p w14:paraId="06A659AF" w14:textId="3702122C" w:rsidR="00E54AED" w:rsidRPr="00286ED5" w:rsidRDefault="00E54AED" w:rsidP="00F774FD">
            <w:pPr>
              <w:pStyle w:val="TableText0"/>
              <w:keepNext w:val="0"/>
            </w:pPr>
            <w:r>
              <w:t>CV hospitalisation rates</w:t>
            </w:r>
          </w:p>
        </w:tc>
        <w:tc>
          <w:tcPr>
            <w:tcW w:w="747" w:type="pct"/>
            <w:tcBorders>
              <w:top w:val="nil"/>
              <w:left w:val="single" w:sz="4" w:space="0" w:color="auto"/>
              <w:bottom w:val="single" w:sz="4" w:space="0" w:color="auto"/>
              <w:right w:val="single" w:sz="4" w:space="0" w:color="auto"/>
            </w:tcBorders>
          </w:tcPr>
          <w:p w14:paraId="36CB38E9" w14:textId="23BCDDA2" w:rsidR="004D01BA" w:rsidRPr="00286ED5" w:rsidRDefault="00E54AED" w:rsidP="00F774FD">
            <w:pPr>
              <w:pStyle w:val="TableText0"/>
              <w:keepNext w:val="0"/>
            </w:pPr>
            <w:r>
              <w:t>NY</w:t>
            </w:r>
            <w:r w:rsidR="006145B6">
              <w:t>H</w:t>
            </w:r>
            <w:r>
              <w:t>A II, 0.38; and NYHA III/IV, 1.0</w:t>
            </w:r>
            <w:r w:rsidR="004D01BA">
              <w:t xml:space="preserve"> applied each cycle</w:t>
            </w:r>
          </w:p>
        </w:tc>
        <w:tc>
          <w:tcPr>
            <w:tcW w:w="747" w:type="pct"/>
            <w:tcBorders>
              <w:top w:val="nil"/>
              <w:left w:val="single" w:sz="4" w:space="0" w:color="auto"/>
              <w:bottom w:val="single" w:sz="4" w:space="0" w:color="auto"/>
              <w:right w:val="single" w:sz="4" w:space="0" w:color="auto"/>
            </w:tcBorders>
          </w:tcPr>
          <w:p w14:paraId="2D530E2C" w14:textId="5921BC24" w:rsidR="00E54AED" w:rsidRPr="00286ED5" w:rsidRDefault="00E54AED" w:rsidP="00F774FD">
            <w:pPr>
              <w:pStyle w:val="TableText0"/>
              <w:keepNext w:val="0"/>
            </w:pPr>
            <w:r>
              <w:t>NY</w:t>
            </w:r>
            <w:r w:rsidR="006145B6">
              <w:t>H</w:t>
            </w:r>
            <w:r>
              <w:t>A II, 0.38; and NYHA III/IV, 1.0</w:t>
            </w:r>
            <w:r w:rsidR="004D01BA">
              <w:t xml:space="preserve"> applied each cycle</w:t>
            </w:r>
          </w:p>
        </w:tc>
        <w:tc>
          <w:tcPr>
            <w:tcW w:w="2423" w:type="pct"/>
            <w:vMerge/>
            <w:tcBorders>
              <w:left w:val="single" w:sz="4" w:space="0" w:color="auto"/>
              <w:bottom w:val="single" w:sz="4" w:space="0" w:color="auto"/>
              <w:right w:val="single" w:sz="4" w:space="0" w:color="auto"/>
            </w:tcBorders>
          </w:tcPr>
          <w:p w14:paraId="66538B6B" w14:textId="77777777" w:rsidR="00E54AED" w:rsidRPr="00286ED5" w:rsidRDefault="00E54AED" w:rsidP="00F774FD">
            <w:pPr>
              <w:pStyle w:val="TableText0"/>
              <w:keepNext w:val="0"/>
            </w:pPr>
          </w:p>
        </w:tc>
      </w:tr>
      <w:tr w:rsidR="00B47AF3" w14:paraId="5F63CA7A" w14:textId="77777777" w:rsidTr="000F4414">
        <w:tc>
          <w:tcPr>
            <w:tcW w:w="1082" w:type="pct"/>
            <w:tcBorders>
              <w:top w:val="nil"/>
              <w:left w:val="single" w:sz="4" w:space="0" w:color="auto"/>
              <w:bottom w:val="single" w:sz="4" w:space="0" w:color="auto"/>
              <w:right w:val="single" w:sz="4" w:space="0" w:color="auto"/>
            </w:tcBorders>
          </w:tcPr>
          <w:p w14:paraId="0FBDEF39" w14:textId="77777777" w:rsidR="00B47AF3" w:rsidRPr="00286ED5" w:rsidRDefault="00B47AF3" w:rsidP="00F774FD">
            <w:pPr>
              <w:pStyle w:val="TableText0"/>
              <w:keepNext w:val="0"/>
            </w:pPr>
            <w:r w:rsidRPr="00286ED5">
              <w:t>Septal reduction therapy (SRT) costs</w:t>
            </w:r>
          </w:p>
        </w:tc>
        <w:tc>
          <w:tcPr>
            <w:tcW w:w="747" w:type="pct"/>
            <w:tcBorders>
              <w:top w:val="nil"/>
              <w:left w:val="single" w:sz="4" w:space="0" w:color="auto"/>
              <w:bottom w:val="single" w:sz="4" w:space="0" w:color="auto"/>
              <w:right w:val="single" w:sz="4" w:space="0" w:color="auto"/>
            </w:tcBorders>
          </w:tcPr>
          <w:p w14:paraId="048F1F20" w14:textId="77777777" w:rsidR="00B47AF3" w:rsidRPr="00286ED5" w:rsidRDefault="00B47AF3" w:rsidP="00F774FD">
            <w:pPr>
              <w:pStyle w:val="TableText0"/>
              <w:keepNext w:val="0"/>
            </w:pPr>
            <w:r w:rsidRPr="00286ED5">
              <w:t>SRT costs</w:t>
            </w:r>
          </w:p>
          <w:p w14:paraId="01A9B1B2" w14:textId="77777777" w:rsidR="00B47AF3" w:rsidRPr="00286ED5" w:rsidRDefault="00B47AF3" w:rsidP="00F774FD">
            <w:pPr>
              <w:pStyle w:val="TableText0"/>
              <w:keepNext w:val="0"/>
            </w:pPr>
            <w:r w:rsidRPr="00286ED5">
              <w:t>$55,911</w:t>
            </w:r>
          </w:p>
        </w:tc>
        <w:tc>
          <w:tcPr>
            <w:tcW w:w="747" w:type="pct"/>
            <w:tcBorders>
              <w:top w:val="nil"/>
              <w:left w:val="single" w:sz="4" w:space="0" w:color="auto"/>
              <w:bottom w:val="single" w:sz="4" w:space="0" w:color="auto"/>
              <w:right w:val="single" w:sz="4" w:space="0" w:color="auto"/>
            </w:tcBorders>
          </w:tcPr>
          <w:p w14:paraId="6612AD70" w14:textId="77777777" w:rsidR="00B47AF3" w:rsidRPr="00286ED5" w:rsidRDefault="00B47AF3" w:rsidP="00F774FD">
            <w:pPr>
              <w:pStyle w:val="TableText0"/>
              <w:keepNext w:val="0"/>
            </w:pPr>
            <w:r w:rsidRPr="00286ED5">
              <w:t xml:space="preserve">SRT costs </w:t>
            </w:r>
            <w:r w:rsidRPr="00286ED5">
              <w:br/>
              <w:t>$55,911</w:t>
            </w:r>
          </w:p>
        </w:tc>
        <w:tc>
          <w:tcPr>
            <w:tcW w:w="2423" w:type="pct"/>
            <w:tcBorders>
              <w:top w:val="nil"/>
              <w:left w:val="single" w:sz="4" w:space="0" w:color="auto"/>
              <w:bottom w:val="single" w:sz="4" w:space="0" w:color="auto"/>
              <w:right w:val="single" w:sz="4" w:space="0" w:color="auto"/>
            </w:tcBorders>
          </w:tcPr>
          <w:p w14:paraId="75948F3B" w14:textId="48C62E04" w:rsidR="00B47AF3" w:rsidRPr="00286ED5" w:rsidRDefault="00B47AF3" w:rsidP="00F774FD">
            <w:pPr>
              <w:pStyle w:val="TableText0"/>
              <w:keepNext w:val="0"/>
            </w:pPr>
            <w:r w:rsidRPr="00286ED5">
              <w:t xml:space="preserve">PBAC: SRT costs are overestimated, favouring mavacamten </w:t>
            </w:r>
            <w:r>
              <w:t>–</w:t>
            </w:r>
            <w:r w:rsidRPr="00286ED5">
              <w:t xml:space="preserve"> not implemented.</w:t>
            </w:r>
          </w:p>
          <w:p w14:paraId="5F47C52A" w14:textId="7B6E9F8B" w:rsidR="00B47AF3" w:rsidRPr="00286ED5" w:rsidRDefault="00B47AF3" w:rsidP="00F774FD">
            <w:pPr>
              <w:pStyle w:val="TableText0"/>
              <w:keepNext w:val="0"/>
            </w:pPr>
            <w:r w:rsidRPr="00286ED5">
              <w:t>Submission: Maintained costs based on Sun et al. (2022) (submission).</w:t>
            </w:r>
          </w:p>
        </w:tc>
      </w:tr>
      <w:tr w:rsidR="00B47AF3" w14:paraId="4D8D4AB3" w14:textId="77777777" w:rsidTr="000F4414">
        <w:tc>
          <w:tcPr>
            <w:tcW w:w="1082" w:type="pct"/>
            <w:tcBorders>
              <w:top w:val="nil"/>
              <w:left w:val="single" w:sz="4" w:space="0" w:color="auto"/>
              <w:bottom w:val="single" w:sz="4" w:space="0" w:color="auto"/>
              <w:right w:val="single" w:sz="4" w:space="0" w:color="auto"/>
            </w:tcBorders>
          </w:tcPr>
          <w:p w14:paraId="125B8B95" w14:textId="77777777" w:rsidR="00B47AF3" w:rsidRPr="00286ED5" w:rsidRDefault="00B47AF3" w:rsidP="00F774FD">
            <w:pPr>
              <w:pStyle w:val="TableText0"/>
              <w:keepNext w:val="0"/>
            </w:pPr>
            <w:r w:rsidRPr="00286ED5">
              <w:t>Disopyramide benefits</w:t>
            </w:r>
          </w:p>
        </w:tc>
        <w:tc>
          <w:tcPr>
            <w:tcW w:w="747" w:type="pct"/>
            <w:tcBorders>
              <w:top w:val="nil"/>
              <w:left w:val="single" w:sz="4" w:space="0" w:color="auto"/>
              <w:bottom w:val="single" w:sz="4" w:space="0" w:color="auto"/>
              <w:right w:val="single" w:sz="4" w:space="0" w:color="auto"/>
            </w:tcBorders>
          </w:tcPr>
          <w:p w14:paraId="5D067DC3" w14:textId="77777777" w:rsidR="00B47AF3" w:rsidRPr="00286ED5" w:rsidRDefault="00B47AF3" w:rsidP="00F774FD">
            <w:pPr>
              <w:pStyle w:val="TableText0"/>
              <w:keepNext w:val="0"/>
            </w:pPr>
            <w:r w:rsidRPr="00286ED5">
              <w:t xml:space="preserve">Disopyramide removed from model structure. </w:t>
            </w:r>
          </w:p>
        </w:tc>
        <w:tc>
          <w:tcPr>
            <w:tcW w:w="747" w:type="pct"/>
            <w:tcBorders>
              <w:top w:val="nil"/>
              <w:left w:val="single" w:sz="4" w:space="0" w:color="auto"/>
              <w:bottom w:val="single" w:sz="4" w:space="0" w:color="auto"/>
              <w:right w:val="single" w:sz="4" w:space="0" w:color="auto"/>
            </w:tcBorders>
          </w:tcPr>
          <w:p w14:paraId="5D13893D" w14:textId="5912D952" w:rsidR="00B47AF3" w:rsidRPr="00286ED5" w:rsidRDefault="00B47AF3" w:rsidP="00F774FD">
            <w:pPr>
              <w:pStyle w:val="TableText0"/>
              <w:keepNext w:val="0"/>
            </w:pPr>
            <w:r w:rsidRPr="00286ED5">
              <w:t xml:space="preserve">Benefits not </w:t>
            </w:r>
            <w:r w:rsidR="008C5436">
              <w:t>i</w:t>
            </w:r>
            <w:r w:rsidRPr="00286ED5">
              <w:t>ncluded. Costs were included.</w:t>
            </w:r>
          </w:p>
        </w:tc>
        <w:tc>
          <w:tcPr>
            <w:tcW w:w="2423" w:type="pct"/>
            <w:tcBorders>
              <w:top w:val="nil"/>
              <w:left w:val="single" w:sz="4" w:space="0" w:color="auto"/>
              <w:bottom w:val="single" w:sz="4" w:space="0" w:color="auto"/>
              <w:right w:val="single" w:sz="4" w:space="0" w:color="auto"/>
            </w:tcBorders>
          </w:tcPr>
          <w:p w14:paraId="5184DC79" w14:textId="16A5F8E8" w:rsidR="00B47AF3" w:rsidRPr="00286ED5" w:rsidRDefault="00B47AF3" w:rsidP="00F774FD">
            <w:pPr>
              <w:pStyle w:val="TableText0"/>
              <w:keepNext w:val="0"/>
            </w:pPr>
            <w:r w:rsidRPr="00286ED5">
              <w:t xml:space="preserve">PBAC: </w:t>
            </w:r>
            <w:r w:rsidR="00B54922">
              <w:t>I</w:t>
            </w:r>
            <w:r w:rsidR="00B54922" w:rsidRPr="00871080">
              <w:t>ncluding costs of subsequent therapies but no benefit was not appropriate</w:t>
            </w:r>
            <w:r w:rsidRPr="00286ED5">
              <w:t>.</w:t>
            </w:r>
          </w:p>
          <w:p w14:paraId="710AFCB3" w14:textId="1C6F80DB" w:rsidR="00B47AF3" w:rsidRPr="00286ED5" w:rsidRDefault="00420EFB" w:rsidP="00F774FD">
            <w:pPr>
              <w:pStyle w:val="TableText0"/>
              <w:keepNext w:val="0"/>
            </w:pPr>
            <w:r>
              <w:t>Res</w:t>
            </w:r>
            <w:r w:rsidR="00B47AF3" w:rsidRPr="00286ED5">
              <w:t xml:space="preserve">ubmission: removed from model based on disopyramide being delisted by the TGA 14-Dec-22 and Advisory Board (Attachment 14).  </w:t>
            </w:r>
          </w:p>
        </w:tc>
      </w:tr>
      <w:tr w:rsidR="00AD03D1" w14:paraId="6846B140" w14:textId="77777777" w:rsidTr="004C47F9">
        <w:tc>
          <w:tcPr>
            <w:tcW w:w="1082" w:type="pct"/>
            <w:tcBorders>
              <w:top w:val="single" w:sz="4" w:space="0" w:color="auto"/>
              <w:left w:val="single" w:sz="4" w:space="0" w:color="auto"/>
              <w:bottom w:val="single" w:sz="4" w:space="0" w:color="auto"/>
              <w:right w:val="single" w:sz="4" w:space="0" w:color="auto"/>
            </w:tcBorders>
          </w:tcPr>
          <w:p w14:paraId="40778F9E" w14:textId="76DDC8E0" w:rsidR="00AD03D1" w:rsidRPr="00286ED5" w:rsidRDefault="00146BCF" w:rsidP="00F774FD">
            <w:pPr>
              <w:pStyle w:val="TableText0"/>
              <w:keepNext w:val="0"/>
            </w:pPr>
            <w:r>
              <w:t>D</w:t>
            </w:r>
            <w:r w:rsidR="00AD03D1" w:rsidRPr="00286ED5">
              <w:t>iscontinuation rates</w:t>
            </w:r>
            <w:r>
              <w:t xml:space="preserve"> due to SAEs</w:t>
            </w:r>
          </w:p>
        </w:tc>
        <w:tc>
          <w:tcPr>
            <w:tcW w:w="747" w:type="pct"/>
            <w:tcBorders>
              <w:top w:val="single" w:sz="4" w:space="0" w:color="auto"/>
              <w:left w:val="single" w:sz="4" w:space="0" w:color="auto"/>
              <w:bottom w:val="single" w:sz="4" w:space="0" w:color="auto"/>
              <w:right w:val="single" w:sz="4" w:space="0" w:color="auto"/>
            </w:tcBorders>
          </w:tcPr>
          <w:p w14:paraId="45CD6B07" w14:textId="2784875C" w:rsidR="00AD03D1" w:rsidRPr="00286ED5" w:rsidRDefault="00AD03D1" w:rsidP="00F774FD">
            <w:pPr>
              <w:pStyle w:val="TableText0"/>
              <w:keepNext w:val="0"/>
            </w:pPr>
            <w:r w:rsidRPr="00286ED5">
              <w:t xml:space="preserve">Base case: </w:t>
            </w:r>
            <w:r w:rsidR="002848B3">
              <w:t xml:space="preserve">short term </w:t>
            </w:r>
            <w:r w:rsidRPr="00286ED5">
              <w:t>5%</w:t>
            </w:r>
          </w:p>
          <w:p w14:paraId="748FC215" w14:textId="35702CB1" w:rsidR="00AD03D1" w:rsidRPr="00286ED5" w:rsidRDefault="00AD03D1" w:rsidP="00F774FD">
            <w:pPr>
              <w:pStyle w:val="TableText0"/>
              <w:keepNext w:val="0"/>
            </w:pPr>
          </w:p>
        </w:tc>
        <w:tc>
          <w:tcPr>
            <w:tcW w:w="747" w:type="pct"/>
            <w:tcBorders>
              <w:top w:val="single" w:sz="4" w:space="0" w:color="auto"/>
              <w:left w:val="single" w:sz="4" w:space="0" w:color="auto"/>
              <w:bottom w:val="single" w:sz="4" w:space="0" w:color="auto"/>
              <w:right w:val="single" w:sz="4" w:space="0" w:color="auto"/>
            </w:tcBorders>
          </w:tcPr>
          <w:p w14:paraId="4A1597F7" w14:textId="10DAA524" w:rsidR="00AD03D1" w:rsidRPr="00286ED5" w:rsidRDefault="00AD03D1" w:rsidP="00F774FD">
            <w:pPr>
              <w:pStyle w:val="TableText0"/>
              <w:keepNext w:val="0"/>
            </w:pPr>
            <w:r w:rsidRPr="00286ED5">
              <w:t xml:space="preserve">Base case: </w:t>
            </w:r>
            <w:r w:rsidR="002848B3">
              <w:t xml:space="preserve">short term </w:t>
            </w:r>
            <w:r w:rsidRPr="00286ED5">
              <w:t xml:space="preserve">1.6% </w:t>
            </w:r>
          </w:p>
        </w:tc>
        <w:tc>
          <w:tcPr>
            <w:tcW w:w="2423" w:type="pct"/>
            <w:vMerge w:val="restart"/>
            <w:tcBorders>
              <w:top w:val="single" w:sz="4" w:space="0" w:color="auto"/>
              <w:left w:val="single" w:sz="4" w:space="0" w:color="auto"/>
              <w:right w:val="single" w:sz="4" w:space="0" w:color="auto"/>
            </w:tcBorders>
          </w:tcPr>
          <w:p w14:paraId="3973ADC8" w14:textId="53E0D85B" w:rsidR="00AD03D1" w:rsidRPr="00286ED5" w:rsidRDefault="00AD03D1" w:rsidP="00F774FD">
            <w:pPr>
              <w:pStyle w:val="TableText0"/>
              <w:keepNext w:val="0"/>
            </w:pPr>
            <w:r w:rsidRPr="00286ED5">
              <w:t xml:space="preserve">PBAC: Discontinuation rates may be higher in clinical practice </w:t>
            </w:r>
            <w:r>
              <w:t>–</w:t>
            </w:r>
            <w:r w:rsidRPr="00286ED5">
              <w:t xml:space="preserve"> </w:t>
            </w:r>
            <w:r w:rsidR="00146BCF">
              <w:t xml:space="preserve">partially </w:t>
            </w:r>
            <w:r w:rsidRPr="00286ED5">
              <w:t xml:space="preserve">implemented.  </w:t>
            </w:r>
          </w:p>
          <w:p w14:paraId="3E1D0CAA" w14:textId="6793C0C0" w:rsidR="00AD03D1" w:rsidRPr="00286ED5" w:rsidRDefault="00AD03D1" w:rsidP="00F774FD">
            <w:pPr>
              <w:pStyle w:val="TableText0"/>
              <w:keepNext w:val="0"/>
            </w:pPr>
            <w:r>
              <w:t>Res</w:t>
            </w:r>
            <w:r w:rsidRPr="00286ED5">
              <w:t xml:space="preserve">ubmission: Revised </w:t>
            </w:r>
            <w:r w:rsidR="00EA7B17">
              <w:t xml:space="preserve">the proportion of patients discontinuing treatment due to SAE at week 30 </w:t>
            </w:r>
            <w:r w:rsidRPr="00286ED5">
              <w:t xml:space="preserve">in resubmission. </w:t>
            </w:r>
            <w:r w:rsidR="00D760C8">
              <w:t>The long-term d</w:t>
            </w:r>
            <w:r>
              <w:t xml:space="preserve">iscontinuation rate due to SAE are calculated from the short-term discontinuation rate. </w:t>
            </w:r>
          </w:p>
          <w:p w14:paraId="25DE9D56" w14:textId="2A568282" w:rsidR="00AD03D1" w:rsidRPr="00286ED5" w:rsidRDefault="00146BCF" w:rsidP="00F774FD">
            <w:pPr>
              <w:pStyle w:val="TableText0"/>
            </w:pPr>
            <w:r>
              <w:t>Assumption for d</w:t>
            </w:r>
            <w:r w:rsidR="00D760C8">
              <w:t xml:space="preserve">iscontinuation due to lack of response </w:t>
            </w:r>
            <w:r>
              <w:t>were not revised.</w:t>
            </w:r>
            <w:r w:rsidR="005423A9">
              <w:t xml:space="preserve"> </w:t>
            </w:r>
            <w:r w:rsidR="005423A9" w:rsidRPr="00BF5BC7">
              <w:rPr>
                <w:iCs/>
              </w:rPr>
              <w:t>No justification w</w:t>
            </w:r>
            <w:r w:rsidR="0077385B" w:rsidRPr="00BF5BC7">
              <w:rPr>
                <w:iCs/>
              </w:rPr>
              <w:t>as</w:t>
            </w:r>
            <w:r w:rsidR="005423A9" w:rsidRPr="00BF5BC7">
              <w:rPr>
                <w:iCs/>
              </w:rPr>
              <w:t xml:space="preserve"> provided. </w:t>
            </w:r>
            <w:r>
              <w:t xml:space="preserve"> </w:t>
            </w:r>
          </w:p>
        </w:tc>
      </w:tr>
      <w:tr w:rsidR="00AD03D1" w14:paraId="2AE264FB" w14:textId="77777777" w:rsidTr="004C47F9">
        <w:tc>
          <w:tcPr>
            <w:tcW w:w="1082" w:type="pct"/>
            <w:tcBorders>
              <w:top w:val="single" w:sz="4" w:space="0" w:color="auto"/>
              <w:left w:val="single" w:sz="4" w:space="0" w:color="auto"/>
              <w:bottom w:val="single" w:sz="4" w:space="0" w:color="auto"/>
              <w:right w:val="single" w:sz="4" w:space="0" w:color="auto"/>
            </w:tcBorders>
          </w:tcPr>
          <w:p w14:paraId="25CE7488" w14:textId="163F86C4" w:rsidR="00AD03D1" w:rsidRPr="00286ED5" w:rsidRDefault="00AD03D1" w:rsidP="00F774FD">
            <w:pPr>
              <w:pStyle w:val="TableText0"/>
              <w:keepNext w:val="0"/>
            </w:pPr>
            <w:r>
              <w:t>Discontinuation due to lack of response</w:t>
            </w:r>
          </w:p>
        </w:tc>
        <w:tc>
          <w:tcPr>
            <w:tcW w:w="747" w:type="pct"/>
            <w:tcBorders>
              <w:top w:val="single" w:sz="4" w:space="0" w:color="auto"/>
              <w:left w:val="single" w:sz="4" w:space="0" w:color="auto"/>
              <w:bottom w:val="single" w:sz="4" w:space="0" w:color="auto"/>
              <w:right w:val="single" w:sz="4" w:space="0" w:color="auto"/>
            </w:tcBorders>
          </w:tcPr>
          <w:p w14:paraId="7C5942C5" w14:textId="4C981331" w:rsidR="00AD03D1" w:rsidRPr="00286ED5" w:rsidRDefault="007D5EFB" w:rsidP="00F774FD">
            <w:pPr>
              <w:pStyle w:val="TableText0"/>
              <w:keepNext w:val="0"/>
            </w:pPr>
            <w:r>
              <w:t>Discontinue if no NY</w:t>
            </w:r>
            <w:r w:rsidR="006145B6">
              <w:t>H</w:t>
            </w:r>
            <w:r>
              <w:t>A class improvement</w:t>
            </w:r>
          </w:p>
        </w:tc>
        <w:tc>
          <w:tcPr>
            <w:tcW w:w="747" w:type="pct"/>
            <w:tcBorders>
              <w:top w:val="single" w:sz="4" w:space="0" w:color="auto"/>
              <w:left w:val="single" w:sz="4" w:space="0" w:color="auto"/>
              <w:bottom w:val="single" w:sz="4" w:space="0" w:color="auto"/>
              <w:right w:val="single" w:sz="4" w:space="0" w:color="auto"/>
            </w:tcBorders>
          </w:tcPr>
          <w:p w14:paraId="076376B5" w14:textId="05CAAD4A" w:rsidR="00AD03D1" w:rsidRPr="00286ED5" w:rsidRDefault="00146BCF" w:rsidP="00F774FD">
            <w:pPr>
              <w:pStyle w:val="TableText0"/>
              <w:keepNext w:val="0"/>
            </w:pPr>
            <w:r>
              <w:t xml:space="preserve">Discontinue if no </w:t>
            </w:r>
            <w:r w:rsidR="007D5EFB">
              <w:t>NY</w:t>
            </w:r>
            <w:r w:rsidR="006145B6">
              <w:t>H</w:t>
            </w:r>
            <w:r w:rsidR="007D5EFB">
              <w:t xml:space="preserve">A class </w:t>
            </w:r>
            <w:r>
              <w:t xml:space="preserve">improvement </w:t>
            </w:r>
          </w:p>
        </w:tc>
        <w:tc>
          <w:tcPr>
            <w:tcW w:w="2423" w:type="pct"/>
            <w:vMerge/>
            <w:tcBorders>
              <w:left w:val="single" w:sz="4" w:space="0" w:color="auto"/>
              <w:bottom w:val="single" w:sz="4" w:space="0" w:color="auto"/>
              <w:right w:val="single" w:sz="4" w:space="0" w:color="auto"/>
            </w:tcBorders>
          </w:tcPr>
          <w:p w14:paraId="0DCDAA0A" w14:textId="1E1B4147" w:rsidR="00AD03D1" w:rsidRPr="00286ED5" w:rsidRDefault="00AD03D1" w:rsidP="00F774FD">
            <w:pPr>
              <w:pStyle w:val="TableText0"/>
              <w:keepNext w:val="0"/>
            </w:pPr>
          </w:p>
        </w:tc>
      </w:tr>
    </w:tbl>
    <w:p w14:paraId="67D796C1" w14:textId="41CF4179" w:rsidR="00406AA1" w:rsidRPr="00B47AF3" w:rsidRDefault="00224DE2" w:rsidP="00406AA1">
      <w:pPr>
        <w:pStyle w:val="FooterTableFigure"/>
      </w:pPr>
      <w:proofErr w:type="gramStart"/>
      <w:r>
        <w:t>Source :</w:t>
      </w:r>
      <w:proofErr w:type="gramEnd"/>
      <w:r w:rsidR="004B011F">
        <w:t xml:space="preserve"> </w:t>
      </w:r>
      <w:r w:rsidRPr="00BF5BC7">
        <w:rPr>
          <w:iCs/>
        </w:rPr>
        <w:t>Compiled during the evaluation</w:t>
      </w:r>
      <w:r>
        <w:t xml:space="preserve"> using Table 81, p189 and Sections 3.4 to 3.6, pp191-217 of the November 2022 submission; </w:t>
      </w:r>
      <w:r w:rsidR="007702BF">
        <w:t xml:space="preserve">and </w:t>
      </w:r>
      <w:r w:rsidR="00BC7E85">
        <w:t xml:space="preserve">using </w:t>
      </w:r>
      <w:r w:rsidR="00BC7E85" w:rsidRPr="00014234">
        <w:t xml:space="preserve">information provided in </w:t>
      </w:r>
      <w:r w:rsidR="00807F3B">
        <w:t xml:space="preserve">p80, </w:t>
      </w:r>
      <w:r w:rsidR="00C965EE">
        <w:t>pp83-84, pp88-89,</w:t>
      </w:r>
      <w:r w:rsidR="00FD44A9">
        <w:t xml:space="preserve"> and</w:t>
      </w:r>
      <w:r w:rsidR="00807F3B">
        <w:t xml:space="preserve"> </w:t>
      </w:r>
      <w:r w:rsidR="00BC7E85" w:rsidRPr="00014234">
        <w:t xml:space="preserve">Section 3.6, pp92-99 of the resubmission. </w:t>
      </w:r>
      <w:r w:rsidR="00BC7E85">
        <w:t xml:space="preserve"> </w:t>
      </w:r>
      <w:bookmarkStart w:id="76" w:name="_Hlk132561676"/>
      <w:bookmarkStart w:id="77" w:name="_Hlk132562207"/>
      <w:r w:rsidR="00406AA1">
        <w:t>AEMP =</w:t>
      </w:r>
      <w:r w:rsidR="004B011F">
        <w:t xml:space="preserve"> </w:t>
      </w:r>
      <w:r w:rsidR="00406AA1">
        <w:t xml:space="preserve">approved ex-manufacturer price; </w:t>
      </w:r>
      <w:bookmarkEnd w:id="76"/>
      <w:r w:rsidR="00406AA1" w:rsidRPr="000B16A7">
        <w:t>AIHW = Australian Institute of Health and Welfare;</w:t>
      </w:r>
      <w:r w:rsidR="00406AA1">
        <w:t xml:space="preserve"> </w:t>
      </w:r>
      <w:r w:rsidR="00406AA1">
        <w:rPr>
          <w:szCs w:val="18"/>
        </w:rPr>
        <w:t>B</w:t>
      </w:r>
      <w:r w:rsidR="00406AA1" w:rsidRPr="00501F1B">
        <w:rPr>
          <w:szCs w:val="18"/>
        </w:rPr>
        <w:t xml:space="preserve">Bs= beta-blockers; CCBs= calcium channel </w:t>
      </w:r>
      <w:proofErr w:type="gramStart"/>
      <w:r w:rsidR="00406AA1" w:rsidRPr="00501F1B">
        <w:rPr>
          <w:szCs w:val="18"/>
        </w:rPr>
        <w:t>blockers;</w:t>
      </w:r>
      <w:r w:rsidR="00406AA1">
        <w:rPr>
          <w:szCs w:val="18"/>
        </w:rPr>
        <w:t xml:space="preserve"> </w:t>
      </w:r>
      <w:r w:rsidR="00406AA1" w:rsidRPr="000B16A7">
        <w:t xml:space="preserve"> CV</w:t>
      </w:r>
      <w:proofErr w:type="gramEnd"/>
      <w:r w:rsidR="00406AA1" w:rsidRPr="000B16A7">
        <w:t xml:space="preserve"> = cardiovascular; </w:t>
      </w:r>
      <w:r w:rsidR="00406AA1">
        <w:t xml:space="preserve"> ESC = Economic Sub Committee; </w:t>
      </w:r>
      <w:r w:rsidR="00406AA1" w:rsidRPr="00501F1B">
        <w:rPr>
          <w:szCs w:val="18"/>
        </w:rPr>
        <w:t>HCM = hypertrophic cardiomyopathy;</w:t>
      </w:r>
      <w:r w:rsidR="00406AA1">
        <w:rPr>
          <w:szCs w:val="18"/>
        </w:rPr>
        <w:t xml:space="preserve"> LTE = long term extension;</w:t>
      </w:r>
      <w:r w:rsidR="00406AA1" w:rsidRPr="00501F1B">
        <w:rPr>
          <w:szCs w:val="18"/>
        </w:rPr>
        <w:t xml:space="preserve"> </w:t>
      </w:r>
      <w:r w:rsidR="00406AA1" w:rsidRPr="000B16A7">
        <w:t>MAV</w:t>
      </w:r>
      <w:r w:rsidR="00406AA1">
        <w:t>A</w:t>
      </w:r>
      <w:r w:rsidR="00406AA1" w:rsidRPr="000B16A7">
        <w:t xml:space="preserve"> = mavacamten; PBAC = Pharmaceutical Benefits Advisory Committee; </w:t>
      </w:r>
      <w:r w:rsidR="00406AA1">
        <w:t xml:space="preserve">SAE = serious adverse event; </w:t>
      </w:r>
      <w:r w:rsidR="00406AA1" w:rsidRPr="000B16A7">
        <w:t>SRT = Septal reduction therapy</w:t>
      </w:r>
      <w:r w:rsidR="00406AA1">
        <w:t>; TGA = Therapeutic Goods Administration</w:t>
      </w:r>
      <w:r w:rsidR="00406AA1" w:rsidRPr="000B16A7">
        <w:t xml:space="preserve">. </w:t>
      </w:r>
    </w:p>
    <w:bookmarkEnd w:id="77"/>
    <w:p w14:paraId="54BF69B7" w14:textId="40F50E3B" w:rsidR="00AD7D8F" w:rsidRDefault="007B18CD" w:rsidP="00AD7D8F">
      <w:pPr>
        <w:pStyle w:val="3-BodyText"/>
        <w:rPr>
          <w:color w:val="0066FF"/>
        </w:rPr>
      </w:pPr>
      <w:r w:rsidRPr="00BF5BC7">
        <w:rPr>
          <w:iCs/>
        </w:rPr>
        <w:t xml:space="preserve">The PBAC </w:t>
      </w:r>
      <w:r w:rsidR="00AE4312" w:rsidRPr="00541454">
        <w:t>previously</w:t>
      </w:r>
      <w:r w:rsidR="00AE4312">
        <w:rPr>
          <w:iCs/>
        </w:rPr>
        <w:t xml:space="preserve"> </w:t>
      </w:r>
      <w:r w:rsidRPr="00BF5BC7">
        <w:rPr>
          <w:iCs/>
        </w:rPr>
        <w:t>considered a respecified base case should include a 10-year time horizon</w:t>
      </w:r>
      <w:r w:rsidR="00435178" w:rsidRPr="00BF5BC7">
        <w:rPr>
          <w:iCs/>
        </w:rPr>
        <w:t>, because</w:t>
      </w:r>
      <w:r w:rsidRPr="00BF5BC7">
        <w:rPr>
          <w:iCs/>
        </w:rPr>
        <w:t xml:space="preserve"> </w:t>
      </w:r>
      <w:r w:rsidR="00435178" w:rsidRPr="00BF5BC7">
        <w:rPr>
          <w:iCs/>
        </w:rPr>
        <w:t>the duration of the clinical data available from EXPLORER-HCM was inadequate to inform the modelled long-term estimates (</w:t>
      </w:r>
      <w:r w:rsidR="00F55FEF" w:rsidRPr="00BF5BC7">
        <w:rPr>
          <w:iCs/>
        </w:rPr>
        <w:t>para. 7.8, mavacamten, Public Summary Document, November 2022 PBAC meeting</w:t>
      </w:r>
      <w:r w:rsidR="00435178" w:rsidRPr="00BF5BC7">
        <w:rPr>
          <w:iCs/>
        </w:rPr>
        <w:t>).</w:t>
      </w:r>
    </w:p>
    <w:p w14:paraId="33A3A5CA" w14:textId="3041B5B5" w:rsidR="00AE4312" w:rsidRPr="00541454" w:rsidRDefault="00486A3D" w:rsidP="00770A58">
      <w:pPr>
        <w:pStyle w:val="3-BodyText"/>
        <w:rPr>
          <w:iCs/>
        </w:rPr>
      </w:pPr>
      <w:bookmarkStart w:id="78" w:name="_Ref137748743"/>
      <w:r w:rsidRPr="00486A3D">
        <w:t xml:space="preserve">The resubmission stated that the reduction in time horizon to 20 years (from 25 years in the November 2022 submission) is to acknowledge the uncertainty in the economic </w:t>
      </w:r>
      <w:r w:rsidRPr="00486A3D">
        <w:lastRenderedPageBreak/>
        <w:t xml:space="preserve">model. The resubmission justified the selection of the 20-year time horizon (as opposed to the 10 </w:t>
      </w:r>
      <w:r w:rsidR="00AE4312">
        <w:t xml:space="preserve">years </w:t>
      </w:r>
      <w:r w:rsidRPr="00486A3D">
        <w:t xml:space="preserve">recommended by the PBAC) stating that longer-term efficacy data have been provided from MAVA-LTE (EXPLORER-HCM cohort) out to 156 weeks. </w:t>
      </w:r>
      <w:r w:rsidRPr="00BF5BC7">
        <w:rPr>
          <w:iCs/>
        </w:rPr>
        <w:t>MAVA-LTE is still ongoing; only three (3/231=1.3%) patients have completed week 156 - by week 108 (~2.1 years), data had been collected from 101 (43.7%) patients (MAVA-LTE CSR Table B.1). EXPLORER-HCM provide</w:t>
      </w:r>
      <w:r w:rsidR="00FE10C1" w:rsidRPr="00BF5BC7">
        <w:rPr>
          <w:iCs/>
        </w:rPr>
        <w:t>s</w:t>
      </w:r>
      <w:r w:rsidRPr="00BF5BC7">
        <w:rPr>
          <w:iCs/>
        </w:rPr>
        <w:t xml:space="preserve"> up to 30-weeks of </w:t>
      </w:r>
      <w:r w:rsidR="00FE10C1" w:rsidRPr="00BF5BC7">
        <w:rPr>
          <w:iCs/>
        </w:rPr>
        <w:t xml:space="preserve">comparative </w:t>
      </w:r>
      <w:r w:rsidRPr="00BF5BC7">
        <w:rPr>
          <w:iCs/>
        </w:rPr>
        <w:t>clinical data for mavacamten.</w:t>
      </w:r>
      <w:r w:rsidRPr="00486A3D">
        <w:t xml:space="preserve">  </w:t>
      </w:r>
      <w:r w:rsidR="00AE4312" w:rsidRPr="00541454">
        <w:rPr>
          <w:iCs/>
        </w:rPr>
        <w:t>The PSCR stated that while the sponsor considered the 25-year time horizon, utilised in the original submission, to be appropriate, it ha</w:t>
      </w:r>
      <w:r w:rsidR="00770A58" w:rsidRPr="00541454">
        <w:rPr>
          <w:iCs/>
        </w:rPr>
        <w:t>d</w:t>
      </w:r>
      <w:r w:rsidR="00AE4312" w:rsidRPr="00541454">
        <w:rPr>
          <w:iCs/>
        </w:rPr>
        <w:t xml:space="preserve"> been revised downward to acknowledge uncertainty. The PSCR </w:t>
      </w:r>
      <w:r w:rsidR="00770A58" w:rsidRPr="00541454">
        <w:rPr>
          <w:iCs/>
        </w:rPr>
        <w:t>argued that</w:t>
      </w:r>
      <w:r w:rsidR="00AE4312" w:rsidRPr="00541454">
        <w:rPr>
          <w:iCs/>
        </w:rPr>
        <w:t xml:space="preserve"> a time horizon of 10 years was unreasonable, noting the different time horizons that </w:t>
      </w:r>
      <w:r w:rsidR="00770A58" w:rsidRPr="00541454">
        <w:rPr>
          <w:iCs/>
        </w:rPr>
        <w:t>had</w:t>
      </w:r>
      <w:r w:rsidR="00AE4312" w:rsidRPr="00541454">
        <w:rPr>
          <w:iCs/>
        </w:rPr>
        <w:t xml:space="preserve"> been</w:t>
      </w:r>
      <w:r w:rsidR="00770A58" w:rsidRPr="00541454">
        <w:rPr>
          <w:iCs/>
        </w:rPr>
        <w:t xml:space="preserve"> recently</w:t>
      </w:r>
      <w:r w:rsidR="00AE4312" w:rsidRPr="00541454">
        <w:rPr>
          <w:iCs/>
        </w:rPr>
        <w:t xml:space="preserve"> accepted by the PBAC for cardiovascular indications, varying from 10 years (vericiguat</w:t>
      </w:r>
      <w:r w:rsidR="00770A58" w:rsidRPr="00541454">
        <w:rPr>
          <w:iCs/>
        </w:rPr>
        <w:t>;</w:t>
      </w:r>
      <w:r w:rsidR="00AE4312" w:rsidRPr="00541454">
        <w:rPr>
          <w:iCs/>
        </w:rPr>
        <w:t xml:space="preserve"> with short duration of </w:t>
      </w:r>
      <w:r w:rsidR="00770A58" w:rsidRPr="00541454">
        <w:rPr>
          <w:iCs/>
        </w:rPr>
        <w:t xml:space="preserve">pivotal trial </w:t>
      </w:r>
      <w:r w:rsidR="00AE4312" w:rsidRPr="00541454">
        <w:rPr>
          <w:iCs/>
        </w:rPr>
        <w:t>median follow</w:t>
      </w:r>
      <w:r w:rsidR="00770A58" w:rsidRPr="00541454">
        <w:rPr>
          <w:iCs/>
        </w:rPr>
        <w:t>-</w:t>
      </w:r>
      <w:r w:rsidR="00AE4312" w:rsidRPr="00541454">
        <w:rPr>
          <w:iCs/>
        </w:rPr>
        <w:t>up and older patient cohort at baseline) to 30 years (dapagliflozin</w:t>
      </w:r>
      <w:r w:rsidR="00770A58" w:rsidRPr="00541454">
        <w:rPr>
          <w:iCs/>
        </w:rPr>
        <w:t xml:space="preserve">; </w:t>
      </w:r>
      <w:r w:rsidR="00AE4312" w:rsidRPr="00541454">
        <w:rPr>
          <w:iCs/>
        </w:rPr>
        <w:t xml:space="preserve">older cohort at baseline and a short median duration of </w:t>
      </w:r>
      <w:r w:rsidR="00770A58" w:rsidRPr="00541454">
        <w:rPr>
          <w:iCs/>
        </w:rPr>
        <w:t xml:space="preserve">pivotal trial </w:t>
      </w:r>
      <w:r w:rsidR="00AE4312" w:rsidRPr="00541454">
        <w:rPr>
          <w:iCs/>
        </w:rPr>
        <w:t xml:space="preserve">follow-up). The </w:t>
      </w:r>
      <w:r w:rsidR="00770A58" w:rsidRPr="00541454">
        <w:rPr>
          <w:iCs/>
        </w:rPr>
        <w:t>PSCR also</w:t>
      </w:r>
      <w:r w:rsidR="00AE4312" w:rsidRPr="00541454">
        <w:rPr>
          <w:iCs/>
        </w:rPr>
        <w:t xml:space="preserve"> </w:t>
      </w:r>
      <w:r w:rsidR="00770A58" w:rsidRPr="00541454">
        <w:rPr>
          <w:iCs/>
        </w:rPr>
        <w:t>argued that</w:t>
      </w:r>
      <w:r w:rsidR="00AE4312" w:rsidRPr="00541454">
        <w:rPr>
          <w:iCs/>
        </w:rPr>
        <w:t xml:space="preserve"> the EXPLORER-LTE data (with median follow-up data of 26.84 months) was used in the resubmission to confirm the ongoing treatment effect of mavacamten</w:t>
      </w:r>
      <w:r w:rsidR="00770A58" w:rsidRPr="00541454">
        <w:rPr>
          <w:iCs/>
        </w:rPr>
        <w:t xml:space="preserve"> and demonstrated </w:t>
      </w:r>
      <w:r w:rsidR="00AE4312" w:rsidRPr="00541454">
        <w:rPr>
          <w:iCs/>
        </w:rPr>
        <w:t>that the assumption in the base case of the model that patients do not improve their NYHA functional class after week 30 may be conservative.</w:t>
      </w:r>
      <w:bookmarkEnd w:id="78"/>
      <w:r w:rsidR="00AE4312" w:rsidRPr="00541454">
        <w:rPr>
          <w:iCs/>
        </w:rPr>
        <w:t xml:space="preserve"> </w:t>
      </w:r>
    </w:p>
    <w:p w14:paraId="4E477822" w14:textId="111512B8" w:rsidR="00486A3D" w:rsidRPr="00AD7D8F" w:rsidRDefault="001D6F3E" w:rsidP="00AD7D8F">
      <w:pPr>
        <w:pStyle w:val="3-BodyText"/>
        <w:rPr>
          <w:color w:val="0066FF"/>
        </w:rPr>
      </w:pPr>
      <w:r w:rsidRPr="00541454">
        <w:rPr>
          <w:iCs/>
        </w:rPr>
        <w:t xml:space="preserve">The ESC acknowledged that a longer time </w:t>
      </w:r>
      <w:r w:rsidR="00773234" w:rsidRPr="00541454">
        <w:rPr>
          <w:iCs/>
        </w:rPr>
        <w:t>horizon</w:t>
      </w:r>
      <w:r w:rsidRPr="00541454">
        <w:rPr>
          <w:iCs/>
        </w:rPr>
        <w:t xml:space="preserve"> than 10 years would normally be appropriate for a treatment such as mavacamten and </w:t>
      </w:r>
      <w:r w:rsidR="00773234" w:rsidRPr="00541454">
        <w:rPr>
          <w:iCs/>
        </w:rPr>
        <w:t>considered</w:t>
      </w:r>
      <w:r w:rsidRPr="00541454">
        <w:rPr>
          <w:iCs/>
        </w:rPr>
        <w:t xml:space="preserve"> that </w:t>
      </w:r>
      <w:r w:rsidR="00EE5472" w:rsidRPr="00541454">
        <w:rPr>
          <w:iCs/>
        </w:rPr>
        <w:t>the proposed</w:t>
      </w:r>
      <w:r w:rsidRPr="00541454">
        <w:rPr>
          <w:iCs/>
        </w:rPr>
        <w:t xml:space="preserve"> </w:t>
      </w:r>
      <w:proofErr w:type="gramStart"/>
      <w:r w:rsidR="00EE5472" w:rsidRPr="00541454">
        <w:rPr>
          <w:iCs/>
        </w:rPr>
        <w:t>20 year</w:t>
      </w:r>
      <w:proofErr w:type="gramEnd"/>
      <w:r w:rsidR="00EE5472" w:rsidRPr="00541454">
        <w:rPr>
          <w:iCs/>
        </w:rPr>
        <w:t xml:space="preserve"> </w:t>
      </w:r>
      <w:r w:rsidRPr="00541454">
        <w:rPr>
          <w:iCs/>
        </w:rPr>
        <w:t xml:space="preserve">time </w:t>
      </w:r>
      <w:r w:rsidR="00773234" w:rsidRPr="00541454">
        <w:rPr>
          <w:iCs/>
        </w:rPr>
        <w:t>horizon</w:t>
      </w:r>
      <w:r w:rsidR="00AE4312" w:rsidRPr="00541454">
        <w:rPr>
          <w:iCs/>
        </w:rPr>
        <w:t xml:space="preserve"> </w:t>
      </w:r>
      <w:r w:rsidR="00EE5472" w:rsidRPr="00541454">
        <w:rPr>
          <w:iCs/>
        </w:rPr>
        <w:t>could</w:t>
      </w:r>
      <w:r w:rsidR="00777426" w:rsidRPr="00541454">
        <w:rPr>
          <w:iCs/>
        </w:rPr>
        <w:t xml:space="preserve"> be </w:t>
      </w:r>
      <w:r w:rsidRPr="00541454">
        <w:rPr>
          <w:iCs/>
        </w:rPr>
        <w:t>justified</w:t>
      </w:r>
      <w:r w:rsidR="00EE5472" w:rsidRPr="00541454">
        <w:rPr>
          <w:iCs/>
        </w:rPr>
        <w:t>, noting that this increased uncertainty over the extrapolated period</w:t>
      </w:r>
      <w:r w:rsidRPr="00541454">
        <w:rPr>
          <w:iCs/>
        </w:rPr>
        <w:t xml:space="preserve">. </w:t>
      </w:r>
      <w:r w:rsidR="00EE5472" w:rsidRPr="00541454">
        <w:rPr>
          <w:iCs/>
        </w:rPr>
        <w:t>T</w:t>
      </w:r>
      <w:r w:rsidRPr="00541454">
        <w:rPr>
          <w:iCs/>
        </w:rPr>
        <w:t xml:space="preserve">he ESC </w:t>
      </w:r>
      <w:r w:rsidR="00773234" w:rsidRPr="00541454">
        <w:rPr>
          <w:iCs/>
        </w:rPr>
        <w:t>considered</w:t>
      </w:r>
      <w:r w:rsidRPr="00541454">
        <w:rPr>
          <w:iCs/>
        </w:rPr>
        <w:t xml:space="preserve"> that the uncertainty associated with the long extrapolation in the </w:t>
      </w:r>
      <w:r w:rsidR="00773234" w:rsidRPr="00541454">
        <w:rPr>
          <w:iCs/>
        </w:rPr>
        <w:t xml:space="preserve">economic </w:t>
      </w:r>
      <w:r w:rsidRPr="00541454">
        <w:rPr>
          <w:iCs/>
        </w:rPr>
        <w:t>model beyond the short time frame of the EXPLORER-HCM trial would need to be mitigated in an RSA.</w:t>
      </w:r>
    </w:p>
    <w:p w14:paraId="26D88459" w14:textId="55C86132" w:rsidR="00D029E0" w:rsidRPr="00D019D5" w:rsidRDefault="000E3498" w:rsidP="00D019D5">
      <w:pPr>
        <w:pStyle w:val="3-BodyText"/>
        <w:rPr>
          <w:color w:val="0066FF"/>
        </w:rPr>
      </w:pPr>
      <w:r w:rsidRPr="00BF5BC7">
        <w:rPr>
          <w:iCs/>
        </w:rPr>
        <w:t>The PBAC noted previously that the model is sensitive to the assumed truncation point</w:t>
      </w:r>
      <w:r w:rsidR="00CE16A5" w:rsidRPr="00BF5BC7">
        <w:rPr>
          <w:iCs/>
        </w:rPr>
        <w:t>;</w:t>
      </w:r>
      <w:r w:rsidR="00C3252B" w:rsidRPr="00BF5BC7">
        <w:rPr>
          <w:iCs/>
        </w:rPr>
        <w:t xml:space="preserve"> where different data truncation points </w:t>
      </w:r>
      <w:r w:rsidR="00435178" w:rsidRPr="00BF5BC7">
        <w:rPr>
          <w:iCs/>
        </w:rPr>
        <w:t>(</w:t>
      </w:r>
      <w:r w:rsidR="00435178" w:rsidRPr="00BF5BC7">
        <w:t xml:space="preserve">30 weeks for mavacamten + BB/CCB arm and 46 weeks for the comparator) </w:t>
      </w:r>
      <w:r w:rsidR="00C3252B" w:rsidRPr="00BF5BC7">
        <w:rPr>
          <w:iCs/>
        </w:rPr>
        <w:t>were applied to each arm of the model for data related to change in NYHA functional class.</w:t>
      </w:r>
      <w:r w:rsidR="00C3252B" w:rsidRPr="00BF5BC7">
        <w:t xml:space="preserve"> </w:t>
      </w:r>
      <w:r w:rsidR="005151C4" w:rsidRPr="00BF5BC7">
        <w:t xml:space="preserve">The PBAC </w:t>
      </w:r>
      <w:r w:rsidR="001B7726" w:rsidRPr="00541454">
        <w:rPr>
          <w:iCs/>
        </w:rPr>
        <w:t xml:space="preserve">previously </w:t>
      </w:r>
      <w:r w:rsidR="005151C4" w:rsidRPr="00BF5BC7">
        <w:t>advise</w:t>
      </w:r>
      <w:r w:rsidR="009741FC" w:rsidRPr="00BF5BC7">
        <w:t>d</w:t>
      </w:r>
      <w:r w:rsidR="005151C4" w:rsidRPr="00BF5BC7">
        <w:t xml:space="preserve"> </w:t>
      </w:r>
      <w:r w:rsidR="00EE7A52" w:rsidRPr="00BF5BC7">
        <w:t>that data should be truncated at 30 weeks in both arm</w:t>
      </w:r>
      <w:r w:rsidR="007276EE" w:rsidRPr="00BF5BC7">
        <w:t>s</w:t>
      </w:r>
      <w:r w:rsidR="00C74B27" w:rsidRPr="00BF5BC7">
        <w:t xml:space="preserve"> </w:t>
      </w:r>
      <w:r w:rsidR="00F55FEF" w:rsidRPr="00BF5BC7">
        <w:t>(</w:t>
      </w:r>
      <w:r w:rsidR="00F55FEF" w:rsidRPr="00BF5BC7">
        <w:rPr>
          <w:iCs/>
        </w:rPr>
        <w:t xml:space="preserve">para. 7.9, mavacamten, Public Summary Document, November 2022 PBAC </w:t>
      </w:r>
      <w:proofErr w:type="gramStart"/>
      <w:r w:rsidR="00F55FEF" w:rsidRPr="00BF5BC7">
        <w:rPr>
          <w:iCs/>
        </w:rPr>
        <w:t>meeting</w:t>
      </w:r>
      <w:r w:rsidR="00F55FEF" w:rsidRPr="00BF5BC7" w:rsidDel="00F55FEF">
        <w:t xml:space="preserve"> </w:t>
      </w:r>
      <w:r w:rsidR="00C74B27" w:rsidRPr="00BF5BC7">
        <w:t>)</w:t>
      </w:r>
      <w:proofErr w:type="gramEnd"/>
      <w:r w:rsidR="00C74B27" w:rsidRPr="00BF5BC7">
        <w:t>.</w:t>
      </w:r>
      <w:r w:rsidR="00D019D5" w:rsidRPr="00BF5BC7">
        <w:t xml:space="preserve"> </w:t>
      </w:r>
      <w:r w:rsidR="00D019D5" w:rsidRPr="00BF5BC7">
        <w:rPr>
          <w:iCs/>
          <w:color w:val="000000" w:themeColor="text1"/>
        </w:rPr>
        <w:t xml:space="preserve">Despite </w:t>
      </w:r>
      <w:r w:rsidR="00FE10C1" w:rsidRPr="00BF5BC7">
        <w:rPr>
          <w:iCs/>
          <w:color w:val="000000" w:themeColor="text1"/>
        </w:rPr>
        <w:t xml:space="preserve">this </w:t>
      </w:r>
      <w:r w:rsidR="00D019D5" w:rsidRPr="00BF5BC7">
        <w:rPr>
          <w:iCs/>
          <w:color w:val="000000" w:themeColor="text1"/>
        </w:rPr>
        <w:t>advice</w:t>
      </w:r>
      <w:r w:rsidR="00FE10C1" w:rsidRPr="00BF5BC7">
        <w:rPr>
          <w:iCs/>
          <w:color w:val="000000" w:themeColor="text1"/>
        </w:rPr>
        <w:t>,</w:t>
      </w:r>
      <w:r w:rsidR="00D019D5" w:rsidRPr="00BF5BC7">
        <w:rPr>
          <w:iCs/>
          <w:color w:val="000000" w:themeColor="text1"/>
        </w:rPr>
        <w:t xml:space="preserve"> the resubmission continued to apply different truncation points to each arm in the model</w:t>
      </w:r>
      <w:r w:rsidR="00FE10C1" w:rsidRPr="00BF5BC7">
        <w:rPr>
          <w:iCs/>
          <w:color w:val="000000" w:themeColor="text1"/>
        </w:rPr>
        <w:t>, discussed below</w:t>
      </w:r>
      <w:r w:rsidR="00D019D5" w:rsidRPr="00BF5BC7">
        <w:rPr>
          <w:iCs/>
          <w:color w:val="000000" w:themeColor="text1"/>
        </w:rPr>
        <w:t>.</w:t>
      </w:r>
      <w:r w:rsidR="00EB0EB2">
        <w:rPr>
          <w:iCs/>
          <w:color w:val="000000" w:themeColor="text1"/>
        </w:rPr>
        <w:t xml:space="preserve"> </w:t>
      </w:r>
    </w:p>
    <w:p w14:paraId="5B5A158F" w14:textId="77777777" w:rsidR="00065585" w:rsidRPr="00065585" w:rsidRDefault="00FE7A6F" w:rsidP="00065585">
      <w:pPr>
        <w:pStyle w:val="3-BodyText"/>
        <w:rPr>
          <w:color w:val="000000" w:themeColor="text1"/>
        </w:rPr>
      </w:pPr>
      <w:r w:rsidRPr="00756923">
        <w:t xml:space="preserve">Short-term transition probabilities for the change in NYHA functional class were based on data from EXPLORER-HCM. </w:t>
      </w:r>
      <w:r w:rsidR="00065585" w:rsidRPr="00065585">
        <w:rPr>
          <w:color w:val="000000" w:themeColor="text1"/>
        </w:rPr>
        <w:t>Probabilities for short-term transitions were applied as follows:</w:t>
      </w:r>
    </w:p>
    <w:p w14:paraId="29F9F6E0" w14:textId="77777777" w:rsidR="00065585" w:rsidRPr="00065585" w:rsidRDefault="00065585" w:rsidP="00206BC1">
      <w:pPr>
        <w:pStyle w:val="ListParagraph"/>
        <w:numPr>
          <w:ilvl w:val="0"/>
          <w:numId w:val="3"/>
        </w:numPr>
        <w:ind w:left="1134"/>
      </w:pPr>
      <w:r w:rsidRPr="00065585">
        <w:t xml:space="preserve">Mavacamten + BB/CCB: Transition probabilities were derived up to week 30, </w:t>
      </w:r>
      <w:proofErr w:type="gramStart"/>
      <w:r w:rsidRPr="00065585">
        <w:t>i.e.</w:t>
      </w:r>
      <w:proofErr w:type="gramEnd"/>
      <w:r w:rsidRPr="00065585">
        <w:t xml:space="preserve"> the end of treatment period in EXPLORER-HCM. </w:t>
      </w:r>
      <w:r w:rsidRPr="00206BC1">
        <w:t>This remains unchanged from the November 2022 submission.</w:t>
      </w:r>
    </w:p>
    <w:p w14:paraId="7580C6BD" w14:textId="17041878" w:rsidR="00065585" w:rsidRDefault="00065585" w:rsidP="00206BC1">
      <w:pPr>
        <w:pStyle w:val="ListParagraph"/>
        <w:numPr>
          <w:ilvl w:val="0"/>
          <w:numId w:val="3"/>
        </w:numPr>
        <w:ind w:left="1134"/>
      </w:pPr>
      <w:r w:rsidRPr="00065585">
        <w:t xml:space="preserve">Placebo + BB/CCB: Transition probabilities were derived up to week 38 i.e., end of the follow up period in EXPLORER-HCM. </w:t>
      </w:r>
      <w:r w:rsidR="006D698E">
        <w:t>The resubmission reason</w:t>
      </w:r>
      <w:r w:rsidR="007B3D8E">
        <w:t>ed</w:t>
      </w:r>
      <w:r w:rsidR="006D698E">
        <w:t xml:space="preserve"> </w:t>
      </w:r>
      <w:r w:rsidR="00B66FA1">
        <w:t>that</w:t>
      </w:r>
      <w:r w:rsidRPr="00065585">
        <w:t xml:space="preserve"> </w:t>
      </w:r>
      <w:r w:rsidR="00B66FA1" w:rsidRPr="00206BC1">
        <w:t>t</w:t>
      </w:r>
      <w:r w:rsidR="007B3D8E" w:rsidRPr="00206BC1">
        <w:t xml:space="preserve">he </w:t>
      </w:r>
      <w:r w:rsidR="007B3D8E" w:rsidRPr="00756923">
        <w:t>NYHA class distribution among patients in the placebo </w:t>
      </w:r>
      <w:r w:rsidR="007B3D8E" w:rsidRPr="00206BC1">
        <w:t>±</w:t>
      </w:r>
      <w:r w:rsidR="007B3D8E" w:rsidRPr="00756923">
        <w:t> </w:t>
      </w:r>
      <w:r w:rsidR="007B3D8E" w:rsidRPr="00206BC1">
        <w:t xml:space="preserve">BB/CCB </w:t>
      </w:r>
      <w:r w:rsidR="007B3D8E" w:rsidRPr="00756923">
        <w:t xml:space="preserve">arm of the </w:t>
      </w:r>
      <w:r w:rsidR="007B3D8E" w:rsidRPr="00756923">
        <w:lastRenderedPageBreak/>
        <w:t xml:space="preserve">EXPLORER-HCM demonstrated a favourable improvement until about Week 22, </w:t>
      </w:r>
      <w:proofErr w:type="gramStart"/>
      <w:r w:rsidR="007B3D8E" w:rsidRPr="00756923">
        <w:t>despite the fact that</w:t>
      </w:r>
      <w:proofErr w:type="gramEnd"/>
      <w:r w:rsidR="007B3D8E" w:rsidRPr="00756923">
        <w:t xml:space="preserve"> most (88%) of these </w:t>
      </w:r>
      <w:r w:rsidR="009F735E">
        <w:t>patients</w:t>
      </w:r>
      <w:r w:rsidR="007B3D8E" w:rsidRPr="00756923">
        <w:t xml:space="preserve"> had already received BB/CCB prior to the trial and their treatment did not change upon participating in the trial.</w:t>
      </w:r>
      <w:r w:rsidR="00B72BB1">
        <w:t xml:space="preserve"> </w:t>
      </w:r>
      <w:r w:rsidR="002039C6" w:rsidRPr="002039C6">
        <w:t>Patients in the BB/CCB monotherapy arm did not receive study treatment (i.e., placebo) after week 30, but were still blinded to their original randomisation, and were still part of the trial/about to commence the MAVA-LTE study.</w:t>
      </w:r>
      <w:r w:rsidR="00FE10C1">
        <w:t xml:space="preserve"> </w:t>
      </w:r>
      <w:r w:rsidR="00FE10C1" w:rsidRPr="00FE10C1">
        <w:t xml:space="preserve">The impact of using observed </w:t>
      </w:r>
      <w:r w:rsidR="00FE10C1">
        <w:t>transition probabilities</w:t>
      </w:r>
      <w:r w:rsidR="00FE10C1" w:rsidRPr="00FE10C1">
        <w:t xml:space="preserve"> up to either week 30 or up to week 46 of the EXPLORER-HCM trial to inform short-term </w:t>
      </w:r>
      <w:r w:rsidR="00FE10C1">
        <w:t>transition probabilities</w:t>
      </w:r>
      <w:r w:rsidR="00FE10C1" w:rsidRPr="00FE10C1">
        <w:t xml:space="preserve"> for the BB/CCB monotherapy arm </w:t>
      </w:r>
      <w:r w:rsidR="000E1788">
        <w:t>wa</w:t>
      </w:r>
      <w:r w:rsidR="00FE10C1" w:rsidRPr="00FE10C1">
        <w:t>s assessed in sensitivity analyses.</w:t>
      </w:r>
    </w:p>
    <w:p w14:paraId="685538EB" w14:textId="132B7755" w:rsidR="000D1C7C" w:rsidRPr="00AD7D8F" w:rsidRDefault="000C3E40" w:rsidP="002039C6">
      <w:pPr>
        <w:pStyle w:val="3-BodyText"/>
        <w:rPr>
          <w:color w:val="0066FF"/>
        </w:rPr>
      </w:pPr>
      <w:r w:rsidRPr="00BF5BC7">
        <w:rPr>
          <w:iCs/>
        </w:rPr>
        <w:t xml:space="preserve">The </w:t>
      </w:r>
      <w:r w:rsidR="00B4782B" w:rsidRPr="00541454">
        <w:t xml:space="preserve">ESC agreed with the evaluation that the </w:t>
      </w:r>
      <w:r w:rsidRPr="00BF5BC7">
        <w:rPr>
          <w:iCs/>
        </w:rPr>
        <w:t>justifications provided by the resubmission do not adequately support retaining the truncation point for BB/CCB at 38 weeks (beyond that of mavacamten); noting that the improvement</w:t>
      </w:r>
      <w:r w:rsidR="00435178" w:rsidRPr="00BF5BC7">
        <w:rPr>
          <w:iCs/>
        </w:rPr>
        <w:t>s</w:t>
      </w:r>
      <w:r w:rsidRPr="00BF5BC7">
        <w:rPr>
          <w:iCs/>
        </w:rPr>
        <w:t xml:space="preserve"> in </w:t>
      </w:r>
      <w:r w:rsidR="00435178" w:rsidRPr="00BF5BC7">
        <w:rPr>
          <w:iCs/>
        </w:rPr>
        <w:t xml:space="preserve">NYHA class </w:t>
      </w:r>
      <w:r w:rsidRPr="00BF5BC7">
        <w:rPr>
          <w:iCs/>
        </w:rPr>
        <w:t xml:space="preserve">appear to have ceased at week 22. As discussed in the November 2022 commentary, the purpose of the double-blind, placebo-controlled trial design of EXPLORER-HCM was to control for non-specific effects beyond the action of mavacamten, such as the placebo effect and Hawthorne effect, which existed in both treatment arms. The inclusion of additional data after the end of double-blinded treatments </w:t>
      </w:r>
      <w:r w:rsidR="00435178" w:rsidRPr="00BF5BC7">
        <w:rPr>
          <w:iCs/>
        </w:rPr>
        <w:t xml:space="preserve">(beyond week 30) </w:t>
      </w:r>
      <w:r w:rsidRPr="00BF5BC7">
        <w:rPr>
          <w:iCs/>
        </w:rPr>
        <w:t>in the placebo group means that these non-specific effects have been controlled for in the placebo arm but not in the mavacamten arm.</w:t>
      </w:r>
      <w:r w:rsidR="00D209F6">
        <w:rPr>
          <w:iCs/>
        </w:rPr>
        <w:t xml:space="preserve"> The pre-PBAC response </w:t>
      </w:r>
      <w:r w:rsidR="007705D8">
        <w:rPr>
          <w:iCs/>
        </w:rPr>
        <w:t>acknowledged</w:t>
      </w:r>
      <w:r w:rsidR="00D209F6" w:rsidRPr="00D209F6">
        <w:rPr>
          <w:iCs/>
        </w:rPr>
        <w:t xml:space="preserve"> the ESC’s advice that the truncation of observed data should occur at 30 weeks for both treatment arms and accepted this amendment to the base case.</w:t>
      </w:r>
    </w:p>
    <w:p w14:paraId="28757DBE" w14:textId="07BF9A99" w:rsidR="00070829" w:rsidRPr="00470723" w:rsidRDefault="00B879AF" w:rsidP="00470723">
      <w:pPr>
        <w:pStyle w:val="3-BodyText"/>
        <w:rPr>
          <w:iCs/>
        </w:rPr>
      </w:pPr>
      <w:r>
        <w:t xml:space="preserve">The </w:t>
      </w:r>
      <w:r w:rsidR="00626621">
        <w:t xml:space="preserve">resubmission’s </w:t>
      </w:r>
      <w:r>
        <w:t>economic model assumed different mortality rates based on patient NYHA class in each model cycle.</w:t>
      </w:r>
      <w:r w:rsidR="00055CE8">
        <w:t xml:space="preserve"> </w:t>
      </w:r>
      <w:r w:rsidR="00D44F90" w:rsidRPr="00BF5BC7">
        <w:t xml:space="preserve">This assumption was unchanged from the November </w:t>
      </w:r>
      <w:r w:rsidR="00055CE8" w:rsidRPr="00BF5BC7">
        <w:t>2022 submission’s economic model</w:t>
      </w:r>
      <w:r w:rsidR="00D44F90" w:rsidRPr="00BF5BC7">
        <w:t>, where</w:t>
      </w:r>
      <w:r w:rsidR="00055CE8" w:rsidRPr="00BF5BC7">
        <w:t xml:space="preserve"> an overall survival benefit associated with mavacamten over SOC</w:t>
      </w:r>
      <w:r w:rsidR="00D44F90" w:rsidRPr="00BF5BC7">
        <w:t xml:space="preserve"> was assumed, but</w:t>
      </w:r>
      <w:r w:rsidR="00055CE8" w:rsidRPr="00BF5BC7">
        <w:t xml:space="preserve"> not shown in the clinical data</w:t>
      </w:r>
      <w:r w:rsidR="001B764F" w:rsidRPr="00BF5BC7">
        <w:t>.</w:t>
      </w:r>
      <w:r w:rsidR="00055CE8" w:rsidRPr="00BF5BC7">
        <w:t xml:space="preserve"> </w:t>
      </w:r>
      <w:r w:rsidR="005549B1" w:rsidRPr="00BF5BC7">
        <w:t xml:space="preserve">The PBAC </w:t>
      </w:r>
      <w:r w:rsidR="007B256F">
        <w:t xml:space="preserve">previously </w:t>
      </w:r>
      <w:r w:rsidR="005549B1" w:rsidRPr="00BF5BC7">
        <w:t>stated that a respecified base case for the economic evaluation should not include mortality benefits for mavacamten (</w:t>
      </w:r>
      <w:r w:rsidR="00F55FEF" w:rsidRPr="00BF5BC7">
        <w:t>para. 7.9, mavacamten, Public Summary Document, November 2022 PBAC meeting</w:t>
      </w:r>
      <w:r w:rsidR="005549B1" w:rsidRPr="00BF5BC7">
        <w:t xml:space="preserve">). </w:t>
      </w:r>
      <w:r w:rsidR="00070829">
        <w:t xml:space="preserve">The resubmission </w:t>
      </w:r>
      <w:proofErr w:type="gramStart"/>
      <w:r w:rsidR="00070829">
        <w:t>maintained  that</w:t>
      </w:r>
      <w:proofErr w:type="gramEnd"/>
      <w:r w:rsidR="00070829">
        <w:t xml:space="preserve"> mortality should not be removed from the economic model based on </w:t>
      </w:r>
      <w:r w:rsidR="00070829" w:rsidRPr="00981C13">
        <w:rPr>
          <w:color w:val="000000" w:themeColor="text1"/>
        </w:rPr>
        <w:t xml:space="preserve">two </w:t>
      </w:r>
      <w:r w:rsidR="00070829">
        <w:rPr>
          <w:color w:val="000000" w:themeColor="text1"/>
        </w:rPr>
        <w:t xml:space="preserve">recent </w:t>
      </w:r>
      <w:r w:rsidR="00070829" w:rsidRPr="00981C13">
        <w:rPr>
          <w:color w:val="000000" w:themeColor="text1"/>
        </w:rPr>
        <w:t>publications (Jacobsen et al</w:t>
      </w:r>
      <w:r w:rsidR="005156AA">
        <w:rPr>
          <w:color w:val="000000" w:themeColor="text1"/>
        </w:rPr>
        <w:t>.,</w:t>
      </w:r>
      <w:r w:rsidR="00070829" w:rsidRPr="00981C13">
        <w:rPr>
          <w:color w:val="000000" w:themeColor="text1"/>
        </w:rPr>
        <w:t xml:space="preserve"> 2023</w:t>
      </w:r>
      <w:r w:rsidR="0099476D">
        <w:rPr>
          <w:rStyle w:val="FootnoteReference"/>
          <w:color w:val="000000" w:themeColor="text1"/>
        </w:rPr>
        <w:footnoteReference w:id="10"/>
      </w:r>
      <w:r w:rsidR="00070829">
        <w:rPr>
          <w:color w:val="000000" w:themeColor="text1"/>
        </w:rPr>
        <w:t>;</w:t>
      </w:r>
      <w:r w:rsidR="00070829" w:rsidRPr="00981C13">
        <w:rPr>
          <w:color w:val="000000" w:themeColor="text1"/>
        </w:rPr>
        <w:t xml:space="preserve"> Zampieri et al</w:t>
      </w:r>
      <w:r w:rsidR="005156AA">
        <w:rPr>
          <w:color w:val="000000" w:themeColor="text1"/>
        </w:rPr>
        <w:t>.,</w:t>
      </w:r>
      <w:r w:rsidR="00070829" w:rsidRPr="00981C13">
        <w:rPr>
          <w:color w:val="000000" w:themeColor="text1"/>
        </w:rPr>
        <w:t xml:space="preserve"> 2022</w:t>
      </w:r>
      <w:r w:rsidR="00053B86">
        <w:rPr>
          <w:rStyle w:val="FootnoteReference"/>
          <w:color w:val="000000" w:themeColor="text1"/>
        </w:rPr>
        <w:footnoteReference w:id="11"/>
      </w:r>
      <w:r w:rsidR="00070829" w:rsidRPr="00981C13">
        <w:rPr>
          <w:color w:val="000000" w:themeColor="text1"/>
        </w:rPr>
        <w:t>)</w:t>
      </w:r>
      <w:r w:rsidR="00070829">
        <w:rPr>
          <w:color w:val="000000" w:themeColor="text1"/>
        </w:rPr>
        <w:t xml:space="preserve"> that </w:t>
      </w:r>
      <w:r w:rsidR="00070829" w:rsidRPr="00981C13">
        <w:rPr>
          <w:color w:val="000000" w:themeColor="text1"/>
        </w:rPr>
        <w:t>indicate that pa</w:t>
      </w:r>
      <w:r w:rsidR="00070829" w:rsidRPr="00E67E79">
        <w:rPr>
          <w:color w:val="000000" w:themeColor="text1"/>
        </w:rPr>
        <w:t xml:space="preserve">tients with HCM have increased mortality risk compared to the general population. </w:t>
      </w:r>
      <w:r w:rsidR="007B256F">
        <w:rPr>
          <w:color w:val="000000" w:themeColor="text1"/>
        </w:rPr>
        <w:t>The evaluation considered that a</w:t>
      </w:r>
      <w:r w:rsidR="005E2235" w:rsidRPr="00BF5BC7">
        <w:rPr>
          <w:color w:val="000000" w:themeColor="text1"/>
        </w:rPr>
        <w:t>lthough these paper</w:t>
      </w:r>
      <w:r w:rsidR="005572BA" w:rsidRPr="00BF5BC7">
        <w:rPr>
          <w:color w:val="000000" w:themeColor="text1"/>
        </w:rPr>
        <w:t>s</w:t>
      </w:r>
      <w:r w:rsidR="005E2235" w:rsidRPr="00BF5BC7">
        <w:rPr>
          <w:color w:val="000000" w:themeColor="text1"/>
        </w:rPr>
        <w:t xml:space="preserve"> present evidence </w:t>
      </w:r>
      <w:r w:rsidR="003C0258" w:rsidRPr="00BF5BC7">
        <w:rPr>
          <w:color w:val="000000" w:themeColor="text1"/>
        </w:rPr>
        <w:t>which suggests</w:t>
      </w:r>
      <w:r w:rsidR="005E2235" w:rsidRPr="00BF5BC7">
        <w:rPr>
          <w:color w:val="000000" w:themeColor="text1"/>
        </w:rPr>
        <w:t xml:space="preserve"> increased </w:t>
      </w:r>
      <w:r w:rsidR="005572BA" w:rsidRPr="00BF5BC7">
        <w:rPr>
          <w:color w:val="000000" w:themeColor="text1"/>
        </w:rPr>
        <w:t>mortality</w:t>
      </w:r>
      <w:r w:rsidR="005E2235" w:rsidRPr="00BF5BC7">
        <w:rPr>
          <w:color w:val="000000" w:themeColor="text1"/>
        </w:rPr>
        <w:t xml:space="preserve"> risk </w:t>
      </w:r>
      <w:r w:rsidR="00435178" w:rsidRPr="00BF5BC7">
        <w:rPr>
          <w:color w:val="000000" w:themeColor="text1"/>
        </w:rPr>
        <w:t xml:space="preserve">for HCM patients </w:t>
      </w:r>
      <w:r w:rsidR="005E2235" w:rsidRPr="00BF5BC7">
        <w:rPr>
          <w:color w:val="000000" w:themeColor="text1"/>
        </w:rPr>
        <w:t>compared with the general population,</w:t>
      </w:r>
      <w:r w:rsidR="0066430E" w:rsidRPr="00BF5BC7">
        <w:rPr>
          <w:color w:val="000000" w:themeColor="text1"/>
        </w:rPr>
        <w:t xml:space="preserve"> </w:t>
      </w:r>
      <w:r w:rsidR="00F40B70" w:rsidRPr="00BF5BC7">
        <w:rPr>
          <w:color w:val="000000" w:themeColor="text1"/>
        </w:rPr>
        <w:t xml:space="preserve">these are retrospective </w:t>
      </w:r>
      <w:r w:rsidR="003C0258" w:rsidRPr="00BF5BC7">
        <w:rPr>
          <w:color w:val="000000" w:themeColor="text1"/>
        </w:rPr>
        <w:t xml:space="preserve">non-randomised </w:t>
      </w:r>
      <w:r w:rsidR="00F40B70" w:rsidRPr="00BF5BC7">
        <w:rPr>
          <w:color w:val="000000" w:themeColor="text1"/>
        </w:rPr>
        <w:t>studies</w:t>
      </w:r>
      <w:r w:rsidR="003C0258" w:rsidRPr="00BF5BC7">
        <w:rPr>
          <w:color w:val="000000" w:themeColor="text1"/>
        </w:rPr>
        <w:t xml:space="preserve">, with a </w:t>
      </w:r>
      <w:r w:rsidR="003C0258" w:rsidRPr="00BF5BC7">
        <w:rPr>
          <w:color w:val="000000" w:themeColor="text1"/>
        </w:rPr>
        <w:lastRenderedPageBreak/>
        <w:t xml:space="preserve">high-risk of bias and subject to serious limitations such as confounding of unmeasured prognostic factors. </w:t>
      </w:r>
      <w:r w:rsidR="003C0258" w:rsidRPr="00BF5BC7">
        <w:t xml:space="preserve">Methods for mitigating the risks associated with the differential distribution of known confounders because of non-random treatment allocation (such as matching and controlling for confounders in the analysis) cannot adjust for the differential distribution of unknown confounders (PBAC Guidelines </w:t>
      </w:r>
      <w:proofErr w:type="gramStart"/>
      <w:r w:rsidR="003C0258" w:rsidRPr="00BF5BC7">
        <w:t>v5.0 )</w:t>
      </w:r>
      <w:proofErr w:type="gramEnd"/>
      <w:r w:rsidR="00662E42" w:rsidRPr="00BF5BC7">
        <w:rPr>
          <w:color w:val="000000" w:themeColor="text1"/>
        </w:rPr>
        <w:t xml:space="preserve">. </w:t>
      </w:r>
      <w:r w:rsidR="00885749" w:rsidRPr="00BF5BC7">
        <w:rPr>
          <w:color w:val="000000" w:themeColor="text1"/>
        </w:rPr>
        <w:t xml:space="preserve">Both studies </w:t>
      </w:r>
      <w:r w:rsidR="00E964DB" w:rsidRPr="00BF5BC7">
        <w:rPr>
          <w:color w:val="000000" w:themeColor="text1"/>
        </w:rPr>
        <w:t xml:space="preserve">included </w:t>
      </w:r>
      <w:r w:rsidR="00AF2196" w:rsidRPr="00BF5BC7">
        <w:rPr>
          <w:color w:val="000000" w:themeColor="text1"/>
        </w:rPr>
        <w:t>patient</w:t>
      </w:r>
      <w:r w:rsidR="00E964DB" w:rsidRPr="00BF5BC7">
        <w:rPr>
          <w:color w:val="000000" w:themeColor="text1"/>
        </w:rPr>
        <w:t xml:space="preserve">s from </w:t>
      </w:r>
      <w:r w:rsidR="007F45F5" w:rsidRPr="00BF5BC7">
        <w:rPr>
          <w:color w:val="000000" w:themeColor="text1"/>
        </w:rPr>
        <w:t xml:space="preserve">the years </w:t>
      </w:r>
      <w:r w:rsidR="00E964DB" w:rsidRPr="00BF5BC7">
        <w:rPr>
          <w:color w:val="000000" w:themeColor="text1"/>
        </w:rPr>
        <w:t>2000</w:t>
      </w:r>
      <w:r w:rsidR="00EE387C" w:rsidRPr="00BF5BC7">
        <w:rPr>
          <w:color w:val="000000" w:themeColor="text1"/>
        </w:rPr>
        <w:t xml:space="preserve"> to </w:t>
      </w:r>
      <w:r w:rsidR="00E964DB" w:rsidRPr="00BF5BC7">
        <w:rPr>
          <w:color w:val="000000" w:themeColor="text1"/>
        </w:rPr>
        <w:t>2007</w:t>
      </w:r>
      <w:r w:rsidR="00EE387C" w:rsidRPr="00BF5BC7">
        <w:rPr>
          <w:color w:val="000000" w:themeColor="text1"/>
        </w:rPr>
        <w:t>, where</w:t>
      </w:r>
      <w:r w:rsidR="0066430E" w:rsidRPr="00BF5BC7">
        <w:rPr>
          <w:color w:val="000000" w:themeColor="text1"/>
        </w:rPr>
        <w:t xml:space="preserve"> changes in </w:t>
      </w:r>
      <w:r w:rsidR="00EE387C" w:rsidRPr="00BF5BC7">
        <w:t>clinical care, physician prescribing practice</w:t>
      </w:r>
      <w:r w:rsidR="00EE387C" w:rsidRPr="00BF5BC7">
        <w:rPr>
          <w:color w:val="000000" w:themeColor="text1"/>
        </w:rPr>
        <w:t xml:space="preserve">, </w:t>
      </w:r>
      <w:r w:rsidR="0080023E" w:rsidRPr="00BF5BC7">
        <w:rPr>
          <w:color w:val="000000" w:themeColor="text1"/>
        </w:rPr>
        <w:t>diagnostic processes</w:t>
      </w:r>
      <w:r w:rsidR="00662E42" w:rsidRPr="00BF5BC7">
        <w:rPr>
          <w:color w:val="000000" w:themeColor="text1"/>
        </w:rPr>
        <w:t xml:space="preserve"> and</w:t>
      </w:r>
      <w:r w:rsidR="0080023E" w:rsidRPr="00BF5BC7">
        <w:rPr>
          <w:color w:val="000000" w:themeColor="text1"/>
        </w:rPr>
        <w:t xml:space="preserve"> treatments </w:t>
      </w:r>
      <w:r w:rsidR="00662E42" w:rsidRPr="00BF5BC7">
        <w:rPr>
          <w:color w:val="000000" w:themeColor="text1"/>
        </w:rPr>
        <w:t>have evolved over time</w:t>
      </w:r>
      <w:r w:rsidR="00F817A6" w:rsidRPr="00BF5BC7">
        <w:rPr>
          <w:color w:val="000000" w:themeColor="text1"/>
        </w:rPr>
        <w:t>,</w:t>
      </w:r>
      <w:r w:rsidR="0066430E" w:rsidRPr="00BF5BC7">
        <w:rPr>
          <w:color w:val="000000" w:themeColor="text1"/>
        </w:rPr>
        <w:t xml:space="preserve"> limit</w:t>
      </w:r>
      <w:r w:rsidR="00F817A6" w:rsidRPr="00BF5BC7">
        <w:rPr>
          <w:color w:val="000000" w:themeColor="text1"/>
        </w:rPr>
        <w:t>ing</w:t>
      </w:r>
      <w:r w:rsidR="0066430E" w:rsidRPr="00BF5BC7">
        <w:rPr>
          <w:color w:val="000000" w:themeColor="text1"/>
        </w:rPr>
        <w:t xml:space="preserve"> the applicability of the study results.</w:t>
      </w:r>
      <w:r w:rsidR="00A024DC" w:rsidRPr="00BF5BC7">
        <w:rPr>
          <w:color w:val="000000" w:themeColor="text1"/>
        </w:rPr>
        <w:t xml:space="preserve"> </w:t>
      </w:r>
      <w:r w:rsidR="0066430E" w:rsidRPr="00BF5BC7">
        <w:rPr>
          <w:color w:val="000000" w:themeColor="text1"/>
        </w:rPr>
        <w:t>T</w:t>
      </w:r>
      <w:r w:rsidR="005E2235" w:rsidRPr="00BF5BC7">
        <w:rPr>
          <w:color w:val="000000" w:themeColor="text1"/>
        </w:rPr>
        <w:t xml:space="preserve">he studies </w:t>
      </w:r>
      <w:r w:rsidR="00976EFC" w:rsidRPr="00BF5BC7">
        <w:rPr>
          <w:color w:val="000000" w:themeColor="text1"/>
        </w:rPr>
        <w:t xml:space="preserve">do not provide evidence </w:t>
      </w:r>
      <w:r w:rsidR="00435178" w:rsidRPr="00BF5BC7">
        <w:rPr>
          <w:color w:val="000000" w:themeColor="text1"/>
        </w:rPr>
        <w:t xml:space="preserve">of </w:t>
      </w:r>
      <w:r w:rsidR="00E67E79" w:rsidRPr="00BF5BC7">
        <w:rPr>
          <w:color w:val="000000" w:themeColor="text1"/>
        </w:rPr>
        <w:t xml:space="preserve">survival </w:t>
      </w:r>
      <w:r w:rsidR="00E67E79" w:rsidRPr="00BF5BC7">
        <w:t>being</w:t>
      </w:r>
      <w:r w:rsidR="00976EFC" w:rsidRPr="00BF5BC7">
        <w:t xml:space="preserve"> impacted by mavacamten treatment</w:t>
      </w:r>
      <w:r w:rsidR="00E67E79" w:rsidRPr="00BF5BC7">
        <w:t xml:space="preserve"> or differences in NYHA class</w:t>
      </w:r>
      <w:r w:rsidR="00976EFC" w:rsidRPr="00BF5BC7">
        <w:t>.</w:t>
      </w:r>
      <w:r w:rsidR="00053B86" w:rsidRPr="00BF5BC7">
        <w:t xml:space="preserve"> </w:t>
      </w:r>
      <w:r w:rsidR="00053B86" w:rsidRPr="00470723">
        <w:rPr>
          <w:iCs/>
        </w:rPr>
        <w:t xml:space="preserve">Summaries of these studies are provided below: </w:t>
      </w:r>
    </w:p>
    <w:p w14:paraId="214DACDF" w14:textId="669F1C4C" w:rsidR="00770E4F" w:rsidRDefault="005156AA" w:rsidP="00053B86">
      <w:pPr>
        <w:pStyle w:val="ListParagraph"/>
        <w:numPr>
          <w:ilvl w:val="0"/>
          <w:numId w:val="3"/>
        </w:numPr>
        <w:ind w:left="1134"/>
        <w:rPr>
          <w:color w:val="0066FF"/>
        </w:rPr>
      </w:pPr>
      <w:r w:rsidRPr="001257AF">
        <w:t xml:space="preserve">Jacobsen et al., (2023) </w:t>
      </w:r>
      <w:r w:rsidR="00F91E47" w:rsidRPr="001257AF">
        <w:t xml:space="preserve">was </w:t>
      </w:r>
      <w:r w:rsidR="00F91E47" w:rsidRPr="00731F1B">
        <w:rPr>
          <w:color w:val="000000" w:themeColor="text1"/>
        </w:rPr>
        <w:t>a matched cohort study, comparing mortality in a nationwide cohort of patients with HCM</w:t>
      </w:r>
      <w:r w:rsidR="00F91E47">
        <w:rPr>
          <w:color w:val="000000" w:themeColor="text1"/>
        </w:rPr>
        <w:t xml:space="preserve"> (N=1,197)</w:t>
      </w:r>
      <w:r w:rsidR="00F91E47" w:rsidRPr="00731F1B">
        <w:rPr>
          <w:color w:val="000000" w:themeColor="text1"/>
        </w:rPr>
        <w:t xml:space="preserve"> (diagnosed between January 2007 to December 2018) with the general population in Denmark</w:t>
      </w:r>
      <w:r w:rsidR="00F91E47">
        <w:rPr>
          <w:color w:val="000000" w:themeColor="text1"/>
        </w:rPr>
        <w:t xml:space="preserve"> (N=3,404)</w:t>
      </w:r>
      <w:r w:rsidR="00F91E47" w:rsidRPr="00731F1B">
        <w:rPr>
          <w:color w:val="000000" w:themeColor="text1"/>
        </w:rPr>
        <w:t>. Patients</w:t>
      </w:r>
      <w:r w:rsidR="00F91E47">
        <w:rPr>
          <w:color w:val="000000" w:themeColor="text1"/>
        </w:rPr>
        <w:t xml:space="preserve"> with HCM</w:t>
      </w:r>
      <w:r w:rsidR="00F91E47" w:rsidRPr="00731F1B">
        <w:rPr>
          <w:color w:val="000000" w:themeColor="text1"/>
        </w:rPr>
        <w:t xml:space="preserve"> were matched to controls from the population </w:t>
      </w:r>
      <w:r w:rsidR="001E01B5">
        <w:rPr>
          <w:color w:val="000000" w:themeColor="text1"/>
        </w:rPr>
        <w:t>(</w:t>
      </w:r>
      <w:r w:rsidR="00F91E47" w:rsidRPr="00731F1B">
        <w:rPr>
          <w:color w:val="000000" w:themeColor="text1"/>
        </w:rPr>
        <w:t>1:3</w:t>
      </w:r>
      <w:r w:rsidR="001E01B5">
        <w:rPr>
          <w:color w:val="000000" w:themeColor="text1"/>
        </w:rPr>
        <w:t>)</w:t>
      </w:r>
      <w:r w:rsidR="00F91E47" w:rsidRPr="00731F1B">
        <w:rPr>
          <w:color w:val="000000" w:themeColor="text1"/>
        </w:rPr>
        <w:t xml:space="preserve"> based on age, sex, selected comorbidities and date of HCM</w:t>
      </w:r>
      <w:r w:rsidR="00F91E47">
        <w:rPr>
          <w:color w:val="000000" w:themeColor="text1"/>
        </w:rPr>
        <w:t xml:space="preserve"> diagnosis</w:t>
      </w:r>
      <w:r w:rsidR="00F91E47" w:rsidRPr="00731F1B">
        <w:rPr>
          <w:color w:val="000000" w:themeColor="text1"/>
        </w:rPr>
        <w:t>.</w:t>
      </w:r>
      <w:r w:rsidR="006864A7">
        <w:rPr>
          <w:color w:val="000000" w:themeColor="text1"/>
        </w:rPr>
        <w:t xml:space="preserve"> </w:t>
      </w:r>
      <w:r w:rsidR="006864A7" w:rsidRPr="004644DE">
        <w:rPr>
          <w:color w:val="000000" w:themeColor="text1"/>
        </w:rPr>
        <w:t xml:space="preserve">After adjusting for </w:t>
      </w:r>
      <w:r w:rsidR="001328D1">
        <w:rPr>
          <w:color w:val="000000" w:themeColor="text1"/>
        </w:rPr>
        <w:t xml:space="preserve">selected </w:t>
      </w:r>
      <w:r w:rsidR="006864A7" w:rsidRPr="004644DE">
        <w:rPr>
          <w:color w:val="000000" w:themeColor="text1"/>
        </w:rPr>
        <w:t>comorbidities and medications, a diagnosis with HCM was associated with an increased mortality rate (HR</w:t>
      </w:r>
      <w:r w:rsidR="006864A7">
        <w:rPr>
          <w:color w:val="000000" w:themeColor="text1"/>
        </w:rPr>
        <w:t xml:space="preserve"> =</w:t>
      </w:r>
      <w:r w:rsidR="006864A7" w:rsidRPr="004644DE">
        <w:rPr>
          <w:color w:val="000000" w:themeColor="text1"/>
        </w:rPr>
        <w:t xml:space="preserve"> 1.48 (95% CI</w:t>
      </w:r>
      <w:r w:rsidR="006864A7">
        <w:rPr>
          <w:color w:val="000000" w:themeColor="text1"/>
        </w:rPr>
        <w:t>:</w:t>
      </w:r>
      <w:r w:rsidR="006864A7" w:rsidRPr="004644DE">
        <w:rPr>
          <w:color w:val="000000" w:themeColor="text1"/>
        </w:rPr>
        <w:t xml:space="preserve"> 1.18–1.84</w:t>
      </w:r>
      <w:r w:rsidR="006864A7">
        <w:rPr>
          <w:color w:val="000000" w:themeColor="text1"/>
        </w:rPr>
        <w:t>%</w:t>
      </w:r>
      <w:r w:rsidR="006864A7" w:rsidRPr="004644DE">
        <w:rPr>
          <w:color w:val="000000" w:themeColor="text1"/>
        </w:rPr>
        <w:t>, p = 0.001))</w:t>
      </w:r>
      <w:r w:rsidR="006864A7">
        <w:rPr>
          <w:color w:val="000000" w:themeColor="text1"/>
        </w:rPr>
        <w:t xml:space="preserve"> compared with matched controls</w:t>
      </w:r>
      <w:r w:rsidR="006864A7" w:rsidRPr="0025178D">
        <w:rPr>
          <w:color w:val="000000" w:themeColor="text1"/>
        </w:rPr>
        <w:t xml:space="preserve">. </w:t>
      </w:r>
      <w:r w:rsidR="006B5992" w:rsidRPr="00BF5BC7">
        <w:rPr>
          <w:iCs/>
          <w:color w:val="000000" w:themeColor="text1"/>
        </w:rPr>
        <w:t xml:space="preserve">The annual mortality rate was 3% for patients with HCM compared with 2% among controls. </w:t>
      </w:r>
      <w:r w:rsidR="00A14F76" w:rsidRPr="00BF5BC7">
        <w:rPr>
          <w:iCs/>
          <w:color w:val="000000" w:themeColor="text1"/>
        </w:rPr>
        <w:t xml:space="preserve">Limitations of the study pertain to confounding due to differences in the characteristics of the cohorts in the matched analysis, which were not considered (including details on the degree of outflow tract obstruction, the specific causes of deaths, and predictors for these outcomes).  </w:t>
      </w:r>
    </w:p>
    <w:p w14:paraId="538A35D3" w14:textId="43E81C57" w:rsidR="005156AA" w:rsidRDefault="00200EEA" w:rsidP="00053B86">
      <w:pPr>
        <w:pStyle w:val="ListParagraph"/>
        <w:numPr>
          <w:ilvl w:val="0"/>
          <w:numId w:val="3"/>
        </w:numPr>
        <w:ind w:left="1134"/>
        <w:rPr>
          <w:iCs/>
          <w:color w:val="000000" w:themeColor="text1"/>
        </w:rPr>
      </w:pPr>
      <w:r w:rsidRPr="008F20EB">
        <w:t xml:space="preserve">Zampieri et al., (2022) </w:t>
      </w:r>
      <w:r w:rsidR="00B85083" w:rsidRPr="008F20EB">
        <w:t xml:space="preserve">was </w:t>
      </w:r>
      <w:r w:rsidR="00B85083">
        <w:rPr>
          <w:color w:val="000000" w:themeColor="text1"/>
        </w:rPr>
        <w:t xml:space="preserve">a </w:t>
      </w:r>
      <w:r w:rsidR="00B85083" w:rsidRPr="00790EDE">
        <w:rPr>
          <w:color w:val="000000" w:themeColor="text1"/>
        </w:rPr>
        <w:t xml:space="preserve">retrospective cohort study </w:t>
      </w:r>
      <w:r w:rsidR="00430DD5">
        <w:rPr>
          <w:color w:val="000000" w:themeColor="text1"/>
        </w:rPr>
        <w:t xml:space="preserve">that investigated the modes of death </w:t>
      </w:r>
      <w:r w:rsidR="00B85083" w:rsidRPr="00790EDE">
        <w:rPr>
          <w:color w:val="000000" w:themeColor="text1"/>
        </w:rPr>
        <w:t>of patients with HCM who died between the years 2000 and 2020 (N=1</w:t>
      </w:r>
      <w:r w:rsidR="002B6011">
        <w:rPr>
          <w:color w:val="000000" w:themeColor="text1"/>
        </w:rPr>
        <w:t>6</w:t>
      </w:r>
      <w:r w:rsidR="00B85083" w:rsidRPr="00790EDE">
        <w:rPr>
          <w:color w:val="000000" w:themeColor="text1"/>
        </w:rPr>
        <w:t>1)</w:t>
      </w:r>
      <w:r w:rsidR="00165B8F">
        <w:rPr>
          <w:color w:val="000000" w:themeColor="text1"/>
        </w:rPr>
        <w:t>.</w:t>
      </w:r>
      <w:r w:rsidR="00B85083" w:rsidRPr="00790EDE">
        <w:rPr>
          <w:color w:val="000000" w:themeColor="text1"/>
        </w:rPr>
        <w:t xml:space="preserve"> Of the 161 patients, 103 (64%) died of HCM-related causes, whereas 58 (36%) died of non-HCM-related causes. Patients who died of HCM-related causes were younger than those who died of non-HCM related causes. </w:t>
      </w:r>
      <w:r w:rsidR="00243B17" w:rsidRPr="00BF5BC7">
        <w:rPr>
          <w:iCs/>
          <w:color w:val="000000" w:themeColor="text1"/>
        </w:rPr>
        <w:t xml:space="preserve">A key limitation in this study is that the analysis for deaths were based on a small number of patients (N=161) over a </w:t>
      </w:r>
      <w:r w:rsidR="00DF5343" w:rsidRPr="00BF5BC7">
        <w:rPr>
          <w:iCs/>
          <w:color w:val="000000" w:themeColor="text1"/>
        </w:rPr>
        <w:t>20-year</w:t>
      </w:r>
      <w:r w:rsidR="00243B17" w:rsidRPr="00BF5BC7">
        <w:rPr>
          <w:iCs/>
          <w:color w:val="000000" w:themeColor="text1"/>
        </w:rPr>
        <w:t xml:space="preserve"> period. Over two decades, changes in technical development, diagnostic processes, risk stratification and treatments have occurred, which limits the applicability of the study results.</w:t>
      </w:r>
    </w:p>
    <w:p w14:paraId="3A94131E" w14:textId="5C9AA424" w:rsidR="00470723" w:rsidRPr="00470723" w:rsidRDefault="00470723" w:rsidP="00470723">
      <w:pPr>
        <w:pStyle w:val="ListBullet"/>
        <w:numPr>
          <w:ilvl w:val="0"/>
          <w:numId w:val="0"/>
        </w:numPr>
        <w:ind w:left="709"/>
      </w:pPr>
      <w:r w:rsidRPr="00541454">
        <w:t>The PSCR maintained that it was appropriate to model an overall survival benefit associated with mavacamten over SOC based on NYHA class improvement</w:t>
      </w:r>
      <w:r w:rsidR="000B2B0B" w:rsidRPr="00541454">
        <w:t xml:space="preserve">. The PSCR acknowledged </w:t>
      </w:r>
      <w:proofErr w:type="gramStart"/>
      <w:r w:rsidR="000B2B0B" w:rsidRPr="00541454">
        <w:t>that  Jacobsen</w:t>
      </w:r>
      <w:proofErr w:type="gramEnd"/>
      <w:r w:rsidR="000B2B0B" w:rsidRPr="00541454">
        <w:t xml:space="preserve"> et al., (2023) and Zampieri et al., (2022) </w:t>
      </w:r>
      <w:r w:rsidRPr="00541454">
        <w:t xml:space="preserve"> </w:t>
      </w:r>
      <w:r w:rsidR="000B2B0B" w:rsidRPr="00541454">
        <w:t>do not provide specific evidence of survival being improved by mavacamten treatment or NYHA class, however argued that the studies provide justification that obstructive HCM increases mortality risk.</w:t>
      </w:r>
      <w:r w:rsidRPr="00541454">
        <w:t xml:space="preserve"> The ESC </w:t>
      </w:r>
      <w:r w:rsidR="008C201D" w:rsidRPr="00541454">
        <w:t>noted excess mortality associated with NYHA class II and NYHA class III/IV, based on adjusted analyses using the Sarcomeric Human Cardiomyopathy Registry could not be validated during the evaluation,</w:t>
      </w:r>
      <w:r w:rsidRPr="00541454">
        <w:t xml:space="preserve"> </w:t>
      </w:r>
      <w:r w:rsidR="008C201D" w:rsidRPr="00541454">
        <w:t>nor was there any</w:t>
      </w:r>
      <w:r w:rsidRPr="00541454">
        <w:t xml:space="preserve"> </w:t>
      </w:r>
      <w:r w:rsidR="008C201D" w:rsidRPr="00541454">
        <w:t xml:space="preserve">new </w:t>
      </w:r>
      <w:r w:rsidRPr="00541454">
        <w:t xml:space="preserve">data </w:t>
      </w:r>
      <w:r w:rsidR="008C201D" w:rsidRPr="00541454">
        <w:t xml:space="preserve">presented </w:t>
      </w:r>
      <w:r w:rsidRPr="00541454">
        <w:t xml:space="preserve">to suggest that reducing NYHA </w:t>
      </w:r>
      <w:r w:rsidR="000B2B0B" w:rsidRPr="00541454">
        <w:t xml:space="preserve">class </w:t>
      </w:r>
      <w:r w:rsidRPr="00541454">
        <w:t xml:space="preserve">with mavacamten </w:t>
      </w:r>
      <w:r w:rsidR="002F6EC5" w:rsidRPr="00541454">
        <w:t xml:space="preserve">for patients with obstructive HCM </w:t>
      </w:r>
      <w:r w:rsidRPr="00541454">
        <w:t>reduces mortality. For this reason,</w:t>
      </w:r>
      <w:r>
        <w:rPr>
          <w:iCs/>
        </w:rPr>
        <w:t xml:space="preserve"> </w:t>
      </w:r>
      <w:r w:rsidRPr="00541454">
        <w:t>the ESC considered th</w:t>
      </w:r>
      <w:r w:rsidR="000B2B0B" w:rsidRPr="00541454">
        <w:t>e</w:t>
      </w:r>
      <w:r w:rsidRPr="00541454">
        <w:t xml:space="preserve"> </w:t>
      </w:r>
      <w:r w:rsidRPr="00541454">
        <w:lastRenderedPageBreak/>
        <w:t>justification</w:t>
      </w:r>
      <w:r w:rsidR="000B2B0B" w:rsidRPr="00541454">
        <w:t xml:space="preserve"> provided in the resubmission and PSCR</w:t>
      </w:r>
      <w:r w:rsidRPr="00541454">
        <w:t xml:space="preserve"> did not </w:t>
      </w:r>
      <w:r w:rsidR="00EA12DC" w:rsidRPr="00541454">
        <w:t xml:space="preserve">adequately </w:t>
      </w:r>
      <w:r w:rsidRPr="00541454">
        <w:t>support a difference in mortality rates within the</w:t>
      </w:r>
      <w:r w:rsidR="00834F7E" w:rsidRPr="00541454">
        <w:t xml:space="preserve"> economic</w:t>
      </w:r>
      <w:r w:rsidRPr="00541454">
        <w:t xml:space="preserve"> model.</w:t>
      </w:r>
      <w:r w:rsidRPr="00463F89">
        <w:rPr>
          <w:iCs/>
        </w:rPr>
        <w:t xml:space="preserve"> </w:t>
      </w:r>
    </w:p>
    <w:p w14:paraId="3E65AADB" w14:textId="38DC09F6" w:rsidR="00B81B7A" w:rsidRPr="00BF5BC7" w:rsidRDefault="00055CE8" w:rsidP="007D490C">
      <w:pPr>
        <w:pStyle w:val="3-BodyText"/>
        <w:rPr>
          <w:iCs/>
          <w:color w:val="0066FF"/>
        </w:rPr>
      </w:pPr>
      <w:r w:rsidRPr="00BF5BC7">
        <w:rPr>
          <w:iCs/>
        </w:rPr>
        <w:t>At the November 2022 PBAC meeting, the PBAC noted that EXPLORER-HCM only reported on symptomatic/functional outcomes. Hospitalisation and mortality outcomes are not evaluated in trials of patients with HCM because those events are rare, and patients are expected to have a normal life expectancy. Furthermore, there is no evidence deaths would be reduced with mavacamten (</w:t>
      </w:r>
      <w:r w:rsidR="00F55FEF" w:rsidRPr="00BF5BC7">
        <w:rPr>
          <w:iCs/>
        </w:rPr>
        <w:t>para. 7.6, mavacamten, Public Summary Document, November 2022 PBAC meeting</w:t>
      </w:r>
      <w:r w:rsidRPr="00BF5BC7">
        <w:rPr>
          <w:iCs/>
        </w:rPr>
        <w:t xml:space="preserve">). </w:t>
      </w:r>
    </w:p>
    <w:p w14:paraId="5D585C50" w14:textId="58DF17FC" w:rsidR="00454B54" w:rsidRPr="00BF5BC7" w:rsidRDefault="00493E0F" w:rsidP="00EC1182">
      <w:pPr>
        <w:pStyle w:val="3-BodyText"/>
        <w:rPr>
          <w:iCs/>
        </w:rPr>
      </w:pPr>
      <w:r w:rsidRPr="00BF5BC7">
        <w:rPr>
          <w:iCs/>
        </w:rPr>
        <w:t xml:space="preserve">The differences in the number of deaths between the two treatment groups </w:t>
      </w:r>
      <w:r w:rsidR="00050ADA" w:rsidRPr="00BF5BC7">
        <w:rPr>
          <w:iCs/>
        </w:rPr>
        <w:t xml:space="preserve">as an outcome of the model </w:t>
      </w:r>
      <w:r w:rsidRPr="00BF5BC7">
        <w:rPr>
          <w:iCs/>
        </w:rPr>
        <w:t>over the 20-year time horizon i</w:t>
      </w:r>
      <w:r w:rsidR="00050ADA" w:rsidRPr="00BF5BC7">
        <w:rPr>
          <w:iCs/>
        </w:rPr>
        <w:t>s</w:t>
      </w:r>
      <w:r w:rsidRPr="00BF5BC7">
        <w:rPr>
          <w:iCs/>
        </w:rPr>
        <w:t xml:space="preserve"> presented in </w:t>
      </w:r>
      <w:r w:rsidR="005F05F8" w:rsidRPr="00BF5BC7">
        <w:rPr>
          <w:iCs/>
        </w:rPr>
        <w:fldChar w:fldCharType="begin"/>
      </w:r>
      <w:r w:rsidR="005F05F8" w:rsidRPr="00BF5BC7">
        <w:rPr>
          <w:iCs/>
        </w:rPr>
        <w:instrText xml:space="preserve"> REF _Ref132294736 \h </w:instrText>
      </w:r>
      <w:r w:rsidR="0061123F" w:rsidRPr="00BF5BC7">
        <w:rPr>
          <w:iCs/>
        </w:rPr>
        <w:instrText xml:space="preserve"> \* MERGEFORMAT </w:instrText>
      </w:r>
      <w:r w:rsidR="005F05F8" w:rsidRPr="00BF5BC7">
        <w:rPr>
          <w:iCs/>
        </w:rPr>
      </w:r>
      <w:r w:rsidR="005F05F8" w:rsidRPr="00BF5BC7">
        <w:rPr>
          <w:iCs/>
        </w:rPr>
        <w:fldChar w:fldCharType="separate"/>
      </w:r>
      <w:r w:rsidR="00F84C70" w:rsidRPr="00F84C70">
        <w:rPr>
          <w:iCs/>
        </w:rPr>
        <w:t xml:space="preserve">Table </w:t>
      </w:r>
      <w:r w:rsidR="00F84C70" w:rsidRPr="00F84C70">
        <w:rPr>
          <w:iCs/>
          <w:noProof/>
        </w:rPr>
        <w:t>13</w:t>
      </w:r>
      <w:r w:rsidR="005F05F8" w:rsidRPr="00BF5BC7">
        <w:rPr>
          <w:iCs/>
        </w:rPr>
        <w:fldChar w:fldCharType="end"/>
      </w:r>
      <w:r w:rsidRPr="00BF5BC7">
        <w:rPr>
          <w:iCs/>
        </w:rPr>
        <w:t xml:space="preserve">. The cumulative percentage of death avoided for mavacamten + BB/CCB versus BB/CCB alone increased over time, from 0.1% at Week 30 to 6.5% at Year 20. Applying changes as </w:t>
      </w:r>
      <w:r w:rsidR="00050ADA" w:rsidRPr="00BF5BC7">
        <w:rPr>
          <w:iCs/>
        </w:rPr>
        <w:t xml:space="preserve">requested </w:t>
      </w:r>
      <w:r w:rsidRPr="00BF5BC7">
        <w:rPr>
          <w:iCs/>
        </w:rPr>
        <w:t>by the PBAC</w:t>
      </w:r>
      <w:r w:rsidR="00050ADA" w:rsidRPr="00BF5BC7">
        <w:rPr>
          <w:iCs/>
        </w:rPr>
        <w:t>,</w:t>
      </w:r>
      <w:r w:rsidRPr="00BF5BC7">
        <w:rPr>
          <w:iCs/>
        </w:rPr>
        <w:t xml:space="preserve"> including truncation of the observed data used in both arms at 30 weeks and removing mortality benefits (i.e., no specific NYHA risk associated with mortality) reduced the differences in mortality over the first year; the maximum difference between the arms is 0.3% after 10 years.  </w:t>
      </w:r>
    </w:p>
    <w:p w14:paraId="21DA5137" w14:textId="77777777" w:rsidR="00454B54" w:rsidRPr="00BF5BC7" w:rsidRDefault="00454B54">
      <w:pPr>
        <w:jc w:val="left"/>
        <w:rPr>
          <w:rFonts w:asciiTheme="minorHAnsi" w:hAnsiTheme="minorHAnsi"/>
          <w:iCs/>
          <w:snapToGrid w:val="0"/>
        </w:rPr>
      </w:pPr>
      <w:r w:rsidRPr="00BF5BC7">
        <w:rPr>
          <w:iCs/>
        </w:rPr>
        <w:br w:type="page"/>
      </w:r>
    </w:p>
    <w:p w14:paraId="4F6A70E3" w14:textId="70EAF6BC" w:rsidR="005F05F8" w:rsidRPr="00BF5BC7" w:rsidRDefault="005F05F8" w:rsidP="005F05F8">
      <w:pPr>
        <w:pStyle w:val="Caption"/>
        <w:jc w:val="left"/>
        <w:rPr>
          <w:iCs/>
        </w:rPr>
      </w:pPr>
      <w:bookmarkStart w:id="79" w:name="_Ref132294736"/>
      <w:r>
        <w:lastRenderedPageBreak/>
        <w:t xml:space="preserve">Table </w:t>
      </w:r>
      <w:fldSimple w:instr=" SEQ Table \* ARABIC ">
        <w:r w:rsidR="00F84C70">
          <w:rPr>
            <w:noProof/>
          </w:rPr>
          <w:t>13</w:t>
        </w:r>
      </w:fldSimple>
      <w:bookmarkEnd w:id="79"/>
      <w:r>
        <w:t>:</w:t>
      </w:r>
      <w:r w:rsidRPr="00641FB3">
        <w:rPr>
          <w:rStyle w:val="CommentReference"/>
          <w:b/>
          <w:szCs w:val="24"/>
        </w:rPr>
        <w:t xml:space="preserve"> </w:t>
      </w:r>
      <w:r w:rsidRPr="00BF5BC7">
        <w:rPr>
          <w:iCs/>
        </w:rPr>
        <w:t>Average cumulative probability of mortality</w:t>
      </w:r>
      <w:r w:rsidRPr="00BF5BC7">
        <w:rPr>
          <w:iCs/>
          <w:szCs w:val="20"/>
          <w:vertAlign w:val="superscript"/>
        </w:rPr>
        <w:t>a</w:t>
      </w:r>
      <w:r w:rsidRPr="00BF5BC7">
        <w:rPr>
          <w:iCs/>
        </w:rPr>
        <w:t xml:space="preserve"> per patient over time in the economic model </w:t>
      </w:r>
    </w:p>
    <w:tbl>
      <w:tblPr>
        <w:tblStyle w:val="TableGrid"/>
        <w:tblW w:w="5000" w:type="pct"/>
        <w:tblLayout w:type="fixed"/>
        <w:tblLook w:val="04A0" w:firstRow="1" w:lastRow="0" w:firstColumn="1" w:lastColumn="0" w:noHBand="0" w:noVBand="1"/>
      </w:tblPr>
      <w:tblGrid>
        <w:gridCol w:w="636"/>
        <w:gridCol w:w="694"/>
        <w:gridCol w:w="698"/>
        <w:gridCol w:w="703"/>
        <w:gridCol w:w="698"/>
        <w:gridCol w:w="700"/>
        <w:gridCol w:w="698"/>
        <w:gridCol w:w="698"/>
        <w:gridCol w:w="700"/>
        <w:gridCol w:w="698"/>
        <w:gridCol w:w="700"/>
        <w:gridCol w:w="698"/>
        <w:gridCol w:w="696"/>
      </w:tblGrid>
      <w:tr w:rsidR="005F05F8" w:rsidRPr="00BF5BC7" w14:paraId="21DB7424" w14:textId="77777777" w:rsidTr="00F774FD">
        <w:trPr>
          <w:tblHeader/>
        </w:trPr>
        <w:tc>
          <w:tcPr>
            <w:tcW w:w="353" w:type="pct"/>
            <w:tcBorders>
              <w:bottom w:val="nil"/>
            </w:tcBorders>
          </w:tcPr>
          <w:p w14:paraId="4179A05D" w14:textId="77777777" w:rsidR="005F05F8" w:rsidRPr="00BF5BC7" w:rsidRDefault="005F05F8" w:rsidP="00F774FD">
            <w:pPr>
              <w:rPr>
                <w:rFonts w:ascii="Arial Narrow" w:hAnsi="Arial Narrow"/>
                <w:iCs/>
                <w:sz w:val="20"/>
                <w:szCs w:val="20"/>
              </w:rPr>
            </w:pPr>
          </w:p>
        </w:tc>
        <w:tc>
          <w:tcPr>
            <w:tcW w:w="1162" w:type="pct"/>
            <w:gridSpan w:val="3"/>
            <w:vMerge w:val="restart"/>
          </w:tcPr>
          <w:p w14:paraId="7209D8D6" w14:textId="77777777" w:rsidR="005F05F8" w:rsidRPr="00BF5BC7" w:rsidRDefault="005F05F8" w:rsidP="00F774FD">
            <w:pPr>
              <w:ind w:left="-122"/>
              <w:jc w:val="center"/>
              <w:rPr>
                <w:rFonts w:ascii="Arial Narrow" w:hAnsi="Arial Narrow"/>
                <w:b/>
                <w:iCs/>
                <w:sz w:val="20"/>
                <w:szCs w:val="20"/>
              </w:rPr>
            </w:pPr>
            <w:r w:rsidRPr="00BF5BC7">
              <w:rPr>
                <w:rFonts w:ascii="Arial Narrow" w:hAnsi="Arial Narrow"/>
                <w:b/>
                <w:iCs/>
                <w:sz w:val="20"/>
                <w:szCs w:val="20"/>
              </w:rPr>
              <w:t xml:space="preserve">July 2023 resubmission </w:t>
            </w:r>
            <w:r w:rsidRPr="00BF5BC7">
              <w:rPr>
                <w:rFonts w:ascii="Arial Narrow" w:hAnsi="Arial Narrow"/>
                <w:b/>
                <w:iCs/>
                <w:sz w:val="20"/>
                <w:szCs w:val="20"/>
              </w:rPr>
              <w:br/>
              <w:t>base case</w:t>
            </w:r>
          </w:p>
        </w:tc>
        <w:tc>
          <w:tcPr>
            <w:tcW w:w="3486" w:type="pct"/>
            <w:gridSpan w:val="9"/>
          </w:tcPr>
          <w:p w14:paraId="7ED08DC3" w14:textId="77777777" w:rsidR="005F05F8" w:rsidRPr="00BF5BC7" w:rsidRDefault="005F05F8" w:rsidP="00F774FD">
            <w:pPr>
              <w:ind w:left="-122" w:right="-90"/>
              <w:jc w:val="center"/>
              <w:rPr>
                <w:rFonts w:ascii="Arial Narrow" w:hAnsi="Arial Narrow"/>
                <w:b/>
                <w:iCs/>
                <w:sz w:val="20"/>
                <w:szCs w:val="20"/>
              </w:rPr>
            </w:pPr>
            <w:r w:rsidRPr="00BF5BC7">
              <w:rPr>
                <w:rFonts w:ascii="Arial Narrow" w:hAnsi="Arial Narrow"/>
                <w:b/>
                <w:iCs/>
                <w:sz w:val="20"/>
                <w:szCs w:val="20"/>
              </w:rPr>
              <w:t>PBAC respecified changes</w:t>
            </w:r>
          </w:p>
        </w:tc>
      </w:tr>
      <w:tr w:rsidR="005F05F8" w:rsidRPr="00BF5BC7" w14:paraId="0FE502F6" w14:textId="77777777" w:rsidTr="00F774FD">
        <w:trPr>
          <w:tblHeader/>
        </w:trPr>
        <w:tc>
          <w:tcPr>
            <w:tcW w:w="353" w:type="pct"/>
            <w:tcBorders>
              <w:top w:val="nil"/>
              <w:bottom w:val="nil"/>
            </w:tcBorders>
          </w:tcPr>
          <w:p w14:paraId="7B035E1E" w14:textId="77777777" w:rsidR="005F05F8" w:rsidRPr="00BF5BC7" w:rsidRDefault="005F05F8" w:rsidP="00F774FD">
            <w:pPr>
              <w:rPr>
                <w:rFonts w:ascii="Arial Narrow" w:hAnsi="Arial Narrow"/>
                <w:iCs/>
                <w:sz w:val="20"/>
                <w:szCs w:val="20"/>
              </w:rPr>
            </w:pPr>
          </w:p>
        </w:tc>
        <w:tc>
          <w:tcPr>
            <w:tcW w:w="1162" w:type="pct"/>
            <w:gridSpan w:val="3"/>
            <w:vMerge/>
          </w:tcPr>
          <w:p w14:paraId="4B3EAB52" w14:textId="77777777" w:rsidR="005F05F8" w:rsidRPr="00BF5BC7" w:rsidRDefault="005F05F8" w:rsidP="00F774FD">
            <w:pPr>
              <w:ind w:left="-122"/>
              <w:jc w:val="center"/>
              <w:rPr>
                <w:rFonts w:ascii="Arial Narrow" w:hAnsi="Arial Narrow"/>
                <w:b/>
                <w:iCs/>
                <w:sz w:val="20"/>
                <w:szCs w:val="20"/>
              </w:rPr>
            </w:pPr>
          </w:p>
        </w:tc>
        <w:tc>
          <w:tcPr>
            <w:tcW w:w="1162" w:type="pct"/>
            <w:gridSpan w:val="3"/>
          </w:tcPr>
          <w:p w14:paraId="3E3F3D89" w14:textId="77777777" w:rsidR="005F05F8" w:rsidRPr="00BF5BC7" w:rsidRDefault="005F05F8" w:rsidP="00F774FD">
            <w:pPr>
              <w:ind w:left="-122"/>
              <w:jc w:val="center"/>
              <w:rPr>
                <w:rFonts w:ascii="Arial Narrow" w:hAnsi="Arial Narrow"/>
                <w:b/>
                <w:iCs/>
                <w:sz w:val="20"/>
                <w:szCs w:val="20"/>
              </w:rPr>
            </w:pPr>
            <w:r w:rsidRPr="00BF5BC7">
              <w:rPr>
                <w:rFonts w:ascii="Arial Narrow" w:hAnsi="Arial Narrow"/>
                <w:b/>
                <w:iCs/>
                <w:sz w:val="20"/>
                <w:szCs w:val="20"/>
              </w:rPr>
              <w:t>Truncation both arms at 30 weeks</w:t>
            </w:r>
          </w:p>
        </w:tc>
        <w:tc>
          <w:tcPr>
            <w:tcW w:w="1162" w:type="pct"/>
            <w:gridSpan w:val="3"/>
          </w:tcPr>
          <w:p w14:paraId="1B2874F5" w14:textId="77777777" w:rsidR="005F05F8" w:rsidRPr="00BF5BC7" w:rsidRDefault="005F05F8" w:rsidP="00F774FD">
            <w:pPr>
              <w:ind w:left="-122" w:right="-90"/>
              <w:jc w:val="center"/>
              <w:rPr>
                <w:rFonts w:ascii="Arial Narrow" w:hAnsi="Arial Narrow"/>
                <w:b/>
                <w:iCs/>
                <w:sz w:val="20"/>
                <w:szCs w:val="20"/>
              </w:rPr>
            </w:pPr>
            <w:r w:rsidRPr="00BF5BC7">
              <w:rPr>
                <w:rFonts w:ascii="Arial Narrow" w:hAnsi="Arial Narrow"/>
                <w:b/>
                <w:iCs/>
                <w:sz w:val="20"/>
                <w:szCs w:val="20"/>
              </w:rPr>
              <w:t>Truncation both arms 30 weeks; mortality removed</w:t>
            </w:r>
          </w:p>
        </w:tc>
        <w:tc>
          <w:tcPr>
            <w:tcW w:w="1161" w:type="pct"/>
            <w:gridSpan w:val="3"/>
          </w:tcPr>
          <w:p w14:paraId="7A1B99B7" w14:textId="77777777" w:rsidR="005F05F8" w:rsidRPr="00BF5BC7" w:rsidRDefault="005F05F8" w:rsidP="00F774FD">
            <w:pPr>
              <w:ind w:left="-122" w:right="-90"/>
              <w:jc w:val="center"/>
              <w:rPr>
                <w:rFonts w:ascii="Arial Narrow" w:hAnsi="Arial Narrow"/>
                <w:b/>
                <w:iCs/>
                <w:sz w:val="20"/>
                <w:szCs w:val="20"/>
              </w:rPr>
            </w:pPr>
            <w:r w:rsidRPr="00BF5BC7">
              <w:rPr>
                <w:rFonts w:ascii="Arial Narrow" w:hAnsi="Arial Narrow"/>
                <w:b/>
                <w:iCs/>
                <w:sz w:val="20"/>
                <w:szCs w:val="20"/>
              </w:rPr>
              <w:t>Truncation both arms 30 weeks; mortality removed; 10 years</w:t>
            </w:r>
          </w:p>
        </w:tc>
      </w:tr>
      <w:tr w:rsidR="005F05F8" w:rsidRPr="00BF5BC7" w14:paraId="4ADA24F6" w14:textId="77777777" w:rsidTr="00F774FD">
        <w:trPr>
          <w:tblHeader/>
        </w:trPr>
        <w:tc>
          <w:tcPr>
            <w:tcW w:w="353" w:type="pct"/>
            <w:tcBorders>
              <w:top w:val="nil"/>
              <w:bottom w:val="single" w:sz="4" w:space="0" w:color="auto"/>
            </w:tcBorders>
          </w:tcPr>
          <w:p w14:paraId="5FAF460C" w14:textId="77777777" w:rsidR="005F05F8" w:rsidRPr="00BF5BC7" w:rsidRDefault="005F05F8" w:rsidP="00F774FD">
            <w:pPr>
              <w:rPr>
                <w:rFonts w:ascii="Arial Narrow" w:hAnsi="Arial Narrow"/>
                <w:iCs/>
                <w:sz w:val="20"/>
                <w:szCs w:val="20"/>
              </w:rPr>
            </w:pPr>
          </w:p>
        </w:tc>
        <w:tc>
          <w:tcPr>
            <w:tcW w:w="1162" w:type="pct"/>
            <w:gridSpan w:val="3"/>
          </w:tcPr>
          <w:p w14:paraId="621F1A6A" w14:textId="5B9C0C1A" w:rsidR="005F05F8" w:rsidRPr="00BF5BC7" w:rsidRDefault="005F05F8" w:rsidP="00F774FD">
            <w:pPr>
              <w:ind w:left="-122"/>
              <w:jc w:val="center"/>
              <w:rPr>
                <w:rFonts w:ascii="Arial Narrow" w:hAnsi="Arial Narrow"/>
                <w:b/>
                <w:iCs/>
                <w:sz w:val="20"/>
                <w:szCs w:val="20"/>
              </w:rPr>
            </w:pPr>
            <w:r w:rsidRPr="00BF5BC7">
              <w:rPr>
                <w:rFonts w:ascii="Arial Narrow" w:hAnsi="Arial Narrow"/>
                <w:b/>
                <w:iCs/>
                <w:sz w:val="20"/>
                <w:szCs w:val="20"/>
              </w:rPr>
              <w:t xml:space="preserve">ICER: </w:t>
            </w:r>
            <w:r w:rsidR="00B63528" w:rsidRPr="00B63528">
              <w:rPr>
                <w:rFonts w:ascii="Arial Narrow" w:hAnsi="Arial Narrow"/>
                <w:b/>
                <w:iCs/>
                <w:sz w:val="20"/>
                <w:szCs w:val="20"/>
              </w:rPr>
              <w:t>$</w:t>
            </w:r>
            <w:r w:rsidR="00F5190C" w:rsidRPr="00F5190C">
              <w:rPr>
                <w:rFonts w:ascii="Arial Narrow" w:hAnsi="Arial Narrow" w:hint="eastAsia"/>
                <w:b/>
                <w:iCs/>
                <w:color w:val="000000"/>
                <w:w w:val="15"/>
                <w:sz w:val="20"/>
                <w:szCs w:val="20"/>
                <w:shd w:val="solid" w:color="000000" w:fill="000000"/>
                <w:fitText w:val="34" w:id="-1167926772"/>
                <w14:textFill>
                  <w14:solidFill>
                    <w14:srgbClr w14:val="000000">
                      <w14:alpha w14:val="100000"/>
                    </w14:srgbClr>
                  </w14:solidFill>
                </w14:textFill>
              </w:rPr>
              <w:t xml:space="preserve">　</w:t>
            </w:r>
            <w:r w:rsidR="00F5190C" w:rsidRPr="00F5190C">
              <w:rPr>
                <w:rFonts w:ascii="Arial Narrow" w:hAnsi="Arial Narrow"/>
                <w:b/>
                <w:iCs/>
                <w:color w:val="000000"/>
                <w:w w:val="15"/>
                <w:sz w:val="20"/>
                <w:szCs w:val="20"/>
                <w:shd w:val="solid" w:color="000000" w:fill="000000"/>
                <w:fitText w:val="34" w:id="-1167926772"/>
                <w14:textFill>
                  <w14:solidFill>
                    <w14:srgbClr w14:val="000000">
                      <w14:alpha w14:val="100000"/>
                    </w14:srgbClr>
                  </w14:solidFill>
                </w14:textFill>
              </w:rPr>
              <w:t>|</w:t>
            </w:r>
            <w:r w:rsidR="00F5190C" w:rsidRPr="00F5190C">
              <w:rPr>
                <w:rFonts w:ascii="Arial Narrow" w:hAnsi="Arial Narrow" w:hint="eastAsia"/>
                <w:b/>
                <w:iCs/>
                <w:color w:val="000000"/>
                <w:spacing w:val="-50"/>
                <w:w w:val="15"/>
                <w:sz w:val="20"/>
                <w:szCs w:val="20"/>
                <w:shd w:val="solid" w:color="000000" w:fill="000000"/>
                <w:fitText w:val="34" w:id="-1167926772"/>
                <w14:textFill>
                  <w14:solidFill>
                    <w14:srgbClr w14:val="000000">
                      <w14:alpha w14:val="100000"/>
                    </w14:srgbClr>
                  </w14:solidFill>
                </w14:textFill>
              </w:rPr>
              <w:t xml:space="preserve">　</w:t>
            </w:r>
            <w:r w:rsidR="00585419" w:rsidRPr="00585419">
              <w:rPr>
                <w:rFonts w:ascii="Arial Narrow" w:hAnsi="Arial Narrow"/>
                <w:iCs/>
                <w:sz w:val="20"/>
                <w:szCs w:val="20"/>
                <w:vertAlign w:val="superscript"/>
              </w:rPr>
              <w:t>1</w:t>
            </w:r>
          </w:p>
        </w:tc>
        <w:tc>
          <w:tcPr>
            <w:tcW w:w="1162" w:type="pct"/>
            <w:gridSpan w:val="3"/>
          </w:tcPr>
          <w:p w14:paraId="5E454F77" w14:textId="7E6AAE1B" w:rsidR="005F05F8" w:rsidRPr="00BF5BC7" w:rsidRDefault="005F05F8" w:rsidP="00F774FD">
            <w:pPr>
              <w:ind w:left="-122"/>
              <w:jc w:val="center"/>
              <w:rPr>
                <w:rFonts w:ascii="Arial Narrow" w:hAnsi="Arial Narrow"/>
                <w:b/>
                <w:iCs/>
                <w:sz w:val="20"/>
                <w:szCs w:val="20"/>
              </w:rPr>
            </w:pPr>
            <w:r w:rsidRPr="00BF5BC7">
              <w:rPr>
                <w:rFonts w:ascii="Arial Narrow" w:hAnsi="Arial Narrow"/>
                <w:b/>
                <w:iCs/>
                <w:sz w:val="20"/>
                <w:szCs w:val="20"/>
              </w:rPr>
              <w:t xml:space="preserve">ICER: </w:t>
            </w:r>
            <w:r w:rsidR="00B63528" w:rsidRPr="00B63528">
              <w:rPr>
                <w:rFonts w:ascii="Arial Narrow" w:hAnsi="Arial Narrow"/>
                <w:b/>
                <w:iCs/>
                <w:sz w:val="20"/>
                <w:szCs w:val="20"/>
              </w:rPr>
              <w:t>$</w:t>
            </w:r>
            <w:r w:rsidR="00F5190C" w:rsidRPr="00F5190C">
              <w:rPr>
                <w:rFonts w:ascii="Arial Narrow" w:hAnsi="Arial Narrow" w:hint="eastAsia"/>
                <w:b/>
                <w:iCs/>
                <w:color w:val="000000"/>
                <w:w w:val="15"/>
                <w:sz w:val="20"/>
                <w:szCs w:val="20"/>
                <w:shd w:val="solid" w:color="000000" w:fill="000000"/>
                <w:fitText w:val="33" w:id="-1167926771"/>
                <w14:textFill>
                  <w14:solidFill>
                    <w14:srgbClr w14:val="000000">
                      <w14:alpha w14:val="100000"/>
                    </w14:srgbClr>
                  </w14:solidFill>
                </w14:textFill>
              </w:rPr>
              <w:t xml:space="preserve">　</w:t>
            </w:r>
            <w:r w:rsidR="00F5190C" w:rsidRPr="00F5190C">
              <w:rPr>
                <w:rFonts w:ascii="Arial Narrow" w:hAnsi="Arial Narrow"/>
                <w:b/>
                <w:iCs/>
                <w:color w:val="000000"/>
                <w:w w:val="15"/>
                <w:sz w:val="20"/>
                <w:szCs w:val="20"/>
                <w:shd w:val="solid" w:color="000000" w:fill="000000"/>
                <w:fitText w:val="33" w:id="-1167926771"/>
                <w14:textFill>
                  <w14:solidFill>
                    <w14:srgbClr w14:val="000000">
                      <w14:alpha w14:val="100000"/>
                    </w14:srgbClr>
                  </w14:solidFill>
                </w14:textFill>
              </w:rPr>
              <w:t>|</w:t>
            </w:r>
            <w:r w:rsidR="00F5190C" w:rsidRPr="00F5190C">
              <w:rPr>
                <w:rFonts w:ascii="Arial Narrow" w:hAnsi="Arial Narrow" w:hint="eastAsia"/>
                <w:b/>
                <w:iCs/>
                <w:color w:val="000000"/>
                <w:spacing w:val="-66"/>
                <w:w w:val="15"/>
                <w:sz w:val="20"/>
                <w:szCs w:val="20"/>
                <w:shd w:val="solid" w:color="000000" w:fill="000000"/>
                <w:fitText w:val="33" w:id="-1167926771"/>
                <w14:textFill>
                  <w14:solidFill>
                    <w14:srgbClr w14:val="000000">
                      <w14:alpha w14:val="100000"/>
                    </w14:srgbClr>
                  </w14:solidFill>
                </w14:textFill>
              </w:rPr>
              <w:t xml:space="preserve">　</w:t>
            </w:r>
            <w:r w:rsidR="00585419" w:rsidRPr="00585419">
              <w:rPr>
                <w:rFonts w:ascii="Arial Narrow" w:hAnsi="Arial Narrow"/>
                <w:iCs/>
                <w:sz w:val="20"/>
                <w:szCs w:val="20"/>
                <w:vertAlign w:val="superscript"/>
              </w:rPr>
              <w:t>2</w:t>
            </w:r>
          </w:p>
        </w:tc>
        <w:tc>
          <w:tcPr>
            <w:tcW w:w="1162" w:type="pct"/>
            <w:gridSpan w:val="3"/>
          </w:tcPr>
          <w:p w14:paraId="240664D8" w14:textId="10D0BFE4" w:rsidR="005F05F8" w:rsidRPr="00585419" w:rsidRDefault="005F05F8" w:rsidP="00F774FD">
            <w:pPr>
              <w:ind w:left="-122"/>
              <w:jc w:val="center"/>
              <w:rPr>
                <w:rFonts w:ascii="Arial Narrow" w:hAnsi="Arial Narrow"/>
                <w:b/>
                <w:iCs/>
                <w:sz w:val="20"/>
                <w:szCs w:val="20"/>
                <w:vertAlign w:val="superscript"/>
              </w:rPr>
            </w:pPr>
            <w:r w:rsidRPr="00BF5BC7">
              <w:rPr>
                <w:rFonts w:ascii="Arial Narrow" w:hAnsi="Arial Narrow"/>
                <w:b/>
                <w:iCs/>
                <w:sz w:val="20"/>
                <w:szCs w:val="20"/>
              </w:rPr>
              <w:t xml:space="preserve">ICER: </w:t>
            </w:r>
            <w:r w:rsidR="00B63528" w:rsidRPr="00B63528">
              <w:rPr>
                <w:rFonts w:ascii="Arial Narrow" w:hAnsi="Arial Narrow"/>
                <w:b/>
                <w:iCs/>
                <w:sz w:val="20"/>
                <w:szCs w:val="20"/>
              </w:rPr>
              <w:t>$</w:t>
            </w:r>
            <w:r w:rsidR="00F5190C" w:rsidRPr="00F5190C">
              <w:rPr>
                <w:rFonts w:ascii="Arial Narrow" w:hAnsi="Arial Narrow" w:hint="eastAsia"/>
                <w:b/>
                <w:iCs/>
                <w:color w:val="000000"/>
                <w:w w:val="15"/>
                <w:sz w:val="20"/>
                <w:szCs w:val="20"/>
                <w:shd w:val="solid" w:color="000000" w:fill="000000"/>
                <w:fitText w:val="34" w:id="-1167926770"/>
                <w14:textFill>
                  <w14:solidFill>
                    <w14:srgbClr w14:val="000000">
                      <w14:alpha w14:val="100000"/>
                    </w14:srgbClr>
                  </w14:solidFill>
                </w14:textFill>
              </w:rPr>
              <w:t xml:space="preserve">　</w:t>
            </w:r>
            <w:r w:rsidR="00F5190C" w:rsidRPr="00F5190C">
              <w:rPr>
                <w:rFonts w:ascii="Arial Narrow" w:hAnsi="Arial Narrow"/>
                <w:b/>
                <w:iCs/>
                <w:color w:val="000000"/>
                <w:w w:val="15"/>
                <w:sz w:val="20"/>
                <w:szCs w:val="20"/>
                <w:shd w:val="solid" w:color="000000" w:fill="000000"/>
                <w:fitText w:val="34" w:id="-1167926770"/>
                <w14:textFill>
                  <w14:solidFill>
                    <w14:srgbClr w14:val="000000">
                      <w14:alpha w14:val="100000"/>
                    </w14:srgbClr>
                  </w14:solidFill>
                </w14:textFill>
              </w:rPr>
              <w:t>|</w:t>
            </w:r>
            <w:r w:rsidR="00F5190C" w:rsidRPr="00F5190C">
              <w:rPr>
                <w:rFonts w:ascii="Arial Narrow" w:hAnsi="Arial Narrow" w:hint="eastAsia"/>
                <w:b/>
                <w:iCs/>
                <w:color w:val="000000"/>
                <w:spacing w:val="-50"/>
                <w:w w:val="15"/>
                <w:sz w:val="20"/>
                <w:szCs w:val="20"/>
                <w:shd w:val="solid" w:color="000000" w:fill="000000"/>
                <w:fitText w:val="34" w:id="-1167926770"/>
                <w14:textFill>
                  <w14:solidFill>
                    <w14:srgbClr w14:val="000000">
                      <w14:alpha w14:val="100000"/>
                    </w14:srgbClr>
                  </w14:solidFill>
                </w14:textFill>
              </w:rPr>
              <w:t xml:space="preserve">　</w:t>
            </w:r>
            <w:r w:rsidR="00585419" w:rsidRPr="00585419">
              <w:rPr>
                <w:rFonts w:ascii="Arial Narrow" w:hAnsi="Arial Narrow"/>
                <w:bCs/>
                <w:iCs/>
                <w:sz w:val="20"/>
                <w:szCs w:val="20"/>
                <w:vertAlign w:val="superscript"/>
              </w:rPr>
              <w:t>3</w:t>
            </w:r>
          </w:p>
        </w:tc>
        <w:tc>
          <w:tcPr>
            <w:tcW w:w="1161" w:type="pct"/>
            <w:gridSpan w:val="3"/>
          </w:tcPr>
          <w:p w14:paraId="2457796E" w14:textId="71B874C5" w:rsidR="005F05F8" w:rsidRPr="00585419" w:rsidRDefault="005F05F8" w:rsidP="00F774FD">
            <w:pPr>
              <w:ind w:left="-122" w:right="-90"/>
              <w:jc w:val="center"/>
              <w:rPr>
                <w:rFonts w:ascii="Arial Narrow" w:hAnsi="Arial Narrow"/>
                <w:b/>
                <w:iCs/>
                <w:sz w:val="20"/>
                <w:szCs w:val="20"/>
                <w:vertAlign w:val="superscript"/>
              </w:rPr>
            </w:pPr>
            <w:r w:rsidRPr="00BF5BC7">
              <w:rPr>
                <w:rFonts w:ascii="Arial Narrow" w:hAnsi="Arial Narrow"/>
                <w:b/>
                <w:iCs/>
                <w:sz w:val="20"/>
                <w:szCs w:val="20"/>
              </w:rPr>
              <w:t xml:space="preserve">ICER: </w:t>
            </w:r>
            <w:r w:rsidR="00B63528" w:rsidRPr="00B63528">
              <w:rPr>
                <w:rFonts w:ascii="Arial Narrow" w:hAnsi="Arial Narrow"/>
                <w:b/>
                <w:iCs/>
                <w:sz w:val="20"/>
                <w:szCs w:val="20"/>
              </w:rPr>
              <w:t>$</w:t>
            </w:r>
            <w:r w:rsidR="00F5190C" w:rsidRPr="00F5190C">
              <w:rPr>
                <w:rFonts w:ascii="Arial Narrow" w:hAnsi="Arial Narrow"/>
                <w:b/>
                <w:iCs/>
                <w:color w:val="000000"/>
                <w:sz w:val="20"/>
                <w:szCs w:val="20"/>
                <w:shd w:val="solid" w:color="000000" w:fill="000000"/>
                <w14:textFill>
                  <w14:solidFill>
                    <w14:srgbClr w14:val="000000">
                      <w14:alpha w14:val="100000"/>
                    </w14:srgbClr>
                  </w14:solidFill>
                </w14:textFill>
              </w:rPr>
              <w:t>|</w:t>
            </w:r>
            <w:r w:rsidR="00585419" w:rsidRPr="00585419">
              <w:rPr>
                <w:rFonts w:ascii="Arial Narrow" w:hAnsi="Arial Narrow"/>
                <w:bCs/>
                <w:iCs/>
                <w:sz w:val="20"/>
                <w:szCs w:val="20"/>
                <w:vertAlign w:val="superscript"/>
              </w:rPr>
              <w:t>4</w:t>
            </w:r>
          </w:p>
        </w:tc>
      </w:tr>
      <w:tr w:rsidR="005F05F8" w:rsidRPr="00BF5BC7" w14:paraId="09B01773" w14:textId="77777777" w:rsidTr="00166086">
        <w:trPr>
          <w:tblHeader/>
        </w:trPr>
        <w:tc>
          <w:tcPr>
            <w:tcW w:w="353" w:type="pct"/>
            <w:tcBorders>
              <w:top w:val="single" w:sz="4" w:space="0" w:color="auto"/>
            </w:tcBorders>
          </w:tcPr>
          <w:p w14:paraId="2DC8CD75" w14:textId="77777777" w:rsidR="005F05F8" w:rsidRPr="00BF5BC7" w:rsidRDefault="005F05F8" w:rsidP="00F774FD">
            <w:pPr>
              <w:rPr>
                <w:rFonts w:ascii="Arial Narrow" w:hAnsi="Arial Narrow"/>
                <w:iCs/>
                <w:sz w:val="20"/>
                <w:szCs w:val="20"/>
              </w:rPr>
            </w:pPr>
          </w:p>
        </w:tc>
        <w:tc>
          <w:tcPr>
            <w:tcW w:w="385" w:type="pct"/>
          </w:tcPr>
          <w:p w14:paraId="0B7EBE0D"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MAVA + BB/CCB</w:t>
            </w:r>
          </w:p>
        </w:tc>
        <w:tc>
          <w:tcPr>
            <w:tcW w:w="387" w:type="pct"/>
          </w:tcPr>
          <w:p w14:paraId="184DA336"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BB/CC</w:t>
            </w:r>
            <w:r w:rsidR="00DE42C4" w:rsidRPr="00BF5BC7">
              <w:rPr>
                <w:rFonts w:ascii="Arial Narrow" w:hAnsi="Arial Narrow"/>
                <w:b/>
                <w:iCs/>
                <w:sz w:val="20"/>
                <w:szCs w:val="20"/>
              </w:rPr>
              <w:t>B</w:t>
            </w:r>
          </w:p>
        </w:tc>
        <w:tc>
          <w:tcPr>
            <w:tcW w:w="390" w:type="pct"/>
            <w:shd w:val="clear" w:color="auto" w:fill="auto"/>
          </w:tcPr>
          <w:p w14:paraId="757B01B7"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Diff.</w:t>
            </w:r>
          </w:p>
        </w:tc>
        <w:tc>
          <w:tcPr>
            <w:tcW w:w="387" w:type="pct"/>
          </w:tcPr>
          <w:p w14:paraId="0AFDC50A"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MAVA + BB/CCB</w:t>
            </w:r>
          </w:p>
        </w:tc>
        <w:tc>
          <w:tcPr>
            <w:tcW w:w="388" w:type="pct"/>
          </w:tcPr>
          <w:p w14:paraId="447CD857"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BB/CC</w:t>
            </w:r>
            <w:r w:rsidR="00DE42C4" w:rsidRPr="00BF5BC7">
              <w:rPr>
                <w:rFonts w:ascii="Arial Narrow" w:hAnsi="Arial Narrow"/>
                <w:b/>
                <w:iCs/>
                <w:sz w:val="20"/>
                <w:szCs w:val="20"/>
              </w:rPr>
              <w:t>B</w:t>
            </w:r>
          </w:p>
        </w:tc>
        <w:tc>
          <w:tcPr>
            <w:tcW w:w="387" w:type="pct"/>
            <w:shd w:val="clear" w:color="auto" w:fill="auto"/>
          </w:tcPr>
          <w:p w14:paraId="048454EE"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Diff.</w:t>
            </w:r>
          </w:p>
        </w:tc>
        <w:tc>
          <w:tcPr>
            <w:tcW w:w="387" w:type="pct"/>
            <w:shd w:val="clear" w:color="auto" w:fill="auto"/>
          </w:tcPr>
          <w:p w14:paraId="63BAE156"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MAVA + BB/CCB</w:t>
            </w:r>
          </w:p>
        </w:tc>
        <w:tc>
          <w:tcPr>
            <w:tcW w:w="388" w:type="pct"/>
            <w:shd w:val="clear" w:color="auto" w:fill="auto"/>
          </w:tcPr>
          <w:p w14:paraId="136386E6"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BB/CC</w:t>
            </w:r>
            <w:r w:rsidR="00DE42C4" w:rsidRPr="00BF5BC7">
              <w:rPr>
                <w:rFonts w:ascii="Arial Narrow" w:hAnsi="Arial Narrow"/>
                <w:b/>
                <w:iCs/>
                <w:sz w:val="20"/>
                <w:szCs w:val="20"/>
              </w:rPr>
              <w:t>B</w:t>
            </w:r>
          </w:p>
        </w:tc>
        <w:tc>
          <w:tcPr>
            <w:tcW w:w="387" w:type="pct"/>
            <w:shd w:val="clear" w:color="auto" w:fill="auto"/>
          </w:tcPr>
          <w:p w14:paraId="6C3AD32F"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Diff.</w:t>
            </w:r>
          </w:p>
        </w:tc>
        <w:tc>
          <w:tcPr>
            <w:tcW w:w="388" w:type="pct"/>
            <w:shd w:val="clear" w:color="auto" w:fill="auto"/>
          </w:tcPr>
          <w:p w14:paraId="27C4A3AB"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MAVA + BB/CCB</w:t>
            </w:r>
          </w:p>
        </w:tc>
        <w:tc>
          <w:tcPr>
            <w:tcW w:w="387" w:type="pct"/>
            <w:shd w:val="clear" w:color="auto" w:fill="auto"/>
          </w:tcPr>
          <w:p w14:paraId="3DC798AF"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BB/CC</w:t>
            </w:r>
            <w:r w:rsidR="00DE42C4" w:rsidRPr="00BF5BC7">
              <w:rPr>
                <w:rFonts w:ascii="Arial Narrow" w:hAnsi="Arial Narrow"/>
                <w:b/>
                <w:iCs/>
                <w:sz w:val="20"/>
                <w:szCs w:val="20"/>
              </w:rPr>
              <w:t>B</w:t>
            </w:r>
          </w:p>
        </w:tc>
        <w:tc>
          <w:tcPr>
            <w:tcW w:w="386" w:type="pct"/>
            <w:shd w:val="clear" w:color="auto" w:fill="auto"/>
          </w:tcPr>
          <w:p w14:paraId="2D3948F1" w14:textId="77777777" w:rsidR="005F05F8" w:rsidRPr="00BF5BC7" w:rsidRDefault="005F05F8" w:rsidP="00F774FD">
            <w:pPr>
              <w:ind w:left="-122" w:right="-54"/>
              <w:jc w:val="center"/>
              <w:rPr>
                <w:rFonts w:ascii="Arial Narrow" w:hAnsi="Arial Narrow"/>
                <w:b/>
                <w:iCs/>
                <w:sz w:val="20"/>
                <w:szCs w:val="20"/>
              </w:rPr>
            </w:pPr>
            <w:r w:rsidRPr="00BF5BC7">
              <w:rPr>
                <w:rFonts w:ascii="Arial Narrow" w:hAnsi="Arial Narrow"/>
                <w:b/>
                <w:iCs/>
                <w:sz w:val="20"/>
                <w:szCs w:val="20"/>
              </w:rPr>
              <w:t>Diff.</w:t>
            </w:r>
          </w:p>
        </w:tc>
      </w:tr>
      <w:tr w:rsidR="005F05F8" w:rsidRPr="00BF5BC7" w14:paraId="175DD926" w14:textId="77777777" w:rsidTr="00166086">
        <w:tc>
          <w:tcPr>
            <w:tcW w:w="353" w:type="pct"/>
          </w:tcPr>
          <w:p w14:paraId="43805EB5" w14:textId="77777777" w:rsidR="005F05F8" w:rsidRPr="00BF5BC7" w:rsidRDefault="005F05F8" w:rsidP="00F774FD">
            <w:pPr>
              <w:ind w:left="-109" w:right="-174"/>
              <w:rPr>
                <w:rFonts w:ascii="Arial Narrow" w:hAnsi="Arial Narrow"/>
                <w:iCs/>
                <w:sz w:val="20"/>
                <w:szCs w:val="20"/>
              </w:rPr>
            </w:pPr>
            <w:r w:rsidRPr="00BF5BC7">
              <w:rPr>
                <w:rFonts w:ascii="Arial Narrow" w:hAnsi="Arial Narrow"/>
                <w:iCs/>
                <w:sz w:val="20"/>
                <w:szCs w:val="20"/>
              </w:rPr>
              <w:t>Week 30</w:t>
            </w:r>
          </w:p>
        </w:tc>
        <w:tc>
          <w:tcPr>
            <w:tcW w:w="385" w:type="pct"/>
          </w:tcPr>
          <w:p w14:paraId="2EBE2DFB"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0.4%</w:t>
            </w:r>
          </w:p>
        </w:tc>
        <w:tc>
          <w:tcPr>
            <w:tcW w:w="387" w:type="pct"/>
          </w:tcPr>
          <w:p w14:paraId="50F6C30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0.5%</w:t>
            </w:r>
          </w:p>
        </w:tc>
        <w:tc>
          <w:tcPr>
            <w:tcW w:w="390" w:type="pct"/>
            <w:shd w:val="clear" w:color="auto" w:fill="auto"/>
          </w:tcPr>
          <w:p w14:paraId="25A5FE3A"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-0.1%</w:t>
            </w:r>
          </w:p>
        </w:tc>
        <w:tc>
          <w:tcPr>
            <w:tcW w:w="387" w:type="pct"/>
          </w:tcPr>
          <w:p w14:paraId="6C16C07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0.4%</w:t>
            </w:r>
          </w:p>
        </w:tc>
        <w:tc>
          <w:tcPr>
            <w:tcW w:w="388" w:type="pct"/>
          </w:tcPr>
          <w:p w14:paraId="3FE3C8A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0.5%</w:t>
            </w:r>
          </w:p>
        </w:tc>
        <w:tc>
          <w:tcPr>
            <w:tcW w:w="387" w:type="pct"/>
            <w:shd w:val="clear" w:color="auto" w:fill="auto"/>
          </w:tcPr>
          <w:p w14:paraId="209502D6"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-0.1%</w:t>
            </w:r>
          </w:p>
        </w:tc>
        <w:tc>
          <w:tcPr>
            <w:tcW w:w="387" w:type="pct"/>
            <w:shd w:val="clear" w:color="auto" w:fill="auto"/>
          </w:tcPr>
          <w:p w14:paraId="0F9A9B9E"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0.3%</w:t>
            </w:r>
          </w:p>
        </w:tc>
        <w:tc>
          <w:tcPr>
            <w:tcW w:w="388" w:type="pct"/>
            <w:shd w:val="clear" w:color="auto" w:fill="auto"/>
          </w:tcPr>
          <w:p w14:paraId="3950C800"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0.3%</w:t>
            </w:r>
          </w:p>
        </w:tc>
        <w:tc>
          <w:tcPr>
            <w:tcW w:w="387" w:type="pct"/>
            <w:shd w:val="clear" w:color="auto" w:fill="auto"/>
          </w:tcPr>
          <w:p w14:paraId="6B158C67"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0.0%</w:t>
            </w:r>
          </w:p>
        </w:tc>
        <w:tc>
          <w:tcPr>
            <w:tcW w:w="388" w:type="pct"/>
            <w:shd w:val="clear" w:color="auto" w:fill="auto"/>
          </w:tcPr>
          <w:p w14:paraId="34B8348B"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0.3%</w:t>
            </w:r>
          </w:p>
        </w:tc>
        <w:tc>
          <w:tcPr>
            <w:tcW w:w="387" w:type="pct"/>
            <w:shd w:val="clear" w:color="auto" w:fill="auto"/>
          </w:tcPr>
          <w:p w14:paraId="19C48C58"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0.3%</w:t>
            </w:r>
          </w:p>
        </w:tc>
        <w:tc>
          <w:tcPr>
            <w:tcW w:w="386" w:type="pct"/>
            <w:shd w:val="clear" w:color="auto" w:fill="auto"/>
          </w:tcPr>
          <w:p w14:paraId="2448C943"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0.0%</w:t>
            </w:r>
          </w:p>
        </w:tc>
      </w:tr>
      <w:tr w:rsidR="005F05F8" w:rsidRPr="00BF5BC7" w14:paraId="3C43D5B4" w14:textId="77777777" w:rsidTr="00166086">
        <w:tc>
          <w:tcPr>
            <w:tcW w:w="353" w:type="pct"/>
          </w:tcPr>
          <w:p w14:paraId="06603710" w14:textId="77777777" w:rsidR="005F05F8" w:rsidRPr="00BF5BC7" w:rsidRDefault="005F05F8" w:rsidP="00F774FD">
            <w:pPr>
              <w:ind w:left="-109" w:right="-174"/>
              <w:rPr>
                <w:rFonts w:ascii="Arial Narrow" w:hAnsi="Arial Narrow"/>
                <w:iCs/>
                <w:sz w:val="20"/>
                <w:szCs w:val="20"/>
              </w:rPr>
            </w:pPr>
            <w:r w:rsidRPr="00BF5BC7">
              <w:rPr>
                <w:rFonts w:ascii="Arial Narrow" w:hAnsi="Arial Narrow"/>
                <w:iCs/>
                <w:sz w:val="20"/>
                <w:szCs w:val="20"/>
              </w:rPr>
              <w:t>Year 1</w:t>
            </w:r>
          </w:p>
        </w:tc>
        <w:tc>
          <w:tcPr>
            <w:tcW w:w="385" w:type="pct"/>
          </w:tcPr>
          <w:p w14:paraId="342D136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0.8%</w:t>
            </w:r>
          </w:p>
        </w:tc>
        <w:tc>
          <w:tcPr>
            <w:tcW w:w="387" w:type="pct"/>
          </w:tcPr>
          <w:p w14:paraId="404DAE1B"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0.9%</w:t>
            </w:r>
          </w:p>
        </w:tc>
        <w:tc>
          <w:tcPr>
            <w:tcW w:w="390" w:type="pct"/>
            <w:shd w:val="clear" w:color="auto" w:fill="auto"/>
          </w:tcPr>
          <w:p w14:paraId="7F1D2649"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-0.1%</w:t>
            </w:r>
          </w:p>
        </w:tc>
        <w:tc>
          <w:tcPr>
            <w:tcW w:w="387" w:type="pct"/>
          </w:tcPr>
          <w:p w14:paraId="1C52AE9D"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0.8%</w:t>
            </w:r>
          </w:p>
        </w:tc>
        <w:tc>
          <w:tcPr>
            <w:tcW w:w="388" w:type="pct"/>
          </w:tcPr>
          <w:p w14:paraId="2B018CA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0.9%</w:t>
            </w:r>
          </w:p>
        </w:tc>
        <w:tc>
          <w:tcPr>
            <w:tcW w:w="387" w:type="pct"/>
            <w:shd w:val="clear" w:color="auto" w:fill="auto"/>
          </w:tcPr>
          <w:p w14:paraId="757EF2A2"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-0.1%</w:t>
            </w:r>
          </w:p>
        </w:tc>
        <w:tc>
          <w:tcPr>
            <w:tcW w:w="387" w:type="pct"/>
            <w:shd w:val="clear" w:color="auto" w:fill="auto"/>
          </w:tcPr>
          <w:p w14:paraId="222F219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0.6%</w:t>
            </w:r>
          </w:p>
        </w:tc>
        <w:tc>
          <w:tcPr>
            <w:tcW w:w="388" w:type="pct"/>
            <w:shd w:val="clear" w:color="auto" w:fill="auto"/>
          </w:tcPr>
          <w:p w14:paraId="0529927A"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0.6%</w:t>
            </w:r>
          </w:p>
        </w:tc>
        <w:tc>
          <w:tcPr>
            <w:tcW w:w="387" w:type="pct"/>
            <w:shd w:val="clear" w:color="auto" w:fill="auto"/>
          </w:tcPr>
          <w:p w14:paraId="26E51143"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0.0%</w:t>
            </w:r>
          </w:p>
        </w:tc>
        <w:tc>
          <w:tcPr>
            <w:tcW w:w="388" w:type="pct"/>
            <w:shd w:val="clear" w:color="auto" w:fill="auto"/>
          </w:tcPr>
          <w:p w14:paraId="3CD400F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0.6%</w:t>
            </w:r>
          </w:p>
        </w:tc>
        <w:tc>
          <w:tcPr>
            <w:tcW w:w="387" w:type="pct"/>
            <w:shd w:val="clear" w:color="auto" w:fill="auto"/>
          </w:tcPr>
          <w:p w14:paraId="2C36FF52"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0.6%</w:t>
            </w:r>
          </w:p>
        </w:tc>
        <w:tc>
          <w:tcPr>
            <w:tcW w:w="386" w:type="pct"/>
            <w:shd w:val="clear" w:color="auto" w:fill="auto"/>
          </w:tcPr>
          <w:p w14:paraId="54EDA79B"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0.0%</w:t>
            </w:r>
          </w:p>
        </w:tc>
      </w:tr>
      <w:tr w:rsidR="005F05F8" w:rsidRPr="00BF5BC7" w14:paraId="21D083FA" w14:textId="77777777" w:rsidTr="00166086">
        <w:tc>
          <w:tcPr>
            <w:tcW w:w="353" w:type="pct"/>
          </w:tcPr>
          <w:p w14:paraId="116A1F8D" w14:textId="77777777" w:rsidR="005F05F8" w:rsidRPr="00BF5BC7" w:rsidRDefault="005F05F8" w:rsidP="00F774FD">
            <w:pPr>
              <w:ind w:left="-109" w:right="-174"/>
              <w:rPr>
                <w:rFonts w:ascii="Arial Narrow" w:hAnsi="Arial Narrow"/>
                <w:iCs/>
                <w:sz w:val="20"/>
                <w:szCs w:val="20"/>
              </w:rPr>
            </w:pPr>
            <w:r w:rsidRPr="00BF5BC7">
              <w:rPr>
                <w:rFonts w:ascii="Arial Narrow" w:hAnsi="Arial Narrow"/>
                <w:iCs/>
                <w:sz w:val="20"/>
                <w:szCs w:val="20"/>
              </w:rPr>
              <w:t>Year 5</w:t>
            </w:r>
          </w:p>
        </w:tc>
        <w:tc>
          <w:tcPr>
            <w:tcW w:w="385" w:type="pct"/>
          </w:tcPr>
          <w:p w14:paraId="2F4930CD"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4.9%</w:t>
            </w:r>
          </w:p>
        </w:tc>
        <w:tc>
          <w:tcPr>
            <w:tcW w:w="387" w:type="pct"/>
          </w:tcPr>
          <w:p w14:paraId="25E1F460"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6.5%</w:t>
            </w:r>
          </w:p>
        </w:tc>
        <w:tc>
          <w:tcPr>
            <w:tcW w:w="390" w:type="pct"/>
            <w:shd w:val="clear" w:color="auto" w:fill="auto"/>
          </w:tcPr>
          <w:p w14:paraId="6868E0C9"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-1.6%</w:t>
            </w:r>
          </w:p>
        </w:tc>
        <w:tc>
          <w:tcPr>
            <w:tcW w:w="387" w:type="pct"/>
          </w:tcPr>
          <w:p w14:paraId="1A847E07"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5.0%</w:t>
            </w:r>
          </w:p>
        </w:tc>
        <w:tc>
          <w:tcPr>
            <w:tcW w:w="388" w:type="pct"/>
          </w:tcPr>
          <w:p w14:paraId="67E38172"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6.5%</w:t>
            </w:r>
          </w:p>
        </w:tc>
        <w:tc>
          <w:tcPr>
            <w:tcW w:w="387" w:type="pct"/>
            <w:shd w:val="clear" w:color="auto" w:fill="auto"/>
          </w:tcPr>
          <w:p w14:paraId="1DE9E761"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-1.5%</w:t>
            </w:r>
          </w:p>
        </w:tc>
        <w:tc>
          <w:tcPr>
            <w:tcW w:w="387" w:type="pct"/>
            <w:shd w:val="clear" w:color="auto" w:fill="auto"/>
          </w:tcPr>
          <w:p w14:paraId="315E3C78"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3.8%</w:t>
            </w:r>
          </w:p>
        </w:tc>
        <w:tc>
          <w:tcPr>
            <w:tcW w:w="388" w:type="pct"/>
            <w:shd w:val="clear" w:color="auto" w:fill="auto"/>
          </w:tcPr>
          <w:p w14:paraId="0742A555"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4.0%</w:t>
            </w:r>
          </w:p>
        </w:tc>
        <w:tc>
          <w:tcPr>
            <w:tcW w:w="387" w:type="pct"/>
            <w:shd w:val="clear" w:color="auto" w:fill="auto"/>
          </w:tcPr>
          <w:p w14:paraId="22CD6A46"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-0.2%</w:t>
            </w:r>
          </w:p>
        </w:tc>
        <w:tc>
          <w:tcPr>
            <w:tcW w:w="388" w:type="pct"/>
            <w:shd w:val="clear" w:color="auto" w:fill="auto"/>
          </w:tcPr>
          <w:p w14:paraId="3D72C257"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3.8%</w:t>
            </w:r>
          </w:p>
        </w:tc>
        <w:tc>
          <w:tcPr>
            <w:tcW w:w="387" w:type="pct"/>
            <w:shd w:val="clear" w:color="auto" w:fill="auto"/>
          </w:tcPr>
          <w:p w14:paraId="7696654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4.0%</w:t>
            </w:r>
          </w:p>
        </w:tc>
        <w:tc>
          <w:tcPr>
            <w:tcW w:w="386" w:type="pct"/>
            <w:shd w:val="clear" w:color="auto" w:fill="auto"/>
          </w:tcPr>
          <w:p w14:paraId="02B98283"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-0.2%</w:t>
            </w:r>
          </w:p>
        </w:tc>
      </w:tr>
      <w:tr w:rsidR="005F05F8" w:rsidRPr="00BF5BC7" w14:paraId="0D2B313E" w14:textId="77777777" w:rsidTr="00166086">
        <w:tc>
          <w:tcPr>
            <w:tcW w:w="353" w:type="pct"/>
          </w:tcPr>
          <w:p w14:paraId="5763E3FD" w14:textId="77777777" w:rsidR="005F05F8" w:rsidRPr="00BF5BC7" w:rsidRDefault="005F05F8" w:rsidP="00F774FD">
            <w:pPr>
              <w:ind w:left="-109" w:right="-174"/>
              <w:rPr>
                <w:rFonts w:ascii="Arial Narrow" w:hAnsi="Arial Narrow"/>
                <w:iCs/>
                <w:sz w:val="20"/>
                <w:szCs w:val="20"/>
              </w:rPr>
            </w:pPr>
            <w:r w:rsidRPr="00BF5BC7">
              <w:rPr>
                <w:rFonts w:ascii="Arial Narrow" w:hAnsi="Arial Narrow"/>
                <w:iCs/>
                <w:sz w:val="20"/>
                <w:szCs w:val="20"/>
              </w:rPr>
              <w:t>Year 10</w:t>
            </w:r>
          </w:p>
        </w:tc>
        <w:tc>
          <w:tcPr>
            <w:tcW w:w="385" w:type="pct"/>
          </w:tcPr>
          <w:p w14:paraId="2E2E4D68"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12.1%</w:t>
            </w:r>
          </w:p>
        </w:tc>
        <w:tc>
          <w:tcPr>
            <w:tcW w:w="387" w:type="pct"/>
          </w:tcPr>
          <w:p w14:paraId="415C6938"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15.2%</w:t>
            </w:r>
          </w:p>
        </w:tc>
        <w:tc>
          <w:tcPr>
            <w:tcW w:w="390" w:type="pct"/>
            <w:shd w:val="clear" w:color="auto" w:fill="auto"/>
          </w:tcPr>
          <w:p w14:paraId="113D6C67"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-3.1%</w:t>
            </w:r>
          </w:p>
        </w:tc>
        <w:tc>
          <w:tcPr>
            <w:tcW w:w="387" w:type="pct"/>
          </w:tcPr>
          <w:p w14:paraId="7C7463D6"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12.3%</w:t>
            </w:r>
          </w:p>
        </w:tc>
        <w:tc>
          <w:tcPr>
            <w:tcW w:w="388" w:type="pct"/>
          </w:tcPr>
          <w:p w14:paraId="18270055"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15.2%</w:t>
            </w:r>
          </w:p>
        </w:tc>
        <w:tc>
          <w:tcPr>
            <w:tcW w:w="387" w:type="pct"/>
            <w:shd w:val="clear" w:color="auto" w:fill="auto"/>
          </w:tcPr>
          <w:p w14:paraId="2B446C76"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-2.9%</w:t>
            </w:r>
          </w:p>
        </w:tc>
        <w:tc>
          <w:tcPr>
            <w:tcW w:w="387" w:type="pct"/>
            <w:shd w:val="clear" w:color="auto" w:fill="auto"/>
          </w:tcPr>
          <w:p w14:paraId="7B01AB7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9.1%</w:t>
            </w:r>
          </w:p>
        </w:tc>
        <w:tc>
          <w:tcPr>
            <w:tcW w:w="388" w:type="pct"/>
            <w:shd w:val="clear" w:color="auto" w:fill="auto"/>
          </w:tcPr>
          <w:p w14:paraId="0A1B7103"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9.4%</w:t>
            </w:r>
          </w:p>
        </w:tc>
        <w:tc>
          <w:tcPr>
            <w:tcW w:w="387" w:type="pct"/>
            <w:shd w:val="clear" w:color="auto" w:fill="auto"/>
          </w:tcPr>
          <w:p w14:paraId="59CB3AE8"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-0.3%</w:t>
            </w:r>
          </w:p>
        </w:tc>
        <w:tc>
          <w:tcPr>
            <w:tcW w:w="388" w:type="pct"/>
            <w:shd w:val="clear" w:color="auto" w:fill="auto"/>
          </w:tcPr>
          <w:p w14:paraId="649FC6AC"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9.1%</w:t>
            </w:r>
          </w:p>
        </w:tc>
        <w:tc>
          <w:tcPr>
            <w:tcW w:w="387" w:type="pct"/>
            <w:shd w:val="clear" w:color="auto" w:fill="auto"/>
          </w:tcPr>
          <w:p w14:paraId="6095A001"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9.4%</w:t>
            </w:r>
          </w:p>
        </w:tc>
        <w:tc>
          <w:tcPr>
            <w:tcW w:w="386" w:type="pct"/>
            <w:shd w:val="clear" w:color="auto" w:fill="auto"/>
          </w:tcPr>
          <w:p w14:paraId="6728394D"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-0.3%</w:t>
            </w:r>
          </w:p>
        </w:tc>
      </w:tr>
      <w:tr w:rsidR="005F05F8" w:rsidRPr="00BF5BC7" w14:paraId="15920BF6" w14:textId="77777777" w:rsidTr="00166086">
        <w:tc>
          <w:tcPr>
            <w:tcW w:w="353" w:type="pct"/>
          </w:tcPr>
          <w:p w14:paraId="4D0CCB13" w14:textId="77777777" w:rsidR="005F05F8" w:rsidRPr="00BF5BC7" w:rsidRDefault="005F05F8" w:rsidP="00F774FD">
            <w:pPr>
              <w:ind w:left="-109" w:right="-174"/>
              <w:rPr>
                <w:rFonts w:ascii="Arial Narrow" w:hAnsi="Arial Narrow"/>
                <w:iCs/>
                <w:sz w:val="20"/>
                <w:szCs w:val="20"/>
              </w:rPr>
            </w:pPr>
            <w:r w:rsidRPr="00BF5BC7">
              <w:rPr>
                <w:rFonts w:ascii="Arial Narrow" w:hAnsi="Arial Narrow"/>
                <w:iCs/>
                <w:sz w:val="20"/>
                <w:szCs w:val="20"/>
              </w:rPr>
              <w:t>Year 15</w:t>
            </w:r>
          </w:p>
        </w:tc>
        <w:tc>
          <w:tcPr>
            <w:tcW w:w="385" w:type="pct"/>
          </w:tcPr>
          <w:p w14:paraId="7ED7708A"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22.9%</w:t>
            </w:r>
          </w:p>
        </w:tc>
        <w:tc>
          <w:tcPr>
            <w:tcW w:w="387" w:type="pct"/>
          </w:tcPr>
          <w:p w14:paraId="2A0559C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27.7%</w:t>
            </w:r>
          </w:p>
        </w:tc>
        <w:tc>
          <w:tcPr>
            <w:tcW w:w="390" w:type="pct"/>
            <w:shd w:val="clear" w:color="auto" w:fill="auto"/>
          </w:tcPr>
          <w:p w14:paraId="2A5182F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-4.8%</w:t>
            </w:r>
          </w:p>
        </w:tc>
        <w:tc>
          <w:tcPr>
            <w:tcW w:w="387" w:type="pct"/>
          </w:tcPr>
          <w:p w14:paraId="1419A0D0"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23.5%</w:t>
            </w:r>
          </w:p>
        </w:tc>
        <w:tc>
          <w:tcPr>
            <w:tcW w:w="388" w:type="pct"/>
          </w:tcPr>
          <w:p w14:paraId="363AFAB1"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27.7%</w:t>
            </w:r>
          </w:p>
        </w:tc>
        <w:tc>
          <w:tcPr>
            <w:tcW w:w="387" w:type="pct"/>
            <w:shd w:val="clear" w:color="auto" w:fill="auto"/>
          </w:tcPr>
          <w:p w14:paraId="0FB03BCF"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-4.2%</w:t>
            </w:r>
          </w:p>
        </w:tc>
        <w:tc>
          <w:tcPr>
            <w:tcW w:w="387" w:type="pct"/>
            <w:shd w:val="clear" w:color="auto" w:fill="auto"/>
          </w:tcPr>
          <w:p w14:paraId="76F33010"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16.9%</w:t>
            </w:r>
          </w:p>
        </w:tc>
        <w:tc>
          <w:tcPr>
            <w:tcW w:w="388" w:type="pct"/>
            <w:shd w:val="clear" w:color="auto" w:fill="auto"/>
          </w:tcPr>
          <w:p w14:paraId="6A87DB08"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17.1%</w:t>
            </w:r>
          </w:p>
        </w:tc>
        <w:tc>
          <w:tcPr>
            <w:tcW w:w="387" w:type="pct"/>
            <w:shd w:val="clear" w:color="auto" w:fill="auto"/>
          </w:tcPr>
          <w:p w14:paraId="78EAC09B"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-0.2%</w:t>
            </w:r>
          </w:p>
        </w:tc>
        <w:tc>
          <w:tcPr>
            <w:tcW w:w="388" w:type="pct"/>
            <w:shd w:val="clear" w:color="auto" w:fill="auto"/>
          </w:tcPr>
          <w:p w14:paraId="60EC006E"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16.9%</w:t>
            </w:r>
          </w:p>
        </w:tc>
        <w:tc>
          <w:tcPr>
            <w:tcW w:w="387" w:type="pct"/>
            <w:shd w:val="clear" w:color="auto" w:fill="auto"/>
          </w:tcPr>
          <w:p w14:paraId="58D95B32"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17.1%</w:t>
            </w:r>
          </w:p>
        </w:tc>
        <w:tc>
          <w:tcPr>
            <w:tcW w:w="386" w:type="pct"/>
            <w:shd w:val="clear" w:color="auto" w:fill="auto"/>
          </w:tcPr>
          <w:p w14:paraId="258C61D6"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-0.2%</w:t>
            </w:r>
          </w:p>
        </w:tc>
      </w:tr>
      <w:tr w:rsidR="005F05F8" w:rsidRPr="00BF5BC7" w14:paraId="077EF160" w14:textId="77777777" w:rsidTr="00166086">
        <w:tc>
          <w:tcPr>
            <w:tcW w:w="353" w:type="pct"/>
          </w:tcPr>
          <w:p w14:paraId="1EE19F35" w14:textId="77777777" w:rsidR="005F05F8" w:rsidRPr="00BF5BC7" w:rsidRDefault="005F05F8" w:rsidP="00F774FD">
            <w:pPr>
              <w:ind w:left="-109" w:right="-174"/>
              <w:rPr>
                <w:rFonts w:ascii="Arial Narrow" w:hAnsi="Arial Narrow"/>
                <w:iCs/>
                <w:sz w:val="20"/>
                <w:szCs w:val="20"/>
              </w:rPr>
            </w:pPr>
            <w:r w:rsidRPr="00BF5BC7">
              <w:rPr>
                <w:rFonts w:ascii="Arial Narrow" w:hAnsi="Arial Narrow"/>
                <w:iCs/>
                <w:sz w:val="20"/>
                <w:szCs w:val="20"/>
              </w:rPr>
              <w:t>Year 20</w:t>
            </w:r>
          </w:p>
        </w:tc>
        <w:tc>
          <w:tcPr>
            <w:tcW w:w="385" w:type="pct"/>
          </w:tcPr>
          <w:p w14:paraId="50A568A1"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38.8%</w:t>
            </w:r>
          </w:p>
        </w:tc>
        <w:tc>
          <w:tcPr>
            <w:tcW w:w="387" w:type="pct"/>
          </w:tcPr>
          <w:p w14:paraId="74ABC10D"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45.3%</w:t>
            </w:r>
          </w:p>
        </w:tc>
        <w:tc>
          <w:tcPr>
            <w:tcW w:w="390" w:type="pct"/>
            <w:shd w:val="clear" w:color="auto" w:fill="auto"/>
          </w:tcPr>
          <w:p w14:paraId="7C1A0462"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-6.5%</w:t>
            </w:r>
          </w:p>
        </w:tc>
        <w:tc>
          <w:tcPr>
            <w:tcW w:w="387" w:type="pct"/>
          </w:tcPr>
          <w:p w14:paraId="0D271CC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39.7%</w:t>
            </w:r>
          </w:p>
        </w:tc>
        <w:tc>
          <w:tcPr>
            <w:tcW w:w="388" w:type="pct"/>
          </w:tcPr>
          <w:p w14:paraId="308733BE"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45.3%</w:t>
            </w:r>
          </w:p>
        </w:tc>
        <w:tc>
          <w:tcPr>
            <w:tcW w:w="387" w:type="pct"/>
            <w:shd w:val="clear" w:color="auto" w:fill="auto"/>
          </w:tcPr>
          <w:p w14:paraId="4DD8BDC4"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-5.6%</w:t>
            </w:r>
          </w:p>
        </w:tc>
        <w:tc>
          <w:tcPr>
            <w:tcW w:w="387" w:type="pct"/>
            <w:shd w:val="clear" w:color="auto" w:fill="auto"/>
          </w:tcPr>
          <w:p w14:paraId="0EF4D575"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28.2%</w:t>
            </w:r>
          </w:p>
        </w:tc>
        <w:tc>
          <w:tcPr>
            <w:tcW w:w="388" w:type="pct"/>
            <w:shd w:val="clear" w:color="auto" w:fill="auto"/>
          </w:tcPr>
          <w:p w14:paraId="61ADA765"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28.4%</w:t>
            </w:r>
          </w:p>
        </w:tc>
        <w:tc>
          <w:tcPr>
            <w:tcW w:w="387" w:type="pct"/>
            <w:shd w:val="clear" w:color="auto" w:fill="auto"/>
          </w:tcPr>
          <w:p w14:paraId="5DFBA8E1"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-0.2%</w:t>
            </w:r>
          </w:p>
        </w:tc>
        <w:tc>
          <w:tcPr>
            <w:tcW w:w="388" w:type="pct"/>
            <w:shd w:val="clear" w:color="auto" w:fill="auto"/>
          </w:tcPr>
          <w:p w14:paraId="1A8A9BC1"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28.2%</w:t>
            </w:r>
          </w:p>
        </w:tc>
        <w:tc>
          <w:tcPr>
            <w:tcW w:w="387" w:type="pct"/>
            <w:shd w:val="clear" w:color="auto" w:fill="auto"/>
          </w:tcPr>
          <w:p w14:paraId="5285F0B0"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28.4%</w:t>
            </w:r>
          </w:p>
        </w:tc>
        <w:tc>
          <w:tcPr>
            <w:tcW w:w="386" w:type="pct"/>
            <w:shd w:val="clear" w:color="auto" w:fill="auto"/>
          </w:tcPr>
          <w:p w14:paraId="776F64E7" w14:textId="77777777" w:rsidR="005F05F8" w:rsidRPr="00BF5BC7" w:rsidRDefault="005F05F8" w:rsidP="00F774FD">
            <w:pPr>
              <w:jc w:val="center"/>
              <w:rPr>
                <w:rFonts w:ascii="Arial Narrow" w:hAnsi="Arial Narrow"/>
                <w:iCs/>
                <w:sz w:val="20"/>
                <w:szCs w:val="20"/>
              </w:rPr>
            </w:pPr>
            <w:r w:rsidRPr="00BF5BC7">
              <w:rPr>
                <w:rFonts w:ascii="Arial Narrow" w:hAnsi="Arial Narrow"/>
                <w:iCs/>
                <w:sz w:val="20"/>
                <w:szCs w:val="20"/>
              </w:rPr>
              <w:t>-0.2%</w:t>
            </w:r>
          </w:p>
        </w:tc>
      </w:tr>
    </w:tbl>
    <w:p w14:paraId="2BFEA24E" w14:textId="77777777" w:rsidR="005F05F8" w:rsidRPr="00BF5BC7" w:rsidRDefault="005F05F8" w:rsidP="005F05F8">
      <w:pPr>
        <w:pStyle w:val="FooterTableFigure"/>
        <w:rPr>
          <w:iCs/>
        </w:rPr>
      </w:pPr>
      <w:r w:rsidRPr="00BF5BC7">
        <w:rPr>
          <w:iCs/>
        </w:rPr>
        <w:t xml:space="preserve">Source: Table compiled during the evaluation, based on the “Mavacamten obstructive HCM model resubmission_FINAL” Excel workbook, July 2023 </w:t>
      </w:r>
      <w:proofErr w:type="gramStart"/>
      <w:r w:rsidRPr="00BF5BC7">
        <w:rPr>
          <w:iCs/>
        </w:rPr>
        <w:t>resubmission;</w:t>
      </w:r>
      <w:proofErr w:type="gramEnd"/>
      <w:r w:rsidRPr="00BF5BC7">
        <w:rPr>
          <w:iCs/>
        </w:rPr>
        <w:t xml:space="preserve"> </w:t>
      </w:r>
    </w:p>
    <w:p w14:paraId="62A5472D" w14:textId="77777777" w:rsidR="004D56A1" w:rsidRDefault="004D56A1" w:rsidP="004D56A1">
      <w:pPr>
        <w:pStyle w:val="FooterTableFigure"/>
        <w:spacing w:after="0"/>
        <w:rPr>
          <w:szCs w:val="18"/>
        </w:rPr>
      </w:pPr>
      <w:r w:rsidRPr="00BF5BC7">
        <w:rPr>
          <w:iCs/>
        </w:rPr>
        <w:t xml:space="preserve">BB = beta-blocker; CCB = calcium-channel blocker; Diff. = difference; </w:t>
      </w:r>
      <w:r>
        <w:rPr>
          <w:szCs w:val="18"/>
        </w:rPr>
        <w:t xml:space="preserve">ICER = incremental cost-effectiveness ratio; </w:t>
      </w:r>
      <w:r w:rsidRPr="00490649">
        <w:rPr>
          <w:szCs w:val="18"/>
        </w:rPr>
        <w:t>MAV</w:t>
      </w:r>
      <w:r>
        <w:rPr>
          <w:szCs w:val="18"/>
        </w:rPr>
        <w:t>A</w:t>
      </w:r>
      <w:r w:rsidRPr="00490649">
        <w:rPr>
          <w:szCs w:val="18"/>
        </w:rPr>
        <w:t xml:space="preserve"> = </w:t>
      </w:r>
      <w:proofErr w:type="gramStart"/>
      <w:r w:rsidRPr="00490649">
        <w:rPr>
          <w:szCs w:val="18"/>
        </w:rPr>
        <w:t>mavacamten;</w:t>
      </w:r>
      <w:proofErr w:type="gramEnd"/>
      <w:r w:rsidRPr="00490649">
        <w:rPr>
          <w:szCs w:val="18"/>
        </w:rPr>
        <w:t xml:space="preserve"> </w:t>
      </w:r>
    </w:p>
    <w:p w14:paraId="79A87611" w14:textId="77777777" w:rsidR="004D56A1" w:rsidRPr="00313829" w:rsidRDefault="004D56A1" w:rsidP="004D56A1">
      <w:pPr>
        <w:pStyle w:val="FooterTableFigure"/>
        <w:spacing w:after="0"/>
        <w:rPr>
          <w:szCs w:val="18"/>
        </w:rPr>
      </w:pPr>
      <w:r w:rsidRPr="00BF5BC7">
        <w:rPr>
          <w:iCs/>
        </w:rPr>
        <w:t xml:space="preserve"> </w:t>
      </w:r>
      <w:r w:rsidRPr="00313829">
        <w:rPr>
          <w:szCs w:val="18"/>
        </w:rPr>
        <w:t xml:space="preserve"> </w:t>
      </w:r>
      <w:r w:rsidRPr="00490649">
        <w:rPr>
          <w:szCs w:val="18"/>
        </w:rPr>
        <w:t>PBAC = Pharmaceutical Benefits Advisory Committee</w:t>
      </w:r>
      <w:r>
        <w:rPr>
          <w:szCs w:val="18"/>
        </w:rPr>
        <w:t>.</w:t>
      </w:r>
    </w:p>
    <w:p w14:paraId="4EC65985" w14:textId="45BE3F40" w:rsidR="005F05F8" w:rsidRDefault="005F05F8" w:rsidP="00EC1182">
      <w:pPr>
        <w:pStyle w:val="FooterTableFigure"/>
        <w:rPr>
          <w:iCs/>
        </w:rPr>
      </w:pPr>
      <w:proofErr w:type="gramStart"/>
      <w:r w:rsidRPr="00BF5BC7">
        <w:rPr>
          <w:iCs/>
          <w:vertAlign w:val="superscript"/>
        </w:rPr>
        <w:t xml:space="preserve">a </w:t>
      </w:r>
      <w:r w:rsidRPr="00BF5BC7">
        <w:rPr>
          <w:iCs/>
        </w:rPr>
        <w:t>Cumulative deaths</w:t>
      </w:r>
      <w:proofErr w:type="gramEnd"/>
      <w:r w:rsidRPr="00BF5BC7">
        <w:rPr>
          <w:iCs/>
        </w:rPr>
        <w:t xml:space="preserve"> were derived from Cells T30:T39 and Cells AR52:AR369 in the ‘MAVA’ and ‘Comparator’ spreadsheets. </w:t>
      </w:r>
    </w:p>
    <w:p w14:paraId="2E8D5A3C" w14:textId="69E9A9A1" w:rsidR="00585419" w:rsidRPr="00585419" w:rsidRDefault="00585419" w:rsidP="00EC1182">
      <w:pPr>
        <w:pStyle w:val="FooterTableFigure"/>
        <w:rPr>
          <w:i/>
        </w:rPr>
      </w:pPr>
      <w:r w:rsidRPr="00585419">
        <w:rPr>
          <w:i/>
        </w:rPr>
        <w:t>The redacted values correspond to the following ranges:</w:t>
      </w:r>
    </w:p>
    <w:p w14:paraId="441D6C11" w14:textId="53C9FA45" w:rsidR="00585419" w:rsidRPr="00585419" w:rsidRDefault="00585419" w:rsidP="00EC1182">
      <w:pPr>
        <w:pStyle w:val="FooterTableFigure"/>
        <w:rPr>
          <w:i/>
        </w:rPr>
      </w:pPr>
      <w:r w:rsidRPr="00585419">
        <w:rPr>
          <w:i/>
          <w:vertAlign w:val="superscript"/>
        </w:rPr>
        <w:t>1</w:t>
      </w:r>
      <w:r w:rsidRPr="00585419">
        <w:rPr>
          <w:i/>
        </w:rPr>
        <w:t xml:space="preserve"> $35,000 to &lt; $45,000</w:t>
      </w:r>
    </w:p>
    <w:p w14:paraId="0692FF03" w14:textId="749E72F2" w:rsidR="00585419" w:rsidRPr="00585419" w:rsidRDefault="00585419" w:rsidP="00EC1182">
      <w:pPr>
        <w:pStyle w:val="FooterTableFigure"/>
        <w:rPr>
          <w:i/>
        </w:rPr>
      </w:pPr>
      <w:r w:rsidRPr="00585419">
        <w:rPr>
          <w:i/>
          <w:vertAlign w:val="superscript"/>
        </w:rPr>
        <w:t>2</w:t>
      </w:r>
      <w:r w:rsidRPr="00585419">
        <w:rPr>
          <w:i/>
        </w:rPr>
        <w:t xml:space="preserve"> $55,000 to &lt; $75,000</w:t>
      </w:r>
    </w:p>
    <w:p w14:paraId="7DACABCA" w14:textId="273FA658" w:rsidR="00585419" w:rsidRPr="00585419" w:rsidRDefault="00585419" w:rsidP="00EC1182">
      <w:pPr>
        <w:pStyle w:val="FooterTableFigure"/>
        <w:rPr>
          <w:i/>
        </w:rPr>
      </w:pPr>
      <w:r w:rsidRPr="00585419">
        <w:rPr>
          <w:i/>
          <w:vertAlign w:val="superscript"/>
        </w:rPr>
        <w:t>3</w:t>
      </w:r>
      <w:r w:rsidRPr="00585419">
        <w:rPr>
          <w:i/>
        </w:rPr>
        <w:t xml:space="preserve"> $95,000 to &lt; $115,000</w:t>
      </w:r>
    </w:p>
    <w:p w14:paraId="4FDD54A9" w14:textId="4868DFAE" w:rsidR="00585419" w:rsidRPr="00585419" w:rsidRDefault="00585419" w:rsidP="00EC1182">
      <w:pPr>
        <w:pStyle w:val="FooterTableFigure"/>
        <w:rPr>
          <w:i/>
        </w:rPr>
      </w:pPr>
      <w:r w:rsidRPr="00585419">
        <w:rPr>
          <w:i/>
          <w:vertAlign w:val="superscript"/>
        </w:rPr>
        <w:t>4</w:t>
      </w:r>
      <w:r w:rsidRPr="00585419">
        <w:rPr>
          <w:i/>
        </w:rPr>
        <w:t xml:space="preserve"> $115,000 to &lt; $135,000</w:t>
      </w:r>
    </w:p>
    <w:p w14:paraId="619BBF9C" w14:textId="393A6054" w:rsidR="008D6634" w:rsidRPr="00B9284A" w:rsidRDefault="00F0753F" w:rsidP="00B9284A">
      <w:pPr>
        <w:pStyle w:val="3-BodyText"/>
        <w:rPr>
          <w:iCs/>
        </w:rPr>
      </w:pPr>
      <w:r w:rsidRPr="007A1E4F">
        <w:t xml:space="preserve">The resubmission </w:t>
      </w:r>
      <w:r w:rsidR="00B877D6" w:rsidRPr="007A1E4F">
        <w:t>adopted changes related to hospitalisation costs</w:t>
      </w:r>
      <w:r w:rsidR="007A1E4F" w:rsidRPr="007A1E4F">
        <w:t xml:space="preserve"> as noted in the PBAC’s </w:t>
      </w:r>
      <w:r w:rsidR="007A1E4F" w:rsidRPr="00743DEB">
        <w:t>specified base case</w:t>
      </w:r>
      <w:r w:rsidR="005F27E5" w:rsidRPr="00743DEB">
        <w:t xml:space="preserve"> (</w:t>
      </w:r>
      <w:r w:rsidR="00F55FEF" w:rsidRPr="00F55FEF">
        <w:t>para. 6.51 &amp;</w:t>
      </w:r>
      <w:r w:rsidR="00575321">
        <w:t xml:space="preserve"> </w:t>
      </w:r>
      <w:r w:rsidR="00F55FEF" w:rsidRPr="00F55FEF">
        <w:t>7.9, mavacamten, Public Summary Document, November 2022 PBAC meeting</w:t>
      </w:r>
      <w:r w:rsidR="005F27E5" w:rsidRPr="00743DEB">
        <w:t>)</w:t>
      </w:r>
      <w:r w:rsidR="00B877D6" w:rsidRPr="00743DEB">
        <w:t xml:space="preserve">. </w:t>
      </w:r>
      <w:r w:rsidR="00865BE3" w:rsidRPr="00743DEB">
        <w:t>The</w:t>
      </w:r>
      <w:r w:rsidR="00865BE3">
        <w:t xml:space="preserve"> revised costs of hospitalisation of $12,485.69 presented in the resubmission was based on the </w:t>
      </w:r>
      <w:r w:rsidR="00865BE3" w:rsidRPr="00366681">
        <w:t>AIHW (2015)</w:t>
      </w:r>
      <w:r w:rsidR="00865BE3">
        <w:rPr>
          <w:rStyle w:val="FootnoteReference"/>
        </w:rPr>
        <w:footnoteReference w:id="12"/>
      </w:r>
      <w:r w:rsidR="00865BE3">
        <w:t xml:space="preserve"> estimates. </w:t>
      </w:r>
      <w:r w:rsidR="000E7BB4" w:rsidRPr="00BF5BC7">
        <w:rPr>
          <w:iCs/>
        </w:rPr>
        <w:t>The resubmission modelled different hospitalisation rates depending on NYHA class despite PBAC previous consideration that a revised base case should remove differences in hospitalisations (para. 6.51, mavacamten, Public Summary Document, November 2022 PBAC meeting).</w:t>
      </w:r>
      <w:r w:rsidR="00D92F79">
        <w:rPr>
          <w:iCs/>
        </w:rPr>
        <w:t xml:space="preserve"> </w:t>
      </w:r>
      <w:r w:rsidR="00D92F79" w:rsidRPr="00541454">
        <w:t xml:space="preserve">The </w:t>
      </w:r>
      <w:r w:rsidR="00D92F79" w:rsidRPr="00541454">
        <w:rPr>
          <w:rFonts w:cstheme="minorHAnsi"/>
        </w:rPr>
        <w:t xml:space="preserve">PSCR </w:t>
      </w:r>
      <w:r w:rsidR="00544E1D" w:rsidRPr="00541454">
        <w:rPr>
          <w:rFonts w:cstheme="minorHAnsi"/>
          <w:color w:val="000000"/>
        </w:rPr>
        <w:t xml:space="preserve">maintained that increased rates of hospitalisations would be incurred for patients with higher NYHA </w:t>
      </w:r>
      <w:r w:rsidR="00544E1D" w:rsidRPr="00541454">
        <w:rPr>
          <w:rFonts w:cstheme="minorHAnsi"/>
        </w:rPr>
        <w:t xml:space="preserve">classes. The PSCR </w:t>
      </w:r>
      <w:r w:rsidR="00AB22B0" w:rsidRPr="00541454">
        <w:rPr>
          <w:rFonts w:cstheme="minorHAnsi"/>
        </w:rPr>
        <w:t xml:space="preserve">stated that the rates of hospitalisations were derived from an </w:t>
      </w:r>
      <w:r w:rsidR="00944D9E" w:rsidRPr="00541454">
        <w:rPr>
          <w:rFonts w:cstheme="minorHAnsi"/>
        </w:rPr>
        <w:t>a</w:t>
      </w:r>
      <w:r w:rsidR="00AB22B0" w:rsidRPr="00541454">
        <w:rPr>
          <w:rFonts w:cstheme="minorHAnsi"/>
        </w:rPr>
        <w:t xml:space="preserve">dvisory </w:t>
      </w:r>
      <w:r w:rsidR="00944D9E" w:rsidRPr="00541454">
        <w:rPr>
          <w:rFonts w:cstheme="minorHAnsi"/>
        </w:rPr>
        <w:t>b</w:t>
      </w:r>
      <w:r w:rsidR="00AB22B0" w:rsidRPr="00541454">
        <w:rPr>
          <w:rFonts w:cstheme="minorHAnsi"/>
        </w:rPr>
        <w:t xml:space="preserve">oard </w:t>
      </w:r>
      <w:r w:rsidR="00944D9E" w:rsidRPr="00541454">
        <w:rPr>
          <w:rFonts w:cstheme="minorHAnsi"/>
        </w:rPr>
        <w:t>s</w:t>
      </w:r>
      <w:r w:rsidR="00AB22B0" w:rsidRPr="00541454">
        <w:rPr>
          <w:rFonts w:cstheme="minorHAnsi"/>
        </w:rPr>
        <w:t xml:space="preserve">urvey (2021) which </w:t>
      </w:r>
      <w:r w:rsidR="00544E1D" w:rsidRPr="00541454">
        <w:rPr>
          <w:rFonts w:cstheme="minorHAnsi"/>
        </w:rPr>
        <w:t>it</w:t>
      </w:r>
      <w:r w:rsidR="00AB22B0" w:rsidRPr="00541454">
        <w:rPr>
          <w:rFonts w:cstheme="minorHAnsi"/>
        </w:rPr>
        <w:t xml:space="preserve"> argued represent</w:t>
      </w:r>
      <w:r w:rsidR="00544E1D" w:rsidRPr="00541454">
        <w:rPr>
          <w:rFonts w:cstheme="minorHAnsi"/>
        </w:rPr>
        <w:t>ed</w:t>
      </w:r>
      <w:r w:rsidR="00AB22B0" w:rsidRPr="00541454">
        <w:rPr>
          <w:rFonts w:cstheme="minorHAnsi"/>
        </w:rPr>
        <w:t xml:space="preserve"> the best available information to inform the economic model. The PSCR also argued that Jacobsen et al 2023 and Zampieri et al 2022 provided further evidence </w:t>
      </w:r>
      <w:proofErr w:type="gramStart"/>
      <w:r w:rsidR="00AB22B0" w:rsidRPr="00541454">
        <w:rPr>
          <w:rFonts w:cstheme="minorHAnsi"/>
        </w:rPr>
        <w:t>of  worsening</w:t>
      </w:r>
      <w:proofErr w:type="gramEnd"/>
      <w:r w:rsidR="00AB22B0" w:rsidRPr="00541454">
        <w:rPr>
          <w:rFonts w:cstheme="minorHAnsi"/>
        </w:rPr>
        <w:t xml:space="preserve"> disease (i</w:t>
      </w:r>
      <w:r w:rsidR="00544E1D" w:rsidRPr="00541454">
        <w:rPr>
          <w:rFonts w:cstheme="minorHAnsi"/>
        </w:rPr>
        <w:t>.</w:t>
      </w:r>
      <w:r w:rsidR="00AB22B0" w:rsidRPr="00541454">
        <w:rPr>
          <w:rFonts w:cstheme="minorHAnsi"/>
        </w:rPr>
        <w:t>e. increasing NYHA functional class) with increased mortality and complications and made reference to two further studies (Osman et al 2023</w:t>
      </w:r>
      <w:r w:rsidR="00AB22B0" w:rsidRPr="00541454">
        <w:rPr>
          <w:rFonts w:cstheme="minorHAnsi"/>
        </w:rPr>
        <w:footnoteReference w:id="13"/>
      </w:r>
      <w:r w:rsidR="00AB22B0" w:rsidRPr="00541454">
        <w:rPr>
          <w:rFonts w:cstheme="minorHAnsi"/>
        </w:rPr>
        <w:t>; Charron et al 2023</w:t>
      </w:r>
      <w:r w:rsidR="00AB22B0" w:rsidRPr="00541454">
        <w:rPr>
          <w:rFonts w:cstheme="minorHAnsi"/>
        </w:rPr>
        <w:footnoteReference w:id="14"/>
      </w:r>
      <w:r w:rsidR="00AB22B0" w:rsidRPr="00541454">
        <w:rPr>
          <w:rFonts w:cstheme="minorHAnsi"/>
        </w:rPr>
        <w:t>)</w:t>
      </w:r>
      <w:r w:rsidR="00544E1D" w:rsidRPr="00541454">
        <w:rPr>
          <w:rFonts w:cstheme="minorHAnsi"/>
        </w:rPr>
        <w:t xml:space="preserve"> that </w:t>
      </w:r>
      <w:r w:rsidR="00D41BBE" w:rsidRPr="00541454">
        <w:rPr>
          <w:rFonts w:cstheme="minorHAnsi"/>
        </w:rPr>
        <w:t>it</w:t>
      </w:r>
      <w:r w:rsidR="00544E1D" w:rsidRPr="00541454">
        <w:rPr>
          <w:rFonts w:cstheme="minorHAnsi"/>
        </w:rPr>
        <w:t xml:space="preserve"> </w:t>
      </w:r>
      <w:r w:rsidR="00D41BBE" w:rsidRPr="00541454">
        <w:rPr>
          <w:rFonts w:cstheme="minorHAnsi"/>
        </w:rPr>
        <w:t>argued</w:t>
      </w:r>
      <w:r w:rsidR="00AB22B0" w:rsidRPr="00541454">
        <w:rPr>
          <w:rFonts w:cstheme="minorHAnsi"/>
        </w:rPr>
        <w:t xml:space="preserve"> support</w:t>
      </w:r>
      <w:r w:rsidR="00544E1D" w:rsidRPr="00541454">
        <w:rPr>
          <w:rFonts w:cstheme="minorHAnsi"/>
        </w:rPr>
        <w:t>ed</w:t>
      </w:r>
      <w:r w:rsidR="00AB22B0" w:rsidRPr="00541454">
        <w:rPr>
          <w:rFonts w:cstheme="minorHAnsi"/>
        </w:rPr>
        <w:t xml:space="preserve"> increased hospitalisation rates for patients with obstructive HCM.</w:t>
      </w:r>
      <w:r w:rsidR="008D6634" w:rsidRPr="00541454">
        <w:rPr>
          <w:rFonts w:cstheme="minorHAnsi"/>
          <w:color w:val="000000"/>
        </w:rPr>
        <w:t xml:space="preserve"> </w:t>
      </w:r>
      <w:r w:rsidR="008D6634" w:rsidRPr="00541454">
        <w:t xml:space="preserve">The ESC noted that there were no data to suggest that reducing NYHA class with mavacamten for patients with </w:t>
      </w:r>
      <w:r w:rsidR="008D6634" w:rsidRPr="00541454">
        <w:lastRenderedPageBreak/>
        <w:t>obstructive HCM reduces hospitalisation</w:t>
      </w:r>
      <w:r w:rsidR="00D41BBE" w:rsidRPr="00541454">
        <w:t>s</w:t>
      </w:r>
      <w:r w:rsidR="008D6634" w:rsidRPr="00541454">
        <w:t xml:space="preserve">. For this reason, </w:t>
      </w:r>
      <w:r w:rsidR="00D41BBE" w:rsidRPr="00541454">
        <w:t>t</w:t>
      </w:r>
      <w:r w:rsidR="008D6634" w:rsidRPr="00541454">
        <w:t>he ESC considered the justification provided in the resubmission and PSCR did not support a difference in hospitalisation rates within the economic model.</w:t>
      </w:r>
      <w:r w:rsidR="008D6634" w:rsidRPr="00463F89">
        <w:rPr>
          <w:iCs/>
        </w:rPr>
        <w:t xml:space="preserve"> </w:t>
      </w:r>
      <w:r w:rsidR="005400EA">
        <w:rPr>
          <w:iCs/>
        </w:rPr>
        <w:t xml:space="preserve">The pre-PBAC response </w:t>
      </w:r>
      <w:r w:rsidR="005400EA" w:rsidRPr="005400EA">
        <w:rPr>
          <w:iCs/>
        </w:rPr>
        <w:t>maintain</w:t>
      </w:r>
      <w:r w:rsidR="005400EA">
        <w:rPr>
          <w:iCs/>
        </w:rPr>
        <w:t>ed</w:t>
      </w:r>
      <w:r w:rsidR="005400EA" w:rsidRPr="005400EA">
        <w:rPr>
          <w:iCs/>
        </w:rPr>
        <w:t xml:space="preserve"> that it is reasonable and appropriate to assume hospitalisation rates increase with increased NYHA </w:t>
      </w:r>
      <w:proofErr w:type="gramStart"/>
      <w:r w:rsidR="005400EA" w:rsidRPr="005400EA">
        <w:rPr>
          <w:iCs/>
        </w:rPr>
        <w:t>class,</w:t>
      </w:r>
      <w:r w:rsidR="005400EA">
        <w:rPr>
          <w:iCs/>
        </w:rPr>
        <w:t xml:space="preserve"> and</w:t>
      </w:r>
      <w:proofErr w:type="gramEnd"/>
      <w:r w:rsidR="005400EA">
        <w:rPr>
          <w:iCs/>
        </w:rPr>
        <w:t xml:space="preserve"> </w:t>
      </w:r>
      <w:r w:rsidR="007705D8">
        <w:rPr>
          <w:iCs/>
        </w:rPr>
        <w:t xml:space="preserve">argued </w:t>
      </w:r>
      <w:r w:rsidR="005400EA">
        <w:rPr>
          <w:iCs/>
        </w:rPr>
        <w:t xml:space="preserve">that this assumption </w:t>
      </w:r>
      <w:r w:rsidR="007705D8">
        <w:rPr>
          <w:iCs/>
        </w:rPr>
        <w:t>wa</w:t>
      </w:r>
      <w:r w:rsidR="005400EA">
        <w:rPr>
          <w:iCs/>
        </w:rPr>
        <w:t>s</w:t>
      </w:r>
      <w:r w:rsidR="005400EA" w:rsidRPr="005400EA">
        <w:rPr>
          <w:iCs/>
        </w:rPr>
        <w:t xml:space="preserve"> supported by published evidence and expert advice from Australian clinicians.</w:t>
      </w:r>
      <w:r w:rsidR="005400EA">
        <w:rPr>
          <w:iCs/>
        </w:rPr>
        <w:t xml:space="preserve"> </w:t>
      </w:r>
      <w:r w:rsidR="006E006C">
        <w:rPr>
          <w:iCs/>
        </w:rPr>
        <w:t>The pre-PBAC</w:t>
      </w:r>
      <w:r w:rsidR="009C1012">
        <w:rPr>
          <w:iCs/>
        </w:rPr>
        <w:t xml:space="preserve"> response</w:t>
      </w:r>
      <w:r w:rsidR="006E006C">
        <w:rPr>
          <w:iCs/>
        </w:rPr>
        <w:t xml:space="preserve"> </w:t>
      </w:r>
      <w:r w:rsidR="009C1012">
        <w:rPr>
          <w:iCs/>
        </w:rPr>
        <w:t>considered</w:t>
      </w:r>
      <w:r w:rsidR="006E006C">
        <w:rPr>
          <w:iCs/>
        </w:rPr>
        <w:t xml:space="preserve"> data</w:t>
      </w:r>
      <w:r w:rsidR="009C1012">
        <w:rPr>
          <w:iCs/>
        </w:rPr>
        <w:t>,</w:t>
      </w:r>
      <w:r w:rsidR="006E006C">
        <w:rPr>
          <w:iCs/>
        </w:rPr>
        <w:t xml:space="preserve"> to be presented at the </w:t>
      </w:r>
      <w:r w:rsidR="006E006C" w:rsidRPr="006E006C">
        <w:rPr>
          <w:iCs/>
        </w:rPr>
        <w:t>American Heart Association 2023 conference (Wang et al 2023</w:t>
      </w:r>
      <w:r w:rsidR="006E006C">
        <w:rPr>
          <w:rStyle w:val="FootnoteReference"/>
          <w:iCs/>
        </w:rPr>
        <w:footnoteReference w:id="15"/>
      </w:r>
      <w:r w:rsidR="006E006C" w:rsidRPr="006E006C">
        <w:rPr>
          <w:iCs/>
        </w:rPr>
        <w:t>)</w:t>
      </w:r>
      <w:r w:rsidR="009C1012">
        <w:rPr>
          <w:iCs/>
        </w:rPr>
        <w:t>,</w:t>
      </w:r>
      <w:r w:rsidR="006E006C" w:rsidRPr="006E006C">
        <w:rPr>
          <w:iCs/>
        </w:rPr>
        <w:t xml:space="preserve"> further support</w:t>
      </w:r>
      <w:r w:rsidR="009C1012">
        <w:rPr>
          <w:iCs/>
        </w:rPr>
        <w:t>ed</w:t>
      </w:r>
      <w:r w:rsidR="006E006C" w:rsidRPr="006E006C">
        <w:rPr>
          <w:iCs/>
        </w:rPr>
        <w:t xml:space="preserve"> </w:t>
      </w:r>
      <w:r w:rsidR="006E006C">
        <w:rPr>
          <w:iCs/>
        </w:rPr>
        <w:t xml:space="preserve">an association </w:t>
      </w:r>
      <w:r w:rsidR="006E006C" w:rsidRPr="006E006C">
        <w:rPr>
          <w:iCs/>
        </w:rPr>
        <w:t xml:space="preserve">between worsening NYHA class and increased health care resource utilisation. </w:t>
      </w:r>
      <w:r w:rsidR="006E006C">
        <w:rPr>
          <w:iCs/>
        </w:rPr>
        <w:t xml:space="preserve">A total of 754 </w:t>
      </w:r>
      <w:r w:rsidR="006E006C" w:rsidRPr="006E006C">
        <w:rPr>
          <w:iCs/>
        </w:rPr>
        <w:t>adults with obstructive HCM in the United States</w:t>
      </w:r>
      <w:r w:rsidR="006E006C">
        <w:rPr>
          <w:iCs/>
        </w:rPr>
        <w:t xml:space="preserve"> </w:t>
      </w:r>
      <w:r w:rsidR="006E006C" w:rsidRPr="006E006C">
        <w:rPr>
          <w:iCs/>
        </w:rPr>
        <w:t>were included</w:t>
      </w:r>
      <w:r w:rsidR="006E006C">
        <w:rPr>
          <w:iCs/>
        </w:rPr>
        <w:t xml:space="preserve"> in the</w:t>
      </w:r>
      <w:r w:rsidR="006E006C" w:rsidRPr="006E006C">
        <w:rPr>
          <w:iCs/>
        </w:rPr>
        <w:t xml:space="preserve"> retrospective cohort study</w:t>
      </w:r>
      <w:r w:rsidR="006E006C">
        <w:rPr>
          <w:iCs/>
        </w:rPr>
        <w:t>. T</w:t>
      </w:r>
      <w:r w:rsidR="006E006C" w:rsidRPr="006E006C">
        <w:rPr>
          <w:iCs/>
        </w:rPr>
        <w:t xml:space="preserve">he </w:t>
      </w:r>
      <w:r w:rsidR="006E006C">
        <w:rPr>
          <w:iCs/>
        </w:rPr>
        <w:t xml:space="preserve">mean </w:t>
      </w:r>
      <w:r w:rsidR="006E006C" w:rsidRPr="006E006C">
        <w:rPr>
          <w:iCs/>
        </w:rPr>
        <w:t>annual number of all-cause hospitalisations</w:t>
      </w:r>
      <w:r w:rsidR="006E006C">
        <w:rPr>
          <w:iCs/>
        </w:rPr>
        <w:t xml:space="preserve"> was reported to</w:t>
      </w:r>
      <w:r w:rsidR="006E006C" w:rsidRPr="006E006C">
        <w:rPr>
          <w:iCs/>
        </w:rPr>
        <w:t xml:space="preserve"> increase with higher index NYHA classes (</w:t>
      </w:r>
      <w:r w:rsidR="006E006C">
        <w:rPr>
          <w:iCs/>
        </w:rPr>
        <w:t xml:space="preserve">class I = </w:t>
      </w:r>
      <w:r w:rsidR="006E006C" w:rsidRPr="006E006C">
        <w:rPr>
          <w:iCs/>
        </w:rPr>
        <w:t>0.3</w:t>
      </w:r>
      <w:r w:rsidR="006E006C">
        <w:rPr>
          <w:iCs/>
        </w:rPr>
        <w:t xml:space="preserve">; class II = </w:t>
      </w:r>
      <w:r w:rsidR="006E006C" w:rsidRPr="006E006C">
        <w:rPr>
          <w:iCs/>
        </w:rPr>
        <w:t>1.0</w:t>
      </w:r>
      <w:r w:rsidR="006E006C">
        <w:rPr>
          <w:iCs/>
        </w:rPr>
        <w:t xml:space="preserve">; class II = </w:t>
      </w:r>
      <w:r w:rsidR="006E006C" w:rsidRPr="006E006C">
        <w:rPr>
          <w:iCs/>
        </w:rPr>
        <w:t>1.6</w:t>
      </w:r>
      <w:r w:rsidR="006E006C">
        <w:rPr>
          <w:iCs/>
        </w:rPr>
        <w:t>; class IV =</w:t>
      </w:r>
      <w:r w:rsidR="006E006C" w:rsidRPr="006E006C">
        <w:rPr>
          <w:iCs/>
        </w:rPr>
        <w:t xml:space="preserve"> 2.1 ± 2.8). </w:t>
      </w:r>
      <w:r w:rsidR="006E006C">
        <w:rPr>
          <w:iCs/>
        </w:rPr>
        <w:t xml:space="preserve">The pre-PBAC </w:t>
      </w:r>
      <w:r w:rsidR="006E006C" w:rsidRPr="00B9284A">
        <w:rPr>
          <w:iCs/>
        </w:rPr>
        <w:t>response noted that these values were higher than the values assumed in the revised base case (class I = 0; class II = 0.38; class II/IV = 1).</w:t>
      </w:r>
      <w:r w:rsidR="00094801">
        <w:rPr>
          <w:iCs/>
        </w:rPr>
        <w:t xml:space="preserve"> The PBAC respecified b</w:t>
      </w:r>
      <w:r w:rsidR="00836A47">
        <w:rPr>
          <w:iCs/>
        </w:rPr>
        <w:t>a</w:t>
      </w:r>
      <w:r w:rsidR="00094801">
        <w:rPr>
          <w:iCs/>
        </w:rPr>
        <w:t xml:space="preserve">se case in </w:t>
      </w:r>
      <w:r w:rsidR="00836A47">
        <w:rPr>
          <w:iCs/>
        </w:rPr>
        <w:fldChar w:fldCharType="begin"/>
      </w:r>
      <w:r w:rsidR="00836A47">
        <w:rPr>
          <w:iCs/>
        </w:rPr>
        <w:instrText xml:space="preserve"> REF _Ref104804865 \h </w:instrText>
      </w:r>
      <w:r w:rsidR="00836A47">
        <w:rPr>
          <w:iCs/>
        </w:rPr>
      </w:r>
      <w:r w:rsidR="00836A47">
        <w:rPr>
          <w:iCs/>
        </w:rPr>
        <w:fldChar w:fldCharType="separate"/>
      </w:r>
      <w:r w:rsidR="00F84C70" w:rsidRPr="0027745D">
        <w:t xml:space="preserve">Table </w:t>
      </w:r>
      <w:r w:rsidR="00F84C70">
        <w:rPr>
          <w:noProof/>
        </w:rPr>
        <w:t>16</w:t>
      </w:r>
      <w:r w:rsidR="00836A47">
        <w:rPr>
          <w:iCs/>
        </w:rPr>
        <w:fldChar w:fldCharType="end"/>
      </w:r>
      <w:r w:rsidR="00836A47">
        <w:rPr>
          <w:iCs/>
        </w:rPr>
        <w:t xml:space="preserve"> reduced the cardiovascular hospitalisation rate by half rather than remove it altogether. </w:t>
      </w:r>
    </w:p>
    <w:p w14:paraId="476B199D" w14:textId="0DA9CAC9" w:rsidR="00B9284A" w:rsidRDefault="001667A0" w:rsidP="006D5766">
      <w:pPr>
        <w:pStyle w:val="3-BodyText"/>
        <w:spacing w:after="0"/>
      </w:pPr>
      <w:r w:rsidRPr="00B9284A">
        <w:t xml:space="preserve">At the November 2022 PBAC meeting, the PBAC </w:t>
      </w:r>
      <w:r w:rsidR="00575321" w:rsidRPr="00B9284A">
        <w:t xml:space="preserve">noted that the ESC </w:t>
      </w:r>
      <w:r w:rsidRPr="00B9284A">
        <w:t xml:space="preserve">considered the cost of SRT was overestimated in the economic evaluation; and </w:t>
      </w:r>
      <w:r w:rsidR="00575321" w:rsidRPr="00B9284A">
        <w:t xml:space="preserve">advised </w:t>
      </w:r>
      <w:r w:rsidRPr="00B9284A">
        <w:t>that SRT costs should be amended (</w:t>
      </w:r>
      <w:r w:rsidR="00F55FEF" w:rsidRPr="00B9284A">
        <w:t>para. 7.8 &amp; 7.9, mavacamten, Public Summary Document, November</w:t>
      </w:r>
      <w:r w:rsidR="00F55FEF" w:rsidRPr="00BF5BC7">
        <w:t xml:space="preserve"> 2022 PBAC meeting</w:t>
      </w:r>
      <w:r w:rsidRPr="00BF5BC7">
        <w:t>). Despite the PBAC’s advice, the resubmission retained the cost of SRT as used in the November 2022 submission.</w:t>
      </w:r>
      <w:r w:rsidR="00EF4AD4" w:rsidRPr="00BF5BC7">
        <w:t xml:space="preserve"> </w:t>
      </w:r>
      <w:r w:rsidR="00EF4AD4">
        <w:t>The resubmission argued that costs of SRT were not overestimated as SRT costs are applied as a once-off hospital cost in the model, which is unlikely to occur in practice. Based on Sun et al., (2022)</w:t>
      </w:r>
      <w:r w:rsidR="00823CBD">
        <w:rPr>
          <w:rStyle w:val="FootnoteReference"/>
          <w:color w:val="000000" w:themeColor="text1"/>
        </w:rPr>
        <w:footnoteReference w:id="16"/>
      </w:r>
      <w:r w:rsidR="00EF4AD4">
        <w:t xml:space="preserve"> the resubmission asserted that </w:t>
      </w:r>
      <w:r w:rsidR="00EF4AD4" w:rsidRPr="00821B75">
        <w:t xml:space="preserve">patients require cardiac rehabilitation as well as additional follow-up visits to their clinicians in the months after surgery which </w:t>
      </w:r>
      <w:r w:rsidR="00EF4AD4">
        <w:t>was not</w:t>
      </w:r>
      <w:r w:rsidR="00EF4AD4" w:rsidRPr="00821B75">
        <w:t xml:space="preserve"> costed</w:t>
      </w:r>
      <w:r w:rsidR="00EF4AD4">
        <w:t xml:space="preserve"> in the economic model.</w:t>
      </w:r>
      <w:r w:rsidR="00EB0EB2" w:rsidRPr="00EB0EB2">
        <w:t xml:space="preserve"> </w:t>
      </w:r>
      <w:r w:rsidR="00560758" w:rsidRPr="00541454">
        <w:t>The PSCR</w:t>
      </w:r>
      <w:r w:rsidR="004801A4" w:rsidRPr="00541454">
        <w:t xml:space="preserve"> </w:t>
      </w:r>
      <w:r w:rsidR="00560758" w:rsidRPr="00541454">
        <w:t xml:space="preserve">noted that </w:t>
      </w:r>
      <w:r w:rsidR="004E5462" w:rsidRPr="00541454">
        <w:t xml:space="preserve">both </w:t>
      </w:r>
      <w:r w:rsidR="00560758" w:rsidRPr="00541454">
        <w:t>Sun et al (2022)</w:t>
      </w:r>
      <w:r w:rsidR="004E5462" w:rsidRPr="00541454">
        <w:rPr>
          <w:rStyle w:val="FootnoteReference"/>
          <w:iCs/>
          <w:color w:val="000000" w:themeColor="text1"/>
        </w:rPr>
        <w:footnoteReference w:id="17"/>
      </w:r>
      <w:r w:rsidR="00560758" w:rsidRPr="00541454">
        <w:t xml:space="preserve"> and Nagueh et al (2021)</w:t>
      </w:r>
      <w:r w:rsidR="004E5462" w:rsidRPr="00541454">
        <w:rPr>
          <w:rStyle w:val="FootnoteReference"/>
          <w:iCs/>
          <w:color w:val="000000" w:themeColor="text1"/>
        </w:rPr>
        <w:footnoteReference w:id="18"/>
      </w:r>
      <w:r w:rsidR="00560758" w:rsidRPr="00541454">
        <w:t xml:space="preserve"> provide</w:t>
      </w:r>
      <w:r w:rsidR="00823CBD" w:rsidRPr="00541454">
        <w:t>d</w:t>
      </w:r>
      <w:r w:rsidR="00560758" w:rsidRPr="00541454">
        <w:t xml:space="preserve"> evidence that after SRT (either septal ablation or myectomy), a significant proportion of patients require either an emergency department visit or readmission within 2 years of treatment, with some patients requiring </w:t>
      </w:r>
      <w:r w:rsidR="00823CBD" w:rsidRPr="00541454">
        <w:t xml:space="preserve">a </w:t>
      </w:r>
      <w:r w:rsidR="00560758" w:rsidRPr="00541454">
        <w:t>repeat procedure. The</w:t>
      </w:r>
      <w:r w:rsidR="00F83135" w:rsidRPr="00541454">
        <w:t xml:space="preserve"> PSCR argued that these</w:t>
      </w:r>
      <w:r w:rsidR="00560758" w:rsidRPr="00541454">
        <w:t xml:space="preserve"> additional downstream costs ha</w:t>
      </w:r>
      <w:r w:rsidR="00F83135" w:rsidRPr="00541454">
        <w:t>d</w:t>
      </w:r>
      <w:r w:rsidR="00560758" w:rsidRPr="00541454">
        <w:t xml:space="preserve"> not been incorporated into the once-off cost for SRT and therefore the </w:t>
      </w:r>
      <w:r w:rsidR="00823CBD" w:rsidRPr="00541454">
        <w:t>sponsor</w:t>
      </w:r>
      <w:r w:rsidR="00560758" w:rsidRPr="00541454">
        <w:t xml:space="preserve"> maintain</w:t>
      </w:r>
      <w:r w:rsidR="00823CBD" w:rsidRPr="00541454">
        <w:t>ed</w:t>
      </w:r>
      <w:r w:rsidR="00560758" w:rsidRPr="00541454">
        <w:t xml:space="preserve"> that the cost used </w:t>
      </w:r>
      <w:r w:rsidR="00823CBD" w:rsidRPr="00541454">
        <w:t>wa</w:t>
      </w:r>
      <w:r w:rsidR="00560758" w:rsidRPr="00541454">
        <w:t xml:space="preserve">s reasonable and potentially conservative. The </w:t>
      </w:r>
      <w:r w:rsidR="00EB0EB2" w:rsidRPr="00541454">
        <w:t>ESC advised that a more transparent approach to estimating and reporting on costs of SRT would be required to justify the current estimates.</w:t>
      </w:r>
      <w:r w:rsidR="00B9284A">
        <w:t xml:space="preserve"> The pre-PBAC response </w:t>
      </w:r>
      <w:r w:rsidR="00B9284A">
        <w:lastRenderedPageBreak/>
        <w:t xml:space="preserve">maintained that the </w:t>
      </w:r>
      <w:r w:rsidR="00B9284A" w:rsidRPr="00B9284A">
        <w:t>weighted costs for AR-DRG codes F05A/F05B for septal myectomy and F08/F08B/F08C for alcohol septal ablation were appropriate</w:t>
      </w:r>
      <w:r w:rsidR="00966022">
        <w:t xml:space="preserve"> and</w:t>
      </w:r>
      <w:r w:rsidR="006D5766" w:rsidRPr="006D5766">
        <w:t xml:space="preserve"> </w:t>
      </w:r>
      <w:r w:rsidR="00B9284A" w:rsidRPr="006D5766">
        <w:t>likely to be conservative</w:t>
      </w:r>
      <w:r w:rsidR="00966022">
        <w:t>,</w:t>
      </w:r>
      <w:r w:rsidR="00B9284A" w:rsidRPr="006D5766">
        <w:t xml:space="preserve"> as additional costs such as rehabilitation and ongoing complications had not been accounted for. </w:t>
      </w:r>
      <w:r w:rsidR="006D5766" w:rsidRPr="006D5766">
        <w:t xml:space="preserve">The pre-PBAC response </w:t>
      </w:r>
      <w:r w:rsidR="00B9284A" w:rsidRPr="006D5766">
        <w:t xml:space="preserve">provided micro-costing in addition to the once-off procedure to support its assertion that the once-off cost applied </w:t>
      </w:r>
      <w:r w:rsidR="00430D62">
        <w:t>wa</w:t>
      </w:r>
      <w:r w:rsidR="00B9284A" w:rsidRPr="006D5766">
        <w:t>s reasonable</w:t>
      </w:r>
      <w:r w:rsidR="006D5766" w:rsidRPr="006D5766">
        <w:t xml:space="preserve"> and likely to be underestimated</w:t>
      </w:r>
      <w:r w:rsidR="00B9284A" w:rsidRPr="006D5766">
        <w:t>. This micro-costing account</w:t>
      </w:r>
      <w:r w:rsidR="00430D62">
        <w:t>ed</w:t>
      </w:r>
      <w:r w:rsidR="00B9284A" w:rsidRPr="006D5766">
        <w:t xml:space="preserve"> for additional clinician visits, monitoring post-surgery, cardiac rehabilitation, emergency department visits and readmission due to complications, pacemaker insertion and repeat procedure</w:t>
      </w:r>
      <w:r w:rsidR="00EF50F6">
        <w:t>s</w:t>
      </w:r>
      <w:r w:rsidR="00B9284A" w:rsidRPr="006D5766">
        <w:t xml:space="preserve"> required for some patients.</w:t>
      </w:r>
      <w:r w:rsidR="003D7842">
        <w:t xml:space="preserve"> The addition of on-going </w:t>
      </w:r>
      <w:r w:rsidR="00F540E3">
        <w:t>medical care</w:t>
      </w:r>
      <w:r w:rsidR="003D7842">
        <w:t xml:space="preserve"> resulted in an addition</w:t>
      </w:r>
      <w:r w:rsidR="00F540E3">
        <w:t>al</w:t>
      </w:r>
      <w:r w:rsidR="003D7842">
        <w:t xml:space="preserve"> $27,044 to the </w:t>
      </w:r>
      <w:r w:rsidR="00EF50F6">
        <w:t xml:space="preserve">cost of a </w:t>
      </w:r>
      <w:r w:rsidR="003D7842">
        <w:t>SRT procedure ($55,895).</w:t>
      </w:r>
      <w:r w:rsidR="00836A47">
        <w:t xml:space="preserve"> </w:t>
      </w:r>
      <w:r w:rsidR="00836A47">
        <w:rPr>
          <w:iCs/>
        </w:rPr>
        <w:t xml:space="preserve">The PBAC respecified base case in </w:t>
      </w:r>
      <w:r w:rsidR="00836A47">
        <w:rPr>
          <w:iCs/>
        </w:rPr>
        <w:fldChar w:fldCharType="begin"/>
      </w:r>
      <w:r w:rsidR="00836A47">
        <w:rPr>
          <w:iCs/>
        </w:rPr>
        <w:instrText xml:space="preserve"> REF _Ref104804865 \h </w:instrText>
      </w:r>
      <w:r w:rsidR="00836A47">
        <w:rPr>
          <w:iCs/>
        </w:rPr>
      </w:r>
      <w:r w:rsidR="00836A47">
        <w:rPr>
          <w:iCs/>
        </w:rPr>
        <w:fldChar w:fldCharType="separate"/>
      </w:r>
      <w:r w:rsidR="00F84C70" w:rsidRPr="0027745D">
        <w:t xml:space="preserve">Table </w:t>
      </w:r>
      <w:r w:rsidR="00F84C70">
        <w:rPr>
          <w:noProof/>
        </w:rPr>
        <w:t>16</w:t>
      </w:r>
      <w:r w:rsidR="00836A47">
        <w:rPr>
          <w:iCs/>
        </w:rPr>
        <w:fldChar w:fldCharType="end"/>
      </w:r>
      <w:r w:rsidR="00836A47">
        <w:rPr>
          <w:iCs/>
        </w:rPr>
        <w:t xml:space="preserve"> uses the SRT rates from VALOR</w:t>
      </w:r>
      <w:r w:rsidR="00714274">
        <w:rPr>
          <w:iCs/>
        </w:rPr>
        <w:t>-HCM</w:t>
      </w:r>
      <w:r w:rsidR="00836A47">
        <w:rPr>
          <w:iCs/>
        </w:rPr>
        <w:t xml:space="preserve"> to address the impact of SRT in the model. </w:t>
      </w:r>
      <w:r w:rsidR="00836A47">
        <w:t xml:space="preserve"> </w:t>
      </w:r>
      <w:r w:rsidR="00B9284A" w:rsidRPr="006D5766">
        <w:t xml:space="preserve"> </w:t>
      </w:r>
    </w:p>
    <w:p w14:paraId="13966DA8" w14:textId="0546FE44" w:rsidR="00637A8F" w:rsidRPr="00166086" w:rsidRDefault="00685DC5" w:rsidP="006D5766">
      <w:pPr>
        <w:pStyle w:val="3-BodyText"/>
        <w:spacing w:before="120"/>
        <w:rPr>
          <w:color w:val="0066FF"/>
        </w:rPr>
      </w:pPr>
      <w:bookmarkStart w:id="80" w:name="_Ref137748766"/>
      <w:r w:rsidRPr="00BF5BC7">
        <w:rPr>
          <w:iCs/>
        </w:rPr>
        <w:t xml:space="preserve">At the November 2022 meeting, the PBAC noted that the evaluation and the ESC considered </w:t>
      </w:r>
      <w:r w:rsidR="00454B54" w:rsidRPr="00BF5BC7">
        <w:rPr>
          <w:iCs/>
        </w:rPr>
        <w:t xml:space="preserve">a key issue was </w:t>
      </w:r>
      <w:r w:rsidRPr="00BF5BC7">
        <w:rPr>
          <w:iCs/>
        </w:rPr>
        <w:t>that discontinuation (even without a stopping rule) may be higher than modelled.</w:t>
      </w:r>
      <w:r w:rsidR="0080148D" w:rsidRPr="00BF5BC7">
        <w:rPr>
          <w:iCs/>
        </w:rPr>
        <w:t xml:space="preserve"> The method used to model discontinuation </w:t>
      </w:r>
      <w:r w:rsidR="00215F33" w:rsidRPr="00BF5BC7">
        <w:rPr>
          <w:iCs/>
        </w:rPr>
        <w:t xml:space="preserve">due to lack of response </w:t>
      </w:r>
      <w:r w:rsidR="0080148D" w:rsidRPr="00BF5BC7">
        <w:rPr>
          <w:iCs/>
        </w:rPr>
        <w:t>was unchanged in the resubmission</w:t>
      </w:r>
      <w:r w:rsidR="00663B69" w:rsidRPr="00BF5BC7">
        <w:rPr>
          <w:iCs/>
        </w:rPr>
        <w:t>.</w:t>
      </w:r>
      <w:r w:rsidR="00CD3321" w:rsidRPr="00BF5BC7">
        <w:rPr>
          <w:iCs/>
        </w:rPr>
        <w:t xml:space="preserve"> </w:t>
      </w:r>
      <w:r w:rsidR="00677853" w:rsidRPr="00677853">
        <w:rPr>
          <w:color w:val="000000" w:themeColor="text1"/>
        </w:rPr>
        <w:t>The resubmission assumed that, if patients gained no benefits in terms of NYHA class whilst on mavacamten treatment, they would discontinue due to lack of response</w:t>
      </w:r>
      <w:r w:rsidR="00677853">
        <w:rPr>
          <w:color w:val="000000" w:themeColor="text1"/>
        </w:rPr>
        <w:t xml:space="preserve">. </w:t>
      </w:r>
      <w:r w:rsidR="00677853" w:rsidRPr="00BF5BC7">
        <w:rPr>
          <w:iCs/>
          <w:color w:val="000000" w:themeColor="text1"/>
        </w:rPr>
        <w:t>This</w:t>
      </w:r>
      <w:r w:rsidR="00677853">
        <w:rPr>
          <w:color w:val="000000" w:themeColor="text1"/>
        </w:rPr>
        <w:t xml:space="preserve"> </w:t>
      </w:r>
      <w:r w:rsidR="00CD3321" w:rsidRPr="00BF5BC7">
        <w:rPr>
          <w:iCs/>
        </w:rPr>
        <w:t xml:space="preserve">was inconsistent with the </w:t>
      </w:r>
      <w:r w:rsidR="00BC04D3" w:rsidRPr="00BF5BC7">
        <w:rPr>
          <w:iCs/>
        </w:rPr>
        <w:t>proposed PBS restriction, which does not include a stopping rule for mavacamten treatment</w:t>
      </w:r>
      <w:r w:rsidR="0080148D" w:rsidRPr="00BF5BC7">
        <w:rPr>
          <w:iCs/>
        </w:rPr>
        <w:t>.</w:t>
      </w:r>
      <w:r w:rsidRPr="00BF5BC7">
        <w:rPr>
          <w:iCs/>
        </w:rPr>
        <w:t xml:space="preserve"> In EXPLORER-HCM, 63.4% of mavacamten patients did not achieve the primary composite endpoint and 48.8% of patients remained NYHA class II/III. </w:t>
      </w:r>
      <w:r w:rsidRPr="00BF5BC7">
        <w:rPr>
          <w:iCs/>
          <w:lang w:val="en-US"/>
        </w:rPr>
        <w:t xml:space="preserve">The ESC </w:t>
      </w:r>
      <w:r w:rsidR="00455245" w:rsidRPr="00541454">
        <w:rPr>
          <w:lang w:val="en-US"/>
        </w:rPr>
        <w:t>previously</w:t>
      </w:r>
      <w:r w:rsidR="00455245">
        <w:rPr>
          <w:iCs/>
          <w:lang w:val="en-US"/>
        </w:rPr>
        <w:t xml:space="preserve"> </w:t>
      </w:r>
      <w:r w:rsidRPr="00BF5BC7">
        <w:rPr>
          <w:iCs/>
          <w:lang w:val="en-US"/>
        </w:rPr>
        <w:t xml:space="preserve">considered a revised base case should include stronger justification for long-term treatment discontinuation. </w:t>
      </w:r>
      <w:r w:rsidRPr="00BF5BC7">
        <w:rPr>
          <w:iCs/>
        </w:rPr>
        <w:t xml:space="preserve">The PBAC </w:t>
      </w:r>
      <w:r w:rsidR="00455245" w:rsidRPr="00541454">
        <w:t xml:space="preserve">previously </w:t>
      </w:r>
      <w:r w:rsidRPr="00BF5BC7">
        <w:rPr>
          <w:iCs/>
        </w:rPr>
        <w:t>considered that the respecified base case should include amended inputs for the discontinuation rates (</w:t>
      </w:r>
      <w:r w:rsidR="00F55FEF" w:rsidRPr="00BF5BC7">
        <w:rPr>
          <w:iCs/>
        </w:rPr>
        <w:t>para. 6.41 &amp; 7.9, mavacamten, Public Summary Document, November 2022 PBAC meeting</w:t>
      </w:r>
      <w:r w:rsidRPr="00BF5BC7">
        <w:rPr>
          <w:iCs/>
        </w:rPr>
        <w:t>).</w:t>
      </w:r>
      <w:r w:rsidR="00454B54" w:rsidRPr="00BF5BC7">
        <w:rPr>
          <w:iCs/>
        </w:rPr>
        <w:t xml:space="preserve"> </w:t>
      </w:r>
      <w:r w:rsidR="00C600E1" w:rsidRPr="00BF5BC7">
        <w:rPr>
          <w:iCs/>
          <w:lang w:val="en-US"/>
        </w:rPr>
        <w:t xml:space="preserve">No justification was provided in the resubmission for retaining the assumption relating to discontinuation due to lack of response. </w:t>
      </w:r>
      <w:r w:rsidR="0031461F" w:rsidRPr="0031461F">
        <w:t xml:space="preserve">The </w:t>
      </w:r>
      <w:r w:rsidR="0031461F" w:rsidRPr="00166086">
        <w:rPr>
          <w:color w:val="000000" w:themeColor="text1"/>
        </w:rPr>
        <w:t>resubmission revised inputs for the proportion of patients discontinuing mavacamten</w:t>
      </w:r>
      <w:r w:rsidR="00455245">
        <w:rPr>
          <w:color w:val="000000" w:themeColor="text1"/>
        </w:rPr>
        <w:t xml:space="preserve"> </w:t>
      </w:r>
      <w:r w:rsidR="00455245" w:rsidRPr="00541454">
        <w:rPr>
          <w:iCs/>
          <w:color w:val="000000" w:themeColor="text1"/>
        </w:rPr>
        <w:t>due to a serious adverse event</w:t>
      </w:r>
      <w:r w:rsidR="00675993" w:rsidRPr="00541454">
        <w:rPr>
          <w:iCs/>
          <w:color w:val="000000" w:themeColor="text1"/>
        </w:rPr>
        <w:t xml:space="preserve"> (SAE)</w:t>
      </w:r>
      <w:r w:rsidR="0031461F" w:rsidRPr="00166086">
        <w:rPr>
          <w:color w:val="000000" w:themeColor="text1"/>
        </w:rPr>
        <w:t xml:space="preserve"> at week 30 from 1.6% to 5.0% and the ongoing annual discontinuation rate which was calculated as a function of the proportion of patients discontinuing mavacamten at week 30</w:t>
      </w:r>
      <w:r w:rsidR="00EF2E0E">
        <w:rPr>
          <w:color w:val="000000" w:themeColor="text1"/>
        </w:rPr>
        <w:t xml:space="preserve"> </w:t>
      </w:r>
      <w:r w:rsidR="00EF2E0E" w:rsidRPr="00541454">
        <w:rPr>
          <w:iCs/>
          <w:color w:val="000000" w:themeColor="text1"/>
        </w:rPr>
        <w:t xml:space="preserve">(due to </w:t>
      </w:r>
      <w:r w:rsidR="00E5706B" w:rsidRPr="00541454">
        <w:rPr>
          <w:iCs/>
          <w:color w:val="000000" w:themeColor="text1"/>
        </w:rPr>
        <w:t>SAEs</w:t>
      </w:r>
      <w:r w:rsidR="00EF2E0E" w:rsidRPr="00541454">
        <w:rPr>
          <w:iCs/>
          <w:color w:val="000000" w:themeColor="text1"/>
        </w:rPr>
        <w:t>)</w:t>
      </w:r>
      <w:r w:rsidR="0031461F" w:rsidRPr="00541454">
        <w:rPr>
          <w:iCs/>
          <w:color w:val="000000" w:themeColor="text1"/>
        </w:rPr>
        <w:t>.</w:t>
      </w:r>
      <w:r w:rsidR="0031461F" w:rsidRPr="00166086">
        <w:rPr>
          <w:color w:val="000000" w:themeColor="text1"/>
        </w:rPr>
        <w:t xml:space="preserve"> This input was revised from 2.8% annually to 8.53% annually. </w:t>
      </w:r>
      <w:r w:rsidR="00EF2E0E" w:rsidRPr="00541454">
        <w:rPr>
          <w:iCs/>
          <w:color w:val="000000" w:themeColor="text1"/>
        </w:rPr>
        <w:t>However, the percentage of patients assumed to</w:t>
      </w:r>
      <w:r w:rsidR="00EF2E0E">
        <w:rPr>
          <w:color w:val="000000" w:themeColor="text1"/>
        </w:rPr>
        <w:t xml:space="preserve"> </w:t>
      </w:r>
      <w:r w:rsidR="00EF2E0E" w:rsidRPr="00541454">
        <w:rPr>
          <w:iCs/>
          <w:color w:val="000000" w:themeColor="text1"/>
        </w:rPr>
        <w:t xml:space="preserve">discontinue due to </w:t>
      </w:r>
      <w:r w:rsidR="00E5706B" w:rsidRPr="00541454">
        <w:rPr>
          <w:iCs/>
          <w:color w:val="000000" w:themeColor="text1"/>
        </w:rPr>
        <w:t xml:space="preserve">a </w:t>
      </w:r>
      <w:r w:rsidR="00EF2E0E" w:rsidRPr="00541454">
        <w:rPr>
          <w:iCs/>
          <w:color w:val="000000" w:themeColor="text1"/>
        </w:rPr>
        <w:t>lack of response</w:t>
      </w:r>
      <w:r w:rsidR="00E5706B" w:rsidRPr="00541454">
        <w:rPr>
          <w:iCs/>
          <w:color w:val="000000" w:themeColor="text1"/>
        </w:rPr>
        <w:t xml:space="preserve"> at 30 weeks</w:t>
      </w:r>
      <w:r w:rsidR="00EF2E0E" w:rsidRPr="00541454">
        <w:rPr>
          <w:iCs/>
          <w:color w:val="000000" w:themeColor="text1"/>
        </w:rPr>
        <w:t xml:space="preserve"> (no improvement</w:t>
      </w:r>
      <w:r w:rsidR="00E5706B" w:rsidRPr="00541454">
        <w:rPr>
          <w:iCs/>
          <w:color w:val="000000" w:themeColor="text1"/>
        </w:rPr>
        <w:t xml:space="preserve"> in NYHA class</w:t>
      </w:r>
      <w:r w:rsidR="00EF2E0E" w:rsidRPr="00541454">
        <w:rPr>
          <w:iCs/>
          <w:color w:val="000000" w:themeColor="text1"/>
        </w:rPr>
        <w:t xml:space="preserve">) remained unchanged (NYHA I = 0%; NYHA II = 63.5%; NYHA = </w:t>
      </w:r>
      <w:r w:rsidR="00E5706B" w:rsidRPr="00541454">
        <w:rPr>
          <w:iCs/>
          <w:color w:val="000000" w:themeColor="text1"/>
        </w:rPr>
        <w:t>100%)</w:t>
      </w:r>
      <w:r w:rsidR="00EF2E0E" w:rsidRPr="00541454">
        <w:rPr>
          <w:iCs/>
          <w:color w:val="000000" w:themeColor="text1"/>
        </w:rPr>
        <w:t>. The PSCR argued that the increase</w:t>
      </w:r>
      <w:r w:rsidR="00E5706B" w:rsidRPr="00541454">
        <w:rPr>
          <w:iCs/>
          <w:color w:val="000000" w:themeColor="text1"/>
        </w:rPr>
        <w:t xml:space="preserve"> to the percentages related to discontinuation due to SAEs </w:t>
      </w:r>
      <w:r w:rsidR="00262D4E" w:rsidRPr="00541454">
        <w:rPr>
          <w:iCs/>
          <w:color w:val="000000" w:themeColor="text1"/>
        </w:rPr>
        <w:t>are considered by the sponsor to</w:t>
      </w:r>
      <w:r w:rsidR="00E5706B" w:rsidRPr="00541454">
        <w:rPr>
          <w:iCs/>
          <w:color w:val="000000" w:themeColor="text1"/>
        </w:rPr>
        <w:t xml:space="preserve"> account for both discontinuations associated with SAEs and </w:t>
      </w:r>
      <w:r w:rsidR="001C16C8" w:rsidRPr="00541454">
        <w:rPr>
          <w:iCs/>
          <w:color w:val="000000" w:themeColor="text1"/>
        </w:rPr>
        <w:t xml:space="preserve">a </w:t>
      </w:r>
      <w:r w:rsidR="00E5706B" w:rsidRPr="00541454">
        <w:rPr>
          <w:iCs/>
          <w:color w:val="000000" w:themeColor="text1"/>
        </w:rPr>
        <w:t>lack of response.</w:t>
      </w:r>
      <w:bookmarkEnd w:id="80"/>
    </w:p>
    <w:p w14:paraId="5B7A8D98" w14:textId="26260196" w:rsidR="00166086" w:rsidRPr="00D92F79" w:rsidRDefault="00D9195A" w:rsidP="00D92F79">
      <w:pPr>
        <w:pStyle w:val="3-BodyText"/>
      </w:pPr>
      <w:r>
        <w:t xml:space="preserve">The distribution of patients in each </w:t>
      </w:r>
      <w:r w:rsidRPr="00FD3E5F">
        <w:t>health state over the model time horizon</w:t>
      </w:r>
      <w:r>
        <w:t xml:space="preserve"> is provided in </w:t>
      </w:r>
      <w:r w:rsidR="00D04388">
        <w:fldChar w:fldCharType="begin"/>
      </w:r>
      <w:r w:rsidR="00D04388">
        <w:instrText xml:space="preserve"> REF _Ref110525693 \h </w:instrText>
      </w:r>
      <w:r w:rsidR="00D04388">
        <w:fldChar w:fldCharType="separate"/>
      </w:r>
      <w:r w:rsidR="00F84C70">
        <w:t xml:space="preserve">Figure </w:t>
      </w:r>
      <w:r w:rsidR="00F84C70">
        <w:rPr>
          <w:noProof/>
        </w:rPr>
        <w:t>1</w:t>
      </w:r>
      <w:r w:rsidR="00D04388">
        <w:fldChar w:fldCharType="end"/>
      </w:r>
      <w:r w:rsidRPr="00FD3E5F">
        <w:t>.</w:t>
      </w:r>
      <w:r w:rsidR="000B22B5">
        <w:t xml:space="preserve"> </w:t>
      </w:r>
      <w:r w:rsidR="00050ADA" w:rsidRPr="00BF5BC7">
        <w:rPr>
          <w:iCs/>
        </w:rPr>
        <w:t>The impact on those distributions of a</w:t>
      </w:r>
      <w:r w:rsidR="000B22B5" w:rsidRPr="00BF5BC7">
        <w:rPr>
          <w:iCs/>
        </w:rPr>
        <w:t>pplying changes re</w:t>
      </w:r>
      <w:r w:rsidR="00050ADA" w:rsidRPr="00BF5BC7">
        <w:rPr>
          <w:iCs/>
        </w:rPr>
        <w:t>quested</w:t>
      </w:r>
      <w:r w:rsidR="000B22B5" w:rsidRPr="00BF5BC7">
        <w:rPr>
          <w:iCs/>
        </w:rPr>
        <w:t xml:space="preserve"> by the PBAC, including truncation of observed data in both arms at 30 weeks and removing mortality (</w:t>
      </w:r>
      <w:r w:rsidR="00F55FEF" w:rsidRPr="00BF5BC7">
        <w:rPr>
          <w:iCs/>
        </w:rPr>
        <w:t>para. 7.9, mavacamten, Public Summary Document, November 2022 PBAC meeting</w:t>
      </w:r>
      <w:r w:rsidR="000B22B5" w:rsidRPr="00BF5BC7">
        <w:rPr>
          <w:iCs/>
        </w:rPr>
        <w:t xml:space="preserve">), are also presented in </w:t>
      </w:r>
      <w:r w:rsidR="000B22B5" w:rsidRPr="00050ADA">
        <w:rPr>
          <w:i/>
          <w:iCs/>
        </w:rPr>
        <w:fldChar w:fldCharType="begin"/>
      </w:r>
      <w:r w:rsidR="000B22B5" w:rsidRPr="00050ADA">
        <w:rPr>
          <w:i/>
          <w:iCs/>
        </w:rPr>
        <w:instrText xml:space="preserve"> REF _Ref110525693 \h </w:instrText>
      </w:r>
      <w:r w:rsidR="000B22B5" w:rsidRPr="00050ADA">
        <w:rPr>
          <w:i/>
          <w:iCs/>
        </w:rPr>
      </w:r>
      <w:r w:rsidR="000B22B5" w:rsidRPr="00050ADA">
        <w:rPr>
          <w:i/>
          <w:iCs/>
        </w:rPr>
        <w:fldChar w:fldCharType="separate"/>
      </w:r>
      <w:r w:rsidR="00F84C70">
        <w:t xml:space="preserve">Figure </w:t>
      </w:r>
      <w:r w:rsidR="00F84C70">
        <w:rPr>
          <w:noProof/>
        </w:rPr>
        <w:t>1</w:t>
      </w:r>
      <w:r w:rsidR="000B22B5" w:rsidRPr="00050ADA">
        <w:rPr>
          <w:i/>
          <w:iCs/>
        </w:rPr>
        <w:fldChar w:fldCharType="end"/>
      </w:r>
      <w:r w:rsidR="000B22B5" w:rsidRPr="00BF5BC7">
        <w:rPr>
          <w:iCs/>
        </w:rPr>
        <w:t>.</w:t>
      </w:r>
      <w:r w:rsidR="000B22B5">
        <w:t xml:space="preserve"> </w:t>
      </w:r>
      <w:r w:rsidR="00166086">
        <w:br w:type="page"/>
      </w:r>
    </w:p>
    <w:p w14:paraId="41ED5AF9" w14:textId="00F40232" w:rsidR="00ED7A74" w:rsidRDefault="00ED7A74" w:rsidP="00ED7A74">
      <w:pPr>
        <w:pStyle w:val="Caption"/>
      </w:pPr>
      <w:bookmarkStart w:id="81" w:name="_Ref110525693"/>
      <w:r>
        <w:lastRenderedPageBreak/>
        <w:t xml:space="preserve">Figure </w:t>
      </w:r>
      <w:fldSimple w:instr=" SEQ Figure \* ARABIC ">
        <w:r w:rsidR="00F84C70">
          <w:rPr>
            <w:noProof/>
          </w:rPr>
          <w:t>1</w:t>
        </w:r>
      </w:fldSimple>
      <w:bookmarkEnd w:id="81"/>
      <w:r>
        <w:t>: Proportion of patients in each health state over time</w:t>
      </w:r>
    </w:p>
    <w:tbl>
      <w:tblPr>
        <w:tblStyle w:val="TableGrid"/>
        <w:tblW w:w="0" w:type="auto"/>
        <w:tblLook w:val="04A0" w:firstRow="1" w:lastRow="0" w:firstColumn="1" w:lastColumn="0" w:noHBand="0" w:noVBand="1"/>
      </w:tblPr>
      <w:tblGrid>
        <w:gridCol w:w="9017"/>
      </w:tblGrid>
      <w:tr w:rsidR="00D04388" w:rsidRPr="00D10CB6" w14:paraId="149FF2AC" w14:textId="77777777" w:rsidTr="00F774FD">
        <w:tc>
          <w:tcPr>
            <w:tcW w:w="9017" w:type="dxa"/>
            <w:tcBorders>
              <w:bottom w:val="nil"/>
            </w:tcBorders>
          </w:tcPr>
          <w:p w14:paraId="49C7E4C3" w14:textId="77777777" w:rsidR="00D04388" w:rsidRPr="006E12FF" w:rsidRDefault="00D04388" w:rsidP="007E01D9">
            <w:pPr>
              <w:pStyle w:val="TableFooter"/>
              <w:rPr>
                <w:b/>
                <w:bCs/>
              </w:rPr>
            </w:pPr>
            <w:r>
              <w:rPr>
                <w:b/>
                <w:bCs/>
              </w:rPr>
              <w:t>R</w:t>
            </w:r>
            <w:r w:rsidRPr="006E12FF">
              <w:rPr>
                <w:b/>
                <w:bCs/>
              </w:rPr>
              <w:t>esubmission base case</w:t>
            </w:r>
          </w:p>
        </w:tc>
      </w:tr>
      <w:tr w:rsidR="00D04388" w:rsidRPr="00D10CB6" w14:paraId="02835000" w14:textId="77777777" w:rsidTr="00F774FD">
        <w:tc>
          <w:tcPr>
            <w:tcW w:w="9017" w:type="dxa"/>
            <w:tcBorders>
              <w:top w:val="nil"/>
              <w:bottom w:val="single" w:sz="4" w:space="0" w:color="auto"/>
            </w:tcBorders>
          </w:tcPr>
          <w:p w14:paraId="572D5E31" w14:textId="77777777" w:rsidR="00D04388" w:rsidRPr="00D10CB6" w:rsidRDefault="003601B3" w:rsidP="009615F6">
            <w:pPr>
              <w:pStyle w:val="TableFooter"/>
              <w:jc w:val="center"/>
              <w:rPr>
                <w:rFonts w:asciiTheme="minorHAnsi" w:hAnsiTheme="minorHAnsi"/>
                <w:noProof/>
              </w:rPr>
            </w:pPr>
            <w:r>
              <w:rPr>
                <w:noProof/>
              </w:rPr>
              <w:drawing>
                <wp:inline distT="0" distB="0" distL="0" distR="0" wp14:anchorId="1930E520" wp14:editId="03D2BD4B">
                  <wp:extent cx="5153025" cy="1910956"/>
                  <wp:effectExtent l="0" t="0" r="0" b="0"/>
                  <wp:docPr id="19" name="Picture 19" descr="Graphical user interface, application, table, Excel,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 Excel, PowerPoint&#10;&#10;Description automatically generated"/>
                          <pic:cNvPicPr/>
                        </pic:nvPicPr>
                        <pic:blipFill rotWithShape="1">
                          <a:blip r:embed="rId10"/>
                          <a:srcRect l="13220" t="43575" r="24767" b="13135"/>
                          <a:stretch/>
                        </pic:blipFill>
                        <pic:spPr bwMode="auto">
                          <a:xfrm>
                            <a:off x="0" y="0"/>
                            <a:ext cx="5169298" cy="1916991"/>
                          </a:xfrm>
                          <a:prstGeom prst="rect">
                            <a:avLst/>
                          </a:prstGeom>
                          <a:ln>
                            <a:noFill/>
                          </a:ln>
                          <a:extLst>
                            <a:ext uri="{53640926-AAD7-44D8-BBD7-CCE9431645EC}">
                              <a14:shadowObscured xmlns:a14="http://schemas.microsoft.com/office/drawing/2010/main"/>
                            </a:ext>
                          </a:extLst>
                        </pic:spPr>
                      </pic:pic>
                    </a:graphicData>
                  </a:graphic>
                </wp:inline>
              </w:drawing>
            </w:r>
          </w:p>
        </w:tc>
      </w:tr>
      <w:tr w:rsidR="00D04388" w:rsidRPr="00D10CB6" w14:paraId="1AFA341F" w14:textId="77777777" w:rsidTr="00F774FD">
        <w:tc>
          <w:tcPr>
            <w:tcW w:w="9017" w:type="dxa"/>
            <w:tcBorders>
              <w:bottom w:val="nil"/>
            </w:tcBorders>
          </w:tcPr>
          <w:p w14:paraId="02A0CD72" w14:textId="77777777" w:rsidR="00D04388" w:rsidRDefault="00D04388" w:rsidP="007E01D9">
            <w:pPr>
              <w:pStyle w:val="TableFooter"/>
              <w:rPr>
                <w:rFonts w:asciiTheme="minorHAnsi" w:hAnsiTheme="minorHAnsi"/>
                <w:noProof/>
              </w:rPr>
            </w:pPr>
          </w:p>
          <w:p w14:paraId="6DF63FCB" w14:textId="77777777" w:rsidR="00D04388" w:rsidRPr="00E16C94" w:rsidRDefault="00D04388" w:rsidP="007E01D9">
            <w:pPr>
              <w:pStyle w:val="TableFooter"/>
              <w:rPr>
                <w:rFonts w:asciiTheme="minorHAnsi" w:hAnsiTheme="minorHAnsi"/>
                <w:i/>
                <w:iCs/>
                <w:noProof/>
              </w:rPr>
            </w:pPr>
            <w:r w:rsidRPr="00BF5BC7">
              <w:rPr>
                <w:b/>
                <w:bCs/>
                <w:iCs/>
              </w:rPr>
              <w:t>PBAC respecified changes Truncation both arms 30 weeks; mortality removed</w:t>
            </w:r>
          </w:p>
        </w:tc>
      </w:tr>
      <w:tr w:rsidR="00D04388" w:rsidRPr="00D10CB6" w14:paraId="35B3E6C8" w14:textId="77777777" w:rsidTr="00D04388">
        <w:tc>
          <w:tcPr>
            <w:tcW w:w="9017" w:type="dxa"/>
            <w:tcBorders>
              <w:top w:val="nil"/>
              <w:bottom w:val="nil"/>
            </w:tcBorders>
          </w:tcPr>
          <w:p w14:paraId="0BAE5252" w14:textId="77777777" w:rsidR="00D04388" w:rsidRDefault="009124B9" w:rsidP="009615F6">
            <w:pPr>
              <w:pStyle w:val="TableFooter"/>
              <w:jc w:val="center"/>
              <w:rPr>
                <w:rFonts w:asciiTheme="minorHAnsi" w:hAnsiTheme="minorHAnsi"/>
                <w:noProof/>
              </w:rPr>
            </w:pPr>
            <w:r>
              <w:rPr>
                <w:noProof/>
              </w:rPr>
              <w:drawing>
                <wp:inline distT="0" distB="0" distL="0" distR="0" wp14:anchorId="46B4905B" wp14:editId="1812D00C">
                  <wp:extent cx="5213136" cy="1933575"/>
                  <wp:effectExtent l="0" t="0" r="6985" b="0"/>
                  <wp:docPr id="20" name="Picture 20" descr="Graphical user interface, application, table, Excel,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able, Excel, PowerPoint&#10;&#10;Description automatically generated"/>
                          <pic:cNvPicPr/>
                        </pic:nvPicPr>
                        <pic:blipFill rotWithShape="1">
                          <a:blip r:embed="rId11"/>
                          <a:srcRect l="26358" t="46671" r="11237" b="9759"/>
                          <a:stretch/>
                        </pic:blipFill>
                        <pic:spPr bwMode="auto">
                          <a:xfrm>
                            <a:off x="0" y="0"/>
                            <a:ext cx="5237657" cy="1942670"/>
                          </a:xfrm>
                          <a:prstGeom prst="rect">
                            <a:avLst/>
                          </a:prstGeom>
                          <a:ln>
                            <a:noFill/>
                          </a:ln>
                          <a:extLst>
                            <a:ext uri="{53640926-AAD7-44D8-BBD7-CCE9431645EC}">
                              <a14:shadowObscured xmlns:a14="http://schemas.microsoft.com/office/drawing/2010/main"/>
                            </a:ext>
                          </a:extLst>
                        </pic:spPr>
                      </pic:pic>
                    </a:graphicData>
                  </a:graphic>
                </wp:inline>
              </w:drawing>
            </w:r>
          </w:p>
          <w:p w14:paraId="3998CB16" w14:textId="77777777" w:rsidR="00D04388" w:rsidRPr="00D10CB6" w:rsidRDefault="00D04388" w:rsidP="007E01D9">
            <w:pPr>
              <w:pStyle w:val="TableFooter"/>
              <w:rPr>
                <w:rFonts w:asciiTheme="minorHAnsi" w:hAnsiTheme="minorHAnsi"/>
                <w:noProof/>
              </w:rPr>
            </w:pPr>
          </w:p>
        </w:tc>
      </w:tr>
      <w:tr w:rsidR="00FA5AB7" w:rsidRPr="00D10CB6" w14:paraId="5AC64108" w14:textId="77777777" w:rsidTr="007E01D9">
        <w:trPr>
          <w:trHeight w:val="289"/>
        </w:trPr>
        <w:tc>
          <w:tcPr>
            <w:tcW w:w="9017" w:type="dxa"/>
            <w:tcBorders>
              <w:top w:val="nil"/>
              <w:bottom w:val="nil"/>
            </w:tcBorders>
            <w:shd w:val="clear" w:color="auto" w:fill="C6D9F1" w:themeFill="text2" w:themeFillTint="33"/>
          </w:tcPr>
          <w:p w14:paraId="51A94DB0" w14:textId="77777777" w:rsidR="00FA5AB7" w:rsidRDefault="00FA5AB7" w:rsidP="007E01D9">
            <w:pPr>
              <w:pStyle w:val="TableFooter"/>
              <w:rPr>
                <w:noProof/>
              </w:rPr>
            </w:pPr>
          </w:p>
          <w:p w14:paraId="67163A44" w14:textId="77777777" w:rsidR="00FA5AB7" w:rsidRDefault="00FA5AB7" w:rsidP="007E01D9">
            <w:pPr>
              <w:pStyle w:val="TableFooter"/>
              <w:rPr>
                <w:noProof/>
              </w:rPr>
            </w:pPr>
            <w:r w:rsidRPr="00BF5BC7">
              <w:rPr>
                <w:b/>
                <w:bCs/>
                <w:iCs/>
                <w:noProof/>
              </w:rPr>
              <w:t>November 2022 base case</w:t>
            </w:r>
          </w:p>
        </w:tc>
      </w:tr>
      <w:tr w:rsidR="00FA5AB7" w:rsidRPr="00D10CB6" w14:paraId="291C05C4" w14:textId="77777777" w:rsidTr="00B2659F">
        <w:tc>
          <w:tcPr>
            <w:tcW w:w="9017" w:type="dxa"/>
            <w:tcBorders>
              <w:top w:val="nil"/>
            </w:tcBorders>
            <w:shd w:val="clear" w:color="auto" w:fill="C6D9F1" w:themeFill="text2" w:themeFillTint="33"/>
          </w:tcPr>
          <w:p w14:paraId="02B9B331" w14:textId="77777777" w:rsidR="00FA5AB7" w:rsidRDefault="004E47A6" w:rsidP="009615F6">
            <w:pPr>
              <w:pStyle w:val="TableFooter"/>
              <w:jc w:val="center"/>
              <w:rPr>
                <w:noProof/>
              </w:rPr>
            </w:pPr>
            <w:r>
              <w:rPr>
                <w:noProof/>
              </w:rPr>
              <w:drawing>
                <wp:inline distT="0" distB="0" distL="0" distR="0" wp14:anchorId="24C41FCC" wp14:editId="13049ADF">
                  <wp:extent cx="5348605" cy="1940294"/>
                  <wp:effectExtent l="0" t="0" r="4445" b="3175"/>
                  <wp:docPr id="33" name="Picture 3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rotWithShape="1">
                          <a:blip r:embed="rId12"/>
                          <a:srcRect l="12202" t="36807" r="20543" b="17266"/>
                          <a:stretch/>
                        </pic:blipFill>
                        <pic:spPr bwMode="auto">
                          <a:xfrm>
                            <a:off x="0" y="0"/>
                            <a:ext cx="5359314" cy="19441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15F511" w14:textId="77777777" w:rsidR="00FA5AB7" w:rsidRPr="00D10CB6" w:rsidRDefault="00FA5AB7" w:rsidP="00FA5AB7">
      <w:pPr>
        <w:pStyle w:val="TableFooter"/>
      </w:pPr>
      <w:r w:rsidRPr="00D10CB6">
        <w:t xml:space="preserve">Source: </w:t>
      </w:r>
      <w:r w:rsidRPr="00FA5AB7">
        <w:t xml:space="preserve">Figure 53, p218 of the </w:t>
      </w:r>
      <w:r>
        <w:t xml:space="preserve">November 2022 </w:t>
      </w:r>
      <w:r w:rsidRPr="00FA5AB7">
        <w:t>submission</w:t>
      </w:r>
      <w:r>
        <w:t xml:space="preserve">; </w:t>
      </w:r>
      <w:r w:rsidRPr="00D10CB6">
        <w:t>Figure 19, p100 of the resubmission</w:t>
      </w:r>
      <w:r>
        <w:t xml:space="preserve">; </w:t>
      </w:r>
      <w:r w:rsidRPr="00BF5BC7">
        <w:rPr>
          <w:iCs/>
        </w:rPr>
        <w:t>“Mavacamten obstructive HCM model resubmission_FINAL” Excel workbook, July 2023 resubmission.</w:t>
      </w:r>
    </w:p>
    <w:p w14:paraId="6C6754E1" w14:textId="77777777" w:rsidR="00FA5AB7" w:rsidRDefault="00FA5AB7" w:rsidP="00FA5AB7">
      <w:pPr>
        <w:pStyle w:val="TableFooter"/>
      </w:pPr>
      <w:r w:rsidRPr="007E480F">
        <w:rPr>
          <w:szCs w:val="16"/>
        </w:rPr>
        <w:t xml:space="preserve">BB = beta-blocker; CCB = calcium channel blockers; </w:t>
      </w:r>
      <w:r w:rsidRPr="00D10CB6">
        <w:t>NYHA = New York Heart Association</w:t>
      </w:r>
      <w:r w:rsidR="00166086">
        <w:t>.</w:t>
      </w:r>
    </w:p>
    <w:p w14:paraId="5330356C" w14:textId="77777777" w:rsidR="00166086" w:rsidRDefault="00166086" w:rsidP="00166086">
      <w:pPr>
        <w:pStyle w:val="FooterTableFigure"/>
        <w:rPr>
          <w:rFonts w:eastAsia="Calibri"/>
        </w:rPr>
      </w:pPr>
      <w:r w:rsidRPr="00394D79">
        <w:rPr>
          <w:iCs/>
          <w:shd w:val="clear" w:color="auto" w:fill="C6D9F1" w:themeFill="text2" w:themeFillTint="33"/>
        </w:rPr>
        <w:t xml:space="preserve">Blue </w:t>
      </w:r>
      <w:r w:rsidRPr="00394D79">
        <w:rPr>
          <w:iCs/>
        </w:rPr>
        <w:t>shading represents information previously considered by the PBAC</w:t>
      </w:r>
      <w:r w:rsidR="00524D23">
        <w:rPr>
          <w:iCs/>
        </w:rPr>
        <w:t xml:space="preserve">. </w:t>
      </w:r>
    </w:p>
    <w:p w14:paraId="7B7E4978" w14:textId="77777777" w:rsidR="00F84512" w:rsidRPr="00FA5AB7" w:rsidRDefault="00F84512" w:rsidP="003E60C7">
      <w:pPr>
        <w:pStyle w:val="3-BodyText"/>
        <w:numPr>
          <w:ilvl w:val="0"/>
          <w:numId w:val="0"/>
        </w:numPr>
      </w:pPr>
    </w:p>
    <w:p w14:paraId="36D58D9C" w14:textId="69977344" w:rsidR="000B2D24" w:rsidRPr="00B50DB8" w:rsidRDefault="004106E7" w:rsidP="001B45EF">
      <w:pPr>
        <w:pStyle w:val="3-BodyText"/>
      </w:pPr>
      <w:r w:rsidRPr="000B2D24">
        <w:t>A summary of the</w:t>
      </w:r>
      <w:r w:rsidR="00636080" w:rsidRPr="000B2D24">
        <w:t xml:space="preserve"> key drivers of the </w:t>
      </w:r>
      <w:r w:rsidRPr="000B2D24">
        <w:t xml:space="preserve">resubmission’s </w:t>
      </w:r>
      <w:r w:rsidR="00636080" w:rsidRPr="000B2D24">
        <w:t xml:space="preserve">model </w:t>
      </w:r>
      <w:r w:rsidR="000B2D24" w:rsidRPr="000B2D24">
        <w:t xml:space="preserve">is provided in </w:t>
      </w:r>
      <w:r w:rsidR="00636080" w:rsidRPr="000B2D24">
        <w:fldChar w:fldCharType="begin"/>
      </w:r>
      <w:r w:rsidR="00636080" w:rsidRPr="000B2D24">
        <w:instrText xml:space="preserve"> REF _Ref104805122 \h  \* MERGEFORMAT </w:instrText>
      </w:r>
      <w:r w:rsidR="00636080" w:rsidRPr="000B2D24">
        <w:fldChar w:fldCharType="separate"/>
      </w:r>
      <w:r w:rsidR="00F84C70">
        <w:t>Table 14</w:t>
      </w:r>
      <w:r w:rsidR="00636080" w:rsidRPr="000B2D24">
        <w:fldChar w:fldCharType="end"/>
      </w:r>
      <w:r w:rsidR="00636080" w:rsidRPr="000B2D24">
        <w:t xml:space="preserve">. </w:t>
      </w:r>
    </w:p>
    <w:p w14:paraId="39A66DD1" w14:textId="50CE886B" w:rsidR="00C21BCF" w:rsidRPr="00BB00B3" w:rsidRDefault="00636080" w:rsidP="00C21BCF">
      <w:pPr>
        <w:pStyle w:val="Caption"/>
        <w:keepNext w:val="0"/>
        <w:jc w:val="left"/>
        <w:rPr>
          <w:rStyle w:val="CommentReference"/>
          <w:b/>
          <w:bCs w:val="0"/>
          <w:snapToGrid w:val="0"/>
          <w:szCs w:val="24"/>
        </w:rPr>
      </w:pPr>
      <w:bookmarkStart w:id="82" w:name="_Ref104805122"/>
      <w:r>
        <w:t xml:space="preserve">Table </w:t>
      </w:r>
      <w:fldSimple w:instr=" SEQ Table \* ARABIC ">
        <w:r w:rsidR="00F84C70">
          <w:rPr>
            <w:noProof/>
          </w:rPr>
          <w:t>14</w:t>
        </w:r>
      </w:fldSimple>
      <w:bookmarkEnd w:id="82"/>
      <w:r>
        <w:t>:</w:t>
      </w:r>
      <w:r w:rsidRPr="00BB00B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2977"/>
        <w:gridCol w:w="3776"/>
      </w:tblGrid>
      <w:tr w:rsidR="00C21BCF" w:rsidRPr="006C32EA" w14:paraId="40F73C65" w14:textId="77777777" w:rsidTr="00F774FD">
        <w:trPr>
          <w:cantSplit/>
          <w:tblHeader/>
        </w:trPr>
        <w:tc>
          <w:tcPr>
            <w:tcW w:w="1255" w:type="pct"/>
            <w:shd w:val="clear" w:color="auto" w:fill="auto"/>
            <w:vAlign w:val="center"/>
          </w:tcPr>
          <w:p w14:paraId="40CFC417" w14:textId="77777777" w:rsidR="00C21BCF" w:rsidRPr="006C32EA" w:rsidRDefault="00C21BCF" w:rsidP="00F774FD">
            <w:pPr>
              <w:pStyle w:val="In-tableHeading"/>
              <w:keepNext w:val="0"/>
              <w:rPr>
                <w:lang w:val="en-AU"/>
              </w:rPr>
            </w:pPr>
            <w:r w:rsidRPr="006C32EA">
              <w:rPr>
                <w:lang w:val="en-AU"/>
              </w:rPr>
              <w:lastRenderedPageBreak/>
              <w:t>Description</w:t>
            </w:r>
          </w:p>
        </w:tc>
        <w:tc>
          <w:tcPr>
            <w:tcW w:w="1651" w:type="pct"/>
            <w:shd w:val="clear" w:color="auto" w:fill="auto"/>
            <w:vAlign w:val="center"/>
          </w:tcPr>
          <w:p w14:paraId="7DA28609" w14:textId="77777777" w:rsidR="00C21BCF" w:rsidRPr="006C32EA" w:rsidRDefault="00C21BCF" w:rsidP="00F774FD">
            <w:pPr>
              <w:pStyle w:val="In-tableHeading"/>
              <w:keepNext w:val="0"/>
              <w:jc w:val="center"/>
              <w:rPr>
                <w:lang w:val="en-AU"/>
              </w:rPr>
            </w:pPr>
            <w:r w:rsidRPr="006C32EA">
              <w:rPr>
                <w:lang w:val="en-AU"/>
              </w:rPr>
              <w:t>Method/Value</w:t>
            </w:r>
          </w:p>
        </w:tc>
        <w:tc>
          <w:tcPr>
            <w:tcW w:w="2094" w:type="pct"/>
            <w:shd w:val="clear" w:color="auto" w:fill="auto"/>
            <w:vAlign w:val="center"/>
          </w:tcPr>
          <w:p w14:paraId="5EFD05BF" w14:textId="77777777" w:rsidR="00194B5A" w:rsidRPr="006C32EA" w:rsidRDefault="00194B5A" w:rsidP="00194B5A">
            <w:pPr>
              <w:pStyle w:val="In-tableHeading"/>
              <w:keepNext w:val="0"/>
              <w:jc w:val="center"/>
              <w:rPr>
                <w:lang w:val="en-AU"/>
              </w:rPr>
            </w:pPr>
            <w:r w:rsidRPr="006C32EA">
              <w:rPr>
                <w:lang w:val="en-AU"/>
              </w:rPr>
              <w:t>Impact</w:t>
            </w:r>
          </w:p>
          <w:p w14:paraId="2BD2619B" w14:textId="4F785B8F" w:rsidR="00C21BCF" w:rsidRPr="006C32EA" w:rsidRDefault="00194B5A" w:rsidP="00194B5A">
            <w:pPr>
              <w:pStyle w:val="In-tableHeading"/>
              <w:keepNext w:val="0"/>
              <w:jc w:val="center"/>
              <w:rPr>
                <w:lang w:val="en-AU"/>
              </w:rPr>
            </w:pPr>
            <w:r w:rsidRPr="006C32EA">
              <w:rPr>
                <w:rFonts w:cs="Arial"/>
                <w:szCs w:val="20"/>
                <w:lang w:val="en-AU"/>
              </w:rPr>
              <w:t>Base case: $</w:t>
            </w:r>
            <w:r w:rsidR="00F5190C" w:rsidRPr="00F5190C">
              <w:rPr>
                <w:rFonts w:cs="Arial"/>
                <w:color w:val="000000"/>
                <w:szCs w:val="20"/>
                <w:shd w:val="solid" w:color="000000" w:fill="000000"/>
                <w:lang w:val="en-AU"/>
                <w14:textFill>
                  <w14:solidFill>
                    <w14:srgbClr w14:val="000000">
                      <w14:alpha w14:val="100000"/>
                    </w14:srgbClr>
                  </w14:solidFill>
                </w14:textFill>
              </w:rPr>
              <w:t>|</w:t>
            </w:r>
            <w:r w:rsidR="00585419" w:rsidRPr="00585419">
              <w:rPr>
                <w:b w:val="0"/>
                <w:bCs/>
                <w:szCs w:val="18"/>
                <w:vertAlign w:val="superscript"/>
              </w:rPr>
              <w:t>1</w:t>
            </w:r>
            <w:r>
              <w:rPr>
                <w:rFonts w:cs="Arial"/>
                <w:szCs w:val="20"/>
                <w:lang w:val="en-AU"/>
              </w:rPr>
              <w:t>/</w:t>
            </w:r>
            <w:r w:rsidRPr="006C32EA">
              <w:rPr>
                <w:rFonts w:cs="Arial"/>
                <w:szCs w:val="20"/>
                <w:lang w:val="en-AU"/>
              </w:rPr>
              <w:t>QALY gained</w:t>
            </w:r>
          </w:p>
        </w:tc>
      </w:tr>
      <w:tr w:rsidR="00513289" w:rsidRPr="006C32EA" w14:paraId="19179841" w14:textId="77777777" w:rsidTr="00F774FD">
        <w:trPr>
          <w:cantSplit/>
        </w:trPr>
        <w:tc>
          <w:tcPr>
            <w:tcW w:w="1255" w:type="pct"/>
            <w:shd w:val="clear" w:color="auto" w:fill="auto"/>
            <w:vAlign w:val="center"/>
          </w:tcPr>
          <w:p w14:paraId="67D4B44C" w14:textId="77777777" w:rsidR="00513289" w:rsidRDefault="00513289" w:rsidP="00513289">
            <w:pPr>
              <w:pStyle w:val="TableText0"/>
              <w:keepNext w:val="0"/>
            </w:pPr>
            <w:r>
              <w:t>Discontinuation of mavacamten therapy due to lack of efficacy at Week 30</w:t>
            </w:r>
          </w:p>
        </w:tc>
        <w:tc>
          <w:tcPr>
            <w:tcW w:w="1651" w:type="pct"/>
            <w:shd w:val="clear" w:color="auto" w:fill="auto"/>
            <w:vAlign w:val="center"/>
          </w:tcPr>
          <w:p w14:paraId="6615BDFE" w14:textId="77777777" w:rsidR="00513289" w:rsidRPr="00BD308C" w:rsidRDefault="00513289" w:rsidP="00513289">
            <w:pPr>
              <w:pStyle w:val="TableText0"/>
              <w:keepNext w:val="0"/>
            </w:pPr>
            <w:r>
              <w:t>Patients with no improvement in NYHA class from baseline</w:t>
            </w:r>
          </w:p>
        </w:tc>
        <w:tc>
          <w:tcPr>
            <w:tcW w:w="2094" w:type="pct"/>
            <w:shd w:val="clear" w:color="auto" w:fill="auto"/>
            <w:vAlign w:val="center"/>
          </w:tcPr>
          <w:p w14:paraId="6B26B92C" w14:textId="77777777" w:rsidR="00513289" w:rsidRPr="001877AB" w:rsidRDefault="00513289" w:rsidP="00513289">
            <w:pPr>
              <w:pStyle w:val="TableText0"/>
              <w:keepNext w:val="0"/>
            </w:pPr>
            <w:r w:rsidRPr="001877AB">
              <w:t>High, favoured mavacamten + BB/CCB.</w:t>
            </w:r>
          </w:p>
          <w:p w14:paraId="479ACF82" w14:textId="3496B47D" w:rsidR="00513289" w:rsidRPr="001877AB" w:rsidRDefault="00513289" w:rsidP="00513289">
            <w:pPr>
              <w:pStyle w:val="TableText0"/>
              <w:keepNext w:val="0"/>
              <w:rPr>
                <w:i/>
              </w:rPr>
            </w:pPr>
            <w:r w:rsidRPr="001877AB">
              <w:t>Assuming treatment discontinuation in patients with worsened NYHA class from base case at Week 30 increased the ICER to $</w:t>
            </w:r>
            <w:r w:rsidR="00F5190C" w:rsidRPr="00F5190C">
              <w:rPr>
                <w:color w:val="000000"/>
                <w:spacing w:val="50"/>
                <w:shd w:val="solid" w:color="000000" w:fill="000000"/>
                <w:fitText w:val="322" w:id="-1167926769"/>
                <w14:textFill>
                  <w14:solidFill>
                    <w14:srgbClr w14:val="000000">
                      <w14:alpha w14:val="100000"/>
                    </w14:srgbClr>
                  </w14:solidFill>
                </w14:textFill>
              </w:rPr>
              <w:t>|||</w:t>
            </w:r>
            <w:r w:rsidR="00F5190C" w:rsidRPr="00F5190C">
              <w:rPr>
                <w:color w:val="000000"/>
                <w:shd w:val="solid" w:color="000000" w:fill="000000"/>
                <w:fitText w:val="322" w:id="-1167926769"/>
                <w14:textFill>
                  <w14:solidFill>
                    <w14:srgbClr w14:val="000000">
                      <w14:alpha w14:val="100000"/>
                    </w14:srgbClr>
                  </w14:solidFill>
                </w14:textFill>
              </w:rPr>
              <w:t>|</w:t>
            </w:r>
            <w:r w:rsidR="00585419">
              <w:rPr>
                <w:szCs w:val="18"/>
                <w:vertAlign w:val="superscript"/>
              </w:rPr>
              <w:t>2</w:t>
            </w:r>
            <w:r w:rsidR="00585419">
              <w:rPr>
                <w:szCs w:val="18"/>
              </w:rPr>
              <w:t xml:space="preserve"> </w:t>
            </w:r>
            <w:r w:rsidR="006F7C1E" w:rsidRPr="001877AB">
              <w:t>/</w:t>
            </w:r>
            <w:r w:rsidRPr="001877AB">
              <w:t>QALY gained.</w:t>
            </w:r>
          </w:p>
        </w:tc>
      </w:tr>
      <w:tr w:rsidR="003C0258" w:rsidRPr="006C32EA" w14:paraId="4AC43A45" w14:textId="77777777" w:rsidTr="00F774FD">
        <w:trPr>
          <w:cantSplit/>
        </w:trPr>
        <w:tc>
          <w:tcPr>
            <w:tcW w:w="1255" w:type="pct"/>
            <w:shd w:val="clear" w:color="auto" w:fill="auto"/>
            <w:vAlign w:val="center"/>
          </w:tcPr>
          <w:p w14:paraId="2A1C3A32" w14:textId="48DC44D6" w:rsidR="003C0258" w:rsidRDefault="003C0258" w:rsidP="003C0258">
            <w:pPr>
              <w:pStyle w:val="TableText0"/>
              <w:keepNext w:val="0"/>
            </w:pPr>
            <w:r>
              <w:t>Rates of cardiovascular hospitalisation</w:t>
            </w:r>
          </w:p>
        </w:tc>
        <w:tc>
          <w:tcPr>
            <w:tcW w:w="1651" w:type="pct"/>
            <w:shd w:val="clear" w:color="auto" w:fill="auto"/>
            <w:vAlign w:val="center"/>
          </w:tcPr>
          <w:p w14:paraId="4549A188" w14:textId="77777777" w:rsidR="003C0258" w:rsidRDefault="003C0258" w:rsidP="003C0258">
            <w:pPr>
              <w:pStyle w:val="TableText0"/>
              <w:keepNext w:val="0"/>
            </w:pPr>
            <w:r>
              <w:t>NYHA II, 0.38</w:t>
            </w:r>
          </w:p>
          <w:p w14:paraId="17F1503B" w14:textId="34C6A570" w:rsidR="003C0258" w:rsidRDefault="003C0258" w:rsidP="003C0258">
            <w:pPr>
              <w:pStyle w:val="TableText0"/>
              <w:keepNext w:val="0"/>
            </w:pPr>
            <w:r>
              <w:t>NYHA III/IV, 1.0</w:t>
            </w:r>
          </w:p>
        </w:tc>
        <w:tc>
          <w:tcPr>
            <w:tcW w:w="2094" w:type="pct"/>
            <w:shd w:val="clear" w:color="auto" w:fill="auto"/>
            <w:vAlign w:val="center"/>
          </w:tcPr>
          <w:p w14:paraId="43C59B05" w14:textId="77777777" w:rsidR="003C0258" w:rsidRDefault="003C0258" w:rsidP="003C0258">
            <w:pPr>
              <w:pStyle w:val="TableText0"/>
              <w:keepNext w:val="0"/>
            </w:pPr>
            <w:r>
              <w:t>High, favoured mavacamten + BB/CCB.</w:t>
            </w:r>
          </w:p>
          <w:p w14:paraId="1F9FA687" w14:textId="345BE3E5" w:rsidR="003C0258" w:rsidRDefault="003C0258" w:rsidP="003C0258">
            <w:pPr>
              <w:pStyle w:val="TableText0"/>
              <w:keepNext w:val="0"/>
            </w:pPr>
            <w:r>
              <w:t>Removing hospitalisation rates (i.e., reduced to zero) for patients with NYHA II to IV increased the ICER to $</w:t>
            </w:r>
            <w:r w:rsidR="00F5190C" w:rsidRPr="00F5190C">
              <w:rPr>
                <w:color w:val="000000"/>
                <w:spacing w:val="53"/>
                <w:shd w:val="solid" w:color="000000" w:fill="000000"/>
                <w:fitText w:val="333" w:id="-1167926768"/>
                <w14:textFill>
                  <w14:solidFill>
                    <w14:srgbClr w14:val="000000">
                      <w14:alpha w14:val="100000"/>
                    </w14:srgbClr>
                  </w14:solidFill>
                </w14:textFill>
              </w:rPr>
              <w:t>|||</w:t>
            </w:r>
            <w:r w:rsidR="00F5190C" w:rsidRPr="00F5190C">
              <w:rPr>
                <w:color w:val="000000"/>
                <w:spacing w:val="2"/>
                <w:shd w:val="solid" w:color="000000" w:fill="000000"/>
                <w:fitText w:val="333" w:id="-1167926768"/>
                <w14:textFill>
                  <w14:solidFill>
                    <w14:srgbClr w14:val="000000">
                      <w14:alpha w14:val="100000"/>
                    </w14:srgbClr>
                  </w14:solidFill>
                </w14:textFill>
              </w:rPr>
              <w:t>|</w:t>
            </w:r>
            <w:r w:rsidR="00585419">
              <w:rPr>
                <w:szCs w:val="18"/>
                <w:vertAlign w:val="superscript"/>
              </w:rPr>
              <w:t>2</w:t>
            </w:r>
            <w:r>
              <w:t xml:space="preserve">. </w:t>
            </w:r>
          </w:p>
        </w:tc>
      </w:tr>
      <w:tr w:rsidR="00513289" w:rsidRPr="006C32EA" w14:paraId="42E7DC9C" w14:textId="77777777" w:rsidTr="00F774FD">
        <w:trPr>
          <w:cantSplit/>
        </w:trPr>
        <w:tc>
          <w:tcPr>
            <w:tcW w:w="1255" w:type="pct"/>
            <w:shd w:val="clear" w:color="auto" w:fill="auto"/>
            <w:vAlign w:val="center"/>
          </w:tcPr>
          <w:p w14:paraId="3938A9EA" w14:textId="77777777" w:rsidR="00513289" w:rsidRDefault="00513289" w:rsidP="00513289">
            <w:pPr>
              <w:pStyle w:val="TableText0"/>
              <w:keepNext w:val="0"/>
            </w:pPr>
            <w:r>
              <w:t>Efficacy of SRT + BB/CCB</w:t>
            </w:r>
          </w:p>
        </w:tc>
        <w:tc>
          <w:tcPr>
            <w:tcW w:w="1651" w:type="pct"/>
            <w:shd w:val="clear" w:color="auto" w:fill="auto"/>
            <w:vAlign w:val="center"/>
          </w:tcPr>
          <w:p w14:paraId="4DDB479B" w14:textId="77777777" w:rsidR="00513289" w:rsidRPr="00CF4216" w:rsidRDefault="00513289" w:rsidP="00513289">
            <w:pPr>
              <w:pStyle w:val="TableText0"/>
              <w:keepNext w:val="0"/>
            </w:pPr>
            <w:r>
              <w:t xml:space="preserve">Based on a Ukrainian study by Knyshov </w:t>
            </w:r>
            <w:r w:rsidRPr="00424AF9">
              <w:t xml:space="preserve">et al </w:t>
            </w:r>
            <w:r>
              <w:t>2021</w:t>
            </w:r>
          </w:p>
        </w:tc>
        <w:tc>
          <w:tcPr>
            <w:tcW w:w="2094" w:type="pct"/>
            <w:shd w:val="clear" w:color="auto" w:fill="auto"/>
            <w:vAlign w:val="center"/>
          </w:tcPr>
          <w:p w14:paraId="7056D7BA" w14:textId="77777777" w:rsidR="00513289" w:rsidRPr="001877AB" w:rsidRDefault="003374F8" w:rsidP="00513289">
            <w:pPr>
              <w:pStyle w:val="TableText0"/>
              <w:keepNext w:val="0"/>
            </w:pPr>
            <w:r>
              <w:t>High</w:t>
            </w:r>
            <w:r w:rsidR="00513289" w:rsidRPr="001877AB">
              <w:t>, favoured mavacamten + BB/CCB.</w:t>
            </w:r>
          </w:p>
          <w:p w14:paraId="4E9EF347" w14:textId="3CC1852A" w:rsidR="00513289" w:rsidRPr="001877AB" w:rsidRDefault="00513289" w:rsidP="00513289">
            <w:pPr>
              <w:pStyle w:val="TableText0"/>
              <w:keepNext w:val="0"/>
              <w:rPr>
                <w:i/>
              </w:rPr>
            </w:pPr>
            <w:r w:rsidRPr="001877AB">
              <w:t>Use of sponsor’s advisory board inputs increased the ICER to $</w:t>
            </w:r>
            <w:r w:rsidR="00F5190C" w:rsidRPr="00F5190C">
              <w:rPr>
                <w:color w:val="000000"/>
                <w:spacing w:val="49"/>
                <w:shd w:val="solid" w:color="000000" w:fill="000000"/>
                <w:fitText w:val="321" w:id="-1167926784"/>
                <w14:textFill>
                  <w14:solidFill>
                    <w14:srgbClr w14:val="000000">
                      <w14:alpha w14:val="100000"/>
                    </w14:srgbClr>
                  </w14:solidFill>
                </w14:textFill>
              </w:rPr>
              <w:t>|||</w:t>
            </w:r>
            <w:r w:rsidR="00F5190C" w:rsidRPr="00F5190C">
              <w:rPr>
                <w:color w:val="000000"/>
                <w:spacing w:val="2"/>
                <w:shd w:val="solid" w:color="000000" w:fill="000000"/>
                <w:fitText w:val="321" w:id="-1167926784"/>
                <w14:textFill>
                  <w14:solidFill>
                    <w14:srgbClr w14:val="000000">
                      <w14:alpha w14:val="100000"/>
                    </w14:srgbClr>
                  </w14:solidFill>
                </w14:textFill>
              </w:rPr>
              <w:t>|</w:t>
            </w:r>
            <w:r w:rsidR="00585419">
              <w:rPr>
                <w:szCs w:val="18"/>
                <w:vertAlign w:val="superscript"/>
              </w:rPr>
              <w:t>2</w:t>
            </w:r>
            <w:r w:rsidRPr="001877AB">
              <w:t>/QALY gained.</w:t>
            </w:r>
          </w:p>
        </w:tc>
      </w:tr>
      <w:tr w:rsidR="00050ADA" w:rsidRPr="006C32EA" w14:paraId="4A43991E" w14:textId="77777777" w:rsidTr="00F774FD">
        <w:trPr>
          <w:cantSplit/>
        </w:trPr>
        <w:tc>
          <w:tcPr>
            <w:tcW w:w="1255" w:type="pct"/>
            <w:shd w:val="clear" w:color="auto" w:fill="auto"/>
            <w:vAlign w:val="center"/>
          </w:tcPr>
          <w:p w14:paraId="54072323" w14:textId="11EF3335" w:rsidR="00050ADA" w:rsidRPr="006C32EA" w:rsidRDefault="00050ADA" w:rsidP="00F774FD">
            <w:pPr>
              <w:pStyle w:val="TableText0"/>
              <w:keepNext w:val="0"/>
            </w:pPr>
            <w:r w:rsidRPr="006C32EA">
              <w:t>Truncation time point in the BB/CCB arm</w:t>
            </w:r>
            <w:r w:rsidR="00B17AE9" w:rsidRPr="00BF5BC7">
              <w:rPr>
                <w:iCs/>
              </w:rPr>
              <w:t xml:space="preserve"> </w:t>
            </w:r>
          </w:p>
        </w:tc>
        <w:tc>
          <w:tcPr>
            <w:tcW w:w="1651" w:type="pct"/>
            <w:shd w:val="clear" w:color="auto" w:fill="auto"/>
            <w:vAlign w:val="center"/>
          </w:tcPr>
          <w:p w14:paraId="30DBE715" w14:textId="77777777" w:rsidR="00050ADA" w:rsidRPr="006C32EA" w:rsidRDefault="00050ADA" w:rsidP="00F774FD">
            <w:pPr>
              <w:pStyle w:val="TableText0"/>
              <w:keepNext w:val="0"/>
            </w:pPr>
            <w:r>
              <w:t>38</w:t>
            </w:r>
            <w:r w:rsidRPr="006C32EA">
              <w:t xml:space="preserve"> weeks </w:t>
            </w:r>
          </w:p>
        </w:tc>
        <w:tc>
          <w:tcPr>
            <w:tcW w:w="2094" w:type="pct"/>
            <w:shd w:val="clear" w:color="auto" w:fill="auto"/>
            <w:vAlign w:val="center"/>
          </w:tcPr>
          <w:p w14:paraId="7F3CE3A5" w14:textId="77777777" w:rsidR="00050ADA" w:rsidRPr="001877AB" w:rsidRDefault="00050ADA" w:rsidP="00F774FD">
            <w:pPr>
              <w:pStyle w:val="TableText0"/>
              <w:keepNext w:val="0"/>
            </w:pPr>
            <w:r w:rsidRPr="001877AB">
              <w:t>High, favoured mavacamten + BB/CCB.</w:t>
            </w:r>
          </w:p>
          <w:p w14:paraId="5DF63B08" w14:textId="37B6EC23" w:rsidR="00050ADA" w:rsidRPr="001877AB" w:rsidRDefault="00050ADA" w:rsidP="00F774FD">
            <w:pPr>
              <w:pStyle w:val="TableText0"/>
              <w:keepNext w:val="0"/>
              <w:rPr>
                <w:i/>
              </w:rPr>
            </w:pPr>
            <w:r w:rsidRPr="001877AB">
              <w:t xml:space="preserve">Use of </w:t>
            </w:r>
            <w:r w:rsidR="00123AA9">
              <w:t xml:space="preserve">comparative </w:t>
            </w:r>
            <w:r w:rsidRPr="001877AB">
              <w:t xml:space="preserve">trial data up to 30 weeks for </w:t>
            </w:r>
            <w:r w:rsidR="00123AA9">
              <w:t>both arms</w:t>
            </w:r>
            <w:r w:rsidRPr="001877AB">
              <w:t xml:space="preserve"> increased the ICER to $</w:t>
            </w:r>
            <w:r w:rsidR="00F5190C" w:rsidRPr="00F5190C">
              <w:rPr>
                <w:color w:val="000000"/>
                <w:spacing w:val="53"/>
                <w:shd w:val="solid" w:color="000000" w:fill="000000"/>
                <w:fitText w:val="332" w:id="-1167926783"/>
                <w14:textFill>
                  <w14:solidFill>
                    <w14:srgbClr w14:val="000000">
                      <w14:alpha w14:val="100000"/>
                    </w14:srgbClr>
                  </w14:solidFill>
                </w14:textFill>
              </w:rPr>
              <w:t>|||</w:t>
            </w:r>
            <w:r w:rsidR="00F5190C" w:rsidRPr="00F5190C">
              <w:rPr>
                <w:color w:val="000000"/>
                <w:spacing w:val="1"/>
                <w:shd w:val="solid" w:color="000000" w:fill="000000"/>
                <w:fitText w:val="332" w:id="-1167926783"/>
                <w14:textFill>
                  <w14:solidFill>
                    <w14:srgbClr w14:val="000000">
                      <w14:alpha w14:val="100000"/>
                    </w14:srgbClr>
                  </w14:solidFill>
                </w14:textFill>
              </w:rPr>
              <w:t>|</w:t>
            </w:r>
            <w:r w:rsidR="00585419">
              <w:rPr>
                <w:szCs w:val="18"/>
                <w:vertAlign w:val="superscript"/>
              </w:rPr>
              <w:t>3</w:t>
            </w:r>
            <w:r w:rsidRPr="001877AB">
              <w:t>/QALY gained.</w:t>
            </w:r>
          </w:p>
        </w:tc>
      </w:tr>
      <w:tr w:rsidR="00513289" w:rsidRPr="006C32EA" w14:paraId="241E3C28" w14:textId="77777777" w:rsidTr="00F774FD">
        <w:trPr>
          <w:cantSplit/>
        </w:trPr>
        <w:tc>
          <w:tcPr>
            <w:tcW w:w="1255" w:type="pct"/>
            <w:shd w:val="clear" w:color="auto" w:fill="auto"/>
            <w:vAlign w:val="center"/>
          </w:tcPr>
          <w:p w14:paraId="1E55ED5D" w14:textId="77777777" w:rsidR="00513289" w:rsidRPr="006C32EA" w:rsidRDefault="00513289" w:rsidP="00513289">
            <w:pPr>
              <w:pStyle w:val="TableText0"/>
              <w:keepNext w:val="0"/>
            </w:pPr>
            <w:r>
              <w:t xml:space="preserve">Time horizon </w:t>
            </w:r>
          </w:p>
        </w:tc>
        <w:tc>
          <w:tcPr>
            <w:tcW w:w="1651" w:type="pct"/>
            <w:shd w:val="clear" w:color="auto" w:fill="auto"/>
            <w:vAlign w:val="center"/>
          </w:tcPr>
          <w:p w14:paraId="617FDDFA" w14:textId="77777777" w:rsidR="00513289" w:rsidRPr="006C32EA" w:rsidRDefault="00513289" w:rsidP="00513289">
            <w:pPr>
              <w:pStyle w:val="TableText0"/>
              <w:keepNext w:val="0"/>
            </w:pPr>
            <w:r>
              <w:t>2</w:t>
            </w:r>
            <w:r w:rsidR="00194B5A">
              <w:t>0</w:t>
            </w:r>
            <w:r>
              <w:t xml:space="preserve"> years </w:t>
            </w:r>
          </w:p>
        </w:tc>
        <w:tc>
          <w:tcPr>
            <w:tcW w:w="2094" w:type="pct"/>
            <w:shd w:val="clear" w:color="auto" w:fill="auto"/>
            <w:vAlign w:val="center"/>
          </w:tcPr>
          <w:p w14:paraId="0173ADD2" w14:textId="77777777" w:rsidR="00513289" w:rsidRPr="001877AB" w:rsidRDefault="002D011A" w:rsidP="00513289">
            <w:pPr>
              <w:pStyle w:val="TableText0"/>
              <w:keepNext w:val="0"/>
            </w:pPr>
            <w:r>
              <w:t>High</w:t>
            </w:r>
            <w:r w:rsidR="00513289" w:rsidRPr="001877AB">
              <w:t>, favoured mavacamten + BB/CCB.</w:t>
            </w:r>
          </w:p>
          <w:p w14:paraId="4DDFF747" w14:textId="0C8B256C" w:rsidR="00513289" w:rsidRPr="001877AB" w:rsidRDefault="00513289" w:rsidP="00513289">
            <w:pPr>
              <w:pStyle w:val="TableText0"/>
              <w:keepNext w:val="0"/>
              <w:rPr>
                <w:i/>
              </w:rPr>
            </w:pPr>
            <w:r w:rsidRPr="001877AB">
              <w:t>Use of a shorter time horizon of 1</w:t>
            </w:r>
            <w:r w:rsidR="00A25B3D" w:rsidRPr="001877AB">
              <w:t xml:space="preserve">0 </w:t>
            </w:r>
            <w:r w:rsidRPr="001877AB">
              <w:t>years increased the ICER to $</w:t>
            </w:r>
            <w:r w:rsidR="00F5190C" w:rsidRPr="00F5190C">
              <w:rPr>
                <w:color w:val="000000"/>
                <w:spacing w:val="49"/>
                <w:shd w:val="solid" w:color="000000" w:fill="000000"/>
                <w:fitText w:val="321" w:id="-1167926782"/>
                <w14:textFill>
                  <w14:solidFill>
                    <w14:srgbClr w14:val="000000">
                      <w14:alpha w14:val="100000"/>
                    </w14:srgbClr>
                  </w14:solidFill>
                </w14:textFill>
              </w:rPr>
              <w:t>|||</w:t>
            </w:r>
            <w:r w:rsidR="00F5190C" w:rsidRPr="00F5190C">
              <w:rPr>
                <w:color w:val="000000"/>
                <w:spacing w:val="2"/>
                <w:shd w:val="solid" w:color="000000" w:fill="000000"/>
                <w:fitText w:val="321" w:id="-1167926782"/>
                <w14:textFill>
                  <w14:solidFill>
                    <w14:srgbClr w14:val="000000">
                      <w14:alpha w14:val="100000"/>
                    </w14:srgbClr>
                  </w14:solidFill>
                </w14:textFill>
              </w:rPr>
              <w:t>|</w:t>
            </w:r>
            <w:r w:rsidR="00585419">
              <w:rPr>
                <w:szCs w:val="18"/>
                <w:vertAlign w:val="superscript"/>
              </w:rPr>
              <w:t>3</w:t>
            </w:r>
            <w:r w:rsidRPr="001877AB">
              <w:t xml:space="preserve">/QALY gained </w:t>
            </w:r>
          </w:p>
        </w:tc>
      </w:tr>
      <w:tr w:rsidR="00513289" w:rsidRPr="00F72968" w14:paraId="22F6024A" w14:textId="77777777" w:rsidTr="00F774FD">
        <w:trPr>
          <w:cantSplit/>
        </w:trPr>
        <w:tc>
          <w:tcPr>
            <w:tcW w:w="1255" w:type="pct"/>
            <w:shd w:val="clear" w:color="auto" w:fill="auto"/>
            <w:vAlign w:val="center"/>
          </w:tcPr>
          <w:p w14:paraId="22E453E2" w14:textId="3EAD747C" w:rsidR="00513289" w:rsidRPr="00F72968" w:rsidRDefault="00513289" w:rsidP="00513289">
            <w:pPr>
              <w:pStyle w:val="TableText0"/>
              <w:keepNext w:val="0"/>
              <w:rPr>
                <w:iCs/>
              </w:rPr>
            </w:pPr>
            <w:r w:rsidRPr="00F72968">
              <w:rPr>
                <w:iCs/>
              </w:rPr>
              <w:t>Mortality</w:t>
            </w:r>
          </w:p>
        </w:tc>
        <w:tc>
          <w:tcPr>
            <w:tcW w:w="1651" w:type="pct"/>
            <w:shd w:val="clear" w:color="auto" w:fill="auto"/>
            <w:vAlign w:val="center"/>
          </w:tcPr>
          <w:p w14:paraId="2C72D19B" w14:textId="77777777" w:rsidR="00513289" w:rsidRPr="00F72968" w:rsidRDefault="00513289" w:rsidP="00513289">
            <w:pPr>
              <w:pStyle w:val="TableText0"/>
              <w:keepNext w:val="0"/>
              <w:rPr>
                <w:iCs/>
                <w:szCs w:val="20"/>
              </w:rPr>
            </w:pPr>
            <w:r w:rsidRPr="00F72968">
              <w:rPr>
                <w:iCs/>
              </w:rPr>
              <w:t xml:space="preserve">NYHA class I: </w:t>
            </w:r>
            <w:r w:rsidRPr="00F72968">
              <w:rPr>
                <w:iCs/>
                <w:szCs w:val="20"/>
              </w:rPr>
              <w:t>all-cause mortality, hazard ratio = 1.0</w:t>
            </w:r>
          </w:p>
          <w:p w14:paraId="4BDFEC3E" w14:textId="77777777" w:rsidR="00513289" w:rsidRPr="00F72968" w:rsidRDefault="00513289" w:rsidP="00513289">
            <w:pPr>
              <w:pStyle w:val="TableText0"/>
              <w:keepNext w:val="0"/>
              <w:rPr>
                <w:iCs/>
              </w:rPr>
            </w:pPr>
            <w:r w:rsidRPr="00F72968">
              <w:rPr>
                <w:iCs/>
              </w:rPr>
              <w:t>NYHA class II vs I: hazard ratio = 1.48</w:t>
            </w:r>
          </w:p>
          <w:p w14:paraId="6876E48E" w14:textId="77777777" w:rsidR="00513289" w:rsidRPr="00F72968" w:rsidRDefault="00513289" w:rsidP="00513289">
            <w:pPr>
              <w:pStyle w:val="TableText0"/>
              <w:keepNext w:val="0"/>
              <w:rPr>
                <w:iCs/>
              </w:rPr>
            </w:pPr>
            <w:r w:rsidRPr="00F72968">
              <w:rPr>
                <w:iCs/>
              </w:rPr>
              <w:t>NYHA III/IV vs I: 3.17</w:t>
            </w:r>
          </w:p>
          <w:p w14:paraId="342B1A37" w14:textId="77777777" w:rsidR="00513289" w:rsidRPr="00F72968" w:rsidRDefault="00513289" w:rsidP="00513289">
            <w:pPr>
              <w:pStyle w:val="TableText0"/>
              <w:keepNext w:val="0"/>
              <w:rPr>
                <w:iCs/>
              </w:rPr>
            </w:pPr>
          </w:p>
          <w:p w14:paraId="749988C5" w14:textId="77777777" w:rsidR="00513289" w:rsidRPr="00F72968" w:rsidRDefault="00513289" w:rsidP="00513289">
            <w:pPr>
              <w:pStyle w:val="TableText0"/>
              <w:keepNext w:val="0"/>
              <w:rPr>
                <w:iCs/>
              </w:rPr>
            </w:pPr>
            <w:r w:rsidRPr="00F72968">
              <w:rPr>
                <w:bCs w:val="0"/>
                <w:iCs/>
                <w:color w:val="000000"/>
                <w:szCs w:val="20"/>
              </w:rPr>
              <w:t>Based on the SHaRe adjusted.</w:t>
            </w:r>
          </w:p>
        </w:tc>
        <w:tc>
          <w:tcPr>
            <w:tcW w:w="2094" w:type="pct"/>
            <w:shd w:val="clear" w:color="auto" w:fill="auto"/>
            <w:vAlign w:val="center"/>
          </w:tcPr>
          <w:p w14:paraId="4120D0C6" w14:textId="2ADE3A01" w:rsidR="00513289" w:rsidRPr="001877AB" w:rsidRDefault="002D011A" w:rsidP="00513289">
            <w:pPr>
              <w:pStyle w:val="TableText0"/>
              <w:keepNext w:val="0"/>
              <w:rPr>
                <w:iCs/>
              </w:rPr>
            </w:pPr>
            <w:r>
              <w:rPr>
                <w:iCs/>
              </w:rPr>
              <w:t>High</w:t>
            </w:r>
            <w:r w:rsidR="00513289" w:rsidRPr="001877AB">
              <w:rPr>
                <w:iCs/>
              </w:rPr>
              <w:t xml:space="preserve">, favoured mavacamten. </w:t>
            </w:r>
            <w:r w:rsidR="00513289" w:rsidRPr="001877AB">
              <w:rPr>
                <w:iCs/>
                <w:color w:val="000000"/>
                <w:szCs w:val="20"/>
              </w:rPr>
              <w:t xml:space="preserve">All cause/general mortality not NYHA specific (1.0 across all NYHA </w:t>
            </w:r>
            <w:r w:rsidR="00513289" w:rsidRPr="00BF5BC7">
              <w:rPr>
                <w:color w:val="000000"/>
                <w:szCs w:val="20"/>
              </w:rPr>
              <w:t>classes</w:t>
            </w:r>
            <w:r w:rsidR="00513289" w:rsidRPr="001877AB">
              <w:rPr>
                <w:iCs/>
                <w:color w:val="000000"/>
                <w:szCs w:val="20"/>
              </w:rPr>
              <w:t>) increase ICER to $</w:t>
            </w:r>
            <w:r w:rsidR="00F5190C" w:rsidRPr="00F5190C">
              <w:rPr>
                <w:iCs/>
                <w:color w:val="000000"/>
                <w:spacing w:val="50"/>
                <w:szCs w:val="20"/>
                <w:shd w:val="solid" w:color="000000" w:fill="000000"/>
                <w:fitText w:val="322" w:id="-1167926781"/>
                <w14:textFill>
                  <w14:solidFill>
                    <w14:srgbClr w14:val="000000">
                      <w14:alpha w14:val="100000"/>
                    </w14:srgbClr>
                  </w14:solidFill>
                </w14:textFill>
              </w:rPr>
              <w:t>|||</w:t>
            </w:r>
            <w:r w:rsidR="00F5190C" w:rsidRPr="00F5190C">
              <w:rPr>
                <w:iCs/>
                <w:color w:val="000000"/>
                <w:szCs w:val="20"/>
                <w:shd w:val="solid" w:color="000000" w:fill="000000"/>
                <w:fitText w:val="322" w:id="-1167926781"/>
                <w14:textFill>
                  <w14:solidFill>
                    <w14:srgbClr w14:val="000000">
                      <w14:alpha w14:val="100000"/>
                    </w14:srgbClr>
                  </w14:solidFill>
                </w14:textFill>
              </w:rPr>
              <w:t>|</w:t>
            </w:r>
            <w:r w:rsidR="00585419">
              <w:rPr>
                <w:szCs w:val="18"/>
                <w:vertAlign w:val="superscript"/>
              </w:rPr>
              <w:t>3</w:t>
            </w:r>
            <w:r w:rsidR="00F80755" w:rsidRPr="001877AB">
              <w:rPr>
                <w:iCs/>
                <w:color w:val="000000"/>
                <w:szCs w:val="20"/>
              </w:rPr>
              <w:t>/QALY gained</w:t>
            </w:r>
            <w:r w:rsidR="00513289" w:rsidRPr="001877AB">
              <w:rPr>
                <w:iCs/>
                <w:color w:val="000000"/>
                <w:szCs w:val="20"/>
              </w:rPr>
              <w:t>.</w:t>
            </w:r>
          </w:p>
        </w:tc>
      </w:tr>
    </w:tbl>
    <w:p w14:paraId="52C299DD" w14:textId="77777777" w:rsidR="00C21BCF" w:rsidRPr="002D312B" w:rsidRDefault="00C21BCF" w:rsidP="00C21BCF">
      <w:pPr>
        <w:pStyle w:val="FooterTableFigure"/>
        <w:rPr>
          <w:iCs/>
        </w:rPr>
      </w:pPr>
      <w:r w:rsidRPr="002D312B">
        <w:rPr>
          <w:iCs/>
        </w:rPr>
        <w:t>Source: Table compiled during the evaluation, based on the sensitivity analyses presented in the submission or conducted during the evaluation.</w:t>
      </w:r>
      <w:r>
        <w:rPr>
          <w:iCs/>
        </w:rPr>
        <w:t xml:space="preserve"> Mortality sensitivity analyses performed during ESC evaluation.</w:t>
      </w:r>
    </w:p>
    <w:p w14:paraId="0E9589FB" w14:textId="0E058D6F" w:rsidR="0054665B" w:rsidRDefault="0054665B" w:rsidP="0054665B">
      <w:pPr>
        <w:pStyle w:val="FooterTableFigure"/>
        <w:rPr>
          <w:szCs w:val="18"/>
        </w:rPr>
      </w:pPr>
      <w:r>
        <w:t xml:space="preserve">BB = beta-blocker; CCB = calcium channel blocker; ICER = incremental cost-effectiveness ratio; NYHA = New York Heart Association; QALY = quality-adjusted life year; </w:t>
      </w:r>
      <w:bookmarkStart w:id="83" w:name="_Hlk132563931"/>
      <w:r w:rsidRPr="00F72968">
        <w:rPr>
          <w:iCs/>
        </w:rPr>
        <w:t>SHaRe = Sarcomeric Human Cardiomyopathy Registry</w:t>
      </w:r>
      <w:bookmarkEnd w:id="83"/>
      <w:r>
        <w:rPr>
          <w:iCs/>
        </w:rPr>
        <w:t>;</w:t>
      </w:r>
      <w:r w:rsidRPr="0032418F">
        <w:rPr>
          <w:szCs w:val="18"/>
        </w:rPr>
        <w:t xml:space="preserve"> </w:t>
      </w:r>
      <w:r w:rsidRPr="00490649">
        <w:rPr>
          <w:szCs w:val="18"/>
        </w:rPr>
        <w:t>SRT = Septal Reduction Therapy</w:t>
      </w:r>
      <w:r>
        <w:rPr>
          <w:szCs w:val="18"/>
        </w:rPr>
        <w:t>.</w:t>
      </w:r>
    </w:p>
    <w:p w14:paraId="060FA31C" w14:textId="775F1D62" w:rsidR="00585419" w:rsidRPr="00585419" w:rsidRDefault="00585419" w:rsidP="0054665B">
      <w:pPr>
        <w:pStyle w:val="FooterTableFigure"/>
        <w:rPr>
          <w:i/>
          <w:iCs/>
          <w:szCs w:val="18"/>
        </w:rPr>
      </w:pPr>
      <w:r w:rsidRPr="00585419">
        <w:rPr>
          <w:i/>
          <w:iCs/>
          <w:szCs w:val="18"/>
        </w:rPr>
        <w:t>The redacted values correspond to the following ranges:</w:t>
      </w:r>
    </w:p>
    <w:p w14:paraId="16F72D6B" w14:textId="5B206225" w:rsidR="00585419" w:rsidRPr="00585419" w:rsidRDefault="00585419" w:rsidP="0054665B">
      <w:pPr>
        <w:pStyle w:val="FooterTableFigure"/>
        <w:rPr>
          <w:i/>
          <w:iCs/>
          <w:szCs w:val="18"/>
        </w:rPr>
      </w:pPr>
      <w:r w:rsidRPr="00585419">
        <w:rPr>
          <w:i/>
          <w:iCs/>
          <w:szCs w:val="18"/>
          <w:vertAlign w:val="superscript"/>
        </w:rPr>
        <w:t>1</w:t>
      </w:r>
      <w:r w:rsidRPr="00585419">
        <w:rPr>
          <w:i/>
          <w:iCs/>
          <w:szCs w:val="18"/>
        </w:rPr>
        <w:t xml:space="preserve"> $35,000 to &lt; $45,000</w:t>
      </w:r>
    </w:p>
    <w:p w14:paraId="04621251" w14:textId="5B425CE8" w:rsidR="00585419" w:rsidRPr="00585419" w:rsidRDefault="00585419" w:rsidP="0054665B">
      <w:pPr>
        <w:pStyle w:val="FooterTableFigure"/>
        <w:rPr>
          <w:i/>
          <w:iCs/>
          <w:szCs w:val="18"/>
        </w:rPr>
      </w:pPr>
      <w:r w:rsidRPr="00585419">
        <w:rPr>
          <w:i/>
          <w:iCs/>
          <w:szCs w:val="18"/>
          <w:vertAlign w:val="superscript"/>
        </w:rPr>
        <w:t>2</w:t>
      </w:r>
      <w:r w:rsidRPr="00585419">
        <w:rPr>
          <w:i/>
          <w:iCs/>
          <w:szCs w:val="18"/>
        </w:rPr>
        <w:t xml:space="preserve"> $75,000 to &lt; $95,000</w:t>
      </w:r>
    </w:p>
    <w:p w14:paraId="1BF309AD" w14:textId="75896212" w:rsidR="00585419" w:rsidRPr="00585419" w:rsidRDefault="00585419" w:rsidP="0054665B">
      <w:pPr>
        <w:pStyle w:val="FooterTableFigure"/>
        <w:rPr>
          <w:i/>
          <w:iCs/>
        </w:rPr>
      </w:pPr>
      <w:r w:rsidRPr="00585419">
        <w:rPr>
          <w:i/>
          <w:iCs/>
          <w:szCs w:val="18"/>
          <w:vertAlign w:val="superscript"/>
        </w:rPr>
        <w:t>3</w:t>
      </w:r>
      <w:r w:rsidRPr="00585419">
        <w:rPr>
          <w:i/>
          <w:iCs/>
          <w:szCs w:val="18"/>
        </w:rPr>
        <w:t xml:space="preserve"> $55,000 to &lt; $75,000</w:t>
      </w:r>
    </w:p>
    <w:p w14:paraId="05C39B98" w14:textId="43FD673E" w:rsidR="00E04C46" w:rsidRPr="003D6588" w:rsidRDefault="003D6588" w:rsidP="00E04C46">
      <w:pPr>
        <w:pStyle w:val="3-BodyText"/>
        <w:rPr>
          <w:color w:val="0066FF"/>
        </w:rPr>
      </w:pPr>
      <w:r>
        <w:rPr>
          <w:color w:val="000000" w:themeColor="text1"/>
        </w:rPr>
        <w:t xml:space="preserve">Results of the economic evaluation are presented in </w:t>
      </w:r>
      <w:r>
        <w:rPr>
          <w:color w:val="000000" w:themeColor="text1"/>
        </w:rPr>
        <w:fldChar w:fldCharType="begin"/>
      </w:r>
      <w:r>
        <w:rPr>
          <w:color w:val="000000" w:themeColor="text1"/>
        </w:rPr>
        <w:instrText xml:space="preserve"> REF _Ref104805160 \h </w:instrText>
      </w:r>
      <w:r>
        <w:rPr>
          <w:color w:val="000000" w:themeColor="text1"/>
        </w:rPr>
      </w:r>
      <w:r>
        <w:rPr>
          <w:color w:val="000000" w:themeColor="text1"/>
        </w:rPr>
        <w:fldChar w:fldCharType="separate"/>
      </w:r>
      <w:r w:rsidR="00F84C70" w:rsidRPr="004808D3">
        <w:t xml:space="preserve">Table </w:t>
      </w:r>
      <w:r w:rsidR="00F84C70">
        <w:rPr>
          <w:noProof/>
        </w:rPr>
        <w:t>15</w:t>
      </w:r>
      <w:r>
        <w:rPr>
          <w:color w:val="000000" w:themeColor="text1"/>
        </w:rPr>
        <w:fldChar w:fldCharType="end"/>
      </w:r>
      <w:r>
        <w:rPr>
          <w:color w:val="000000" w:themeColor="text1"/>
        </w:rPr>
        <w:t xml:space="preserve">. </w:t>
      </w:r>
    </w:p>
    <w:p w14:paraId="3C34D4B6" w14:textId="292E032B" w:rsidR="00E04C46" w:rsidRPr="004808D3" w:rsidRDefault="004808D3" w:rsidP="004808D3">
      <w:pPr>
        <w:pStyle w:val="Caption"/>
      </w:pPr>
      <w:bookmarkStart w:id="84" w:name="_Ref104805160"/>
      <w:r w:rsidRPr="004808D3">
        <w:lastRenderedPageBreak/>
        <w:t xml:space="preserve">Table </w:t>
      </w:r>
      <w:fldSimple w:instr=" SEQ Table \* ARABIC ">
        <w:r w:rsidR="00F84C70">
          <w:rPr>
            <w:noProof/>
          </w:rPr>
          <w:t>15</w:t>
        </w:r>
      </w:fldSimple>
      <w:bookmarkEnd w:id="84"/>
      <w:r w:rsidRPr="004808D3">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33"/>
        <w:gridCol w:w="1232"/>
        <w:gridCol w:w="1241"/>
        <w:gridCol w:w="1235"/>
        <w:gridCol w:w="1228"/>
        <w:gridCol w:w="1225"/>
        <w:gridCol w:w="1223"/>
      </w:tblGrid>
      <w:tr w:rsidR="00677427" w:rsidRPr="00597BF9" w14:paraId="122F4243" w14:textId="77777777" w:rsidTr="00035BF6">
        <w:trPr>
          <w:cantSplit/>
          <w:tblHeader/>
        </w:trPr>
        <w:tc>
          <w:tcPr>
            <w:tcW w:w="906" w:type="pct"/>
            <w:vMerge w:val="restart"/>
            <w:vAlign w:val="center"/>
          </w:tcPr>
          <w:p w14:paraId="51D11053" w14:textId="77777777" w:rsidR="00677427" w:rsidRPr="00597BF9" w:rsidRDefault="00677427" w:rsidP="00F774FD">
            <w:pPr>
              <w:pStyle w:val="In-tableHeading"/>
            </w:pPr>
            <w:r w:rsidRPr="00597BF9">
              <w:t>Step and component</w:t>
            </w:r>
          </w:p>
        </w:tc>
        <w:tc>
          <w:tcPr>
            <w:tcW w:w="2056" w:type="pct"/>
            <w:gridSpan w:val="3"/>
            <w:vAlign w:val="center"/>
          </w:tcPr>
          <w:p w14:paraId="5C6C218F" w14:textId="77777777" w:rsidR="00677427" w:rsidRPr="00597BF9" w:rsidRDefault="00346EC8" w:rsidP="00F774FD">
            <w:pPr>
              <w:pStyle w:val="In-tableHeading"/>
              <w:jc w:val="center"/>
            </w:pPr>
            <w:r>
              <w:t>Resubmission July 2023</w:t>
            </w:r>
          </w:p>
        </w:tc>
        <w:tc>
          <w:tcPr>
            <w:tcW w:w="2038" w:type="pct"/>
            <w:gridSpan w:val="3"/>
            <w:shd w:val="clear" w:color="auto" w:fill="C6D9F1" w:themeFill="text2" w:themeFillTint="33"/>
          </w:tcPr>
          <w:p w14:paraId="3B5049E2" w14:textId="77777777" w:rsidR="00677427" w:rsidRPr="00597BF9" w:rsidRDefault="00677427" w:rsidP="00F774FD">
            <w:pPr>
              <w:pStyle w:val="In-tableHeading"/>
              <w:jc w:val="center"/>
            </w:pPr>
            <w:r>
              <w:t>November 2022</w:t>
            </w:r>
          </w:p>
        </w:tc>
      </w:tr>
      <w:tr w:rsidR="00677427" w:rsidRPr="00597BF9" w14:paraId="47FE9587" w14:textId="77777777" w:rsidTr="00035BF6">
        <w:trPr>
          <w:cantSplit/>
          <w:tblHeader/>
        </w:trPr>
        <w:tc>
          <w:tcPr>
            <w:tcW w:w="906" w:type="pct"/>
            <w:vMerge/>
            <w:tcBorders>
              <w:bottom w:val="single" w:sz="4" w:space="0" w:color="auto"/>
            </w:tcBorders>
            <w:vAlign w:val="center"/>
          </w:tcPr>
          <w:p w14:paraId="3A0DD20B" w14:textId="77777777" w:rsidR="00677427" w:rsidRPr="00597BF9" w:rsidRDefault="00677427" w:rsidP="00677427">
            <w:pPr>
              <w:pStyle w:val="In-tableHeading"/>
            </w:pPr>
          </w:p>
        </w:tc>
        <w:tc>
          <w:tcPr>
            <w:tcW w:w="683" w:type="pct"/>
            <w:tcBorders>
              <w:bottom w:val="single" w:sz="4" w:space="0" w:color="auto"/>
            </w:tcBorders>
            <w:vAlign w:val="center"/>
          </w:tcPr>
          <w:p w14:paraId="3F3FB155" w14:textId="77777777" w:rsidR="00677427" w:rsidRDefault="00677427" w:rsidP="00677427">
            <w:pPr>
              <w:pStyle w:val="In-tableHeading"/>
              <w:jc w:val="center"/>
            </w:pPr>
            <w:r>
              <w:t>MAVA +</w:t>
            </w:r>
            <w:r>
              <w:br/>
              <w:t>BB/CCB</w:t>
            </w:r>
          </w:p>
        </w:tc>
        <w:tc>
          <w:tcPr>
            <w:tcW w:w="688" w:type="pct"/>
            <w:tcBorders>
              <w:bottom w:val="single" w:sz="4" w:space="0" w:color="auto"/>
            </w:tcBorders>
            <w:vAlign w:val="center"/>
          </w:tcPr>
          <w:p w14:paraId="0982F2B5" w14:textId="77777777" w:rsidR="00677427" w:rsidRDefault="00677427" w:rsidP="00677427">
            <w:pPr>
              <w:pStyle w:val="In-tableHeading"/>
              <w:jc w:val="center"/>
            </w:pPr>
            <w:r>
              <w:t>BB/CCB</w:t>
            </w:r>
          </w:p>
        </w:tc>
        <w:tc>
          <w:tcPr>
            <w:tcW w:w="685" w:type="pct"/>
            <w:tcBorders>
              <w:bottom w:val="single" w:sz="4" w:space="0" w:color="auto"/>
            </w:tcBorders>
            <w:vAlign w:val="center"/>
          </w:tcPr>
          <w:p w14:paraId="7FA5C1A6" w14:textId="77777777" w:rsidR="00677427" w:rsidRPr="00597BF9" w:rsidRDefault="00677427" w:rsidP="00677427">
            <w:pPr>
              <w:pStyle w:val="In-tableHeading"/>
              <w:jc w:val="center"/>
            </w:pPr>
            <w:r w:rsidRPr="00597BF9">
              <w:t>Increment</w:t>
            </w:r>
          </w:p>
        </w:tc>
        <w:tc>
          <w:tcPr>
            <w:tcW w:w="681" w:type="pct"/>
            <w:tcBorders>
              <w:bottom w:val="single" w:sz="4" w:space="0" w:color="auto"/>
            </w:tcBorders>
            <w:shd w:val="clear" w:color="auto" w:fill="C6D9F1" w:themeFill="text2" w:themeFillTint="33"/>
            <w:vAlign w:val="center"/>
          </w:tcPr>
          <w:p w14:paraId="1502EA7A" w14:textId="77777777" w:rsidR="00677427" w:rsidRPr="00597BF9" w:rsidRDefault="00677427" w:rsidP="00677427">
            <w:pPr>
              <w:pStyle w:val="In-tableHeading"/>
              <w:jc w:val="center"/>
            </w:pPr>
            <w:r>
              <w:t>MAVA +</w:t>
            </w:r>
            <w:r>
              <w:br/>
              <w:t>BB/CCB</w:t>
            </w:r>
          </w:p>
        </w:tc>
        <w:tc>
          <w:tcPr>
            <w:tcW w:w="679" w:type="pct"/>
            <w:tcBorders>
              <w:bottom w:val="single" w:sz="4" w:space="0" w:color="auto"/>
            </w:tcBorders>
            <w:shd w:val="clear" w:color="auto" w:fill="C6D9F1" w:themeFill="text2" w:themeFillTint="33"/>
            <w:vAlign w:val="center"/>
          </w:tcPr>
          <w:p w14:paraId="2BEA16D3" w14:textId="77777777" w:rsidR="00677427" w:rsidRPr="00597BF9" w:rsidRDefault="00677427" w:rsidP="00677427">
            <w:pPr>
              <w:pStyle w:val="In-tableHeading"/>
              <w:jc w:val="center"/>
            </w:pPr>
            <w:r>
              <w:t>BB/CCB</w:t>
            </w:r>
          </w:p>
        </w:tc>
        <w:tc>
          <w:tcPr>
            <w:tcW w:w="678" w:type="pct"/>
            <w:tcBorders>
              <w:bottom w:val="single" w:sz="4" w:space="0" w:color="auto"/>
            </w:tcBorders>
            <w:shd w:val="clear" w:color="auto" w:fill="C6D9F1" w:themeFill="text2" w:themeFillTint="33"/>
            <w:vAlign w:val="center"/>
          </w:tcPr>
          <w:p w14:paraId="4E7A6196" w14:textId="77777777" w:rsidR="00677427" w:rsidRPr="00597BF9" w:rsidRDefault="00677427" w:rsidP="00677427">
            <w:pPr>
              <w:pStyle w:val="In-tableHeading"/>
              <w:jc w:val="center"/>
            </w:pPr>
            <w:r w:rsidRPr="00597BF9">
              <w:t>Increment</w:t>
            </w:r>
          </w:p>
        </w:tc>
      </w:tr>
      <w:tr w:rsidR="00677427" w:rsidRPr="00D1078F" w14:paraId="29E78F75" w14:textId="77777777" w:rsidTr="00035BF6">
        <w:trPr>
          <w:cantSplit/>
        </w:trPr>
        <w:tc>
          <w:tcPr>
            <w:tcW w:w="2962" w:type="pct"/>
            <w:gridSpan w:val="4"/>
            <w:tcBorders>
              <w:right w:val="nil"/>
            </w:tcBorders>
            <w:vAlign w:val="center"/>
          </w:tcPr>
          <w:p w14:paraId="0CBB3450" w14:textId="77777777" w:rsidR="00677427" w:rsidRPr="00597BF9" w:rsidRDefault="00677427" w:rsidP="00F774FD">
            <w:pPr>
              <w:pStyle w:val="In-tableHeading"/>
            </w:pPr>
            <w:r w:rsidRPr="00597BF9">
              <w:t xml:space="preserve">Step 1: </w:t>
            </w:r>
            <w:r>
              <w:t>Comparative study data (30 weeks)</w:t>
            </w:r>
          </w:p>
        </w:tc>
        <w:tc>
          <w:tcPr>
            <w:tcW w:w="681" w:type="pct"/>
            <w:tcBorders>
              <w:left w:val="nil"/>
              <w:right w:val="nil"/>
            </w:tcBorders>
            <w:shd w:val="clear" w:color="auto" w:fill="C6D9F1" w:themeFill="text2" w:themeFillTint="33"/>
          </w:tcPr>
          <w:p w14:paraId="04D2937E" w14:textId="77777777" w:rsidR="00677427" w:rsidRPr="00597BF9" w:rsidRDefault="00677427" w:rsidP="00F774FD">
            <w:pPr>
              <w:pStyle w:val="In-tableHeading"/>
            </w:pPr>
          </w:p>
        </w:tc>
        <w:tc>
          <w:tcPr>
            <w:tcW w:w="679" w:type="pct"/>
            <w:tcBorders>
              <w:left w:val="nil"/>
              <w:right w:val="nil"/>
            </w:tcBorders>
            <w:shd w:val="clear" w:color="auto" w:fill="C6D9F1" w:themeFill="text2" w:themeFillTint="33"/>
          </w:tcPr>
          <w:p w14:paraId="1D71059E" w14:textId="77777777" w:rsidR="00677427" w:rsidRPr="00597BF9" w:rsidRDefault="00677427" w:rsidP="00F774FD">
            <w:pPr>
              <w:pStyle w:val="In-tableHeading"/>
            </w:pPr>
          </w:p>
        </w:tc>
        <w:tc>
          <w:tcPr>
            <w:tcW w:w="678" w:type="pct"/>
            <w:tcBorders>
              <w:left w:val="nil"/>
            </w:tcBorders>
            <w:shd w:val="clear" w:color="auto" w:fill="C6D9F1" w:themeFill="text2" w:themeFillTint="33"/>
          </w:tcPr>
          <w:p w14:paraId="13F144C2" w14:textId="77777777" w:rsidR="00677427" w:rsidRPr="00597BF9" w:rsidRDefault="00677427" w:rsidP="00F774FD">
            <w:pPr>
              <w:pStyle w:val="In-tableHeading"/>
            </w:pPr>
          </w:p>
        </w:tc>
      </w:tr>
      <w:tr w:rsidR="009C6093" w:rsidRPr="00E2771E" w14:paraId="47C460BF" w14:textId="77777777" w:rsidTr="00035BF6">
        <w:trPr>
          <w:cantSplit/>
        </w:trPr>
        <w:tc>
          <w:tcPr>
            <w:tcW w:w="906" w:type="pct"/>
            <w:vAlign w:val="center"/>
          </w:tcPr>
          <w:p w14:paraId="33775232" w14:textId="77777777" w:rsidR="009C6093" w:rsidRPr="00E2771E" w:rsidRDefault="009C6093" w:rsidP="000F32EE">
            <w:pPr>
              <w:pStyle w:val="TableText0"/>
              <w:ind w:left="257"/>
              <w:rPr>
                <w:rFonts w:ascii="Times" w:hAnsi="Times"/>
              </w:rPr>
            </w:pPr>
            <w:r w:rsidRPr="00E2771E">
              <w:t>Costs</w:t>
            </w:r>
          </w:p>
        </w:tc>
        <w:tc>
          <w:tcPr>
            <w:tcW w:w="683" w:type="pct"/>
            <w:vAlign w:val="center"/>
          </w:tcPr>
          <w:p w14:paraId="03992814" w14:textId="1199E223" w:rsidR="009C6093" w:rsidRPr="00E2771E" w:rsidRDefault="00B63528" w:rsidP="009C6093">
            <w:pPr>
              <w:pStyle w:val="TableText0"/>
              <w:jc w:val="center"/>
              <w:rPr>
                <w:rFonts w:ascii="Times" w:hAnsi="Times"/>
              </w:rPr>
            </w:pPr>
            <w:r w:rsidRPr="00B63528">
              <w:t>$</w:t>
            </w:r>
            <w:r w:rsidR="00F5190C" w:rsidRPr="00F84C70">
              <w:rPr>
                <w:rFonts w:hint="eastAsia"/>
                <w:color w:val="000000"/>
                <w:w w:val="15"/>
                <w:shd w:val="solid" w:color="000000" w:fill="000000"/>
                <w:fitText w:val="11" w:id="-1167926780"/>
                <w14:textFill>
                  <w14:solidFill>
                    <w14:srgbClr w14:val="000000">
                      <w14:alpha w14:val="100000"/>
                    </w14:srgbClr>
                  </w14:solidFill>
                </w14:textFill>
              </w:rPr>
              <w:t xml:space="preserve">　</w:t>
            </w:r>
            <w:r w:rsidR="00F5190C" w:rsidRPr="00F84C70">
              <w:rPr>
                <w:color w:val="000000"/>
                <w:w w:val="15"/>
                <w:shd w:val="solid" w:color="000000" w:fill="000000"/>
                <w:fitText w:val="11" w:id="-1167926780"/>
                <w14:textFill>
                  <w14:solidFill>
                    <w14:srgbClr w14:val="000000">
                      <w14:alpha w14:val="100000"/>
                    </w14:srgbClr>
                  </w14:solidFill>
                </w14:textFill>
              </w:rPr>
              <w:t>|</w:t>
            </w:r>
            <w:r w:rsidR="00F5190C" w:rsidRPr="00F84C70">
              <w:rPr>
                <w:rFonts w:hint="eastAsia"/>
                <w:color w:val="000000"/>
                <w:spacing w:val="-54"/>
                <w:w w:val="15"/>
                <w:shd w:val="solid" w:color="000000" w:fill="000000"/>
                <w:fitText w:val="11" w:id="-1167926780"/>
                <w14:textFill>
                  <w14:solidFill>
                    <w14:srgbClr w14:val="000000">
                      <w14:alpha w14:val="100000"/>
                    </w14:srgbClr>
                  </w14:solidFill>
                </w14:textFill>
              </w:rPr>
              <w:t xml:space="preserve">　</w:t>
            </w:r>
          </w:p>
        </w:tc>
        <w:tc>
          <w:tcPr>
            <w:tcW w:w="688" w:type="pct"/>
            <w:vAlign w:val="center"/>
          </w:tcPr>
          <w:p w14:paraId="25A32790" w14:textId="77777777" w:rsidR="009C6093" w:rsidRPr="00E2771E" w:rsidRDefault="009C6093" w:rsidP="009C6093">
            <w:pPr>
              <w:pStyle w:val="TableText0"/>
              <w:jc w:val="center"/>
              <w:rPr>
                <w:rFonts w:ascii="Times" w:hAnsi="Times"/>
              </w:rPr>
            </w:pPr>
            <w:r w:rsidRPr="00675920">
              <w:t>$3,662</w:t>
            </w:r>
          </w:p>
        </w:tc>
        <w:tc>
          <w:tcPr>
            <w:tcW w:w="685" w:type="pct"/>
            <w:vAlign w:val="center"/>
          </w:tcPr>
          <w:p w14:paraId="7F317DCD" w14:textId="6C7B40BB" w:rsidR="009C6093" w:rsidRPr="00E2771E" w:rsidRDefault="00B63528" w:rsidP="009C6093">
            <w:pPr>
              <w:pStyle w:val="TableText0"/>
              <w:jc w:val="center"/>
              <w:rPr>
                <w:rFonts w:ascii="Times" w:hAnsi="Times"/>
              </w:rPr>
            </w:pPr>
            <w:r w:rsidRPr="00B63528">
              <w:rPr>
                <w:iCs/>
              </w:rPr>
              <w:t>$</w:t>
            </w:r>
            <w:r w:rsidR="00F5190C" w:rsidRPr="00F84C70">
              <w:rPr>
                <w:rFonts w:hint="eastAsia"/>
                <w:iCs/>
                <w:color w:val="000000"/>
                <w:w w:val="15"/>
                <w:shd w:val="solid" w:color="000000" w:fill="000000"/>
                <w:fitText w:val="22" w:id="-1167926779"/>
                <w14:textFill>
                  <w14:solidFill>
                    <w14:srgbClr w14:val="000000">
                      <w14:alpha w14:val="100000"/>
                    </w14:srgbClr>
                  </w14:solidFill>
                </w14:textFill>
              </w:rPr>
              <w:t xml:space="preserve">　</w:t>
            </w:r>
            <w:r w:rsidR="00F5190C" w:rsidRPr="00F84C70">
              <w:rPr>
                <w:iCs/>
                <w:color w:val="000000"/>
                <w:w w:val="15"/>
                <w:shd w:val="solid" w:color="000000" w:fill="000000"/>
                <w:fitText w:val="22" w:id="-1167926779"/>
                <w14:textFill>
                  <w14:solidFill>
                    <w14:srgbClr w14:val="000000">
                      <w14:alpha w14:val="100000"/>
                    </w14:srgbClr>
                  </w14:solidFill>
                </w14:textFill>
              </w:rPr>
              <w:t>|</w:t>
            </w:r>
            <w:r w:rsidR="00F5190C" w:rsidRPr="00F84C70">
              <w:rPr>
                <w:rFonts w:hint="eastAsia"/>
                <w:iCs/>
                <w:color w:val="000000"/>
                <w:spacing w:val="-43"/>
                <w:w w:val="15"/>
                <w:shd w:val="solid" w:color="000000" w:fill="000000"/>
                <w:fitText w:val="22" w:id="-1167926779"/>
                <w14:textFill>
                  <w14:solidFill>
                    <w14:srgbClr w14:val="000000">
                      <w14:alpha w14:val="100000"/>
                    </w14:srgbClr>
                  </w14:solidFill>
                </w14:textFill>
              </w:rPr>
              <w:t xml:space="preserve">　</w:t>
            </w:r>
            <w:r w:rsidR="009C6093" w:rsidRPr="00BF5BC7">
              <w:rPr>
                <w:iCs/>
                <w:vertAlign w:val="superscript"/>
              </w:rPr>
              <w:t>a</w:t>
            </w:r>
          </w:p>
        </w:tc>
        <w:tc>
          <w:tcPr>
            <w:tcW w:w="681" w:type="pct"/>
            <w:shd w:val="clear" w:color="auto" w:fill="C6D9F1" w:themeFill="text2" w:themeFillTint="33"/>
            <w:vAlign w:val="center"/>
          </w:tcPr>
          <w:p w14:paraId="28B40E0C" w14:textId="39B04A3D" w:rsidR="009C6093" w:rsidRPr="00E2771E" w:rsidRDefault="00B63528" w:rsidP="009C6093">
            <w:pPr>
              <w:pStyle w:val="TableText0"/>
              <w:jc w:val="center"/>
            </w:pPr>
            <w:r w:rsidRPr="00B63528">
              <w:rPr>
                <w:rFonts w:cs="Calibri"/>
                <w:color w:val="404040"/>
                <w:szCs w:val="20"/>
              </w:rPr>
              <w:t>$</w:t>
            </w:r>
            <w:r w:rsidR="00F5190C" w:rsidRPr="00F84C70">
              <w:rPr>
                <w:rFonts w:cs="Calibri" w:hint="eastAsia"/>
                <w:color w:val="404040"/>
                <w:w w:val="15"/>
                <w:szCs w:val="20"/>
                <w:shd w:val="solid" w:color="000000" w:fill="000000"/>
                <w:fitText w:val="11" w:id="-1167926778"/>
                <w14:textFill>
                  <w14:solidFill>
                    <w14:srgbClr w14:val="404040">
                      <w14:alpha w14:val="100000"/>
                    </w14:srgbClr>
                  </w14:solidFill>
                </w14:textFill>
              </w:rPr>
              <w:t xml:space="preserve">　</w:t>
            </w:r>
            <w:r w:rsidR="00F5190C" w:rsidRPr="00F84C70">
              <w:rPr>
                <w:rFonts w:cs="Calibri"/>
                <w:color w:val="404040"/>
                <w:w w:val="15"/>
                <w:szCs w:val="20"/>
                <w:shd w:val="solid" w:color="000000" w:fill="000000"/>
                <w:fitText w:val="11" w:id="-1167926778"/>
                <w14:textFill>
                  <w14:solidFill>
                    <w14:srgbClr w14:val="404040">
                      <w14:alpha w14:val="100000"/>
                    </w14:srgbClr>
                  </w14:solidFill>
                </w14:textFill>
              </w:rPr>
              <w:t>|</w:t>
            </w:r>
            <w:r w:rsidR="00F5190C" w:rsidRPr="00F84C70">
              <w:rPr>
                <w:rFonts w:cs="Calibri" w:hint="eastAsia"/>
                <w:color w:val="404040"/>
                <w:spacing w:val="-54"/>
                <w:w w:val="15"/>
                <w:szCs w:val="20"/>
                <w:shd w:val="solid" w:color="000000" w:fill="000000"/>
                <w:fitText w:val="11" w:id="-1167926778"/>
                <w14:textFill>
                  <w14:solidFill>
                    <w14:srgbClr w14:val="404040">
                      <w14:alpha w14:val="100000"/>
                    </w14:srgbClr>
                  </w14:solidFill>
                </w14:textFill>
              </w:rPr>
              <w:t xml:space="preserve">　</w:t>
            </w:r>
          </w:p>
        </w:tc>
        <w:tc>
          <w:tcPr>
            <w:tcW w:w="679" w:type="pct"/>
            <w:shd w:val="clear" w:color="auto" w:fill="C6D9F1" w:themeFill="text2" w:themeFillTint="33"/>
            <w:vAlign w:val="center"/>
          </w:tcPr>
          <w:p w14:paraId="1E8B9D7B" w14:textId="77777777" w:rsidR="009C6093" w:rsidRPr="00E2771E" w:rsidRDefault="009C6093" w:rsidP="009C6093">
            <w:pPr>
              <w:pStyle w:val="TableText0"/>
              <w:jc w:val="center"/>
            </w:pPr>
            <w:r w:rsidRPr="00315DA6">
              <w:rPr>
                <w:color w:val="000000"/>
                <w:szCs w:val="18"/>
              </w:rPr>
              <w:t>$7,346</w:t>
            </w:r>
          </w:p>
        </w:tc>
        <w:tc>
          <w:tcPr>
            <w:tcW w:w="678" w:type="pct"/>
            <w:shd w:val="clear" w:color="auto" w:fill="C6D9F1" w:themeFill="text2" w:themeFillTint="33"/>
            <w:vAlign w:val="center"/>
          </w:tcPr>
          <w:p w14:paraId="6D253738" w14:textId="71D6EF57" w:rsidR="009C6093" w:rsidRPr="00E2771E" w:rsidRDefault="00B63528" w:rsidP="009C6093">
            <w:pPr>
              <w:pStyle w:val="TableText0"/>
              <w:jc w:val="center"/>
            </w:pPr>
            <w:r w:rsidRPr="00B63528">
              <w:rPr>
                <w:color w:val="000000"/>
                <w:szCs w:val="18"/>
              </w:rPr>
              <w:t>$</w:t>
            </w:r>
            <w:r w:rsidR="00F5190C" w:rsidRPr="00F84C70">
              <w:rPr>
                <w:rFonts w:hint="eastAsia"/>
                <w:color w:val="000000"/>
                <w:w w:val="15"/>
                <w:szCs w:val="18"/>
                <w:shd w:val="solid" w:color="000000" w:fill="000000"/>
                <w:fitText w:val="11" w:id="-1167926777"/>
                <w14:textFill>
                  <w14:solidFill>
                    <w14:srgbClr w14:val="000000">
                      <w14:alpha w14:val="100000"/>
                    </w14:srgbClr>
                  </w14:solidFill>
                </w14:textFill>
              </w:rPr>
              <w:t xml:space="preserve">　</w:t>
            </w:r>
            <w:r w:rsidR="00F5190C" w:rsidRPr="00F84C70">
              <w:rPr>
                <w:color w:val="000000"/>
                <w:w w:val="15"/>
                <w:szCs w:val="18"/>
                <w:shd w:val="solid" w:color="000000" w:fill="000000"/>
                <w:fitText w:val="11" w:id="-1167926777"/>
                <w14:textFill>
                  <w14:solidFill>
                    <w14:srgbClr w14:val="000000">
                      <w14:alpha w14:val="100000"/>
                    </w14:srgbClr>
                  </w14:solidFill>
                </w14:textFill>
              </w:rPr>
              <w:t>|</w:t>
            </w:r>
            <w:r w:rsidR="00F5190C" w:rsidRPr="00F84C70">
              <w:rPr>
                <w:rFonts w:hint="eastAsia"/>
                <w:color w:val="000000"/>
                <w:spacing w:val="-54"/>
                <w:w w:val="15"/>
                <w:szCs w:val="18"/>
                <w:shd w:val="solid" w:color="000000" w:fill="000000"/>
                <w:fitText w:val="11" w:id="-1167926777"/>
                <w14:textFill>
                  <w14:solidFill>
                    <w14:srgbClr w14:val="000000">
                      <w14:alpha w14:val="100000"/>
                    </w14:srgbClr>
                  </w14:solidFill>
                </w14:textFill>
              </w:rPr>
              <w:t xml:space="preserve">　</w:t>
            </w:r>
          </w:p>
        </w:tc>
      </w:tr>
      <w:tr w:rsidR="00605DA3" w:rsidRPr="00E2771E" w14:paraId="2BF96F0D" w14:textId="77777777" w:rsidTr="00035BF6">
        <w:trPr>
          <w:cantSplit/>
        </w:trPr>
        <w:tc>
          <w:tcPr>
            <w:tcW w:w="906" w:type="pct"/>
            <w:vAlign w:val="center"/>
          </w:tcPr>
          <w:p w14:paraId="53C04D89" w14:textId="77777777" w:rsidR="00605DA3" w:rsidRPr="00E2771E" w:rsidRDefault="00605DA3" w:rsidP="000F32EE">
            <w:pPr>
              <w:pStyle w:val="TableText0"/>
              <w:ind w:left="257"/>
              <w:rPr>
                <w:rFonts w:ascii="Times" w:hAnsi="Times"/>
              </w:rPr>
            </w:pPr>
            <w:r>
              <w:t>R</w:t>
            </w:r>
            <w:r w:rsidRPr="0007435E">
              <w:t>esponder</w:t>
            </w:r>
            <w:r>
              <w:t xml:space="preserve"> </w:t>
            </w:r>
            <w:r>
              <w:rPr>
                <w:vertAlign w:val="superscript"/>
              </w:rPr>
              <w:t>b</w:t>
            </w:r>
          </w:p>
        </w:tc>
        <w:tc>
          <w:tcPr>
            <w:tcW w:w="683" w:type="pct"/>
            <w:vAlign w:val="center"/>
          </w:tcPr>
          <w:p w14:paraId="136B6BEC" w14:textId="77777777" w:rsidR="00605DA3" w:rsidRPr="00E2771E" w:rsidRDefault="00605DA3" w:rsidP="00605DA3">
            <w:pPr>
              <w:pStyle w:val="TableText0"/>
              <w:jc w:val="center"/>
              <w:rPr>
                <w:rFonts w:ascii="Times" w:hAnsi="Times"/>
              </w:rPr>
            </w:pPr>
            <w:r w:rsidRPr="00675920">
              <w:t>36.6%</w:t>
            </w:r>
          </w:p>
        </w:tc>
        <w:tc>
          <w:tcPr>
            <w:tcW w:w="688" w:type="pct"/>
            <w:vAlign w:val="center"/>
          </w:tcPr>
          <w:p w14:paraId="1B17E679" w14:textId="77777777" w:rsidR="00605DA3" w:rsidRPr="00E2771E" w:rsidRDefault="00605DA3" w:rsidP="00605DA3">
            <w:pPr>
              <w:pStyle w:val="TableText0"/>
              <w:jc w:val="center"/>
              <w:rPr>
                <w:rFonts w:ascii="Times" w:hAnsi="Times"/>
              </w:rPr>
            </w:pPr>
            <w:r w:rsidRPr="00675920">
              <w:t>17.2%</w:t>
            </w:r>
          </w:p>
        </w:tc>
        <w:tc>
          <w:tcPr>
            <w:tcW w:w="685" w:type="pct"/>
            <w:vAlign w:val="center"/>
          </w:tcPr>
          <w:p w14:paraId="7EF16A19" w14:textId="77777777" w:rsidR="00605DA3" w:rsidRPr="00E2771E" w:rsidRDefault="00605DA3" w:rsidP="00605DA3">
            <w:pPr>
              <w:pStyle w:val="TableText0"/>
              <w:jc w:val="center"/>
            </w:pPr>
            <w:r w:rsidRPr="00675920">
              <w:t>19.4%</w:t>
            </w:r>
          </w:p>
        </w:tc>
        <w:tc>
          <w:tcPr>
            <w:tcW w:w="681" w:type="pct"/>
            <w:tcBorders>
              <w:bottom w:val="single" w:sz="4" w:space="0" w:color="auto"/>
            </w:tcBorders>
            <w:shd w:val="clear" w:color="auto" w:fill="C6D9F1" w:themeFill="text2" w:themeFillTint="33"/>
            <w:vAlign w:val="center"/>
          </w:tcPr>
          <w:p w14:paraId="0E803F7D" w14:textId="77777777" w:rsidR="00605DA3" w:rsidRDefault="00605DA3" w:rsidP="00605DA3">
            <w:pPr>
              <w:pStyle w:val="TableText0"/>
              <w:jc w:val="center"/>
            </w:pPr>
            <w:r w:rsidRPr="00675920">
              <w:t>36.6%</w:t>
            </w:r>
          </w:p>
        </w:tc>
        <w:tc>
          <w:tcPr>
            <w:tcW w:w="679" w:type="pct"/>
            <w:tcBorders>
              <w:bottom w:val="single" w:sz="4" w:space="0" w:color="auto"/>
            </w:tcBorders>
            <w:shd w:val="clear" w:color="auto" w:fill="C6D9F1" w:themeFill="text2" w:themeFillTint="33"/>
            <w:vAlign w:val="center"/>
          </w:tcPr>
          <w:p w14:paraId="6910625E" w14:textId="77777777" w:rsidR="00605DA3" w:rsidRDefault="00605DA3" w:rsidP="00605DA3">
            <w:pPr>
              <w:pStyle w:val="TableText0"/>
              <w:jc w:val="center"/>
            </w:pPr>
            <w:r w:rsidRPr="00675920">
              <w:t>17.2%</w:t>
            </w:r>
          </w:p>
        </w:tc>
        <w:tc>
          <w:tcPr>
            <w:tcW w:w="678" w:type="pct"/>
            <w:shd w:val="clear" w:color="auto" w:fill="C6D9F1" w:themeFill="text2" w:themeFillTint="33"/>
            <w:vAlign w:val="center"/>
          </w:tcPr>
          <w:p w14:paraId="349AA6B0" w14:textId="77777777" w:rsidR="00605DA3" w:rsidRDefault="00605DA3" w:rsidP="00605DA3">
            <w:pPr>
              <w:pStyle w:val="TableText0"/>
              <w:jc w:val="center"/>
            </w:pPr>
            <w:r w:rsidRPr="00675920">
              <w:t>19.4%</w:t>
            </w:r>
          </w:p>
        </w:tc>
      </w:tr>
      <w:tr w:rsidR="00677427" w:rsidRPr="00E2771E" w14:paraId="2B2647B6" w14:textId="77777777" w:rsidTr="00035BF6">
        <w:trPr>
          <w:cantSplit/>
        </w:trPr>
        <w:tc>
          <w:tcPr>
            <w:tcW w:w="2277" w:type="pct"/>
            <w:gridSpan w:val="3"/>
            <w:tcBorders>
              <w:bottom w:val="single" w:sz="4" w:space="0" w:color="auto"/>
            </w:tcBorders>
            <w:vAlign w:val="center"/>
          </w:tcPr>
          <w:p w14:paraId="1B2619A5" w14:textId="77777777" w:rsidR="00677427" w:rsidRPr="00E2771E" w:rsidRDefault="00677427" w:rsidP="00F774FD">
            <w:pPr>
              <w:pStyle w:val="TableText0"/>
              <w:rPr>
                <w:rFonts w:ascii="Times" w:hAnsi="Times"/>
              </w:rPr>
            </w:pPr>
            <w:r w:rsidRPr="00E2771E">
              <w:t xml:space="preserve">Incremental </w:t>
            </w:r>
            <w:r w:rsidR="00424B4E">
              <w:t xml:space="preserve">cost </w:t>
            </w:r>
            <w:r w:rsidR="00F153BC">
              <w:t>per responder</w:t>
            </w:r>
          </w:p>
        </w:tc>
        <w:tc>
          <w:tcPr>
            <w:tcW w:w="685" w:type="pct"/>
            <w:tcBorders>
              <w:bottom w:val="single" w:sz="4" w:space="0" w:color="auto"/>
            </w:tcBorders>
            <w:vAlign w:val="center"/>
          </w:tcPr>
          <w:p w14:paraId="1FB29334" w14:textId="45AC9362" w:rsidR="00677427" w:rsidRPr="00E2771E" w:rsidRDefault="00B63528" w:rsidP="00F774FD">
            <w:pPr>
              <w:pStyle w:val="TableText0"/>
              <w:jc w:val="center"/>
              <w:rPr>
                <w:rFonts w:ascii="Times" w:hAnsi="Times"/>
              </w:rPr>
            </w:pPr>
            <w:r w:rsidRPr="00B63528">
              <w:t>$</w:t>
            </w:r>
            <w:r w:rsidR="00F5190C" w:rsidRPr="00F84C70">
              <w:rPr>
                <w:rFonts w:hint="eastAsia"/>
                <w:color w:val="000000"/>
                <w:w w:val="15"/>
                <w:shd w:val="solid" w:color="000000" w:fill="000000"/>
                <w:fitText w:val="22" w:id="-1167926776"/>
                <w14:textFill>
                  <w14:solidFill>
                    <w14:srgbClr w14:val="000000">
                      <w14:alpha w14:val="100000"/>
                    </w14:srgbClr>
                  </w14:solidFill>
                </w14:textFill>
              </w:rPr>
              <w:t xml:space="preserve">　</w:t>
            </w:r>
            <w:r w:rsidR="00F5190C" w:rsidRPr="00F84C70">
              <w:rPr>
                <w:color w:val="000000"/>
                <w:w w:val="15"/>
                <w:shd w:val="solid" w:color="000000" w:fill="000000"/>
                <w:fitText w:val="22" w:id="-1167926776"/>
                <w14:textFill>
                  <w14:solidFill>
                    <w14:srgbClr w14:val="000000">
                      <w14:alpha w14:val="100000"/>
                    </w14:srgbClr>
                  </w14:solidFill>
                </w14:textFill>
              </w:rPr>
              <w:t>|</w:t>
            </w:r>
            <w:r w:rsidR="00F5190C" w:rsidRPr="00F84C70">
              <w:rPr>
                <w:rFonts w:hint="eastAsia"/>
                <w:color w:val="000000"/>
                <w:spacing w:val="-43"/>
                <w:w w:val="15"/>
                <w:shd w:val="solid" w:color="000000" w:fill="000000"/>
                <w:fitText w:val="22" w:id="-1167926776"/>
                <w14:textFill>
                  <w14:solidFill>
                    <w14:srgbClr w14:val="000000">
                      <w14:alpha w14:val="100000"/>
                    </w14:srgbClr>
                  </w14:solidFill>
                </w14:textFill>
              </w:rPr>
              <w:t xml:space="preserve">　</w:t>
            </w:r>
            <w:r w:rsidR="00AC0840">
              <w:rPr>
                <w:iCs/>
                <w:vertAlign w:val="superscript"/>
              </w:rPr>
              <w:t>1</w:t>
            </w:r>
          </w:p>
        </w:tc>
        <w:tc>
          <w:tcPr>
            <w:tcW w:w="681" w:type="pct"/>
            <w:tcBorders>
              <w:bottom w:val="single" w:sz="4" w:space="0" w:color="auto"/>
              <w:right w:val="nil"/>
            </w:tcBorders>
            <w:shd w:val="clear" w:color="auto" w:fill="C6D9F1" w:themeFill="text2" w:themeFillTint="33"/>
          </w:tcPr>
          <w:p w14:paraId="20C5F793" w14:textId="77777777" w:rsidR="00677427" w:rsidRPr="00E2771E" w:rsidRDefault="00677427" w:rsidP="00F774FD">
            <w:pPr>
              <w:pStyle w:val="TableText0"/>
              <w:jc w:val="center"/>
            </w:pPr>
          </w:p>
        </w:tc>
        <w:tc>
          <w:tcPr>
            <w:tcW w:w="679" w:type="pct"/>
            <w:tcBorders>
              <w:left w:val="nil"/>
              <w:bottom w:val="single" w:sz="4" w:space="0" w:color="auto"/>
            </w:tcBorders>
            <w:shd w:val="clear" w:color="auto" w:fill="C6D9F1" w:themeFill="text2" w:themeFillTint="33"/>
          </w:tcPr>
          <w:p w14:paraId="65B79964" w14:textId="77777777" w:rsidR="00677427" w:rsidRPr="00E2771E" w:rsidRDefault="00677427" w:rsidP="00F774FD">
            <w:pPr>
              <w:pStyle w:val="TableText0"/>
              <w:jc w:val="center"/>
            </w:pPr>
          </w:p>
        </w:tc>
        <w:tc>
          <w:tcPr>
            <w:tcW w:w="678" w:type="pct"/>
            <w:tcBorders>
              <w:bottom w:val="single" w:sz="4" w:space="0" w:color="auto"/>
            </w:tcBorders>
            <w:shd w:val="clear" w:color="auto" w:fill="C6D9F1" w:themeFill="text2" w:themeFillTint="33"/>
          </w:tcPr>
          <w:p w14:paraId="4F848D1C" w14:textId="48591AAC" w:rsidR="00677427" w:rsidRPr="00E2771E" w:rsidRDefault="00B63528" w:rsidP="00F774FD">
            <w:pPr>
              <w:pStyle w:val="TableText0"/>
              <w:jc w:val="center"/>
            </w:pPr>
            <w:r w:rsidRPr="00B63528">
              <w:t>$</w:t>
            </w:r>
            <w:r w:rsidR="00F5190C" w:rsidRPr="00F5190C">
              <w:rPr>
                <w:rFonts w:hint="eastAsia"/>
                <w:color w:val="000000"/>
                <w:w w:val="15"/>
                <w:shd w:val="solid" w:color="000000" w:fill="000000"/>
                <w:fitText w:val="44" w:id="-1167926775"/>
                <w14:textFill>
                  <w14:solidFill>
                    <w14:srgbClr w14:val="000000">
                      <w14:alpha w14:val="100000"/>
                    </w14:srgbClr>
                  </w14:solidFill>
                </w14:textFill>
              </w:rPr>
              <w:t xml:space="preserve">　</w:t>
            </w:r>
            <w:r w:rsidR="00F5190C" w:rsidRPr="00F5190C">
              <w:rPr>
                <w:color w:val="000000"/>
                <w:w w:val="15"/>
                <w:shd w:val="solid" w:color="000000" w:fill="000000"/>
                <w:fitText w:val="44" w:id="-1167926775"/>
                <w14:textFill>
                  <w14:solidFill>
                    <w14:srgbClr w14:val="000000">
                      <w14:alpha w14:val="100000"/>
                    </w14:srgbClr>
                  </w14:solidFill>
                </w14:textFill>
              </w:rPr>
              <w:t>|</w:t>
            </w:r>
            <w:r w:rsidR="00F5190C" w:rsidRPr="00F5190C">
              <w:rPr>
                <w:rFonts w:hint="eastAsia"/>
                <w:color w:val="000000"/>
                <w:spacing w:val="-50"/>
                <w:w w:val="15"/>
                <w:shd w:val="solid" w:color="000000" w:fill="000000"/>
                <w:fitText w:val="44" w:id="-1167926775"/>
                <w14:textFill>
                  <w14:solidFill>
                    <w14:srgbClr w14:val="000000">
                      <w14:alpha w14:val="100000"/>
                    </w14:srgbClr>
                  </w14:solidFill>
                </w14:textFill>
              </w:rPr>
              <w:t xml:space="preserve">　</w:t>
            </w:r>
            <w:r w:rsidR="00AC0840">
              <w:rPr>
                <w:iCs/>
                <w:vertAlign w:val="superscript"/>
              </w:rPr>
              <w:t>1</w:t>
            </w:r>
          </w:p>
        </w:tc>
      </w:tr>
      <w:tr w:rsidR="00677427" w:rsidRPr="00D1078F" w14:paraId="3229DF4E" w14:textId="77777777" w:rsidTr="00035BF6">
        <w:trPr>
          <w:cantSplit/>
        </w:trPr>
        <w:tc>
          <w:tcPr>
            <w:tcW w:w="2962" w:type="pct"/>
            <w:gridSpan w:val="4"/>
            <w:tcBorders>
              <w:right w:val="nil"/>
            </w:tcBorders>
            <w:vAlign w:val="center"/>
          </w:tcPr>
          <w:p w14:paraId="7699D11A" w14:textId="77777777" w:rsidR="00677427" w:rsidRPr="00597BF9" w:rsidRDefault="00677427" w:rsidP="00F774FD">
            <w:pPr>
              <w:pStyle w:val="In-tableHeading"/>
            </w:pPr>
            <w:r w:rsidRPr="00597BF9">
              <w:t xml:space="preserve">Step 2: </w:t>
            </w:r>
            <w:r>
              <w:t>Study data transformed into LYG (30 weeks)</w:t>
            </w:r>
          </w:p>
        </w:tc>
        <w:tc>
          <w:tcPr>
            <w:tcW w:w="681" w:type="pct"/>
            <w:tcBorders>
              <w:left w:val="nil"/>
              <w:right w:val="nil"/>
            </w:tcBorders>
            <w:shd w:val="clear" w:color="auto" w:fill="C6D9F1" w:themeFill="text2" w:themeFillTint="33"/>
          </w:tcPr>
          <w:p w14:paraId="05F7D74C" w14:textId="77777777" w:rsidR="00677427" w:rsidRPr="00597BF9" w:rsidRDefault="00677427" w:rsidP="00F774FD">
            <w:pPr>
              <w:pStyle w:val="In-tableHeading"/>
            </w:pPr>
          </w:p>
        </w:tc>
        <w:tc>
          <w:tcPr>
            <w:tcW w:w="679" w:type="pct"/>
            <w:tcBorders>
              <w:left w:val="nil"/>
              <w:right w:val="nil"/>
            </w:tcBorders>
            <w:shd w:val="clear" w:color="auto" w:fill="C6D9F1" w:themeFill="text2" w:themeFillTint="33"/>
          </w:tcPr>
          <w:p w14:paraId="100B3409" w14:textId="77777777" w:rsidR="00677427" w:rsidRPr="00597BF9" w:rsidRDefault="00677427" w:rsidP="00F774FD">
            <w:pPr>
              <w:pStyle w:val="In-tableHeading"/>
            </w:pPr>
          </w:p>
        </w:tc>
        <w:tc>
          <w:tcPr>
            <w:tcW w:w="678" w:type="pct"/>
            <w:tcBorders>
              <w:left w:val="nil"/>
            </w:tcBorders>
            <w:shd w:val="clear" w:color="auto" w:fill="C6D9F1" w:themeFill="text2" w:themeFillTint="33"/>
          </w:tcPr>
          <w:p w14:paraId="18D8044E" w14:textId="77777777" w:rsidR="00677427" w:rsidRPr="00597BF9" w:rsidRDefault="00677427" w:rsidP="00F774FD">
            <w:pPr>
              <w:pStyle w:val="In-tableHeading"/>
            </w:pPr>
          </w:p>
        </w:tc>
      </w:tr>
      <w:tr w:rsidR="009C6093" w:rsidRPr="00E2771E" w14:paraId="0759123A" w14:textId="77777777" w:rsidTr="00035BF6">
        <w:trPr>
          <w:cantSplit/>
        </w:trPr>
        <w:tc>
          <w:tcPr>
            <w:tcW w:w="906" w:type="pct"/>
            <w:vAlign w:val="center"/>
          </w:tcPr>
          <w:p w14:paraId="0B688B4E" w14:textId="77777777" w:rsidR="009C6093" w:rsidRPr="000F32EE" w:rsidRDefault="009C6093" w:rsidP="000F32EE">
            <w:pPr>
              <w:pStyle w:val="TableText0"/>
              <w:ind w:left="257"/>
            </w:pPr>
            <w:r w:rsidRPr="000F32EE">
              <w:t>Costs</w:t>
            </w:r>
          </w:p>
        </w:tc>
        <w:tc>
          <w:tcPr>
            <w:tcW w:w="683" w:type="pct"/>
            <w:vAlign w:val="center"/>
          </w:tcPr>
          <w:p w14:paraId="44B4EC41" w14:textId="28362993" w:rsidR="009C6093" w:rsidRPr="00E2771E" w:rsidRDefault="00B63528" w:rsidP="009C6093">
            <w:pPr>
              <w:pStyle w:val="TableText0"/>
              <w:jc w:val="center"/>
              <w:rPr>
                <w:rFonts w:ascii="Times" w:hAnsi="Times"/>
              </w:rPr>
            </w:pPr>
            <w:r w:rsidRPr="00B63528">
              <w:t>$</w:t>
            </w:r>
            <w:r w:rsidR="00F5190C" w:rsidRPr="00F84C70">
              <w:rPr>
                <w:rFonts w:hint="eastAsia"/>
                <w:color w:val="000000"/>
                <w:w w:val="15"/>
                <w:shd w:val="solid" w:color="000000" w:fill="000000"/>
                <w:fitText w:val="11" w:id="-1167926774"/>
                <w14:textFill>
                  <w14:solidFill>
                    <w14:srgbClr w14:val="000000">
                      <w14:alpha w14:val="100000"/>
                    </w14:srgbClr>
                  </w14:solidFill>
                </w14:textFill>
              </w:rPr>
              <w:t xml:space="preserve">　</w:t>
            </w:r>
            <w:r w:rsidR="00F5190C" w:rsidRPr="00F84C70">
              <w:rPr>
                <w:color w:val="000000"/>
                <w:w w:val="15"/>
                <w:shd w:val="solid" w:color="000000" w:fill="000000"/>
                <w:fitText w:val="11" w:id="-1167926774"/>
                <w14:textFill>
                  <w14:solidFill>
                    <w14:srgbClr w14:val="000000">
                      <w14:alpha w14:val="100000"/>
                    </w14:srgbClr>
                  </w14:solidFill>
                </w14:textFill>
              </w:rPr>
              <w:t>|</w:t>
            </w:r>
            <w:r w:rsidR="00F5190C" w:rsidRPr="00F84C70">
              <w:rPr>
                <w:rFonts w:hint="eastAsia"/>
                <w:color w:val="000000"/>
                <w:spacing w:val="-54"/>
                <w:w w:val="15"/>
                <w:shd w:val="solid" w:color="000000" w:fill="000000"/>
                <w:fitText w:val="11" w:id="-1167926774"/>
                <w14:textFill>
                  <w14:solidFill>
                    <w14:srgbClr w14:val="000000">
                      <w14:alpha w14:val="100000"/>
                    </w14:srgbClr>
                  </w14:solidFill>
                </w14:textFill>
              </w:rPr>
              <w:t xml:space="preserve">　</w:t>
            </w:r>
          </w:p>
        </w:tc>
        <w:tc>
          <w:tcPr>
            <w:tcW w:w="688" w:type="pct"/>
            <w:vAlign w:val="center"/>
          </w:tcPr>
          <w:p w14:paraId="6BD846F0" w14:textId="77777777" w:rsidR="009C6093" w:rsidRPr="00E2771E" w:rsidRDefault="009C6093" w:rsidP="009C6093">
            <w:pPr>
              <w:pStyle w:val="TableText0"/>
              <w:jc w:val="center"/>
              <w:rPr>
                <w:rFonts w:ascii="Times" w:hAnsi="Times"/>
              </w:rPr>
            </w:pPr>
            <w:r w:rsidRPr="00675920">
              <w:t>$3,662</w:t>
            </w:r>
          </w:p>
        </w:tc>
        <w:tc>
          <w:tcPr>
            <w:tcW w:w="685" w:type="pct"/>
            <w:vAlign w:val="center"/>
          </w:tcPr>
          <w:p w14:paraId="63265068" w14:textId="7DB779DE" w:rsidR="009C6093" w:rsidRPr="00E2771E" w:rsidRDefault="00B63528" w:rsidP="009C6093">
            <w:pPr>
              <w:pStyle w:val="TableText0"/>
              <w:jc w:val="center"/>
              <w:rPr>
                <w:rFonts w:ascii="Times" w:hAnsi="Times"/>
              </w:rPr>
            </w:pPr>
            <w:r w:rsidRPr="00B63528">
              <w:rPr>
                <w:iCs/>
              </w:rPr>
              <w:t>$</w:t>
            </w:r>
            <w:r w:rsidR="00F5190C" w:rsidRPr="00F84C70">
              <w:rPr>
                <w:rFonts w:hint="eastAsia"/>
                <w:iCs/>
                <w:color w:val="000000"/>
                <w:w w:val="15"/>
                <w:shd w:val="solid" w:color="000000" w:fill="000000"/>
                <w:fitText w:val="22" w:id="-1167926773"/>
                <w14:textFill>
                  <w14:solidFill>
                    <w14:srgbClr w14:val="000000">
                      <w14:alpha w14:val="100000"/>
                    </w14:srgbClr>
                  </w14:solidFill>
                </w14:textFill>
              </w:rPr>
              <w:t xml:space="preserve">　</w:t>
            </w:r>
            <w:r w:rsidR="00F5190C" w:rsidRPr="00F84C70">
              <w:rPr>
                <w:iCs/>
                <w:color w:val="000000"/>
                <w:w w:val="15"/>
                <w:shd w:val="solid" w:color="000000" w:fill="000000"/>
                <w:fitText w:val="22" w:id="-1167926773"/>
                <w14:textFill>
                  <w14:solidFill>
                    <w14:srgbClr w14:val="000000">
                      <w14:alpha w14:val="100000"/>
                    </w14:srgbClr>
                  </w14:solidFill>
                </w14:textFill>
              </w:rPr>
              <w:t>|</w:t>
            </w:r>
            <w:r w:rsidR="00F5190C" w:rsidRPr="00F84C70">
              <w:rPr>
                <w:rFonts w:hint="eastAsia"/>
                <w:iCs/>
                <w:color w:val="000000"/>
                <w:spacing w:val="-43"/>
                <w:w w:val="15"/>
                <w:shd w:val="solid" w:color="000000" w:fill="000000"/>
                <w:fitText w:val="22" w:id="-1167926773"/>
                <w14:textFill>
                  <w14:solidFill>
                    <w14:srgbClr w14:val="000000">
                      <w14:alpha w14:val="100000"/>
                    </w14:srgbClr>
                  </w14:solidFill>
                </w14:textFill>
              </w:rPr>
              <w:t xml:space="preserve">　</w:t>
            </w:r>
            <w:r w:rsidR="009C6093" w:rsidRPr="00BF5BC7">
              <w:rPr>
                <w:iCs/>
                <w:vertAlign w:val="superscript"/>
              </w:rPr>
              <w:t>a</w:t>
            </w:r>
          </w:p>
        </w:tc>
        <w:tc>
          <w:tcPr>
            <w:tcW w:w="681" w:type="pct"/>
            <w:shd w:val="clear" w:color="auto" w:fill="C6D9F1" w:themeFill="text2" w:themeFillTint="33"/>
            <w:vAlign w:val="center"/>
          </w:tcPr>
          <w:p w14:paraId="4FE7A349" w14:textId="7EB3A29D" w:rsidR="009C6093" w:rsidRPr="00E2771E" w:rsidRDefault="00B63528" w:rsidP="009C6093">
            <w:pPr>
              <w:pStyle w:val="TableText0"/>
              <w:jc w:val="center"/>
            </w:pPr>
            <w:r w:rsidRPr="00B63528">
              <w:rPr>
                <w:rFonts w:cs="Calibri"/>
                <w:color w:val="404040"/>
                <w:szCs w:val="20"/>
              </w:rPr>
              <w:t>$</w:t>
            </w:r>
            <w:r w:rsidR="00F5190C" w:rsidRPr="00F84C70">
              <w:rPr>
                <w:rFonts w:cs="Calibri" w:hint="eastAsia"/>
                <w:color w:val="404040"/>
                <w:w w:val="15"/>
                <w:szCs w:val="20"/>
                <w:shd w:val="solid" w:color="000000" w:fill="000000"/>
                <w:fitText w:val="11" w:id="-1167926772"/>
                <w14:textFill>
                  <w14:solidFill>
                    <w14:srgbClr w14:val="404040">
                      <w14:alpha w14:val="100000"/>
                    </w14:srgbClr>
                  </w14:solidFill>
                </w14:textFill>
              </w:rPr>
              <w:t xml:space="preserve">　</w:t>
            </w:r>
            <w:r w:rsidR="00F5190C" w:rsidRPr="00F84C70">
              <w:rPr>
                <w:rFonts w:cs="Calibri"/>
                <w:color w:val="404040"/>
                <w:w w:val="15"/>
                <w:szCs w:val="20"/>
                <w:shd w:val="solid" w:color="000000" w:fill="000000"/>
                <w:fitText w:val="11" w:id="-1167926772"/>
                <w14:textFill>
                  <w14:solidFill>
                    <w14:srgbClr w14:val="404040">
                      <w14:alpha w14:val="100000"/>
                    </w14:srgbClr>
                  </w14:solidFill>
                </w14:textFill>
              </w:rPr>
              <w:t>|</w:t>
            </w:r>
            <w:r w:rsidR="00F5190C" w:rsidRPr="00F84C70">
              <w:rPr>
                <w:rFonts w:cs="Calibri" w:hint="eastAsia"/>
                <w:color w:val="404040"/>
                <w:spacing w:val="-54"/>
                <w:w w:val="15"/>
                <w:szCs w:val="20"/>
                <w:shd w:val="solid" w:color="000000" w:fill="000000"/>
                <w:fitText w:val="11" w:id="-1167926772"/>
                <w14:textFill>
                  <w14:solidFill>
                    <w14:srgbClr w14:val="404040">
                      <w14:alpha w14:val="100000"/>
                    </w14:srgbClr>
                  </w14:solidFill>
                </w14:textFill>
              </w:rPr>
              <w:t xml:space="preserve">　</w:t>
            </w:r>
          </w:p>
        </w:tc>
        <w:tc>
          <w:tcPr>
            <w:tcW w:w="679" w:type="pct"/>
            <w:shd w:val="clear" w:color="auto" w:fill="C6D9F1" w:themeFill="text2" w:themeFillTint="33"/>
            <w:vAlign w:val="center"/>
          </w:tcPr>
          <w:p w14:paraId="04700AE1" w14:textId="77777777" w:rsidR="009C6093" w:rsidRPr="00E2771E" w:rsidRDefault="009C6093" w:rsidP="009C6093">
            <w:pPr>
              <w:pStyle w:val="TableText0"/>
              <w:jc w:val="center"/>
            </w:pPr>
            <w:r w:rsidRPr="00315DA6">
              <w:rPr>
                <w:color w:val="000000"/>
                <w:szCs w:val="18"/>
              </w:rPr>
              <w:t>$7,346</w:t>
            </w:r>
          </w:p>
        </w:tc>
        <w:tc>
          <w:tcPr>
            <w:tcW w:w="678" w:type="pct"/>
            <w:shd w:val="clear" w:color="auto" w:fill="C6D9F1" w:themeFill="text2" w:themeFillTint="33"/>
            <w:vAlign w:val="center"/>
          </w:tcPr>
          <w:p w14:paraId="595E07AB" w14:textId="13AEF12D" w:rsidR="009C6093" w:rsidRPr="00E2771E" w:rsidRDefault="00B63528" w:rsidP="009C6093">
            <w:pPr>
              <w:pStyle w:val="TableText0"/>
              <w:jc w:val="center"/>
            </w:pPr>
            <w:r w:rsidRPr="00B63528">
              <w:rPr>
                <w:color w:val="000000"/>
                <w:szCs w:val="18"/>
              </w:rPr>
              <w:t>$</w:t>
            </w:r>
            <w:r w:rsidR="00F5190C" w:rsidRPr="00F84C70">
              <w:rPr>
                <w:rFonts w:hint="eastAsia"/>
                <w:color w:val="000000"/>
                <w:w w:val="15"/>
                <w:szCs w:val="18"/>
                <w:shd w:val="solid" w:color="000000" w:fill="000000"/>
                <w:fitText w:val="11" w:id="-1167926771"/>
                <w14:textFill>
                  <w14:solidFill>
                    <w14:srgbClr w14:val="000000">
                      <w14:alpha w14:val="100000"/>
                    </w14:srgbClr>
                  </w14:solidFill>
                </w14:textFill>
              </w:rPr>
              <w:t xml:space="preserve">　</w:t>
            </w:r>
            <w:r w:rsidR="00F5190C" w:rsidRPr="00F84C70">
              <w:rPr>
                <w:color w:val="000000"/>
                <w:w w:val="15"/>
                <w:szCs w:val="18"/>
                <w:shd w:val="solid" w:color="000000" w:fill="000000"/>
                <w:fitText w:val="11" w:id="-1167926771"/>
                <w14:textFill>
                  <w14:solidFill>
                    <w14:srgbClr w14:val="000000">
                      <w14:alpha w14:val="100000"/>
                    </w14:srgbClr>
                  </w14:solidFill>
                </w14:textFill>
              </w:rPr>
              <w:t>|</w:t>
            </w:r>
            <w:r w:rsidR="00F5190C" w:rsidRPr="00F84C70">
              <w:rPr>
                <w:rFonts w:hint="eastAsia"/>
                <w:color w:val="000000"/>
                <w:spacing w:val="-54"/>
                <w:w w:val="15"/>
                <w:szCs w:val="18"/>
                <w:shd w:val="solid" w:color="000000" w:fill="000000"/>
                <w:fitText w:val="11" w:id="-1167926771"/>
                <w14:textFill>
                  <w14:solidFill>
                    <w14:srgbClr w14:val="000000">
                      <w14:alpha w14:val="100000"/>
                    </w14:srgbClr>
                  </w14:solidFill>
                </w14:textFill>
              </w:rPr>
              <w:t xml:space="preserve">　</w:t>
            </w:r>
          </w:p>
        </w:tc>
      </w:tr>
      <w:tr w:rsidR="009E36D7" w:rsidRPr="00E2771E" w14:paraId="1C5C7BA6" w14:textId="77777777" w:rsidTr="00035BF6">
        <w:trPr>
          <w:cantSplit/>
        </w:trPr>
        <w:tc>
          <w:tcPr>
            <w:tcW w:w="906" w:type="pct"/>
            <w:vAlign w:val="center"/>
          </w:tcPr>
          <w:p w14:paraId="7F1CEC25" w14:textId="77777777" w:rsidR="009E36D7" w:rsidRPr="000F32EE" w:rsidRDefault="009E36D7" w:rsidP="000F32EE">
            <w:pPr>
              <w:pStyle w:val="TableText0"/>
              <w:ind w:left="257"/>
            </w:pPr>
            <w:r w:rsidRPr="000F32EE">
              <w:t>LYG</w:t>
            </w:r>
          </w:p>
        </w:tc>
        <w:tc>
          <w:tcPr>
            <w:tcW w:w="683" w:type="pct"/>
            <w:vAlign w:val="center"/>
          </w:tcPr>
          <w:p w14:paraId="139C46AC" w14:textId="77777777" w:rsidR="009E36D7" w:rsidRPr="00E2771E" w:rsidRDefault="009E36D7" w:rsidP="009E36D7">
            <w:pPr>
              <w:pStyle w:val="TableText0"/>
              <w:jc w:val="center"/>
              <w:rPr>
                <w:rFonts w:ascii="Times" w:hAnsi="Times"/>
              </w:rPr>
            </w:pPr>
            <w:r w:rsidRPr="00675920">
              <w:t>0.5734</w:t>
            </w:r>
          </w:p>
        </w:tc>
        <w:tc>
          <w:tcPr>
            <w:tcW w:w="688" w:type="pct"/>
            <w:vAlign w:val="center"/>
          </w:tcPr>
          <w:p w14:paraId="6D4FF871" w14:textId="77777777" w:rsidR="009E36D7" w:rsidRPr="00E2771E" w:rsidRDefault="009E36D7" w:rsidP="009E36D7">
            <w:pPr>
              <w:pStyle w:val="TableText0"/>
              <w:jc w:val="center"/>
              <w:rPr>
                <w:rFonts w:ascii="Times" w:hAnsi="Times"/>
              </w:rPr>
            </w:pPr>
            <w:r w:rsidRPr="00675920">
              <w:t>0.5732</w:t>
            </w:r>
          </w:p>
        </w:tc>
        <w:tc>
          <w:tcPr>
            <w:tcW w:w="685" w:type="pct"/>
            <w:vAlign w:val="center"/>
          </w:tcPr>
          <w:p w14:paraId="2FFAFD97" w14:textId="77777777" w:rsidR="009E36D7" w:rsidRPr="00E2771E" w:rsidRDefault="009E36D7" w:rsidP="009E36D7">
            <w:pPr>
              <w:pStyle w:val="TableText0"/>
              <w:jc w:val="center"/>
            </w:pPr>
            <w:r w:rsidRPr="00675920">
              <w:t>0.0002</w:t>
            </w:r>
          </w:p>
        </w:tc>
        <w:tc>
          <w:tcPr>
            <w:tcW w:w="681" w:type="pct"/>
            <w:tcBorders>
              <w:bottom w:val="single" w:sz="4" w:space="0" w:color="auto"/>
            </w:tcBorders>
            <w:shd w:val="clear" w:color="auto" w:fill="C6D9F1" w:themeFill="text2" w:themeFillTint="33"/>
            <w:vAlign w:val="center"/>
          </w:tcPr>
          <w:p w14:paraId="4ADF4B1E" w14:textId="77777777" w:rsidR="009E36D7" w:rsidRDefault="009E36D7" w:rsidP="009E36D7">
            <w:pPr>
              <w:pStyle w:val="TableText0"/>
              <w:jc w:val="center"/>
            </w:pPr>
            <w:r>
              <w:rPr>
                <w:color w:val="000000"/>
                <w:szCs w:val="18"/>
              </w:rPr>
              <w:t>0.5734</w:t>
            </w:r>
          </w:p>
        </w:tc>
        <w:tc>
          <w:tcPr>
            <w:tcW w:w="679" w:type="pct"/>
            <w:tcBorders>
              <w:bottom w:val="single" w:sz="4" w:space="0" w:color="auto"/>
            </w:tcBorders>
            <w:shd w:val="clear" w:color="auto" w:fill="C6D9F1" w:themeFill="text2" w:themeFillTint="33"/>
            <w:vAlign w:val="center"/>
          </w:tcPr>
          <w:p w14:paraId="73519FC1" w14:textId="77777777" w:rsidR="009E36D7" w:rsidRDefault="009E36D7" w:rsidP="009E36D7">
            <w:pPr>
              <w:pStyle w:val="TableText0"/>
              <w:jc w:val="center"/>
            </w:pPr>
            <w:r w:rsidRPr="00315DA6">
              <w:rPr>
                <w:color w:val="000000"/>
                <w:szCs w:val="18"/>
              </w:rPr>
              <w:t>0.5732</w:t>
            </w:r>
          </w:p>
        </w:tc>
        <w:tc>
          <w:tcPr>
            <w:tcW w:w="678" w:type="pct"/>
            <w:shd w:val="clear" w:color="auto" w:fill="C6D9F1" w:themeFill="text2" w:themeFillTint="33"/>
            <w:vAlign w:val="center"/>
          </w:tcPr>
          <w:p w14:paraId="1D6A917F" w14:textId="77777777" w:rsidR="009E36D7" w:rsidRDefault="009E36D7" w:rsidP="009E36D7">
            <w:pPr>
              <w:pStyle w:val="TableText0"/>
              <w:jc w:val="center"/>
            </w:pPr>
            <w:r w:rsidRPr="00315DA6">
              <w:rPr>
                <w:color w:val="000000"/>
                <w:szCs w:val="18"/>
              </w:rPr>
              <w:t>0.0002</w:t>
            </w:r>
          </w:p>
        </w:tc>
      </w:tr>
      <w:tr w:rsidR="00677427" w:rsidRPr="00EE64D8" w14:paraId="1A0356AF" w14:textId="77777777" w:rsidTr="00035BF6">
        <w:trPr>
          <w:cantSplit/>
        </w:trPr>
        <w:tc>
          <w:tcPr>
            <w:tcW w:w="2277" w:type="pct"/>
            <w:gridSpan w:val="3"/>
            <w:tcBorders>
              <w:bottom w:val="single" w:sz="4" w:space="0" w:color="auto"/>
            </w:tcBorders>
            <w:vAlign w:val="center"/>
          </w:tcPr>
          <w:p w14:paraId="23003FDC" w14:textId="77777777" w:rsidR="00677427" w:rsidRPr="00EE64D8" w:rsidRDefault="00677427" w:rsidP="00F774FD">
            <w:pPr>
              <w:pStyle w:val="TableText0"/>
              <w:rPr>
                <w:rFonts w:ascii="Times" w:hAnsi="Times"/>
              </w:rPr>
            </w:pPr>
            <w:r w:rsidRPr="00EE64D8">
              <w:t>Incremental cost</w:t>
            </w:r>
            <w:r w:rsidR="0042784F">
              <w:t xml:space="preserve"> per LYG</w:t>
            </w:r>
          </w:p>
        </w:tc>
        <w:tc>
          <w:tcPr>
            <w:tcW w:w="685" w:type="pct"/>
            <w:tcBorders>
              <w:bottom w:val="single" w:sz="4" w:space="0" w:color="auto"/>
            </w:tcBorders>
            <w:vAlign w:val="center"/>
          </w:tcPr>
          <w:p w14:paraId="5B9EA95F" w14:textId="1045540C" w:rsidR="00677427" w:rsidRPr="00EE64D8" w:rsidRDefault="00B63528" w:rsidP="00F774FD">
            <w:pPr>
              <w:pStyle w:val="TableText0"/>
              <w:jc w:val="center"/>
              <w:rPr>
                <w:rFonts w:ascii="Times" w:hAnsi="Times"/>
              </w:rPr>
            </w:pPr>
            <w:r w:rsidRPr="00B63528">
              <w:t>$</w:t>
            </w:r>
            <w:r w:rsidR="00F5190C" w:rsidRPr="00F5190C">
              <w:rPr>
                <w:color w:val="000000"/>
                <w:spacing w:val="190"/>
                <w:shd w:val="solid" w:color="000000" w:fill="000000"/>
                <w:fitText w:val="276" w:id="-1167926770"/>
                <w14:textFill>
                  <w14:solidFill>
                    <w14:srgbClr w14:val="000000">
                      <w14:alpha w14:val="100000"/>
                    </w14:srgbClr>
                  </w14:solidFill>
                </w14:textFill>
              </w:rPr>
              <w:t>|</w:t>
            </w:r>
            <w:r w:rsidR="00F5190C" w:rsidRPr="00F5190C">
              <w:rPr>
                <w:color w:val="000000"/>
                <w:shd w:val="solid" w:color="000000" w:fill="000000"/>
                <w:fitText w:val="276" w:id="-1167926770"/>
                <w14:textFill>
                  <w14:solidFill>
                    <w14:srgbClr w14:val="000000">
                      <w14:alpha w14:val="100000"/>
                    </w14:srgbClr>
                  </w14:solidFill>
                </w14:textFill>
              </w:rPr>
              <w:t>|</w:t>
            </w:r>
            <w:r w:rsidRPr="00B63528">
              <w:t xml:space="preserve"> </w:t>
            </w:r>
            <w:r w:rsidR="00F5190C" w:rsidRPr="00F5190C">
              <w:rPr>
                <w:color w:val="000000"/>
                <w:spacing w:val="114"/>
                <w:shd w:val="solid" w:color="000000" w:fill="000000"/>
                <w:fitText w:val="200" w:id="-1167926769"/>
                <w14:textFill>
                  <w14:solidFill>
                    <w14:srgbClr w14:val="000000">
                      <w14:alpha w14:val="100000"/>
                    </w14:srgbClr>
                  </w14:solidFill>
                </w14:textFill>
              </w:rPr>
              <w:t>|</w:t>
            </w:r>
            <w:r w:rsidR="00F5190C" w:rsidRPr="00F5190C">
              <w:rPr>
                <w:color w:val="000000"/>
                <w:shd w:val="solid" w:color="000000" w:fill="000000"/>
                <w:fitText w:val="200" w:id="-1167926769"/>
                <w14:textFill>
                  <w14:solidFill>
                    <w14:srgbClr w14:val="000000">
                      <w14:alpha w14:val="100000"/>
                    </w14:srgbClr>
                  </w14:solidFill>
                </w14:textFill>
              </w:rPr>
              <w:t>|</w:t>
            </w:r>
            <w:r w:rsidR="00AC0840">
              <w:rPr>
                <w:iCs/>
                <w:vertAlign w:val="superscript"/>
              </w:rPr>
              <w:t>3</w:t>
            </w:r>
          </w:p>
        </w:tc>
        <w:tc>
          <w:tcPr>
            <w:tcW w:w="681" w:type="pct"/>
            <w:tcBorders>
              <w:bottom w:val="single" w:sz="4" w:space="0" w:color="auto"/>
              <w:right w:val="nil"/>
            </w:tcBorders>
            <w:shd w:val="clear" w:color="auto" w:fill="C6D9F1" w:themeFill="text2" w:themeFillTint="33"/>
          </w:tcPr>
          <w:p w14:paraId="70D4822B" w14:textId="77777777" w:rsidR="00677427" w:rsidRPr="00EE64D8" w:rsidRDefault="00677427" w:rsidP="00F774FD">
            <w:pPr>
              <w:pStyle w:val="TableText0"/>
              <w:jc w:val="center"/>
            </w:pPr>
          </w:p>
        </w:tc>
        <w:tc>
          <w:tcPr>
            <w:tcW w:w="679" w:type="pct"/>
            <w:tcBorders>
              <w:left w:val="nil"/>
              <w:bottom w:val="single" w:sz="4" w:space="0" w:color="auto"/>
            </w:tcBorders>
            <w:shd w:val="clear" w:color="auto" w:fill="C6D9F1" w:themeFill="text2" w:themeFillTint="33"/>
          </w:tcPr>
          <w:p w14:paraId="2392919A" w14:textId="77777777" w:rsidR="00677427" w:rsidRPr="00EE64D8" w:rsidRDefault="00677427" w:rsidP="00F774FD">
            <w:pPr>
              <w:pStyle w:val="TableText0"/>
              <w:jc w:val="center"/>
            </w:pPr>
          </w:p>
        </w:tc>
        <w:tc>
          <w:tcPr>
            <w:tcW w:w="678" w:type="pct"/>
            <w:tcBorders>
              <w:bottom w:val="single" w:sz="4" w:space="0" w:color="auto"/>
            </w:tcBorders>
            <w:shd w:val="clear" w:color="auto" w:fill="C6D9F1" w:themeFill="text2" w:themeFillTint="33"/>
          </w:tcPr>
          <w:p w14:paraId="48E87CAA" w14:textId="1664E687" w:rsidR="00677427" w:rsidRPr="00EE64D8" w:rsidRDefault="00B63528" w:rsidP="00F774FD">
            <w:pPr>
              <w:pStyle w:val="TableText0"/>
              <w:jc w:val="center"/>
            </w:pPr>
            <w:r w:rsidRPr="00B63528">
              <w:t>$</w:t>
            </w:r>
            <w:r w:rsidR="00F5190C" w:rsidRPr="00F5190C">
              <w:rPr>
                <w:color w:val="000000"/>
                <w:spacing w:val="202"/>
                <w:shd w:val="solid" w:color="000000" w:fill="000000"/>
                <w:fitText w:val="288" w:id="-1167926768"/>
                <w14:textFill>
                  <w14:solidFill>
                    <w14:srgbClr w14:val="000000">
                      <w14:alpha w14:val="100000"/>
                    </w14:srgbClr>
                  </w14:solidFill>
                </w14:textFill>
              </w:rPr>
              <w:t>|</w:t>
            </w:r>
            <w:r w:rsidR="00F5190C" w:rsidRPr="00F5190C">
              <w:rPr>
                <w:color w:val="000000"/>
                <w:shd w:val="solid" w:color="000000" w:fill="000000"/>
                <w:fitText w:val="288" w:id="-1167926768"/>
                <w14:textFill>
                  <w14:solidFill>
                    <w14:srgbClr w14:val="000000">
                      <w14:alpha w14:val="100000"/>
                    </w14:srgbClr>
                  </w14:solidFill>
                </w14:textFill>
              </w:rPr>
              <w:t>|</w:t>
            </w:r>
            <w:r w:rsidRPr="00B63528">
              <w:t xml:space="preserve"> </w:t>
            </w:r>
            <w:r w:rsidR="00F5190C" w:rsidRPr="00F5190C">
              <w:rPr>
                <w:color w:val="000000"/>
                <w:spacing w:val="40"/>
                <w:shd w:val="solid" w:color="000000" w:fill="000000"/>
                <w:fitText w:val="210" w:id="-1167926784"/>
                <w14:textFill>
                  <w14:solidFill>
                    <w14:srgbClr w14:val="000000">
                      <w14:alpha w14:val="100000"/>
                    </w14:srgbClr>
                  </w14:solidFill>
                </w14:textFill>
              </w:rPr>
              <w:t>||</w:t>
            </w:r>
            <w:r w:rsidR="00F5190C" w:rsidRPr="00F5190C">
              <w:rPr>
                <w:color w:val="000000"/>
                <w:spacing w:val="1"/>
                <w:shd w:val="solid" w:color="000000" w:fill="000000"/>
                <w:fitText w:val="210" w:id="-1167926784"/>
                <w14:textFill>
                  <w14:solidFill>
                    <w14:srgbClr w14:val="000000">
                      <w14:alpha w14:val="100000"/>
                    </w14:srgbClr>
                  </w14:solidFill>
                </w14:textFill>
              </w:rPr>
              <w:t>|</w:t>
            </w:r>
            <w:r w:rsidR="00AC0840">
              <w:rPr>
                <w:iCs/>
                <w:vertAlign w:val="superscript"/>
              </w:rPr>
              <w:t>3</w:t>
            </w:r>
          </w:p>
        </w:tc>
      </w:tr>
      <w:tr w:rsidR="00677427" w:rsidRPr="00D1078F" w14:paraId="1824B7C9" w14:textId="77777777" w:rsidTr="00035BF6">
        <w:trPr>
          <w:cantSplit/>
        </w:trPr>
        <w:tc>
          <w:tcPr>
            <w:tcW w:w="2962" w:type="pct"/>
            <w:gridSpan w:val="4"/>
            <w:tcBorders>
              <w:right w:val="nil"/>
            </w:tcBorders>
            <w:vAlign w:val="center"/>
          </w:tcPr>
          <w:p w14:paraId="0D2131A6" w14:textId="77777777" w:rsidR="00677427" w:rsidRPr="00D1078F" w:rsidRDefault="00677427" w:rsidP="00F774FD">
            <w:pPr>
              <w:pStyle w:val="In-tableHeading"/>
            </w:pPr>
            <w:r w:rsidRPr="00D1078F">
              <w:t xml:space="preserve">Step 3: </w:t>
            </w:r>
            <w:r>
              <w:t>Applied utility values (30 weeks)</w:t>
            </w:r>
          </w:p>
        </w:tc>
        <w:tc>
          <w:tcPr>
            <w:tcW w:w="681" w:type="pct"/>
            <w:tcBorders>
              <w:left w:val="nil"/>
              <w:right w:val="nil"/>
            </w:tcBorders>
            <w:shd w:val="clear" w:color="auto" w:fill="C6D9F1" w:themeFill="text2" w:themeFillTint="33"/>
          </w:tcPr>
          <w:p w14:paraId="4D7A5803" w14:textId="77777777" w:rsidR="00677427" w:rsidRPr="00D1078F" w:rsidRDefault="00677427" w:rsidP="00F774FD">
            <w:pPr>
              <w:pStyle w:val="In-tableHeading"/>
            </w:pPr>
          </w:p>
        </w:tc>
        <w:tc>
          <w:tcPr>
            <w:tcW w:w="679" w:type="pct"/>
            <w:tcBorders>
              <w:left w:val="nil"/>
              <w:right w:val="nil"/>
            </w:tcBorders>
            <w:shd w:val="clear" w:color="auto" w:fill="C6D9F1" w:themeFill="text2" w:themeFillTint="33"/>
          </w:tcPr>
          <w:p w14:paraId="698F5975" w14:textId="77777777" w:rsidR="00677427" w:rsidRPr="00D1078F" w:rsidRDefault="00677427" w:rsidP="00F774FD">
            <w:pPr>
              <w:pStyle w:val="In-tableHeading"/>
            </w:pPr>
          </w:p>
        </w:tc>
        <w:tc>
          <w:tcPr>
            <w:tcW w:w="678" w:type="pct"/>
            <w:tcBorders>
              <w:left w:val="nil"/>
            </w:tcBorders>
            <w:shd w:val="clear" w:color="auto" w:fill="C6D9F1" w:themeFill="text2" w:themeFillTint="33"/>
          </w:tcPr>
          <w:p w14:paraId="3B67CCB3" w14:textId="77777777" w:rsidR="00677427" w:rsidRPr="00D1078F" w:rsidRDefault="00677427" w:rsidP="00F774FD">
            <w:pPr>
              <w:pStyle w:val="In-tableHeading"/>
            </w:pPr>
          </w:p>
        </w:tc>
      </w:tr>
      <w:tr w:rsidR="009C6093" w:rsidRPr="00E2771E" w14:paraId="2B19BE23" w14:textId="77777777" w:rsidTr="00035BF6">
        <w:trPr>
          <w:cantSplit/>
        </w:trPr>
        <w:tc>
          <w:tcPr>
            <w:tcW w:w="906" w:type="pct"/>
            <w:vAlign w:val="center"/>
          </w:tcPr>
          <w:p w14:paraId="53AB5BCE" w14:textId="77777777" w:rsidR="009C6093" w:rsidRPr="000F32EE" w:rsidRDefault="009C6093" w:rsidP="000F32EE">
            <w:pPr>
              <w:pStyle w:val="TableText0"/>
              <w:ind w:left="257"/>
            </w:pPr>
            <w:r w:rsidRPr="000F32EE">
              <w:t>Costs</w:t>
            </w:r>
          </w:p>
        </w:tc>
        <w:tc>
          <w:tcPr>
            <w:tcW w:w="683" w:type="pct"/>
            <w:vAlign w:val="center"/>
          </w:tcPr>
          <w:p w14:paraId="6FEDDA1B" w14:textId="06D6008E" w:rsidR="009C6093" w:rsidRPr="00E2771E" w:rsidRDefault="00B63528" w:rsidP="009C6093">
            <w:pPr>
              <w:pStyle w:val="TableText0"/>
              <w:jc w:val="center"/>
              <w:rPr>
                <w:rFonts w:ascii="Times" w:hAnsi="Times"/>
              </w:rPr>
            </w:pPr>
            <w:r w:rsidRPr="00B63528">
              <w:t>$</w:t>
            </w:r>
            <w:r w:rsidR="00F5190C" w:rsidRPr="00F84C70">
              <w:rPr>
                <w:rFonts w:hint="eastAsia"/>
                <w:color w:val="000000"/>
                <w:w w:val="15"/>
                <w:shd w:val="solid" w:color="000000" w:fill="000000"/>
                <w:fitText w:val="11" w:id="-1167926783"/>
                <w14:textFill>
                  <w14:solidFill>
                    <w14:srgbClr w14:val="000000">
                      <w14:alpha w14:val="100000"/>
                    </w14:srgbClr>
                  </w14:solidFill>
                </w14:textFill>
              </w:rPr>
              <w:t xml:space="preserve">　</w:t>
            </w:r>
            <w:r w:rsidR="00F5190C" w:rsidRPr="00F84C70">
              <w:rPr>
                <w:color w:val="000000"/>
                <w:w w:val="15"/>
                <w:shd w:val="solid" w:color="000000" w:fill="000000"/>
                <w:fitText w:val="11" w:id="-1167926783"/>
                <w14:textFill>
                  <w14:solidFill>
                    <w14:srgbClr w14:val="000000">
                      <w14:alpha w14:val="100000"/>
                    </w14:srgbClr>
                  </w14:solidFill>
                </w14:textFill>
              </w:rPr>
              <w:t>|</w:t>
            </w:r>
            <w:r w:rsidR="00F5190C" w:rsidRPr="00F84C70">
              <w:rPr>
                <w:rFonts w:hint="eastAsia"/>
                <w:color w:val="000000"/>
                <w:spacing w:val="-54"/>
                <w:w w:val="15"/>
                <w:shd w:val="solid" w:color="000000" w:fill="000000"/>
                <w:fitText w:val="11" w:id="-1167926783"/>
                <w14:textFill>
                  <w14:solidFill>
                    <w14:srgbClr w14:val="000000">
                      <w14:alpha w14:val="100000"/>
                    </w14:srgbClr>
                  </w14:solidFill>
                </w14:textFill>
              </w:rPr>
              <w:t xml:space="preserve">　</w:t>
            </w:r>
          </w:p>
        </w:tc>
        <w:tc>
          <w:tcPr>
            <w:tcW w:w="688" w:type="pct"/>
            <w:vAlign w:val="center"/>
          </w:tcPr>
          <w:p w14:paraId="12D529B5" w14:textId="77777777" w:rsidR="009C6093" w:rsidRPr="00E2771E" w:rsidRDefault="009C6093" w:rsidP="009C6093">
            <w:pPr>
              <w:pStyle w:val="TableText0"/>
              <w:jc w:val="center"/>
              <w:rPr>
                <w:rFonts w:ascii="Times" w:hAnsi="Times"/>
              </w:rPr>
            </w:pPr>
            <w:r w:rsidRPr="00675920">
              <w:t>$3,662</w:t>
            </w:r>
          </w:p>
        </w:tc>
        <w:tc>
          <w:tcPr>
            <w:tcW w:w="685" w:type="pct"/>
            <w:vAlign w:val="center"/>
          </w:tcPr>
          <w:p w14:paraId="16ADCDD0" w14:textId="1E17FD1B" w:rsidR="009C6093" w:rsidRPr="00E2771E" w:rsidRDefault="00B63528" w:rsidP="009C6093">
            <w:pPr>
              <w:pStyle w:val="TableText0"/>
              <w:jc w:val="center"/>
              <w:rPr>
                <w:rFonts w:ascii="Times" w:hAnsi="Times"/>
              </w:rPr>
            </w:pPr>
            <w:r w:rsidRPr="00B63528">
              <w:rPr>
                <w:iCs/>
              </w:rPr>
              <w:t>$</w:t>
            </w:r>
            <w:r w:rsidR="00F5190C" w:rsidRPr="00F84C70">
              <w:rPr>
                <w:rFonts w:hint="eastAsia"/>
                <w:iCs/>
                <w:color w:val="000000"/>
                <w:w w:val="15"/>
                <w:shd w:val="solid" w:color="000000" w:fill="000000"/>
                <w:fitText w:val="22" w:id="-1167926782"/>
                <w14:textFill>
                  <w14:solidFill>
                    <w14:srgbClr w14:val="000000">
                      <w14:alpha w14:val="100000"/>
                    </w14:srgbClr>
                  </w14:solidFill>
                </w14:textFill>
              </w:rPr>
              <w:t xml:space="preserve">　</w:t>
            </w:r>
            <w:r w:rsidR="00F5190C" w:rsidRPr="00F84C70">
              <w:rPr>
                <w:iCs/>
                <w:color w:val="000000"/>
                <w:w w:val="15"/>
                <w:shd w:val="solid" w:color="000000" w:fill="000000"/>
                <w:fitText w:val="22" w:id="-1167926782"/>
                <w14:textFill>
                  <w14:solidFill>
                    <w14:srgbClr w14:val="000000">
                      <w14:alpha w14:val="100000"/>
                    </w14:srgbClr>
                  </w14:solidFill>
                </w14:textFill>
              </w:rPr>
              <w:t>|</w:t>
            </w:r>
            <w:r w:rsidR="00F5190C" w:rsidRPr="00F84C70">
              <w:rPr>
                <w:rFonts w:hint="eastAsia"/>
                <w:iCs/>
                <w:color w:val="000000"/>
                <w:spacing w:val="-43"/>
                <w:w w:val="15"/>
                <w:shd w:val="solid" w:color="000000" w:fill="000000"/>
                <w:fitText w:val="22" w:id="-1167926782"/>
                <w14:textFill>
                  <w14:solidFill>
                    <w14:srgbClr w14:val="000000">
                      <w14:alpha w14:val="100000"/>
                    </w14:srgbClr>
                  </w14:solidFill>
                </w14:textFill>
              </w:rPr>
              <w:t xml:space="preserve">　</w:t>
            </w:r>
            <w:r w:rsidR="009C6093" w:rsidRPr="00BF5BC7">
              <w:rPr>
                <w:iCs/>
                <w:vertAlign w:val="superscript"/>
              </w:rPr>
              <w:t>a</w:t>
            </w:r>
          </w:p>
        </w:tc>
        <w:tc>
          <w:tcPr>
            <w:tcW w:w="681" w:type="pct"/>
            <w:shd w:val="clear" w:color="auto" w:fill="C6D9F1" w:themeFill="text2" w:themeFillTint="33"/>
            <w:vAlign w:val="center"/>
          </w:tcPr>
          <w:p w14:paraId="24BD5BDD" w14:textId="268D68AD" w:rsidR="009C6093" w:rsidRPr="00E2771E" w:rsidRDefault="00B63528" w:rsidP="009C6093">
            <w:pPr>
              <w:pStyle w:val="TableText0"/>
              <w:jc w:val="center"/>
            </w:pPr>
            <w:r w:rsidRPr="00B63528">
              <w:rPr>
                <w:rFonts w:cs="Calibri"/>
                <w:color w:val="404040"/>
                <w:szCs w:val="20"/>
              </w:rPr>
              <w:t>$</w:t>
            </w:r>
            <w:r w:rsidR="00F5190C" w:rsidRPr="00F84C70">
              <w:rPr>
                <w:rFonts w:cs="Calibri" w:hint="eastAsia"/>
                <w:color w:val="404040"/>
                <w:w w:val="15"/>
                <w:szCs w:val="20"/>
                <w:shd w:val="solid" w:color="000000" w:fill="000000"/>
                <w:fitText w:val="11" w:id="-1167926781"/>
                <w14:textFill>
                  <w14:solidFill>
                    <w14:srgbClr w14:val="404040">
                      <w14:alpha w14:val="100000"/>
                    </w14:srgbClr>
                  </w14:solidFill>
                </w14:textFill>
              </w:rPr>
              <w:t xml:space="preserve">　</w:t>
            </w:r>
            <w:r w:rsidR="00F5190C" w:rsidRPr="00F84C70">
              <w:rPr>
                <w:rFonts w:cs="Calibri"/>
                <w:color w:val="404040"/>
                <w:w w:val="15"/>
                <w:szCs w:val="20"/>
                <w:shd w:val="solid" w:color="000000" w:fill="000000"/>
                <w:fitText w:val="11" w:id="-1167926781"/>
                <w14:textFill>
                  <w14:solidFill>
                    <w14:srgbClr w14:val="404040">
                      <w14:alpha w14:val="100000"/>
                    </w14:srgbClr>
                  </w14:solidFill>
                </w14:textFill>
              </w:rPr>
              <w:t>|</w:t>
            </w:r>
            <w:r w:rsidR="00F5190C" w:rsidRPr="00F84C70">
              <w:rPr>
                <w:rFonts w:cs="Calibri" w:hint="eastAsia"/>
                <w:color w:val="404040"/>
                <w:spacing w:val="-54"/>
                <w:w w:val="15"/>
                <w:szCs w:val="20"/>
                <w:shd w:val="solid" w:color="000000" w:fill="000000"/>
                <w:fitText w:val="11" w:id="-1167926781"/>
                <w14:textFill>
                  <w14:solidFill>
                    <w14:srgbClr w14:val="404040">
                      <w14:alpha w14:val="100000"/>
                    </w14:srgbClr>
                  </w14:solidFill>
                </w14:textFill>
              </w:rPr>
              <w:t xml:space="preserve">　</w:t>
            </w:r>
          </w:p>
        </w:tc>
        <w:tc>
          <w:tcPr>
            <w:tcW w:w="679" w:type="pct"/>
            <w:shd w:val="clear" w:color="auto" w:fill="C6D9F1" w:themeFill="text2" w:themeFillTint="33"/>
            <w:vAlign w:val="center"/>
          </w:tcPr>
          <w:p w14:paraId="0F79E2B6" w14:textId="77777777" w:rsidR="009C6093" w:rsidRPr="00E2771E" w:rsidRDefault="009C6093" w:rsidP="009C6093">
            <w:pPr>
              <w:pStyle w:val="TableText0"/>
              <w:jc w:val="center"/>
            </w:pPr>
            <w:r w:rsidRPr="00315DA6">
              <w:rPr>
                <w:color w:val="000000"/>
                <w:szCs w:val="18"/>
              </w:rPr>
              <w:t>$7,346</w:t>
            </w:r>
          </w:p>
        </w:tc>
        <w:tc>
          <w:tcPr>
            <w:tcW w:w="678" w:type="pct"/>
            <w:shd w:val="clear" w:color="auto" w:fill="C6D9F1" w:themeFill="text2" w:themeFillTint="33"/>
            <w:vAlign w:val="center"/>
          </w:tcPr>
          <w:p w14:paraId="51FB2726" w14:textId="418024EB" w:rsidR="009C6093" w:rsidRPr="00E2771E" w:rsidRDefault="00B63528" w:rsidP="009C6093">
            <w:pPr>
              <w:pStyle w:val="TableText0"/>
              <w:jc w:val="center"/>
            </w:pPr>
            <w:r w:rsidRPr="00B63528">
              <w:rPr>
                <w:color w:val="000000"/>
                <w:szCs w:val="18"/>
              </w:rPr>
              <w:t>$</w:t>
            </w:r>
            <w:r w:rsidR="00F5190C" w:rsidRPr="00F84C70">
              <w:rPr>
                <w:rFonts w:hint="eastAsia"/>
                <w:color w:val="000000"/>
                <w:w w:val="15"/>
                <w:szCs w:val="18"/>
                <w:shd w:val="solid" w:color="000000" w:fill="000000"/>
                <w:fitText w:val="11" w:id="-1167926780"/>
                <w14:textFill>
                  <w14:solidFill>
                    <w14:srgbClr w14:val="000000">
                      <w14:alpha w14:val="100000"/>
                    </w14:srgbClr>
                  </w14:solidFill>
                </w14:textFill>
              </w:rPr>
              <w:t xml:space="preserve">　</w:t>
            </w:r>
            <w:r w:rsidR="00F5190C" w:rsidRPr="00F84C70">
              <w:rPr>
                <w:color w:val="000000"/>
                <w:w w:val="15"/>
                <w:szCs w:val="18"/>
                <w:shd w:val="solid" w:color="000000" w:fill="000000"/>
                <w:fitText w:val="11" w:id="-1167926780"/>
                <w14:textFill>
                  <w14:solidFill>
                    <w14:srgbClr w14:val="000000">
                      <w14:alpha w14:val="100000"/>
                    </w14:srgbClr>
                  </w14:solidFill>
                </w14:textFill>
              </w:rPr>
              <w:t>|</w:t>
            </w:r>
            <w:r w:rsidR="00F5190C" w:rsidRPr="00F84C70">
              <w:rPr>
                <w:rFonts w:hint="eastAsia"/>
                <w:color w:val="000000"/>
                <w:spacing w:val="-54"/>
                <w:w w:val="15"/>
                <w:szCs w:val="18"/>
                <w:shd w:val="solid" w:color="000000" w:fill="000000"/>
                <w:fitText w:val="11" w:id="-1167926780"/>
                <w14:textFill>
                  <w14:solidFill>
                    <w14:srgbClr w14:val="000000">
                      <w14:alpha w14:val="100000"/>
                    </w14:srgbClr>
                  </w14:solidFill>
                </w14:textFill>
              </w:rPr>
              <w:t xml:space="preserve">　</w:t>
            </w:r>
          </w:p>
        </w:tc>
      </w:tr>
      <w:tr w:rsidR="00916777" w:rsidRPr="00E2771E" w14:paraId="39FB7DD9" w14:textId="77777777" w:rsidTr="00035BF6">
        <w:trPr>
          <w:cantSplit/>
        </w:trPr>
        <w:tc>
          <w:tcPr>
            <w:tcW w:w="906" w:type="pct"/>
            <w:vAlign w:val="center"/>
          </w:tcPr>
          <w:p w14:paraId="15A01CAF" w14:textId="77777777" w:rsidR="00916777" w:rsidRPr="000F32EE" w:rsidRDefault="00916777" w:rsidP="000F32EE">
            <w:pPr>
              <w:pStyle w:val="TableText0"/>
              <w:ind w:left="257"/>
            </w:pPr>
            <w:r w:rsidRPr="000F32EE">
              <w:t>QALYs</w:t>
            </w:r>
          </w:p>
        </w:tc>
        <w:tc>
          <w:tcPr>
            <w:tcW w:w="683" w:type="pct"/>
            <w:vAlign w:val="center"/>
          </w:tcPr>
          <w:p w14:paraId="3A79227E" w14:textId="77777777" w:rsidR="00916777" w:rsidRPr="00E2771E" w:rsidRDefault="00916777" w:rsidP="00916777">
            <w:pPr>
              <w:pStyle w:val="TableText0"/>
              <w:jc w:val="center"/>
              <w:rPr>
                <w:rFonts w:ascii="Times" w:hAnsi="Times"/>
              </w:rPr>
            </w:pPr>
            <w:r w:rsidRPr="00675920">
              <w:t>0.49</w:t>
            </w:r>
            <w:r>
              <w:t xml:space="preserve"> </w:t>
            </w:r>
          </w:p>
        </w:tc>
        <w:tc>
          <w:tcPr>
            <w:tcW w:w="688" w:type="pct"/>
            <w:vAlign w:val="center"/>
          </w:tcPr>
          <w:p w14:paraId="542D0919" w14:textId="77777777" w:rsidR="00916777" w:rsidRPr="00E2771E" w:rsidRDefault="00916777" w:rsidP="00916777">
            <w:pPr>
              <w:pStyle w:val="TableText0"/>
              <w:jc w:val="center"/>
              <w:rPr>
                <w:rFonts w:ascii="Times" w:hAnsi="Times"/>
              </w:rPr>
            </w:pPr>
            <w:r w:rsidRPr="00675920">
              <w:t>0.47</w:t>
            </w:r>
            <w:r>
              <w:t xml:space="preserve"> </w:t>
            </w:r>
          </w:p>
        </w:tc>
        <w:tc>
          <w:tcPr>
            <w:tcW w:w="685" w:type="pct"/>
            <w:vAlign w:val="center"/>
          </w:tcPr>
          <w:p w14:paraId="5EC2EF4E" w14:textId="77777777" w:rsidR="00916777" w:rsidRPr="00E2771E" w:rsidRDefault="00916777" w:rsidP="00916777">
            <w:pPr>
              <w:pStyle w:val="TableText0"/>
              <w:jc w:val="center"/>
            </w:pPr>
            <w:r w:rsidRPr="00675920">
              <w:t>0.02</w:t>
            </w:r>
            <w:r>
              <w:t xml:space="preserve"> </w:t>
            </w:r>
          </w:p>
        </w:tc>
        <w:tc>
          <w:tcPr>
            <w:tcW w:w="681" w:type="pct"/>
            <w:shd w:val="clear" w:color="auto" w:fill="C6D9F1" w:themeFill="text2" w:themeFillTint="33"/>
            <w:vAlign w:val="center"/>
          </w:tcPr>
          <w:p w14:paraId="77635A66" w14:textId="77777777" w:rsidR="00916777" w:rsidRDefault="00916777" w:rsidP="00916777">
            <w:pPr>
              <w:pStyle w:val="TableText0"/>
              <w:jc w:val="center"/>
            </w:pPr>
            <w:r w:rsidRPr="00675920">
              <w:t>0.49</w:t>
            </w:r>
            <w:r>
              <w:t xml:space="preserve"> </w:t>
            </w:r>
          </w:p>
        </w:tc>
        <w:tc>
          <w:tcPr>
            <w:tcW w:w="679" w:type="pct"/>
            <w:shd w:val="clear" w:color="auto" w:fill="C6D9F1" w:themeFill="text2" w:themeFillTint="33"/>
            <w:vAlign w:val="center"/>
          </w:tcPr>
          <w:p w14:paraId="398FFDCE" w14:textId="77777777" w:rsidR="00916777" w:rsidRDefault="00916777" w:rsidP="00916777">
            <w:pPr>
              <w:pStyle w:val="TableText0"/>
              <w:jc w:val="center"/>
            </w:pPr>
            <w:r w:rsidRPr="00675920">
              <w:t>0.47</w:t>
            </w:r>
            <w:r>
              <w:t xml:space="preserve"> </w:t>
            </w:r>
          </w:p>
        </w:tc>
        <w:tc>
          <w:tcPr>
            <w:tcW w:w="678" w:type="pct"/>
            <w:shd w:val="clear" w:color="auto" w:fill="C6D9F1" w:themeFill="text2" w:themeFillTint="33"/>
            <w:vAlign w:val="center"/>
          </w:tcPr>
          <w:p w14:paraId="6408A053" w14:textId="77777777" w:rsidR="00916777" w:rsidRDefault="00916777" w:rsidP="00916777">
            <w:pPr>
              <w:pStyle w:val="TableText0"/>
              <w:jc w:val="center"/>
            </w:pPr>
            <w:r w:rsidRPr="00675920">
              <w:t>0.02</w:t>
            </w:r>
            <w:r>
              <w:t xml:space="preserve"> </w:t>
            </w:r>
          </w:p>
        </w:tc>
      </w:tr>
      <w:tr w:rsidR="00677427" w:rsidRPr="00E2771E" w14:paraId="62FEF315" w14:textId="77777777" w:rsidTr="00035BF6">
        <w:trPr>
          <w:cantSplit/>
        </w:trPr>
        <w:tc>
          <w:tcPr>
            <w:tcW w:w="2277" w:type="pct"/>
            <w:gridSpan w:val="3"/>
            <w:vAlign w:val="center"/>
          </w:tcPr>
          <w:p w14:paraId="0017C4AE" w14:textId="77777777" w:rsidR="00677427" w:rsidRPr="00E2771E" w:rsidRDefault="0042784F" w:rsidP="00F774FD">
            <w:pPr>
              <w:pStyle w:val="TableText0"/>
              <w:rPr>
                <w:rFonts w:ascii="Times" w:hAnsi="Times"/>
              </w:rPr>
            </w:pPr>
            <w:r w:rsidRPr="00E2771E">
              <w:t>Incremental cost</w:t>
            </w:r>
            <w:r>
              <w:t xml:space="preserve"> per QALY</w:t>
            </w:r>
            <w:r w:rsidRPr="00E2771E">
              <w:t xml:space="preserve"> gained</w:t>
            </w:r>
          </w:p>
        </w:tc>
        <w:tc>
          <w:tcPr>
            <w:tcW w:w="685" w:type="pct"/>
            <w:vAlign w:val="center"/>
          </w:tcPr>
          <w:p w14:paraId="2AE0E855" w14:textId="7BA0F93F" w:rsidR="00677427" w:rsidRPr="00E2771E" w:rsidRDefault="00B63528" w:rsidP="00F774FD">
            <w:pPr>
              <w:pStyle w:val="TableText0"/>
              <w:jc w:val="center"/>
              <w:rPr>
                <w:rFonts w:ascii="Times" w:hAnsi="Times"/>
              </w:rPr>
            </w:pPr>
            <w:r w:rsidRPr="00B63528">
              <w:t>$</w:t>
            </w:r>
            <w:r w:rsidR="00F5190C" w:rsidRPr="00F84C70">
              <w:rPr>
                <w:rFonts w:hint="eastAsia"/>
                <w:color w:val="000000"/>
                <w:w w:val="15"/>
                <w:shd w:val="solid" w:color="000000" w:fill="000000"/>
                <w:fitText w:val="22" w:id="-1167926779"/>
                <w14:textFill>
                  <w14:solidFill>
                    <w14:srgbClr w14:val="000000">
                      <w14:alpha w14:val="100000"/>
                    </w14:srgbClr>
                  </w14:solidFill>
                </w14:textFill>
              </w:rPr>
              <w:t xml:space="preserve">　</w:t>
            </w:r>
            <w:r w:rsidR="00F5190C" w:rsidRPr="00F84C70">
              <w:rPr>
                <w:color w:val="000000"/>
                <w:w w:val="15"/>
                <w:shd w:val="solid" w:color="000000" w:fill="000000"/>
                <w:fitText w:val="22" w:id="-1167926779"/>
                <w14:textFill>
                  <w14:solidFill>
                    <w14:srgbClr w14:val="000000">
                      <w14:alpha w14:val="100000"/>
                    </w14:srgbClr>
                  </w14:solidFill>
                </w14:textFill>
              </w:rPr>
              <w:t>|</w:t>
            </w:r>
            <w:r w:rsidR="00F5190C" w:rsidRPr="00F84C70">
              <w:rPr>
                <w:rFonts w:hint="eastAsia"/>
                <w:color w:val="000000"/>
                <w:spacing w:val="-43"/>
                <w:w w:val="15"/>
                <w:shd w:val="solid" w:color="000000" w:fill="000000"/>
                <w:fitText w:val="22" w:id="-1167926779"/>
                <w14:textFill>
                  <w14:solidFill>
                    <w14:srgbClr w14:val="000000">
                      <w14:alpha w14:val="100000"/>
                    </w14:srgbClr>
                  </w14:solidFill>
                </w14:textFill>
              </w:rPr>
              <w:t xml:space="preserve">　</w:t>
            </w:r>
            <w:r w:rsidR="00AC0840">
              <w:rPr>
                <w:iCs/>
                <w:vertAlign w:val="superscript"/>
              </w:rPr>
              <w:t>4</w:t>
            </w:r>
          </w:p>
        </w:tc>
        <w:tc>
          <w:tcPr>
            <w:tcW w:w="681" w:type="pct"/>
            <w:shd w:val="clear" w:color="auto" w:fill="C6D9F1" w:themeFill="text2" w:themeFillTint="33"/>
          </w:tcPr>
          <w:p w14:paraId="113DC34C" w14:textId="77777777" w:rsidR="00677427" w:rsidRPr="00E2771E" w:rsidRDefault="00677427" w:rsidP="00F774FD">
            <w:pPr>
              <w:pStyle w:val="TableText0"/>
              <w:jc w:val="center"/>
            </w:pPr>
          </w:p>
        </w:tc>
        <w:tc>
          <w:tcPr>
            <w:tcW w:w="679" w:type="pct"/>
            <w:shd w:val="clear" w:color="auto" w:fill="C6D9F1" w:themeFill="text2" w:themeFillTint="33"/>
          </w:tcPr>
          <w:p w14:paraId="097A077D" w14:textId="77777777" w:rsidR="00677427" w:rsidRPr="00E2771E" w:rsidRDefault="00677427" w:rsidP="00F774FD">
            <w:pPr>
              <w:pStyle w:val="TableText0"/>
              <w:jc w:val="center"/>
            </w:pPr>
          </w:p>
        </w:tc>
        <w:tc>
          <w:tcPr>
            <w:tcW w:w="678" w:type="pct"/>
            <w:shd w:val="clear" w:color="auto" w:fill="C6D9F1" w:themeFill="text2" w:themeFillTint="33"/>
          </w:tcPr>
          <w:p w14:paraId="297E07D3" w14:textId="3E7F217C" w:rsidR="00677427" w:rsidRPr="00E2771E" w:rsidRDefault="00B63528" w:rsidP="00F774FD">
            <w:pPr>
              <w:pStyle w:val="TableText0"/>
              <w:jc w:val="center"/>
            </w:pPr>
            <w:r w:rsidRPr="00B63528">
              <w:t>$</w:t>
            </w:r>
            <w:r w:rsidR="00F5190C" w:rsidRPr="00F5190C">
              <w:rPr>
                <w:rFonts w:hint="eastAsia"/>
                <w:color w:val="000000"/>
                <w:w w:val="15"/>
                <w:shd w:val="solid" w:color="000000" w:fill="000000"/>
                <w:fitText w:val="44" w:id="-1167926778"/>
                <w14:textFill>
                  <w14:solidFill>
                    <w14:srgbClr w14:val="000000">
                      <w14:alpha w14:val="100000"/>
                    </w14:srgbClr>
                  </w14:solidFill>
                </w14:textFill>
              </w:rPr>
              <w:t xml:space="preserve">　</w:t>
            </w:r>
            <w:r w:rsidR="00F5190C" w:rsidRPr="00F5190C">
              <w:rPr>
                <w:color w:val="000000"/>
                <w:w w:val="15"/>
                <w:shd w:val="solid" w:color="000000" w:fill="000000"/>
                <w:fitText w:val="44" w:id="-1167926778"/>
                <w14:textFill>
                  <w14:solidFill>
                    <w14:srgbClr w14:val="000000">
                      <w14:alpha w14:val="100000"/>
                    </w14:srgbClr>
                  </w14:solidFill>
                </w14:textFill>
              </w:rPr>
              <w:t>|</w:t>
            </w:r>
            <w:r w:rsidR="00F5190C" w:rsidRPr="00F5190C">
              <w:rPr>
                <w:rFonts w:hint="eastAsia"/>
                <w:color w:val="000000"/>
                <w:spacing w:val="-50"/>
                <w:w w:val="15"/>
                <w:shd w:val="solid" w:color="000000" w:fill="000000"/>
                <w:fitText w:val="44" w:id="-1167926778"/>
                <w14:textFill>
                  <w14:solidFill>
                    <w14:srgbClr w14:val="000000">
                      <w14:alpha w14:val="100000"/>
                    </w14:srgbClr>
                  </w14:solidFill>
                </w14:textFill>
              </w:rPr>
              <w:t xml:space="preserve">　</w:t>
            </w:r>
            <w:r w:rsidR="00AC0840">
              <w:rPr>
                <w:iCs/>
                <w:vertAlign w:val="superscript"/>
              </w:rPr>
              <w:t>5</w:t>
            </w:r>
          </w:p>
        </w:tc>
      </w:tr>
      <w:tr w:rsidR="004808D3" w:rsidRPr="00D1078F" w14:paraId="767420A7" w14:textId="77777777" w:rsidTr="00035BF6">
        <w:trPr>
          <w:cantSplit/>
        </w:trPr>
        <w:tc>
          <w:tcPr>
            <w:tcW w:w="2962" w:type="pct"/>
            <w:gridSpan w:val="4"/>
            <w:vAlign w:val="center"/>
          </w:tcPr>
          <w:p w14:paraId="69C046C4" w14:textId="77777777" w:rsidR="004808D3" w:rsidRPr="00597BF9" w:rsidRDefault="004808D3" w:rsidP="00F774FD">
            <w:pPr>
              <w:pStyle w:val="In-tableHeading"/>
            </w:pPr>
            <w:r w:rsidRPr="00597BF9">
              <w:t xml:space="preserve">Step 4: </w:t>
            </w:r>
            <w:r>
              <w:t>Extrapolating to time horizon of 20 years</w:t>
            </w:r>
          </w:p>
        </w:tc>
        <w:tc>
          <w:tcPr>
            <w:tcW w:w="2038" w:type="pct"/>
            <w:gridSpan w:val="3"/>
            <w:shd w:val="clear" w:color="auto" w:fill="C6D9F1" w:themeFill="text2" w:themeFillTint="33"/>
          </w:tcPr>
          <w:p w14:paraId="1067BAC0" w14:textId="77777777" w:rsidR="004808D3" w:rsidRPr="00597BF9" w:rsidRDefault="004808D3" w:rsidP="00F774FD">
            <w:pPr>
              <w:pStyle w:val="In-tableHeading"/>
            </w:pPr>
            <w:r>
              <w:t>Extrapolating to time horizon of 25 years</w:t>
            </w:r>
          </w:p>
        </w:tc>
      </w:tr>
      <w:tr w:rsidR="00780A37" w:rsidRPr="00E2771E" w14:paraId="7EBDCE47" w14:textId="77777777" w:rsidTr="00035BF6">
        <w:trPr>
          <w:cantSplit/>
        </w:trPr>
        <w:tc>
          <w:tcPr>
            <w:tcW w:w="906" w:type="pct"/>
            <w:vAlign w:val="center"/>
          </w:tcPr>
          <w:p w14:paraId="60159CC1" w14:textId="77777777" w:rsidR="00780A37" w:rsidRPr="000F32EE" w:rsidRDefault="00780A37" w:rsidP="000F32EE">
            <w:pPr>
              <w:pStyle w:val="TableText0"/>
              <w:ind w:left="257"/>
            </w:pPr>
            <w:r w:rsidRPr="00E2771E">
              <w:t>Costs</w:t>
            </w:r>
          </w:p>
        </w:tc>
        <w:tc>
          <w:tcPr>
            <w:tcW w:w="683" w:type="pct"/>
            <w:vAlign w:val="center"/>
          </w:tcPr>
          <w:p w14:paraId="382B7C25" w14:textId="26B9B36A" w:rsidR="00780A37" w:rsidRPr="00E2771E" w:rsidRDefault="00B63528" w:rsidP="00780A37">
            <w:pPr>
              <w:pStyle w:val="TableText0"/>
              <w:jc w:val="center"/>
              <w:rPr>
                <w:rFonts w:ascii="Times" w:hAnsi="Times"/>
              </w:rPr>
            </w:pPr>
            <w:r w:rsidRPr="00B63528">
              <w:t>$</w:t>
            </w:r>
            <w:r w:rsidR="00F5190C" w:rsidRPr="00F84C70">
              <w:rPr>
                <w:rFonts w:hint="eastAsia"/>
                <w:color w:val="000000"/>
                <w:w w:val="15"/>
                <w:shd w:val="solid" w:color="000000" w:fill="000000"/>
                <w:fitText w:val="11" w:id="-1167926777"/>
                <w14:textFill>
                  <w14:solidFill>
                    <w14:srgbClr w14:val="000000">
                      <w14:alpha w14:val="100000"/>
                    </w14:srgbClr>
                  </w14:solidFill>
                </w14:textFill>
              </w:rPr>
              <w:t xml:space="preserve">　</w:t>
            </w:r>
            <w:r w:rsidR="00F5190C" w:rsidRPr="00F84C70">
              <w:rPr>
                <w:color w:val="000000"/>
                <w:w w:val="15"/>
                <w:shd w:val="solid" w:color="000000" w:fill="000000"/>
                <w:fitText w:val="11" w:id="-1167926777"/>
                <w14:textFill>
                  <w14:solidFill>
                    <w14:srgbClr w14:val="000000">
                      <w14:alpha w14:val="100000"/>
                    </w14:srgbClr>
                  </w14:solidFill>
                </w14:textFill>
              </w:rPr>
              <w:t>|</w:t>
            </w:r>
            <w:r w:rsidR="00F5190C" w:rsidRPr="00F84C70">
              <w:rPr>
                <w:rFonts w:hint="eastAsia"/>
                <w:color w:val="000000"/>
                <w:spacing w:val="-54"/>
                <w:w w:val="15"/>
                <w:shd w:val="solid" w:color="000000" w:fill="000000"/>
                <w:fitText w:val="11" w:id="-1167926777"/>
                <w14:textFill>
                  <w14:solidFill>
                    <w14:srgbClr w14:val="000000">
                      <w14:alpha w14:val="100000"/>
                    </w14:srgbClr>
                  </w14:solidFill>
                </w14:textFill>
              </w:rPr>
              <w:t xml:space="preserve">　</w:t>
            </w:r>
          </w:p>
        </w:tc>
        <w:tc>
          <w:tcPr>
            <w:tcW w:w="688" w:type="pct"/>
            <w:vAlign w:val="center"/>
          </w:tcPr>
          <w:p w14:paraId="77465DB9" w14:textId="77777777" w:rsidR="00780A37" w:rsidRPr="00E2771E" w:rsidRDefault="00780A37" w:rsidP="00780A37">
            <w:pPr>
              <w:pStyle w:val="TableText0"/>
              <w:jc w:val="center"/>
              <w:rPr>
                <w:rFonts w:ascii="Times" w:hAnsi="Times"/>
              </w:rPr>
            </w:pPr>
            <w:r w:rsidRPr="00675920">
              <w:t>$115,451</w:t>
            </w:r>
          </w:p>
        </w:tc>
        <w:tc>
          <w:tcPr>
            <w:tcW w:w="685" w:type="pct"/>
            <w:vAlign w:val="center"/>
          </w:tcPr>
          <w:p w14:paraId="61866A95" w14:textId="2BEAC054" w:rsidR="00780A37" w:rsidRPr="00E2771E" w:rsidRDefault="00B63528" w:rsidP="00780A37">
            <w:pPr>
              <w:pStyle w:val="TableText0"/>
              <w:jc w:val="center"/>
              <w:rPr>
                <w:rFonts w:ascii="Times" w:hAnsi="Times"/>
              </w:rPr>
            </w:pPr>
            <w:r w:rsidRPr="00B63528">
              <w:t>$</w:t>
            </w:r>
            <w:r w:rsidR="00F5190C" w:rsidRPr="00F84C70">
              <w:rPr>
                <w:rFonts w:hint="eastAsia"/>
                <w:color w:val="000000"/>
                <w:w w:val="15"/>
                <w:shd w:val="solid" w:color="000000" w:fill="000000"/>
                <w:fitText w:val="11" w:id="-1167926776"/>
                <w14:textFill>
                  <w14:solidFill>
                    <w14:srgbClr w14:val="000000">
                      <w14:alpha w14:val="100000"/>
                    </w14:srgbClr>
                  </w14:solidFill>
                </w14:textFill>
              </w:rPr>
              <w:t xml:space="preserve">　</w:t>
            </w:r>
            <w:r w:rsidR="00F5190C" w:rsidRPr="00F84C70">
              <w:rPr>
                <w:color w:val="000000"/>
                <w:w w:val="15"/>
                <w:shd w:val="solid" w:color="000000" w:fill="000000"/>
                <w:fitText w:val="11" w:id="-1167926776"/>
                <w14:textFill>
                  <w14:solidFill>
                    <w14:srgbClr w14:val="000000">
                      <w14:alpha w14:val="100000"/>
                    </w14:srgbClr>
                  </w14:solidFill>
                </w14:textFill>
              </w:rPr>
              <w:t>|</w:t>
            </w:r>
            <w:r w:rsidR="00F5190C" w:rsidRPr="00F84C70">
              <w:rPr>
                <w:rFonts w:hint="eastAsia"/>
                <w:color w:val="000000"/>
                <w:spacing w:val="-54"/>
                <w:w w:val="15"/>
                <w:shd w:val="solid" w:color="000000" w:fill="000000"/>
                <w:fitText w:val="11" w:id="-1167926776"/>
                <w14:textFill>
                  <w14:solidFill>
                    <w14:srgbClr w14:val="000000">
                      <w14:alpha w14:val="100000"/>
                    </w14:srgbClr>
                  </w14:solidFill>
                </w14:textFill>
              </w:rPr>
              <w:t xml:space="preserve">　</w:t>
            </w:r>
          </w:p>
        </w:tc>
        <w:tc>
          <w:tcPr>
            <w:tcW w:w="681" w:type="pct"/>
            <w:shd w:val="clear" w:color="auto" w:fill="C6D9F1" w:themeFill="text2" w:themeFillTint="33"/>
            <w:vAlign w:val="center"/>
          </w:tcPr>
          <w:p w14:paraId="7CB3B103" w14:textId="6AAFCBB4" w:rsidR="00780A37" w:rsidRPr="00E2771E" w:rsidRDefault="00B63528" w:rsidP="00780A37">
            <w:pPr>
              <w:pStyle w:val="TableText0"/>
              <w:jc w:val="center"/>
            </w:pPr>
            <w:r w:rsidRPr="00B63528">
              <w:rPr>
                <w:color w:val="000000"/>
                <w:szCs w:val="18"/>
              </w:rPr>
              <w:t>$</w:t>
            </w:r>
            <w:r w:rsidR="00F5190C" w:rsidRPr="00F84C70">
              <w:rPr>
                <w:rFonts w:hint="eastAsia"/>
                <w:color w:val="000000"/>
                <w:w w:val="15"/>
                <w:szCs w:val="18"/>
                <w:shd w:val="solid" w:color="000000" w:fill="000000"/>
                <w:fitText w:val="11" w:id="-1167926775"/>
                <w14:textFill>
                  <w14:solidFill>
                    <w14:srgbClr w14:val="000000">
                      <w14:alpha w14:val="100000"/>
                    </w14:srgbClr>
                  </w14:solidFill>
                </w14:textFill>
              </w:rPr>
              <w:t xml:space="preserve">　</w:t>
            </w:r>
            <w:r w:rsidR="00F5190C" w:rsidRPr="00F84C70">
              <w:rPr>
                <w:color w:val="000000"/>
                <w:w w:val="15"/>
                <w:szCs w:val="18"/>
                <w:shd w:val="solid" w:color="000000" w:fill="000000"/>
                <w:fitText w:val="11" w:id="-1167926775"/>
                <w14:textFill>
                  <w14:solidFill>
                    <w14:srgbClr w14:val="000000">
                      <w14:alpha w14:val="100000"/>
                    </w14:srgbClr>
                  </w14:solidFill>
                </w14:textFill>
              </w:rPr>
              <w:t>|</w:t>
            </w:r>
            <w:r w:rsidR="00F5190C" w:rsidRPr="00F84C70">
              <w:rPr>
                <w:rFonts w:hint="eastAsia"/>
                <w:color w:val="000000"/>
                <w:spacing w:val="-54"/>
                <w:w w:val="15"/>
                <w:szCs w:val="18"/>
                <w:shd w:val="solid" w:color="000000" w:fill="000000"/>
                <w:fitText w:val="11" w:id="-1167926775"/>
                <w14:textFill>
                  <w14:solidFill>
                    <w14:srgbClr w14:val="000000">
                      <w14:alpha w14:val="100000"/>
                    </w14:srgbClr>
                  </w14:solidFill>
                </w14:textFill>
              </w:rPr>
              <w:t xml:space="preserve">　</w:t>
            </w:r>
          </w:p>
        </w:tc>
        <w:tc>
          <w:tcPr>
            <w:tcW w:w="679" w:type="pct"/>
            <w:shd w:val="clear" w:color="auto" w:fill="C6D9F1" w:themeFill="text2" w:themeFillTint="33"/>
            <w:vAlign w:val="center"/>
          </w:tcPr>
          <w:p w14:paraId="149ACCF5" w14:textId="77777777" w:rsidR="00780A37" w:rsidRPr="00E2771E" w:rsidRDefault="00780A37" w:rsidP="00780A37">
            <w:pPr>
              <w:pStyle w:val="TableText0"/>
              <w:jc w:val="center"/>
            </w:pPr>
            <w:r w:rsidRPr="00315DA6">
              <w:rPr>
                <w:rFonts w:cs="Arial"/>
                <w:color w:val="222222"/>
                <w:szCs w:val="21"/>
              </w:rPr>
              <w:t>$206,385</w:t>
            </w:r>
          </w:p>
        </w:tc>
        <w:tc>
          <w:tcPr>
            <w:tcW w:w="678" w:type="pct"/>
            <w:shd w:val="clear" w:color="auto" w:fill="C6D9F1" w:themeFill="text2" w:themeFillTint="33"/>
            <w:vAlign w:val="center"/>
          </w:tcPr>
          <w:p w14:paraId="11B59911" w14:textId="2889C4C7" w:rsidR="00780A37" w:rsidRPr="00E2771E" w:rsidRDefault="00B63528" w:rsidP="00780A37">
            <w:pPr>
              <w:pStyle w:val="TableText0"/>
              <w:jc w:val="center"/>
            </w:pPr>
            <w:r w:rsidRPr="00B63528">
              <w:rPr>
                <w:color w:val="000000"/>
                <w:szCs w:val="18"/>
              </w:rPr>
              <w:t>$</w:t>
            </w:r>
            <w:r w:rsidR="00F5190C" w:rsidRPr="00F84C70">
              <w:rPr>
                <w:rFonts w:hint="eastAsia"/>
                <w:color w:val="000000"/>
                <w:w w:val="15"/>
                <w:szCs w:val="18"/>
                <w:shd w:val="solid" w:color="000000" w:fill="000000"/>
                <w:fitText w:val="11" w:id="-1167926774"/>
                <w14:textFill>
                  <w14:solidFill>
                    <w14:srgbClr w14:val="000000">
                      <w14:alpha w14:val="100000"/>
                    </w14:srgbClr>
                  </w14:solidFill>
                </w14:textFill>
              </w:rPr>
              <w:t xml:space="preserve">　</w:t>
            </w:r>
            <w:r w:rsidR="00F5190C" w:rsidRPr="00F84C70">
              <w:rPr>
                <w:color w:val="000000"/>
                <w:w w:val="15"/>
                <w:szCs w:val="18"/>
                <w:shd w:val="solid" w:color="000000" w:fill="000000"/>
                <w:fitText w:val="11" w:id="-1167926774"/>
                <w14:textFill>
                  <w14:solidFill>
                    <w14:srgbClr w14:val="000000">
                      <w14:alpha w14:val="100000"/>
                    </w14:srgbClr>
                  </w14:solidFill>
                </w14:textFill>
              </w:rPr>
              <w:t>|</w:t>
            </w:r>
            <w:r w:rsidR="00F5190C" w:rsidRPr="00F84C70">
              <w:rPr>
                <w:rFonts w:hint="eastAsia"/>
                <w:color w:val="000000"/>
                <w:spacing w:val="-54"/>
                <w:w w:val="15"/>
                <w:szCs w:val="18"/>
                <w:shd w:val="solid" w:color="000000" w:fill="000000"/>
                <w:fitText w:val="11" w:id="-1167926774"/>
                <w14:textFill>
                  <w14:solidFill>
                    <w14:srgbClr w14:val="000000">
                      <w14:alpha w14:val="100000"/>
                    </w14:srgbClr>
                  </w14:solidFill>
                </w14:textFill>
              </w:rPr>
              <w:t xml:space="preserve">　</w:t>
            </w:r>
          </w:p>
        </w:tc>
      </w:tr>
      <w:tr w:rsidR="00780A37" w:rsidRPr="00E2771E" w14:paraId="5A25DCCA" w14:textId="77777777" w:rsidTr="00035BF6">
        <w:trPr>
          <w:cantSplit/>
        </w:trPr>
        <w:tc>
          <w:tcPr>
            <w:tcW w:w="906" w:type="pct"/>
            <w:vAlign w:val="center"/>
          </w:tcPr>
          <w:p w14:paraId="529F8755" w14:textId="77777777" w:rsidR="00780A37" w:rsidRPr="000F32EE" w:rsidRDefault="00780A37" w:rsidP="000F32EE">
            <w:pPr>
              <w:pStyle w:val="TableText0"/>
              <w:ind w:left="257"/>
            </w:pPr>
            <w:r>
              <w:t>QALYs</w:t>
            </w:r>
          </w:p>
        </w:tc>
        <w:tc>
          <w:tcPr>
            <w:tcW w:w="683" w:type="pct"/>
            <w:vAlign w:val="center"/>
          </w:tcPr>
          <w:p w14:paraId="4D17A65D" w14:textId="77777777" w:rsidR="00780A37" w:rsidRPr="00E2771E" w:rsidRDefault="00780A37" w:rsidP="00780A37">
            <w:pPr>
              <w:pStyle w:val="TableText0"/>
              <w:jc w:val="center"/>
              <w:rPr>
                <w:rFonts w:ascii="Times" w:hAnsi="Times"/>
              </w:rPr>
            </w:pPr>
            <w:r w:rsidRPr="00675920">
              <w:t>9.86</w:t>
            </w:r>
            <w:r>
              <w:t xml:space="preserve"> </w:t>
            </w:r>
          </w:p>
        </w:tc>
        <w:tc>
          <w:tcPr>
            <w:tcW w:w="688" w:type="pct"/>
            <w:vAlign w:val="center"/>
          </w:tcPr>
          <w:p w14:paraId="1F561980" w14:textId="77777777" w:rsidR="00780A37" w:rsidRPr="00E2771E" w:rsidRDefault="00780A37" w:rsidP="00780A37">
            <w:pPr>
              <w:pStyle w:val="TableText0"/>
              <w:jc w:val="center"/>
              <w:rPr>
                <w:rFonts w:ascii="Times" w:hAnsi="Times"/>
              </w:rPr>
            </w:pPr>
            <w:r w:rsidRPr="00675920">
              <w:t>9.14</w:t>
            </w:r>
            <w:r>
              <w:t xml:space="preserve"> </w:t>
            </w:r>
          </w:p>
        </w:tc>
        <w:tc>
          <w:tcPr>
            <w:tcW w:w="685" w:type="pct"/>
            <w:vAlign w:val="center"/>
          </w:tcPr>
          <w:p w14:paraId="451D0390" w14:textId="77777777" w:rsidR="00780A37" w:rsidRPr="00E2771E" w:rsidRDefault="00780A37" w:rsidP="00780A37">
            <w:pPr>
              <w:pStyle w:val="TableText0"/>
              <w:jc w:val="center"/>
            </w:pPr>
            <w:r w:rsidRPr="00675920">
              <w:t>0.72</w:t>
            </w:r>
            <w:r>
              <w:t xml:space="preserve"> </w:t>
            </w:r>
          </w:p>
        </w:tc>
        <w:tc>
          <w:tcPr>
            <w:tcW w:w="681" w:type="pct"/>
            <w:shd w:val="clear" w:color="auto" w:fill="C6D9F1" w:themeFill="text2" w:themeFillTint="33"/>
            <w:vAlign w:val="center"/>
          </w:tcPr>
          <w:p w14:paraId="051E90C5" w14:textId="77777777" w:rsidR="00780A37" w:rsidRDefault="00780A37" w:rsidP="00780A37">
            <w:pPr>
              <w:pStyle w:val="TableText0"/>
              <w:jc w:val="center"/>
            </w:pPr>
            <w:r w:rsidRPr="00315DA6">
              <w:rPr>
                <w:rFonts w:cs="Arial"/>
                <w:color w:val="000000"/>
                <w:szCs w:val="18"/>
              </w:rPr>
              <w:t>10.61</w:t>
            </w:r>
            <w:r>
              <w:rPr>
                <w:rFonts w:cs="Arial"/>
                <w:color w:val="000000"/>
                <w:szCs w:val="18"/>
              </w:rPr>
              <w:t xml:space="preserve"> </w:t>
            </w:r>
          </w:p>
        </w:tc>
        <w:tc>
          <w:tcPr>
            <w:tcW w:w="679" w:type="pct"/>
            <w:shd w:val="clear" w:color="auto" w:fill="C6D9F1" w:themeFill="text2" w:themeFillTint="33"/>
            <w:vAlign w:val="center"/>
          </w:tcPr>
          <w:p w14:paraId="00A486CC" w14:textId="77777777" w:rsidR="00780A37" w:rsidRDefault="00780A37" w:rsidP="00780A37">
            <w:pPr>
              <w:pStyle w:val="TableText0"/>
              <w:jc w:val="center"/>
            </w:pPr>
            <w:r w:rsidRPr="00315DA6">
              <w:rPr>
                <w:rFonts w:cs="Arial"/>
                <w:color w:val="000000"/>
                <w:szCs w:val="18"/>
              </w:rPr>
              <w:t>9.64</w:t>
            </w:r>
            <w:r>
              <w:rPr>
                <w:rFonts w:cs="Arial"/>
                <w:color w:val="000000"/>
                <w:szCs w:val="18"/>
              </w:rPr>
              <w:t xml:space="preserve"> </w:t>
            </w:r>
          </w:p>
        </w:tc>
        <w:tc>
          <w:tcPr>
            <w:tcW w:w="678" w:type="pct"/>
            <w:shd w:val="clear" w:color="auto" w:fill="C6D9F1" w:themeFill="text2" w:themeFillTint="33"/>
            <w:vAlign w:val="center"/>
          </w:tcPr>
          <w:p w14:paraId="42D4008C" w14:textId="77777777" w:rsidR="00780A37" w:rsidRDefault="00780A37" w:rsidP="00780A37">
            <w:pPr>
              <w:pStyle w:val="TableText0"/>
              <w:jc w:val="center"/>
            </w:pPr>
            <w:r w:rsidRPr="00315DA6">
              <w:rPr>
                <w:rFonts w:cs="Arial"/>
                <w:color w:val="000000"/>
                <w:szCs w:val="18"/>
              </w:rPr>
              <w:t>0.98</w:t>
            </w:r>
          </w:p>
        </w:tc>
      </w:tr>
      <w:tr w:rsidR="00035BF6" w:rsidRPr="00E2771E" w14:paraId="7D1117D9" w14:textId="77777777" w:rsidTr="00035BF6">
        <w:trPr>
          <w:cantSplit/>
        </w:trPr>
        <w:tc>
          <w:tcPr>
            <w:tcW w:w="2277" w:type="pct"/>
            <w:gridSpan w:val="3"/>
            <w:vAlign w:val="center"/>
          </w:tcPr>
          <w:p w14:paraId="79942631" w14:textId="77777777" w:rsidR="00035BF6" w:rsidRPr="00E2771E" w:rsidRDefault="00035BF6" w:rsidP="00F774FD">
            <w:pPr>
              <w:pStyle w:val="TableText0"/>
              <w:rPr>
                <w:rFonts w:ascii="Times" w:hAnsi="Times"/>
              </w:rPr>
            </w:pPr>
            <w:r w:rsidRPr="00E2771E">
              <w:t>Incremental cost</w:t>
            </w:r>
            <w:r>
              <w:t xml:space="preserve"> per QALY</w:t>
            </w:r>
            <w:r w:rsidRPr="00E2771E">
              <w:t xml:space="preserve"> gained</w:t>
            </w:r>
          </w:p>
        </w:tc>
        <w:tc>
          <w:tcPr>
            <w:tcW w:w="685" w:type="pct"/>
            <w:vAlign w:val="center"/>
          </w:tcPr>
          <w:p w14:paraId="438A2CD2" w14:textId="40B2031D" w:rsidR="00035BF6" w:rsidRPr="00E2771E" w:rsidRDefault="00B63528" w:rsidP="00F774FD">
            <w:pPr>
              <w:pStyle w:val="TableText0"/>
              <w:jc w:val="center"/>
              <w:rPr>
                <w:rFonts w:ascii="Times" w:hAnsi="Times"/>
              </w:rPr>
            </w:pPr>
            <w:r w:rsidRPr="00B63528">
              <w:t>$</w:t>
            </w:r>
            <w:r w:rsidR="00F5190C" w:rsidRPr="00F84C70">
              <w:rPr>
                <w:rFonts w:hint="eastAsia"/>
                <w:color w:val="000000"/>
                <w:w w:val="15"/>
                <w:shd w:val="solid" w:color="000000" w:fill="000000"/>
                <w:fitText w:val="22" w:id="-1167926773"/>
                <w14:textFill>
                  <w14:solidFill>
                    <w14:srgbClr w14:val="000000">
                      <w14:alpha w14:val="100000"/>
                    </w14:srgbClr>
                  </w14:solidFill>
                </w14:textFill>
              </w:rPr>
              <w:t xml:space="preserve">　</w:t>
            </w:r>
            <w:r w:rsidR="00F5190C" w:rsidRPr="00F84C70">
              <w:rPr>
                <w:color w:val="000000"/>
                <w:w w:val="15"/>
                <w:shd w:val="solid" w:color="000000" w:fill="000000"/>
                <w:fitText w:val="22" w:id="-1167926773"/>
                <w14:textFill>
                  <w14:solidFill>
                    <w14:srgbClr w14:val="000000">
                      <w14:alpha w14:val="100000"/>
                    </w14:srgbClr>
                  </w14:solidFill>
                </w14:textFill>
              </w:rPr>
              <w:t>|</w:t>
            </w:r>
            <w:r w:rsidR="00F5190C" w:rsidRPr="00F84C70">
              <w:rPr>
                <w:rFonts w:hint="eastAsia"/>
                <w:color w:val="000000"/>
                <w:spacing w:val="-43"/>
                <w:w w:val="15"/>
                <w:shd w:val="solid" w:color="000000" w:fill="000000"/>
                <w:fitText w:val="22" w:id="-1167926773"/>
                <w14:textFill>
                  <w14:solidFill>
                    <w14:srgbClr w14:val="000000">
                      <w14:alpha w14:val="100000"/>
                    </w14:srgbClr>
                  </w14:solidFill>
                </w14:textFill>
              </w:rPr>
              <w:t xml:space="preserve">　</w:t>
            </w:r>
            <w:r w:rsidR="00AC0840">
              <w:rPr>
                <w:iCs/>
                <w:vertAlign w:val="superscript"/>
              </w:rPr>
              <w:t>2</w:t>
            </w:r>
          </w:p>
        </w:tc>
        <w:tc>
          <w:tcPr>
            <w:tcW w:w="1360" w:type="pct"/>
            <w:gridSpan w:val="2"/>
            <w:tcBorders>
              <w:bottom w:val="single" w:sz="4" w:space="0" w:color="auto"/>
            </w:tcBorders>
            <w:shd w:val="clear" w:color="auto" w:fill="C6D9F1" w:themeFill="text2" w:themeFillTint="33"/>
          </w:tcPr>
          <w:p w14:paraId="26E65A6B" w14:textId="77777777" w:rsidR="00035BF6" w:rsidRPr="00E2771E" w:rsidRDefault="00035BF6" w:rsidP="00F774FD">
            <w:pPr>
              <w:pStyle w:val="TableText0"/>
              <w:jc w:val="center"/>
            </w:pPr>
          </w:p>
        </w:tc>
        <w:tc>
          <w:tcPr>
            <w:tcW w:w="678" w:type="pct"/>
            <w:tcBorders>
              <w:bottom w:val="single" w:sz="4" w:space="0" w:color="auto"/>
            </w:tcBorders>
            <w:shd w:val="clear" w:color="auto" w:fill="C6D9F1" w:themeFill="text2" w:themeFillTint="33"/>
          </w:tcPr>
          <w:p w14:paraId="6E278473" w14:textId="63747C1C" w:rsidR="00035BF6" w:rsidRPr="00E2771E" w:rsidRDefault="00B63528" w:rsidP="00F774FD">
            <w:pPr>
              <w:pStyle w:val="TableText0"/>
              <w:jc w:val="center"/>
            </w:pPr>
            <w:r w:rsidRPr="00B63528">
              <w:t>$</w:t>
            </w:r>
            <w:r w:rsidR="00F5190C" w:rsidRPr="00F5190C">
              <w:rPr>
                <w:rFonts w:hint="eastAsia"/>
                <w:color w:val="000000"/>
                <w:w w:val="15"/>
                <w:shd w:val="solid" w:color="000000" w:fill="000000"/>
                <w:fitText w:val="44" w:id="-1167926772"/>
                <w14:textFill>
                  <w14:solidFill>
                    <w14:srgbClr w14:val="000000">
                      <w14:alpha w14:val="100000"/>
                    </w14:srgbClr>
                  </w14:solidFill>
                </w14:textFill>
              </w:rPr>
              <w:t xml:space="preserve">　</w:t>
            </w:r>
            <w:r w:rsidR="00F5190C" w:rsidRPr="00F5190C">
              <w:rPr>
                <w:color w:val="000000"/>
                <w:w w:val="15"/>
                <w:shd w:val="solid" w:color="000000" w:fill="000000"/>
                <w:fitText w:val="44" w:id="-1167926772"/>
                <w14:textFill>
                  <w14:solidFill>
                    <w14:srgbClr w14:val="000000">
                      <w14:alpha w14:val="100000"/>
                    </w14:srgbClr>
                  </w14:solidFill>
                </w14:textFill>
              </w:rPr>
              <w:t>|</w:t>
            </w:r>
            <w:r w:rsidR="00F5190C" w:rsidRPr="00F5190C">
              <w:rPr>
                <w:rFonts w:hint="eastAsia"/>
                <w:color w:val="000000"/>
                <w:spacing w:val="-50"/>
                <w:w w:val="15"/>
                <w:shd w:val="solid" w:color="000000" w:fill="000000"/>
                <w:fitText w:val="44" w:id="-1167926772"/>
                <w14:textFill>
                  <w14:solidFill>
                    <w14:srgbClr w14:val="000000">
                      <w14:alpha w14:val="100000"/>
                    </w14:srgbClr>
                  </w14:solidFill>
                </w14:textFill>
              </w:rPr>
              <w:t xml:space="preserve">　</w:t>
            </w:r>
            <w:r w:rsidR="00AC0840">
              <w:rPr>
                <w:iCs/>
                <w:vertAlign w:val="superscript"/>
              </w:rPr>
              <w:t>2</w:t>
            </w:r>
          </w:p>
        </w:tc>
      </w:tr>
    </w:tbl>
    <w:p w14:paraId="710CABFB" w14:textId="77777777" w:rsidR="004549F4" w:rsidRDefault="004549F4" w:rsidP="004549F4">
      <w:pPr>
        <w:pStyle w:val="FooterTableFigure"/>
      </w:pPr>
      <w:r>
        <w:t xml:space="preserve">Source: Table 57, p102 of the resubmission. </w:t>
      </w:r>
    </w:p>
    <w:p w14:paraId="0E2EC1C9" w14:textId="77777777" w:rsidR="00F2285D" w:rsidRPr="00B1011F" w:rsidRDefault="00F2285D" w:rsidP="00F2285D">
      <w:pPr>
        <w:pStyle w:val="FooterTableFigure"/>
        <w:rPr>
          <w:sz w:val="20"/>
        </w:rPr>
      </w:pPr>
      <w:r>
        <w:t xml:space="preserve">BB = beta-blocker; </w:t>
      </w:r>
      <w:r w:rsidRPr="002A5121">
        <w:t>CCB = calcium channel blocker;</w:t>
      </w:r>
      <w:r>
        <w:t xml:space="preserve"> LYG = life year gained; MAVA = mavacamten; </w:t>
      </w:r>
      <w:r w:rsidRPr="00490649">
        <w:rPr>
          <w:szCs w:val="18"/>
        </w:rPr>
        <w:t xml:space="preserve">PBAC = Pharmaceutical Benefits Advisory Committee; </w:t>
      </w:r>
      <w:r>
        <w:t xml:space="preserve">QALY = quality-adjusted life year. </w:t>
      </w:r>
    </w:p>
    <w:p w14:paraId="32CCEA67" w14:textId="241ED281" w:rsidR="00945078" w:rsidRPr="00BF5BC7" w:rsidRDefault="00945078" w:rsidP="00945078">
      <w:pPr>
        <w:pStyle w:val="FooterTableFigure"/>
        <w:rPr>
          <w:iCs/>
        </w:rPr>
      </w:pPr>
      <w:r w:rsidRPr="00585419">
        <w:rPr>
          <w:iCs/>
          <w:vertAlign w:val="superscript"/>
        </w:rPr>
        <w:t>a</w:t>
      </w:r>
      <w:r w:rsidRPr="00BF5BC7">
        <w:rPr>
          <w:iCs/>
        </w:rPr>
        <w:t xml:space="preserve"> Typo reported in resubmission as $</w:t>
      </w:r>
      <w:proofErr w:type="gramStart"/>
      <w:r w:rsidR="00F5190C" w:rsidRPr="00F5190C">
        <w:rPr>
          <w:iCs/>
          <w:color w:val="000000"/>
          <w:spacing w:val="36"/>
          <w:shd w:val="solid" w:color="000000" w:fill="000000"/>
          <w:fitText w:val="268" w:id="-1167926771"/>
          <w14:textFill>
            <w14:solidFill>
              <w14:srgbClr w14:val="000000">
                <w14:alpha w14:val="100000"/>
              </w14:srgbClr>
            </w14:solidFill>
          </w14:textFill>
        </w:rPr>
        <w:t xml:space="preserve">|  </w:t>
      </w:r>
      <w:r w:rsidR="00F5190C" w:rsidRPr="00F5190C">
        <w:rPr>
          <w:iCs/>
          <w:color w:val="000000"/>
          <w:spacing w:val="2"/>
          <w:shd w:val="solid" w:color="000000" w:fill="000000"/>
          <w:fitText w:val="268" w:id="-1167926771"/>
          <w14:textFill>
            <w14:solidFill>
              <w14:srgbClr w14:val="000000">
                <w14:alpha w14:val="100000"/>
              </w14:srgbClr>
            </w14:solidFill>
          </w14:textFill>
        </w:rPr>
        <w:t>|</w:t>
      </w:r>
      <w:proofErr w:type="gramEnd"/>
      <w:r w:rsidRPr="00BF5BC7">
        <w:rPr>
          <w:iCs/>
        </w:rPr>
        <w:t xml:space="preserve"> in Table 57, p102, however, modelled value is $</w:t>
      </w:r>
      <w:r w:rsidR="00F5190C" w:rsidRPr="00F5190C">
        <w:rPr>
          <w:iCs/>
          <w:color w:val="000000"/>
          <w:spacing w:val="40"/>
          <w:shd w:val="solid" w:color="000000" w:fill="000000"/>
          <w:fitText w:val="279" w:id="-1167926770"/>
          <w14:textFill>
            <w14:solidFill>
              <w14:srgbClr w14:val="000000">
                <w14:alpha w14:val="100000"/>
              </w14:srgbClr>
            </w14:solidFill>
          </w14:textFill>
        </w:rPr>
        <w:t xml:space="preserve">|  </w:t>
      </w:r>
      <w:r w:rsidR="00F5190C" w:rsidRPr="00F5190C">
        <w:rPr>
          <w:iCs/>
          <w:color w:val="000000"/>
          <w:spacing w:val="1"/>
          <w:shd w:val="solid" w:color="000000" w:fill="000000"/>
          <w:fitText w:val="279" w:id="-1167926770"/>
          <w14:textFill>
            <w14:solidFill>
              <w14:srgbClr w14:val="000000">
                <w14:alpha w14:val="100000"/>
              </w14:srgbClr>
            </w14:solidFill>
          </w14:textFill>
        </w:rPr>
        <w:t>|</w:t>
      </w:r>
      <w:r w:rsidRPr="00BF5BC7">
        <w:rPr>
          <w:iCs/>
        </w:rPr>
        <w:t>.</w:t>
      </w:r>
    </w:p>
    <w:p w14:paraId="7A493599" w14:textId="77777777" w:rsidR="00945078" w:rsidRDefault="00945078" w:rsidP="00945078">
      <w:pPr>
        <w:pStyle w:val="FooterTableFigure"/>
      </w:pPr>
      <w:r w:rsidRPr="00585419">
        <w:rPr>
          <w:vertAlign w:val="superscript"/>
        </w:rPr>
        <w:t>b</w:t>
      </w:r>
      <w:r>
        <w:t xml:space="preserve"> Proportion of responders, according to the composite primary endpoint in EXPLORER-HCM. </w:t>
      </w:r>
      <w:r w:rsidRPr="004009ED">
        <w:t xml:space="preserve">The composite endpoint was defined as either: 1) an improvement of at least 1.5 mL/kg/min in peak oxygen consumption </w:t>
      </w:r>
      <w:r>
        <w:t>(</w:t>
      </w:r>
      <w:r w:rsidRPr="004009ED">
        <w:t>pVO</w:t>
      </w:r>
      <w:r w:rsidRPr="004009ED">
        <w:rPr>
          <w:vertAlign w:val="subscript"/>
        </w:rPr>
        <w:t>2</w:t>
      </w:r>
      <w:r>
        <w:t>)</w:t>
      </w:r>
      <w:r w:rsidRPr="004009ED">
        <w:t xml:space="preserve"> and improvement of one or more </w:t>
      </w:r>
      <w:r>
        <w:t>New York Heart Association (</w:t>
      </w:r>
      <w:r w:rsidRPr="004009ED">
        <w:t>NYHA</w:t>
      </w:r>
      <w:r>
        <w:t>)</w:t>
      </w:r>
      <w:r w:rsidRPr="004009ED">
        <w:t xml:space="preserve"> class</w:t>
      </w:r>
      <w:r>
        <w:t>;</w:t>
      </w:r>
      <w:r w:rsidRPr="004009ED">
        <w:t xml:space="preserve"> or 2) an improvement of at least 3.0 mL/kg/min in pVO</w:t>
      </w:r>
      <w:r w:rsidRPr="004009ED">
        <w:rPr>
          <w:vertAlign w:val="subscript"/>
        </w:rPr>
        <w:t>2</w:t>
      </w:r>
      <w:r w:rsidRPr="004009ED">
        <w:t xml:space="preserve"> with no worsening in NYHA class, unless otherwise denoted. </w:t>
      </w:r>
    </w:p>
    <w:p w14:paraId="62A99929" w14:textId="57917668" w:rsidR="00117DDB" w:rsidRDefault="00117DDB" w:rsidP="00117DDB">
      <w:pPr>
        <w:pStyle w:val="FooterTableFigure"/>
        <w:rPr>
          <w:iCs/>
        </w:rPr>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02784FA6" w14:textId="7AA41D7B" w:rsidR="00585419" w:rsidRPr="00AC0840" w:rsidRDefault="00585419" w:rsidP="00117DDB">
      <w:pPr>
        <w:pStyle w:val="FooterTableFigure"/>
        <w:rPr>
          <w:i/>
        </w:rPr>
      </w:pPr>
      <w:r w:rsidRPr="00AC0840">
        <w:rPr>
          <w:i/>
        </w:rPr>
        <w:t>The redacted values correspond to the following ranges:</w:t>
      </w:r>
    </w:p>
    <w:p w14:paraId="050BEED3" w14:textId="755F9BF5" w:rsidR="00585419" w:rsidRPr="00AC0840" w:rsidRDefault="00585419" w:rsidP="00117DDB">
      <w:pPr>
        <w:pStyle w:val="FooterTableFigure"/>
        <w:rPr>
          <w:i/>
        </w:rPr>
      </w:pPr>
      <w:r w:rsidRPr="00AC0840">
        <w:rPr>
          <w:i/>
          <w:vertAlign w:val="superscript"/>
        </w:rPr>
        <w:t>1</w:t>
      </w:r>
      <w:r w:rsidRPr="00AC0840">
        <w:rPr>
          <w:i/>
        </w:rPr>
        <w:t xml:space="preserve"> </w:t>
      </w:r>
      <w:r w:rsidR="00AC0840" w:rsidRPr="00AC0840">
        <w:rPr>
          <w:i/>
        </w:rPr>
        <w:t>$45,000 to &lt; $55,000</w:t>
      </w:r>
    </w:p>
    <w:p w14:paraId="6FEEFEA3" w14:textId="4CA3FB7E" w:rsidR="00AC0840" w:rsidRPr="00AC0840" w:rsidRDefault="00AC0840" w:rsidP="00117DDB">
      <w:pPr>
        <w:pStyle w:val="FooterTableFigure"/>
        <w:rPr>
          <w:i/>
        </w:rPr>
      </w:pPr>
      <w:r w:rsidRPr="00AC0840">
        <w:rPr>
          <w:i/>
          <w:vertAlign w:val="superscript"/>
        </w:rPr>
        <w:t>2</w:t>
      </w:r>
      <w:r w:rsidRPr="00AC0840">
        <w:rPr>
          <w:i/>
        </w:rPr>
        <w:t xml:space="preserve"> $35,000 to &lt; $45,000</w:t>
      </w:r>
    </w:p>
    <w:p w14:paraId="49F3DDB9" w14:textId="5A431B01" w:rsidR="00AC0840" w:rsidRPr="00AC0840" w:rsidRDefault="00AC0840" w:rsidP="00117DDB">
      <w:pPr>
        <w:pStyle w:val="FooterTableFigure"/>
        <w:rPr>
          <w:i/>
        </w:rPr>
      </w:pPr>
      <w:r w:rsidRPr="00AC0840">
        <w:rPr>
          <w:i/>
          <w:vertAlign w:val="superscript"/>
        </w:rPr>
        <w:t>3</w:t>
      </w:r>
      <w:r w:rsidRPr="00AC0840">
        <w:rPr>
          <w:i/>
        </w:rPr>
        <w:t xml:space="preserve"> &gt;$1,055,000</w:t>
      </w:r>
    </w:p>
    <w:p w14:paraId="5B6FD0A0" w14:textId="6B0E8AE2" w:rsidR="00AC0840" w:rsidRPr="00AC0840" w:rsidRDefault="00AC0840" w:rsidP="00117DDB">
      <w:pPr>
        <w:pStyle w:val="FooterTableFigure"/>
        <w:rPr>
          <w:i/>
        </w:rPr>
      </w:pPr>
      <w:r w:rsidRPr="00AC0840">
        <w:rPr>
          <w:i/>
          <w:vertAlign w:val="superscript"/>
        </w:rPr>
        <w:t>4</w:t>
      </w:r>
      <w:r w:rsidRPr="00AC0840">
        <w:rPr>
          <w:i/>
        </w:rPr>
        <w:t xml:space="preserve"> $455,000 to &lt; $555,000</w:t>
      </w:r>
    </w:p>
    <w:p w14:paraId="27F2F6DD" w14:textId="47EF46A3" w:rsidR="00AC0840" w:rsidRPr="00AC0840" w:rsidRDefault="00AC0840" w:rsidP="00117DDB">
      <w:pPr>
        <w:pStyle w:val="FooterTableFigure"/>
        <w:rPr>
          <w:i/>
        </w:rPr>
      </w:pPr>
      <w:r w:rsidRPr="00AC0840">
        <w:rPr>
          <w:i/>
          <w:vertAlign w:val="superscript"/>
        </w:rPr>
        <w:t>5</w:t>
      </w:r>
      <w:r w:rsidRPr="00AC0840">
        <w:rPr>
          <w:i/>
        </w:rPr>
        <w:t xml:space="preserve"> $555,000 to &lt; $655,000</w:t>
      </w:r>
    </w:p>
    <w:p w14:paraId="72B191BC" w14:textId="34B64641" w:rsidR="00FC2D5E" w:rsidRPr="00FC2D5E" w:rsidRDefault="00D86A6D" w:rsidP="00FC2D5E">
      <w:pPr>
        <w:pStyle w:val="3-BodyText"/>
      </w:pPr>
      <w:bookmarkStart w:id="85" w:name="_Ref137823077"/>
      <w:r>
        <w:t xml:space="preserve">The </w:t>
      </w:r>
      <w:r w:rsidR="00123AA9">
        <w:t xml:space="preserve">resubmission </w:t>
      </w:r>
      <w:r>
        <w:t>revised base case ICER was $</w:t>
      </w:r>
      <w:r w:rsidR="00585419">
        <w:t>35,000 to &lt; $45,000</w:t>
      </w:r>
      <w:r w:rsidR="001A0FB8">
        <w:t>/QALY.</w:t>
      </w:r>
      <w:r w:rsidR="00123AA9" w:rsidRPr="00BF5BC7">
        <w:rPr>
          <w:iCs/>
        </w:rPr>
        <w:t xml:space="preserve"> </w:t>
      </w:r>
      <w:r w:rsidR="00262D4E" w:rsidRPr="00541454">
        <w:t xml:space="preserve">The </w:t>
      </w:r>
      <w:r w:rsidR="00EB0EB2" w:rsidRPr="00541454">
        <w:t xml:space="preserve">ESC considered that it may be reasonable for the submission to adopt a </w:t>
      </w:r>
      <w:proofErr w:type="gramStart"/>
      <w:r w:rsidR="00EB0EB2" w:rsidRPr="00541454">
        <w:t>20 year</w:t>
      </w:r>
      <w:proofErr w:type="gramEnd"/>
      <w:r w:rsidR="00EB0EB2" w:rsidRPr="00541454">
        <w:t xml:space="preserve"> time horizon, </w:t>
      </w:r>
      <w:r w:rsidR="00B648F9" w:rsidRPr="00541454">
        <w:t>however</w:t>
      </w:r>
      <w:r w:rsidR="00EB0EB2" w:rsidRPr="00541454">
        <w:t xml:space="preserve"> a respecified base case should include all remaining PBAC</w:t>
      </w:r>
      <w:r w:rsidR="00B648F9" w:rsidRPr="00541454">
        <w:t xml:space="preserve"> </w:t>
      </w:r>
      <w:r w:rsidR="00EB0EB2" w:rsidRPr="00541454">
        <w:t xml:space="preserve">recommended changes including: </w:t>
      </w:r>
      <w:r w:rsidR="00B21E8D" w:rsidRPr="00541454">
        <w:t xml:space="preserve">a </w:t>
      </w:r>
      <w:r w:rsidR="00B648F9" w:rsidRPr="00541454">
        <w:t xml:space="preserve">data </w:t>
      </w:r>
      <w:r w:rsidR="00EB0EB2" w:rsidRPr="00541454">
        <w:t>truncation at 30 weeks in both arms; removal of mortality benefits; removal of differences in hospitalisation rates; reduced cost of SRT; and increased discontinuation rates due to lack of response.</w:t>
      </w:r>
      <w:r w:rsidR="00DB020E" w:rsidRPr="00541454">
        <w:t xml:space="preserve"> </w:t>
      </w:r>
      <w:r w:rsidR="009F62CA" w:rsidRPr="00541454">
        <w:t xml:space="preserve">A respecified ESC base case was estimated </w:t>
      </w:r>
      <w:r w:rsidR="00B21E8D" w:rsidRPr="00541454">
        <w:t xml:space="preserve">during ESC consideration </w:t>
      </w:r>
      <w:r w:rsidR="00BD084D" w:rsidRPr="00541454">
        <w:t xml:space="preserve">and increased the ICER to </w:t>
      </w:r>
      <w:r w:rsidR="00BD084D" w:rsidRPr="00541454">
        <w:rPr>
          <w:iCs/>
          <w:kern w:val="2"/>
          <w:lang w:eastAsia="en-US"/>
          <w14:ligatures w14:val="standardContextual"/>
        </w:rPr>
        <w:t>$</w:t>
      </w:r>
      <w:r w:rsidR="00585419">
        <w:rPr>
          <w:iCs/>
          <w:kern w:val="2"/>
          <w:lang w:eastAsia="en-US"/>
          <w14:ligatures w14:val="standardContextual"/>
        </w:rPr>
        <w:t>155,000 to &lt; $255,000</w:t>
      </w:r>
      <w:r w:rsidR="00BD084D" w:rsidRPr="00541454">
        <w:rPr>
          <w:iCs/>
          <w:kern w:val="2"/>
          <w:lang w:eastAsia="en-US"/>
          <w14:ligatures w14:val="standardContextual"/>
        </w:rPr>
        <w:t xml:space="preserve"> per QALY gained</w:t>
      </w:r>
      <w:r w:rsidR="00FD6561" w:rsidRPr="00541454">
        <w:rPr>
          <w:iCs/>
          <w:kern w:val="2"/>
          <w:lang w:eastAsia="en-US"/>
          <w14:ligatures w14:val="standardContextual"/>
        </w:rPr>
        <w:t xml:space="preserve"> (see the </w:t>
      </w:r>
      <w:r w:rsidR="00FC2D5E">
        <w:rPr>
          <w:iCs/>
          <w:kern w:val="2"/>
          <w:lang w:eastAsia="en-US"/>
          <w14:ligatures w14:val="standardContextual"/>
        </w:rPr>
        <w:t xml:space="preserve">second </w:t>
      </w:r>
      <w:r w:rsidR="00FD6561" w:rsidRPr="00541454">
        <w:rPr>
          <w:iCs/>
          <w:kern w:val="2"/>
          <w:lang w:eastAsia="en-US"/>
          <w14:ligatures w14:val="standardContextual"/>
        </w:rPr>
        <w:t xml:space="preserve">final row in </w:t>
      </w:r>
      <w:r w:rsidR="00FD6561" w:rsidRPr="00541454">
        <w:rPr>
          <w:iCs/>
          <w:kern w:val="2"/>
          <w:lang w:eastAsia="en-US"/>
          <w14:ligatures w14:val="standardContextual"/>
        </w:rPr>
        <w:fldChar w:fldCharType="begin"/>
      </w:r>
      <w:r w:rsidR="00FD6561" w:rsidRPr="00541454">
        <w:rPr>
          <w:iCs/>
          <w:kern w:val="2"/>
          <w:lang w:eastAsia="en-US"/>
          <w14:ligatures w14:val="standardContextual"/>
        </w:rPr>
        <w:instrText xml:space="preserve"> REF _Ref104804865 \h  \* MERGEFORMAT </w:instrText>
      </w:r>
      <w:r w:rsidR="00FD6561" w:rsidRPr="00541454">
        <w:rPr>
          <w:iCs/>
          <w:kern w:val="2"/>
          <w:lang w:eastAsia="en-US"/>
          <w14:ligatures w14:val="standardContextual"/>
        </w:rPr>
      </w:r>
      <w:r w:rsidR="00FD6561" w:rsidRPr="00541454">
        <w:rPr>
          <w:iCs/>
          <w:kern w:val="2"/>
          <w:lang w:eastAsia="en-US"/>
          <w14:ligatures w14:val="standardContextual"/>
        </w:rPr>
        <w:fldChar w:fldCharType="separate"/>
      </w:r>
      <w:r w:rsidR="00F84C70" w:rsidRPr="00F84C70">
        <w:rPr>
          <w:iCs/>
        </w:rPr>
        <w:t xml:space="preserve">Table </w:t>
      </w:r>
      <w:r w:rsidR="00F84C70" w:rsidRPr="00F84C70">
        <w:rPr>
          <w:iCs/>
          <w:noProof/>
        </w:rPr>
        <w:t>16</w:t>
      </w:r>
      <w:r w:rsidR="00FD6561" w:rsidRPr="00541454">
        <w:rPr>
          <w:iCs/>
          <w:kern w:val="2"/>
          <w:lang w:eastAsia="en-US"/>
          <w14:ligatures w14:val="standardContextual"/>
        </w:rPr>
        <w:fldChar w:fldCharType="end"/>
      </w:r>
      <w:r w:rsidR="00FD6561" w:rsidRPr="00541454">
        <w:rPr>
          <w:iCs/>
          <w:kern w:val="2"/>
          <w:lang w:eastAsia="en-US"/>
          <w14:ligatures w14:val="standardContextual"/>
        </w:rPr>
        <w:t>)</w:t>
      </w:r>
      <w:r w:rsidR="00BD084D" w:rsidRPr="00541454">
        <w:rPr>
          <w:iCs/>
          <w:kern w:val="2"/>
          <w:lang w:eastAsia="en-US"/>
          <w14:ligatures w14:val="standardContextual"/>
        </w:rPr>
        <w:t>. The respecified base case does not include amendment to discontinuation rates, as it would likely require amendment to the model structure.</w:t>
      </w:r>
      <w:bookmarkEnd w:id="85"/>
    </w:p>
    <w:p w14:paraId="6F9EEC6B" w14:textId="4B5A28E8" w:rsidR="00636080" w:rsidRPr="0027745D" w:rsidRDefault="0036339D" w:rsidP="00F774FD">
      <w:pPr>
        <w:pStyle w:val="3-BodyText"/>
      </w:pPr>
      <w:r>
        <w:t xml:space="preserve">The PBAC </w:t>
      </w:r>
      <w:r w:rsidR="00836A47">
        <w:t xml:space="preserve">noted the ESC respecified base case but offered an alternative revision as a way forward: time horizon </w:t>
      </w:r>
      <w:r w:rsidR="00714274">
        <w:t xml:space="preserve">of </w:t>
      </w:r>
      <w:r w:rsidR="00836A47">
        <w:t xml:space="preserve">20 years; </w:t>
      </w:r>
      <w:r w:rsidR="00714274">
        <w:t xml:space="preserve">data </w:t>
      </w:r>
      <w:r w:rsidR="00836A47">
        <w:t>truncation at 30 weeks in both arms; remov</w:t>
      </w:r>
      <w:r w:rsidR="00714274">
        <w:t>al of</w:t>
      </w:r>
      <w:r w:rsidR="00836A47">
        <w:t xml:space="preserve"> mortality benefits; halve</w:t>
      </w:r>
      <w:r w:rsidR="00714274">
        <w:t>d</w:t>
      </w:r>
      <w:r w:rsidR="00836A47">
        <w:t xml:space="preserve"> cardiovascular hospitalisations rates; </w:t>
      </w:r>
      <w:r w:rsidR="00714274">
        <w:t xml:space="preserve">and </w:t>
      </w:r>
      <w:r w:rsidR="00836A47">
        <w:t>the SRT rates from the VALOR</w:t>
      </w:r>
      <w:r w:rsidR="00714274">
        <w:t>-HCM</w:t>
      </w:r>
      <w:r w:rsidR="00836A47">
        <w:t xml:space="preserve"> trial. </w:t>
      </w:r>
      <w:r>
        <w:t xml:space="preserve">The PBAC noted </w:t>
      </w:r>
      <w:r w:rsidR="00836A47">
        <w:t>this respecified base case</w:t>
      </w:r>
      <w:r>
        <w:t xml:space="preserve"> ICER </w:t>
      </w:r>
      <w:r>
        <w:lastRenderedPageBreak/>
        <w:t>increases to $</w:t>
      </w:r>
      <w:r w:rsidR="001A046A">
        <w:t>135,000 to &lt; $155,000</w:t>
      </w:r>
      <w:r w:rsidR="00FC2D5E">
        <w:t xml:space="preserve"> </w:t>
      </w:r>
      <w:r w:rsidR="00FC2D5E" w:rsidRPr="00541454">
        <w:rPr>
          <w:iCs/>
          <w:kern w:val="2"/>
          <w:lang w:eastAsia="en-US"/>
          <w14:ligatures w14:val="standardContextual"/>
        </w:rPr>
        <w:t xml:space="preserve">(see the final row in </w:t>
      </w:r>
      <w:r w:rsidR="00FC2D5E" w:rsidRPr="00541454">
        <w:rPr>
          <w:iCs/>
          <w:kern w:val="2"/>
          <w:lang w:eastAsia="en-US"/>
          <w14:ligatures w14:val="standardContextual"/>
        </w:rPr>
        <w:fldChar w:fldCharType="begin"/>
      </w:r>
      <w:r w:rsidR="00FC2D5E" w:rsidRPr="00541454">
        <w:rPr>
          <w:iCs/>
          <w:kern w:val="2"/>
          <w:lang w:eastAsia="en-US"/>
          <w14:ligatures w14:val="standardContextual"/>
        </w:rPr>
        <w:instrText xml:space="preserve"> REF _Ref104804865 \h  \* MERGEFORMAT </w:instrText>
      </w:r>
      <w:r w:rsidR="00FC2D5E" w:rsidRPr="00541454">
        <w:rPr>
          <w:iCs/>
          <w:kern w:val="2"/>
          <w:lang w:eastAsia="en-US"/>
          <w14:ligatures w14:val="standardContextual"/>
        </w:rPr>
      </w:r>
      <w:r w:rsidR="00FC2D5E" w:rsidRPr="00541454">
        <w:rPr>
          <w:iCs/>
          <w:kern w:val="2"/>
          <w:lang w:eastAsia="en-US"/>
          <w14:ligatures w14:val="standardContextual"/>
        </w:rPr>
        <w:fldChar w:fldCharType="separate"/>
      </w:r>
      <w:r w:rsidR="00F84C70" w:rsidRPr="00F84C70">
        <w:rPr>
          <w:iCs/>
        </w:rPr>
        <w:t xml:space="preserve">Table </w:t>
      </w:r>
      <w:r w:rsidR="00F84C70" w:rsidRPr="00F84C70">
        <w:rPr>
          <w:iCs/>
          <w:noProof/>
        </w:rPr>
        <w:t>16</w:t>
      </w:r>
      <w:r w:rsidR="00FC2D5E" w:rsidRPr="00541454">
        <w:rPr>
          <w:iCs/>
          <w:kern w:val="2"/>
          <w:lang w:eastAsia="en-US"/>
          <w14:ligatures w14:val="standardContextual"/>
        </w:rPr>
        <w:fldChar w:fldCharType="end"/>
      </w:r>
      <w:r w:rsidR="00FC2D5E" w:rsidRPr="00541454">
        <w:rPr>
          <w:iCs/>
          <w:kern w:val="2"/>
          <w:lang w:eastAsia="en-US"/>
          <w14:ligatures w14:val="standardContextual"/>
        </w:rPr>
        <w:t>).</w:t>
      </w:r>
      <w:r w:rsidR="00484010">
        <w:rPr>
          <w:iCs/>
          <w:kern w:val="2"/>
          <w:lang w:eastAsia="en-US"/>
          <w14:ligatures w14:val="standardContextual"/>
        </w:rPr>
        <w:t xml:space="preserve"> </w:t>
      </w:r>
      <w:r w:rsidR="00636080" w:rsidRPr="0027745D">
        <w:t xml:space="preserve">The results of key sensitivity analyses are summarised in </w:t>
      </w:r>
      <w:r w:rsidR="00636080" w:rsidRPr="0027745D">
        <w:fldChar w:fldCharType="begin"/>
      </w:r>
      <w:r w:rsidR="00636080" w:rsidRPr="0027745D">
        <w:instrText xml:space="preserve"> REF _Ref104804865 \h </w:instrText>
      </w:r>
      <w:r w:rsidR="00224CCF" w:rsidRPr="0027745D">
        <w:instrText xml:space="preserve"> \* MERGEFORMAT </w:instrText>
      </w:r>
      <w:r w:rsidR="00636080" w:rsidRPr="0027745D">
        <w:fldChar w:fldCharType="separate"/>
      </w:r>
      <w:r w:rsidR="00F84C70" w:rsidRPr="0027745D">
        <w:t xml:space="preserve">Table </w:t>
      </w:r>
      <w:r w:rsidR="00F84C70">
        <w:rPr>
          <w:noProof/>
        </w:rPr>
        <w:t>16</w:t>
      </w:r>
      <w:r w:rsidR="00636080" w:rsidRPr="0027745D">
        <w:fldChar w:fldCharType="end"/>
      </w:r>
      <w:r w:rsidR="00636080" w:rsidRPr="0027745D">
        <w:t xml:space="preserve">. </w:t>
      </w:r>
    </w:p>
    <w:p w14:paraId="3EE0C3F3" w14:textId="47A7AC4A" w:rsidR="00636080" w:rsidRPr="0027745D" w:rsidRDefault="00636080" w:rsidP="00636080">
      <w:pPr>
        <w:pStyle w:val="Caption"/>
        <w:rPr>
          <w:rStyle w:val="CommentReference"/>
          <w:b/>
          <w:szCs w:val="24"/>
        </w:rPr>
      </w:pPr>
      <w:bookmarkStart w:id="86" w:name="_Ref104804865"/>
      <w:r w:rsidRPr="0027745D">
        <w:t xml:space="preserve">Table </w:t>
      </w:r>
      <w:fldSimple w:instr=" SEQ Table \* ARABIC ">
        <w:r w:rsidR="00F84C70">
          <w:rPr>
            <w:noProof/>
          </w:rPr>
          <w:t>16</w:t>
        </w:r>
      </w:fldSimple>
      <w:bookmarkEnd w:id="86"/>
      <w:r w:rsidRPr="0027745D">
        <w:t>:</w:t>
      </w:r>
      <w:r w:rsidRPr="0027745D">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800"/>
        <w:gridCol w:w="911"/>
        <w:gridCol w:w="911"/>
        <w:gridCol w:w="911"/>
        <w:gridCol w:w="922"/>
      </w:tblGrid>
      <w:tr w:rsidR="004E18A3" w14:paraId="338B68BB" w14:textId="77777777" w:rsidTr="00253815">
        <w:trPr>
          <w:cantSplit/>
          <w:tblHeader/>
        </w:trPr>
        <w:tc>
          <w:tcPr>
            <w:tcW w:w="312" w:type="pct"/>
            <w:tcBorders>
              <w:top w:val="single" w:sz="4" w:space="0" w:color="auto"/>
              <w:left w:val="single" w:sz="4" w:space="0" w:color="auto"/>
              <w:bottom w:val="single" w:sz="4" w:space="0" w:color="auto"/>
              <w:right w:val="nil"/>
            </w:tcBorders>
            <w:vAlign w:val="center"/>
          </w:tcPr>
          <w:p w14:paraId="786243DF" w14:textId="77777777" w:rsidR="00253815" w:rsidRDefault="00253815">
            <w:pPr>
              <w:pStyle w:val="In-tableHeading"/>
              <w:keepNext w:val="0"/>
              <w:spacing w:line="256" w:lineRule="auto"/>
              <w:ind w:left="-66"/>
              <w:jc w:val="center"/>
              <w:rPr>
                <w:kern w:val="2"/>
                <w:lang w:eastAsia="en-US"/>
                <w14:ligatures w14:val="standardContextual"/>
              </w:rPr>
            </w:pPr>
          </w:p>
        </w:tc>
        <w:tc>
          <w:tcPr>
            <w:tcW w:w="2662" w:type="pct"/>
            <w:tcBorders>
              <w:top w:val="single" w:sz="4" w:space="0" w:color="auto"/>
              <w:left w:val="nil"/>
              <w:bottom w:val="single" w:sz="4" w:space="0" w:color="auto"/>
              <w:right w:val="single" w:sz="4" w:space="0" w:color="auto"/>
            </w:tcBorders>
            <w:hideMark/>
          </w:tcPr>
          <w:p w14:paraId="6CD2CD00" w14:textId="77777777" w:rsidR="00253815" w:rsidRDefault="00253815">
            <w:pPr>
              <w:pStyle w:val="In-tableHeading"/>
              <w:keepNext w:val="0"/>
              <w:spacing w:line="256" w:lineRule="auto"/>
              <w:rPr>
                <w:kern w:val="2"/>
                <w:lang w:eastAsia="en-US"/>
                <w14:ligatures w14:val="standardContextual"/>
              </w:rPr>
            </w:pPr>
            <w:r>
              <w:rPr>
                <w:kern w:val="2"/>
                <w:lang w:eastAsia="en-US"/>
                <w14:ligatures w14:val="standardContextual"/>
              </w:rPr>
              <w:t>Analyses</w:t>
            </w:r>
          </w:p>
        </w:tc>
        <w:tc>
          <w:tcPr>
            <w:tcW w:w="505" w:type="pct"/>
            <w:tcBorders>
              <w:top w:val="single" w:sz="4" w:space="0" w:color="auto"/>
              <w:left w:val="single" w:sz="4" w:space="0" w:color="auto"/>
              <w:bottom w:val="single" w:sz="4" w:space="0" w:color="auto"/>
              <w:right w:val="single" w:sz="4" w:space="0" w:color="auto"/>
            </w:tcBorders>
            <w:hideMark/>
          </w:tcPr>
          <w:p w14:paraId="6E0F771A" w14:textId="77777777" w:rsidR="00253815" w:rsidRDefault="00253815">
            <w:pPr>
              <w:pStyle w:val="In-tableHeading"/>
              <w:keepNext w:val="0"/>
              <w:spacing w:line="256" w:lineRule="auto"/>
              <w:jc w:val="center"/>
              <w:rPr>
                <w:kern w:val="2"/>
                <w:lang w:eastAsia="en-US"/>
                <w14:ligatures w14:val="standardContextual"/>
              </w:rPr>
            </w:pPr>
            <w:r>
              <w:rPr>
                <w:kern w:val="2"/>
                <w:lang w:eastAsia="en-US"/>
                <w14:ligatures w14:val="standardContextual"/>
              </w:rPr>
              <w:t>Incr. cost</w:t>
            </w:r>
          </w:p>
        </w:tc>
        <w:tc>
          <w:tcPr>
            <w:tcW w:w="505" w:type="pct"/>
            <w:tcBorders>
              <w:top w:val="single" w:sz="4" w:space="0" w:color="auto"/>
              <w:left w:val="single" w:sz="4" w:space="0" w:color="auto"/>
              <w:bottom w:val="single" w:sz="4" w:space="0" w:color="auto"/>
              <w:right w:val="single" w:sz="4" w:space="0" w:color="auto"/>
            </w:tcBorders>
            <w:hideMark/>
          </w:tcPr>
          <w:p w14:paraId="62591542" w14:textId="77777777" w:rsidR="00253815" w:rsidRDefault="00253815">
            <w:pPr>
              <w:pStyle w:val="In-tableHeading"/>
              <w:keepNext w:val="0"/>
              <w:spacing w:line="256" w:lineRule="auto"/>
              <w:jc w:val="center"/>
              <w:rPr>
                <w:kern w:val="2"/>
                <w:lang w:eastAsia="en-US"/>
                <w14:ligatures w14:val="standardContextual"/>
              </w:rPr>
            </w:pPr>
            <w:r>
              <w:rPr>
                <w:kern w:val="2"/>
                <w:lang w:eastAsia="en-US"/>
                <w14:ligatures w14:val="standardContextual"/>
              </w:rPr>
              <w:t>Incr. QALY</w:t>
            </w:r>
          </w:p>
        </w:tc>
        <w:tc>
          <w:tcPr>
            <w:tcW w:w="505" w:type="pct"/>
            <w:tcBorders>
              <w:top w:val="single" w:sz="4" w:space="0" w:color="auto"/>
              <w:left w:val="single" w:sz="4" w:space="0" w:color="auto"/>
              <w:bottom w:val="single" w:sz="4" w:space="0" w:color="auto"/>
              <w:right w:val="single" w:sz="4" w:space="0" w:color="auto"/>
            </w:tcBorders>
            <w:hideMark/>
          </w:tcPr>
          <w:p w14:paraId="0E9165B6" w14:textId="77777777" w:rsidR="00253815" w:rsidRDefault="00253815">
            <w:pPr>
              <w:pStyle w:val="In-tableHeading"/>
              <w:keepNext w:val="0"/>
              <w:spacing w:line="256" w:lineRule="auto"/>
              <w:jc w:val="center"/>
              <w:rPr>
                <w:kern w:val="2"/>
                <w:lang w:eastAsia="en-US"/>
                <w14:ligatures w14:val="standardContextual"/>
              </w:rPr>
            </w:pPr>
            <w:r>
              <w:rPr>
                <w:kern w:val="2"/>
                <w:lang w:eastAsia="en-US"/>
                <w14:ligatures w14:val="standardContextual"/>
              </w:rPr>
              <w:t>ICER</w:t>
            </w:r>
          </w:p>
        </w:tc>
        <w:tc>
          <w:tcPr>
            <w:tcW w:w="511" w:type="pct"/>
            <w:tcBorders>
              <w:top w:val="single" w:sz="4" w:space="0" w:color="auto"/>
              <w:left w:val="single" w:sz="4" w:space="0" w:color="auto"/>
              <w:bottom w:val="single" w:sz="4" w:space="0" w:color="auto"/>
              <w:right w:val="single" w:sz="4" w:space="0" w:color="auto"/>
            </w:tcBorders>
            <w:hideMark/>
          </w:tcPr>
          <w:p w14:paraId="7AF7BDB2" w14:textId="77777777" w:rsidR="00253815" w:rsidRDefault="00253815">
            <w:pPr>
              <w:pStyle w:val="In-tableHeading"/>
              <w:keepNext w:val="0"/>
              <w:spacing w:line="256" w:lineRule="auto"/>
              <w:jc w:val="center"/>
              <w:rPr>
                <w:kern w:val="2"/>
                <w:lang w:eastAsia="en-US"/>
                <w14:ligatures w14:val="standardContextual"/>
              </w:rPr>
            </w:pPr>
            <w:r>
              <w:rPr>
                <w:kern w:val="2"/>
                <w:lang w:eastAsia="en-US"/>
                <w14:ligatures w14:val="standardContextual"/>
              </w:rPr>
              <w:t>% change to ICER</w:t>
            </w:r>
          </w:p>
        </w:tc>
      </w:tr>
      <w:tr w:rsidR="004E18A3" w14:paraId="76A07ACE" w14:textId="77777777" w:rsidTr="00253815">
        <w:trPr>
          <w:cantSplit/>
        </w:trPr>
        <w:tc>
          <w:tcPr>
            <w:tcW w:w="312" w:type="pct"/>
            <w:tcBorders>
              <w:top w:val="single" w:sz="4" w:space="0" w:color="auto"/>
              <w:left w:val="single" w:sz="4" w:space="0" w:color="auto"/>
              <w:bottom w:val="single" w:sz="4" w:space="0" w:color="auto"/>
              <w:right w:val="nil"/>
            </w:tcBorders>
            <w:vAlign w:val="center"/>
          </w:tcPr>
          <w:p w14:paraId="52C73069" w14:textId="77777777" w:rsidR="00253815" w:rsidRDefault="00253815">
            <w:pPr>
              <w:pStyle w:val="TableText0"/>
              <w:keepNext w:val="0"/>
              <w:spacing w:line="256" w:lineRule="auto"/>
              <w:ind w:left="-66"/>
              <w:jc w:val="center"/>
              <w:rPr>
                <w:b/>
                <w:kern w:val="2"/>
                <w:lang w:eastAsia="en-US"/>
                <w14:ligatures w14:val="standardContextual"/>
              </w:rPr>
            </w:pPr>
          </w:p>
        </w:tc>
        <w:tc>
          <w:tcPr>
            <w:tcW w:w="2662" w:type="pct"/>
            <w:tcBorders>
              <w:top w:val="single" w:sz="4" w:space="0" w:color="auto"/>
              <w:left w:val="nil"/>
              <w:bottom w:val="single" w:sz="4" w:space="0" w:color="auto"/>
              <w:right w:val="single" w:sz="4" w:space="0" w:color="auto"/>
            </w:tcBorders>
            <w:vAlign w:val="center"/>
            <w:hideMark/>
          </w:tcPr>
          <w:p w14:paraId="3E991425" w14:textId="746D6FD9" w:rsidR="00253815" w:rsidRDefault="00253815">
            <w:pPr>
              <w:pStyle w:val="TableText0"/>
              <w:keepNext w:val="0"/>
              <w:spacing w:line="256" w:lineRule="auto"/>
              <w:rPr>
                <w:b/>
                <w:kern w:val="2"/>
                <w:lang w:eastAsia="en-US"/>
                <w14:ligatures w14:val="standardContextual"/>
              </w:rPr>
            </w:pPr>
            <w:r>
              <w:rPr>
                <w:b/>
                <w:kern w:val="2"/>
                <w:lang w:eastAsia="en-US"/>
                <w14:ligatures w14:val="standardContextual"/>
              </w:rPr>
              <w:t>Base case</w:t>
            </w:r>
            <w:r w:rsidR="00FD6569">
              <w:rPr>
                <w:b/>
                <w:kern w:val="2"/>
                <w:lang w:eastAsia="en-US"/>
                <w14:ligatures w14:val="standardContextual"/>
              </w:rPr>
              <w:t xml:space="preserve"> of resubmission</w:t>
            </w:r>
          </w:p>
        </w:tc>
        <w:tc>
          <w:tcPr>
            <w:tcW w:w="505" w:type="pct"/>
            <w:tcBorders>
              <w:top w:val="single" w:sz="4" w:space="0" w:color="auto"/>
              <w:left w:val="single" w:sz="4" w:space="0" w:color="auto"/>
              <w:bottom w:val="single" w:sz="4" w:space="0" w:color="auto"/>
              <w:right w:val="single" w:sz="4" w:space="0" w:color="auto"/>
            </w:tcBorders>
            <w:vAlign w:val="center"/>
            <w:hideMark/>
          </w:tcPr>
          <w:p w14:paraId="11A6ADC7" w14:textId="087C7279" w:rsidR="00253815" w:rsidRDefault="00B63528">
            <w:pPr>
              <w:pStyle w:val="TableText0"/>
              <w:keepNext w:val="0"/>
              <w:spacing w:line="256" w:lineRule="auto"/>
              <w:jc w:val="center"/>
              <w:rPr>
                <w:b/>
                <w:bCs w:val="0"/>
                <w:kern w:val="2"/>
                <w:lang w:eastAsia="en-US"/>
                <w14:ligatures w14:val="standardContextual"/>
              </w:rPr>
            </w:pPr>
            <w:r w:rsidRPr="00B63528">
              <w:rPr>
                <w:b/>
                <w:bCs w:val="0"/>
                <w:kern w:val="2"/>
                <w:lang w:eastAsia="en-US"/>
                <w14:ligatures w14:val="standardContextual"/>
              </w:rPr>
              <w:t>$</w:t>
            </w:r>
            <w:r w:rsidR="00F5190C" w:rsidRPr="00F5190C">
              <w:rPr>
                <w:b/>
                <w:bCs w:val="0"/>
                <w:color w:val="000000"/>
                <w:spacing w:val="196"/>
                <w:shd w:val="solid" w:color="000000" w:fill="000000"/>
                <w:fitText w:val="288" w:id="-1167926769"/>
                <w:lang w:eastAsia="en-US"/>
                <w14:textFill>
                  <w14:solidFill>
                    <w14:srgbClr w14:val="000000">
                      <w14:alpha w14:val="100000"/>
                    </w14:srgbClr>
                  </w14:solidFill>
                </w14:textFill>
                <w14:ligatures w14:val="standardContextual"/>
              </w:rPr>
              <w:t>|</w:t>
            </w:r>
            <w:r w:rsidR="00F5190C" w:rsidRPr="00F5190C">
              <w:rPr>
                <w:b/>
                <w:bCs w:val="0"/>
                <w:color w:val="000000"/>
                <w:spacing w:val="1"/>
                <w:shd w:val="solid" w:color="000000" w:fill="000000"/>
                <w:fitText w:val="288" w:id="-1167926769"/>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42657912" w14:textId="77777777" w:rsidR="00253815" w:rsidRDefault="00253815">
            <w:pPr>
              <w:pStyle w:val="TableText0"/>
              <w:keepNext w:val="0"/>
              <w:spacing w:line="256" w:lineRule="auto"/>
              <w:jc w:val="center"/>
              <w:rPr>
                <w:b/>
                <w:bCs w:val="0"/>
                <w:kern w:val="2"/>
                <w:lang w:eastAsia="en-US"/>
                <w14:ligatures w14:val="standardContextual"/>
              </w:rPr>
            </w:pPr>
            <w:r>
              <w:rPr>
                <w:b/>
                <w:bCs w:val="0"/>
                <w:kern w:val="2"/>
                <w:lang w:eastAsia="en-US"/>
                <w14:ligatures w14:val="standardContextual"/>
              </w:rPr>
              <w:t>0.72</w:t>
            </w:r>
          </w:p>
        </w:tc>
        <w:tc>
          <w:tcPr>
            <w:tcW w:w="505" w:type="pct"/>
            <w:tcBorders>
              <w:top w:val="single" w:sz="4" w:space="0" w:color="auto"/>
              <w:left w:val="single" w:sz="4" w:space="0" w:color="auto"/>
              <w:bottom w:val="single" w:sz="4" w:space="0" w:color="auto"/>
              <w:right w:val="single" w:sz="4" w:space="0" w:color="auto"/>
            </w:tcBorders>
            <w:vAlign w:val="center"/>
            <w:hideMark/>
          </w:tcPr>
          <w:p w14:paraId="49E26FD8" w14:textId="3C73C70E" w:rsidR="00253815" w:rsidRDefault="00B63528">
            <w:pPr>
              <w:pStyle w:val="TableText0"/>
              <w:keepNext w:val="0"/>
              <w:spacing w:line="256" w:lineRule="auto"/>
              <w:jc w:val="center"/>
              <w:rPr>
                <w:b/>
                <w:bCs w:val="0"/>
                <w:kern w:val="2"/>
                <w:lang w:eastAsia="en-US"/>
                <w14:ligatures w14:val="standardContextual"/>
              </w:rPr>
            </w:pPr>
            <w:r w:rsidRPr="00B63528">
              <w:rPr>
                <w:b/>
                <w:bCs w:val="0"/>
                <w:kern w:val="2"/>
                <w:lang w:eastAsia="en-US"/>
                <w14:ligatures w14:val="standardContextual"/>
              </w:rPr>
              <w:t>$</w:t>
            </w:r>
            <w:r w:rsidR="00F5190C" w:rsidRPr="00F5190C">
              <w:rPr>
                <w:b/>
                <w:bCs w:val="0"/>
                <w:color w:val="000000"/>
                <w:spacing w:val="46"/>
                <w:shd w:val="solid" w:color="000000" w:fill="000000"/>
                <w:fitText w:val="322" w:id="-1167926768"/>
                <w:lang w:eastAsia="en-US"/>
                <w14:textFill>
                  <w14:solidFill>
                    <w14:srgbClr w14:val="000000">
                      <w14:alpha w14:val="100000"/>
                    </w14:srgbClr>
                  </w14:solidFill>
                </w14:textFill>
                <w14:ligatures w14:val="standardContextual"/>
              </w:rPr>
              <w:t>|||</w:t>
            </w:r>
            <w:r w:rsidR="00F5190C" w:rsidRPr="00F5190C">
              <w:rPr>
                <w:b/>
                <w:bCs w:val="0"/>
                <w:color w:val="000000"/>
                <w:spacing w:val="1"/>
                <w:shd w:val="solid" w:color="000000" w:fill="000000"/>
                <w:fitText w:val="322" w:id="-1167926768"/>
                <w:lang w:eastAsia="en-US"/>
                <w14:textFill>
                  <w14:solidFill>
                    <w14:srgbClr w14:val="000000">
                      <w14:alpha w14:val="100000"/>
                    </w14:srgbClr>
                  </w14:solidFill>
                </w14:textFill>
                <w14:ligatures w14:val="standardContextual"/>
              </w:rPr>
              <w:t>|</w:t>
            </w:r>
            <w:r w:rsidR="00585419">
              <w:rPr>
                <w:vertAlign w:val="superscript"/>
              </w:rPr>
              <w:t>1</w:t>
            </w:r>
          </w:p>
        </w:tc>
        <w:tc>
          <w:tcPr>
            <w:tcW w:w="511" w:type="pct"/>
            <w:tcBorders>
              <w:top w:val="single" w:sz="4" w:space="0" w:color="auto"/>
              <w:left w:val="single" w:sz="4" w:space="0" w:color="auto"/>
              <w:bottom w:val="single" w:sz="4" w:space="0" w:color="auto"/>
              <w:right w:val="single" w:sz="4" w:space="0" w:color="auto"/>
            </w:tcBorders>
            <w:vAlign w:val="center"/>
            <w:hideMark/>
          </w:tcPr>
          <w:p w14:paraId="0EE9962D" w14:textId="77777777" w:rsidR="00253815" w:rsidRDefault="00253815">
            <w:pPr>
              <w:pStyle w:val="TableText0"/>
              <w:keepNext w:val="0"/>
              <w:spacing w:line="256" w:lineRule="auto"/>
              <w:jc w:val="center"/>
              <w:rPr>
                <w:b/>
                <w:bCs w:val="0"/>
                <w:kern w:val="2"/>
                <w:lang w:eastAsia="en-US"/>
                <w14:ligatures w14:val="standardContextual"/>
              </w:rPr>
            </w:pPr>
            <w:r>
              <w:rPr>
                <w:b/>
                <w:bCs w:val="0"/>
                <w:kern w:val="2"/>
                <w:lang w:eastAsia="en-US"/>
                <w14:ligatures w14:val="standardContextual"/>
              </w:rPr>
              <w:t>–</w:t>
            </w:r>
          </w:p>
        </w:tc>
      </w:tr>
      <w:tr w:rsidR="004E18A3" w14:paraId="526BB944" w14:textId="77777777" w:rsidTr="00253815">
        <w:trPr>
          <w:cantSplit/>
        </w:trPr>
        <w:tc>
          <w:tcPr>
            <w:tcW w:w="312" w:type="pct"/>
            <w:tcBorders>
              <w:top w:val="single" w:sz="4" w:space="0" w:color="auto"/>
              <w:left w:val="single" w:sz="4" w:space="0" w:color="auto"/>
              <w:bottom w:val="single" w:sz="4" w:space="0" w:color="auto"/>
              <w:right w:val="nil"/>
            </w:tcBorders>
            <w:shd w:val="clear" w:color="auto" w:fill="C6D9F1" w:themeFill="text2" w:themeFillTint="33"/>
            <w:vAlign w:val="center"/>
          </w:tcPr>
          <w:p w14:paraId="67DF3B0C" w14:textId="77777777" w:rsidR="00253815" w:rsidRDefault="00253815">
            <w:pPr>
              <w:pStyle w:val="TableText0"/>
              <w:keepNext w:val="0"/>
              <w:spacing w:line="256" w:lineRule="auto"/>
              <w:ind w:left="-66"/>
              <w:jc w:val="center"/>
              <w:rPr>
                <w:kern w:val="2"/>
                <w:lang w:eastAsia="en-US"/>
                <w14:ligatures w14:val="standardContextual"/>
              </w:rPr>
            </w:pPr>
          </w:p>
        </w:tc>
        <w:tc>
          <w:tcPr>
            <w:tcW w:w="2662"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9E9198B" w14:textId="77777777" w:rsidR="00253815" w:rsidRPr="00FD6569" w:rsidRDefault="00253815">
            <w:pPr>
              <w:pStyle w:val="TableText0"/>
              <w:keepNext w:val="0"/>
              <w:spacing w:line="256" w:lineRule="auto"/>
              <w:rPr>
                <w:kern w:val="2"/>
                <w:lang w:eastAsia="en-US"/>
                <w14:ligatures w14:val="standardContextual"/>
              </w:rPr>
            </w:pPr>
            <w:r w:rsidRPr="00FD6569">
              <w:rPr>
                <w:kern w:val="2"/>
                <w:lang w:eastAsia="en-US"/>
                <w14:ligatures w14:val="standardContextual"/>
              </w:rPr>
              <w:t>November 2022 base case</w:t>
            </w:r>
          </w:p>
        </w:tc>
        <w:tc>
          <w:tcPr>
            <w:tcW w:w="5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85CFB2" w14:textId="59300480" w:rsidR="00253815" w:rsidRPr="00FD6569" w:rsidRDefault="00B63528">
            <w:pPr>
              <w:pStyle w:val="TableText0"/>
              <w:keepNext w:val="0"/>
              <w:spacing w:line="256" w:lineRule="auto"/>
              <w:jc w:val="center"/>
              <w:rPr>
                <w:kern w:val="2"/>
                <w:lang w:eastAsia="en-US"/>
                <w14:ligatures w14:val="standardContextual"/>
              </w:rPr>
            </w:pPr>
            <w:r w:rsidRPr="00B63528">
              <w:rPr>
                <w:kern w:val="2"/>
                <w:lang w:eastAsia="en-US"/>
                <w14:ligatures w14:val="standardContextual"/>
              </w:rPr>
              <w:t>$</w:t>
            </w:r>
            <w:r w:rsidR="00F5190C" w:rsidRPr="00F5190C">
              <w:rPr>
                <w:color w:val="000000"/>
                <w:spacing w:val="52"/>
                <w:shd w:val="solid" w:color="000000" w:fill="000000"/>
                <w:fitText w:val="233" w:id="-1167926784"/>
                <w:lang w:eastAsia="en-US"/>
                <w14:textFill>
                  <w14:solidFill>
                    <w14:srgbClr w14:val="000000">
                      <w14:alpha w14:val="100000"/>
                    </w14:srgbClr>
                  </w14:solidFill>
                </w14:textFill>
                <w14:ligatures w14:val="standardContextual"/>
              </w:rPr>
              <w:t>||</w:t>
            </w:r>
            <w:r w:rsidR="00F5190C" w:rsidRPr="00F5190C">
              <w:rPr>
                <w:color w:val="000000"/>
                <w:spacing w:val="2"/>
                <w:shd w:val="solid" w:color="000000" w:fill="000000"/>
                <w:fitText w:val="233" w:id="-1167926784"/>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7DD693" w14:textId="77777777" w:rsidR="00253815" w:rsidRPr="00FD6569" w:rsidRDefault="00253815">
            <w:pPr>
              <w:pStyle w:val="TableText0"/>
              <w:keepNext w:val="0"/>
              <w:spacing w:line="256" w:lineRule="auto"/>
              <w:jc w:val="center"/>
              <w:rPr>
                <w:kern w:val="2"/>
                <w:lang w:eastAsia="en-US"/>
                <w14:ligatures w14:val="standardContextual"/>
              </w:rPr>
            </w:pPr>
            <w:r w:rsidRPr="00FD6569">
              <w:rPr>
                <w:kern w:val="2"/>
                <w:lang w:eastAsia="en-US"/>
                <w14:ligatures w14:val="standardContextual"/>
              </w:rPr>
              <w:t>0.98</w:t>
            </w:r>
          </w:p>
        </w:tc>
        <w:tc>
          <w:tcPr>
            <w:tcW w:w="5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9DA96E" w14:textId="4CBFC0F5" w:rsidR="00253815" w:rsidRPr="00FD6569" w:rsidRDefault="00B63528">
            <w:pPr>
              <w:pStyle w:val="TableText0"/>
              <w:keepNext w:val="0"/>
              <w:spacing w:line="256" w:lineRule="auto"/>
              <w:jc w:val="center"/>
              <w:rPr>
                <w:kern w:val="2"/>
                <w:lang w:eastAsia="en-US"/>
                <w14:ligatures w14:val="standardContextual"/>
              </w:rPr>
            </w:pPr>
            <w:r w:rsidRPr="00B63528">
              <w:rPr>
                <w:kern w:val="2"/>
                <w:lang w:eastAsia="en-US"/>
                <w14:ligatures w14:val="standardContextual"/>
              </w:rPr>
              <w:t>$</w:t>
            </w:r>
            <w:r w:rsidR="00F5190C" w:rsidRPr="00F5190C">
              <w:rPr>
                <w:color w:val="000000"/>
                <w:spacing w:val="191"/>
                <w:shd w:val="solid" w:color="000000" w:fill="000000"/>
                <w:fitText w:val="277" w:id="-1167926783"/>
                <w:lang w:eastAsia="en-US"/>
                <w14:textFill>
                  <w14:solidFill>
                    <w14:srgbClr w14:val="000000">
                      <w14:alpha w14:val="100000"/>
                    </w14:srgbClr>
                  </w14:solidFill>
                </w14:textFill>
                <w14:ligatures w14:val="standardContextual"/>
              </w:rPr>
              <w:t>|</w:t>
            </w:r>
            <w:r w:rsidR="00F5190C" w:rsidRPr="00F5190C">
              <w:rPr>
                <w:color w:val="000000"/>
                <w:spacing w:val="1"/>
                <w:shd w:val="solid" w:color="000000" w:fill="000000"/>
                <w:fitText w:val="277" w:id="-1167926783"/>
                <w:lang w:eastAsia="en-US"/>
                <w14:textFill>
                  <w14:solidFill>
                    <w14:srgbClr w14:val="000000">
                      <w14:alpha w14:val="100000"/>
                    </w14:srgbClr>
                  </w14:solidFill>
                </w14:textFill>
                <w14:ligatures w14:val="standardContextual"/>
              </w:rPr>
              <w:t>|</w:t>
            </w:r>
            <w:r w:rsidR="00585419">
              <w:rPr>
                <w:vertAlign w:val="superscript"/>
              </w:rPr>
              <w:t>1</w:t>
            </w:r>
          </w:p>
        </w:tc>
        <w:tc>
          <w:tcPr>
            <w:tcW w:w="51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79CDAE" w14:textId="3BB6D16A" w:rsidR="00253815" w:rsidRPr="00FD6569" w:rsidRDefault="00FD6569">
            <w:pPr>
              <w:pStyle w:val="TableText0"/>
              <w:keepNext w:val="0"/>
              <w:spacing w:line="256" w:lineRule="auto"/>
              <w:jc w:val="center"/>
              <w:rPr>
                <w:kern w:val="2"/>
                <w:lang w:eastAsia="en-US"/>
                <w14:ligatures w14:val="standardContextual"/>
              </w:rPr>
            </w:pPr>
            <w:r w:rsidRPr="00FD6569">
              <w:rPr>
                <w:kern w:val="2"/>
                <w:lang w:eastAsia="en-US"/>
                <w14:ligatures w14:val="standardContextual"/>
              </w:rPr>
              <w:t>-</w:t>
            </w:r>
          </w:p>
        </w:tc>
      </w:tr>
      <w:tr w:rsidR="00CF1CA5" w14:paraId="31839051" w14:textId="77777777" w:rsidTr="00FD6569">
        <w:trPr>
          <w:cantSplit/>
        </w:trPr>
        <w:tc>
          <w:tcPr>
            <w:tcW w:w="312" w:type="pct"/>
            <w:tcBorders>
              <w:top w:val="single" w:sz="4" w:space="0" w:color="auto"/>
              <w:left w:val="single" w:sz="4" w:space="0" w:color="auto"/>
              <w:bottom w:val="single" w:sz="4" w:space="0" w:color="auto"/>
              <w:right w:val="nil"/>
            </w:tcBorders>
            <w:shd w:val="clear" w:color="auto" w:fill="auto"/>
            <w:vAlign w:val="center"/>
          </w:tcPr>
          <w:p w14:paraId="651B582A" w14:textId="77777777" w:rsidR="00FD6569" w:rsidRDefault="00FD6569" w:rsidP="00FD6569">
            <w:pPr>
              <w:pStyle w:val="TableText0"/>
              <w:keepNext w:val="0"/>
              <w:spacing w:line="256" w:lineRule="auto"/>
              <w:ind w:left="-66"/>
              <w:jc w:val="center"/>
              <w:rPr>
                <w:kern w:val="2"/>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shd w:val="clear" w:color="auto" w:fill="auto"/>
            <w:vAlign w:val="center"/>
          </w:tcPr>
          <w:p w14:paraId="60F6EC3C" w14:textId="541180AC" w:rsidR="00FD6569" w:rsidRDefault="00FD6569" w:rsidP="00FD6569">
            <w:pPr>
              <w:pStyle w:val="TableText0"/>
              <w:keepNext w:val="0"/>
              <w:spacing w:line="256" w:lineRule="auto"/>
              <w:rPr>
                <w:kern w:val="2"/>
                <w:lang w:eastAsia="en-US"/>
                <w14:ligatures w14:val="standardContextual"/>
              </w:rPr>
            </w:pPr>
            <w:r w:rsidRPr="00636765">
              <w:rPr>
                <w:b/>
                <w:bCs w:val="0"/>
              </w:rPr>
              <w:t>Discount rate (base case: 5%)</w:t>
            </w:r>
          </w:p>
        </w:tc>
      </w:tr>
      <w:tr w:rsidR="004E18A3" w14:paraId="429A0E2C" w14:textId="77777777" w:rsidTr="00FD6569">
        <w:trPr>
          <w:cantSplit/>
        </w:trPr>
        <w:tc>
          <w:tcPr>
            <w:tcW w:w="312" w:type="pct"/>
            <w:tcBorders>
              <w:top w:val="single" w:sz="4" w:space="0" w:color="auto"/>
              <w:left w:val="single" w:sz="4" w:space="0" w:color="auto"/>
              <w:bottom w:val="single" w:sz="4" w:space="0" w:color="auto"/>
              <w:right w:val="nil"/>
            </w:tcBorders>
            <w:shd w:val="clear" w:color="auto" w:fill="auto"/>
            <w:vAlign w:val="center"/>
          </w:tcPr>
          <w:p w14:paraId="58A96453" w14:textId="77777777" w:rsidR="00FD6569" w:rsidRDefault="00FD6569" w:rsidP="00FD6569">
            <w:pPr>
              <w:pStyle w:val="TableText0"/>
              <w:keepNext w:val="0"/>
              <w:spacing w:line="256" w:lineRule="auto"/>
              <w:ind w:left="-66"/>
              <w:jc w:val="center"/>
              <w:rPr>
                <w:kern w:val="2"/>
                <w:lang w:eastAsia="en-US"/>
                <w14:ligatures w14:val="standardContextual"/>
              </w:rPr>
            </w:pPr>
          </w:p>
        </w:tc>
        <w:tc>
          <w:tcPr>
            <w:tcW w:w="2662" w:type="pct"/>
            <w:tcBorders>
              <w:top w:val="single" w:sz="4" w:space="0" w:color="auto"/>
              <w:left w:val="nil"/>
              <w:bottom w:val="single" w:sz="4" w:space="0" w:color="auto"/>
              <w:right w:val="single" w:sz="4" w:space="0" w:color="auto"/>
            </w:tcBorders>
            <w:shd w:val="clear" w:color="auto" w:fill="auto"/>
            <w:vAlign w:val="center"/>
          </w:tcPr>
          <w:p w14:paraId="757A99A5" w14:textId="3E82268B" w:rsidR="00FD6569" w:rsidRDefault="00FD6569" w:rsidP="00FD6569">
            <w:pPr>
              <w:pStyle w:val="TableText0"/>
              <w:keepNext w:val="0"/>
              <w:spacing w:line="256" w:lineRule="auto"/>
              <w:rPr>
                <w:kern w:val="2"/>
                <w:lang w:eastAsia="en-US"/>
                <w14:ligatures w14:val="standardContextual"/>
              </w:rPr>
            </w:pPr>
            <w:r w:rsidRPr="00636765">
              <w:t>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B653271" w14:textId="799E89F7" w:rsidR="00FD6569" w:rsidRDefault="00FD6569" w:rsidP="00FD6569">
            <w:pPr>
              <w:pStyle w:val="TableText0"/>
              <w:keepNext w:val="0"/>
              <w:spacing w:line="256" w:lineRule="auto"/>
              <w:jc w:val="center"/>
              <w:rPr>
                <w:kern w:val="2"/>
                <w:lang w:eastAsia="en-US"/>
                <w14:ligatures w14:val="standardContextual"/>
              </w:rPr>
            </w:pPr>
            <w:r w:rsidRPr="00636765">
              <w:t>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44D21A4" w14:textId="2597EB2A" w:rsidR="00FD6569" w:rsidRDefault="00FD6569" w:rsidP="00FD6569">
            <w:pPr>
              <w:pStyle w:val="TableText0"/>
              <w:keepNext w:val="0"/>
              <w:spacing w:line="256" w:lineRule="auto"/>
              <w:jc w:val="center"/>
              <w:rPr>
                <w:kern w:val="2"/>
                <w:lang w:eastAsia="en-US"/>
                <w14:ligatures w14:val="standardContextual"/>
              </w:rPr>
            </w:pPr>
            <w:r w:rsidRPr="00636765">
              <w:t>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1095E0" w14:textId="45EB5710" w:rsidR="00FD6569" w:rsidRDefault="00FD6569" w:rsidP="00FD6569">
            <w:pPr>
              <w:pStyle w:val="TableText0"/>
              <w:keepNext w:val="0"/>
              <w:spacing w:line="256" w:lineRule="auto"/>
              <w:jc w:val="center"/>
              <w:rPr>
                <w:kern w:val="2"/>
                <w:lang w:eastAsia="en-US"/>
                <w14:ligatures w14:val="standardContextual"/>
              </w:rPr>
            </w:pPr>
            <w:r w:rsidRPr="00636765">
              <w:t>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D52919B" w14:textId="3FC17936" w:rsidR="00FD6569" w:rsidRDefault="00FD6569" w:rsidP="00FD6569">
            <w:pPr>
              <w:pStyle w:val="TableText0"/>
              <w:keepNext w:val="0"/>
              <w:spacing w:line="256" w:lineRule="auto"/>
              <w:jc w:val="center"/>
              <w:rPr>
                <w:kern w:val="2"/>
                <w:lang w:eastAsia="en-US"/>
                <w14:ligatures w14:val="standardContextual"/>
              </w:rPr>
            </w:pPr>
            <w:r w:rsidRPr="00636765">
              <w:t>0%</w:t>
            </w:r>
          </w:p>
        </w:tc>
      </w:tr>
      <w:tr w:rsidR="004E18A3" w14:paraId="6E4CAF7E" w14:textId="77777777" w:rsidTr="00FD6569">
        <w:trPr>
          <w:cantSplit/>
        </w:trPr>
        <w:tc>
          <w:tcPr>
            <w:tcW w:w="312" w:type="pct"/>
            <w:tcBorders>
              <w:top w:val="single" w:sz="4" w:space="0" w:color="auto"/>
              <w:left w:val="single" w:sz="4" w:space="0" w:color="auto"/>
              <w:bottom w:val="single" w:sz="4" w:space="0" w:color="auto"/>
              <w:right w:val="nil"/>
            </w:tcBorders>
            <w:shd w:val="clear" w:color="auto" w:fill="auto"/>
            <w:vAlign w:val="center"/>
          </w:tcPr>
          <w:p w14:paraId="0DAC7CC5" w14:textId="77777777" w:rsidR="00FD6569" w:rsidRDefault="00FD6569" w:rsidP="00FD6569">
            <w:pPr>
              <w:pStyle w:val="TableText0"/>
              <w:keepNext w:val="0"/>
              <w:spacing w:line="256" w:lineRule="auto"/>
              <w:ind w:left="-66"/>
              <w:jc w:val="center"/>
              <w:rPr>
                <w:kern w:val="2"/>
                <w:lang w:eastAsia="en-US"/>
                <w14:ligatures w14:val="standardContextual"/>
              </w:rPr>
            </w:pPr>
          </w:p>
        </w:tc>
        <w:tc>
          <w:tcPr>
            <w:tcW w:w="2662" w:type="pct"/>
            <w:tcBorders>
              <w:top w:val="single" w:sz="4" w:space="0" w:color="auto"/>
              <w:left w:val="nil"/>
              <w:bottom w:val="single" w:sz="4" w:space="0" w:color="auto"/>
              <w:right w:val="single" w:sz="4" w:space="0" w:color="auto"/>
            </w:tcBorders>
            <w:shd w:val="clear" w:color="auto" w:fill="auto"/>
            <w:vAlign w:val="center"/>
          </w:tcPr>
          <w:p w14:paraId="2D3B4F9C" w14:textId="220D7718" w:rsidR="00FD6569" w:rsidRDefault="00FD6569" w:rsidP="00FD6569">
            <w:pPr>
              <w:pStyle w:val="TableText0"/>
              <w:keepNext w:val="0"/>
              <w:spacing w:line="256" w:lineRule="auto"/>
              <w:rPr>
                <w:kern w:val="2"/>
                <w:lang w:eastAsia="en-US"/>
                <w14:ligatures w14:val="standardContextual"/>
              </w:rPr>
            </w:pPr>
            <w:r w:rsidRPr="00636765">
              <w:t>3.5%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769D66F" w14:textId="521FB60D" w:rsidR="00FD6569" w:rsidRDefault="00FD6569" w:rsidP="00FD6569">
            <w:pPr>
              <w:pStyle w:val="TableText0"/>
              <w:keepNext w:val="0"/>
              <w:spacing w:line="256" w:lineRule="auto"/>
              <w:jc w:val="center"/>
              <w:rPr>
                <w:kern w:val="2"/>
                <w:lang w:eastAsia="en-US"/>
                <w14:ligatures w14:val="standardContextual"/>
              </w:rPr>
            </w:pPr>
            <w:r w:rsidRPr="00636765">
              <w:t>3.5%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2543419" w14:textId="502566F3" w:rsidR="00FD6569" w:rsidRDefault="00FD6569" w:rsidP="00FD6569">
            <w:pPr>
              <w:pStyle w:val="TableText0"/>
              <w:keepNext w:val="0"/>
              <w:spacing w:line="256" w:lineRule="auto"/>
              <w:jc w:val="center"/>
              <w:rPr>
                <w:kern w:val="2"/>
                <w:lang w:eastAsia="en-US"/>
                <w14:ligatures w14:val="standardContextual"/>
              </w:rPr>
            </w:pPr>
            <w:r w:rsidRPr="00636765">
              <w:t>3.5%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35F5968" w14:textId="7077D208" w:rsidR="00FD6569" w:rsidRDefault="00FD6569" w:rsidP="00FD6569">
            <w:pPr>
              <w:pStyle w:val="TableText0"/>
              <w:keepNext w:val="0"/>
              <w:spacing w:line="256" w:lineRule="auto"/>
              <w:jc w:val="center"/>
              <w:rPr>
                <w:kern w:val="2"/>
                <w:lang w:eastAsia="en-US"/>
                <w14:ligatures w14:val="standardContextual"/>
              </w:rPr>
            </w:pPr>
            <w:r w:rsidRPr="00636765">
              <w:t>3.5%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BF5B8B5" w14:textId="7C53F3A4" w:rsidR="00FD6569" w:rsidRDefault="00FD6569" w:rsidP="00FD6569">
            <w:pPr>
              <w:pStyle w:val="TableText0"/>
              <w:keepNext w:val="0"/>
              <w:spacing w:line="256" w:lineRule="auto"/>
              <w:jc w:val="center"/>
              <w:rPr>
                <w:kern w:val="2"/>
                <w:lang w:eastAsia="en-US"/>
                <w14:ligatures w14:val="standardContextual"/>
              </w:rPr>
            </w:pPr>
            <w:r w:rsidRPr="00636765">
              <w:t>3.5%</w:t>
            </w:r>
          </w:p>
        </w:tc>
      </w:tr>
      <w:tr w:rsidR="00CF1CA5" w14:paraId="5D849156" w14:textId="77777777" w:rsidTr="00253815">
        <w:trPr>
          <w:cantSplit/>
        </w:trPr>
        <w:tc>
          <w:tcPr>
            <w:tcW w:w="312" w:type="pct"/>
            <w:tcBorders>
              <w:top w:val="single" w:sz="4" w:space="0" w:color="auto"/>
              <w:left w:val="single" w:sz="4" w:space="0" w:color="auto"/>
              <w:bottom w:val="single" w:sz="4" w:space="0" w:color="auto"/>
              <w:right w:val="nil"/>
            </w:tcBorders>
            <w:vAlign w:val="center"/>
          </w:tcPr>
          <w:p w14:paraId="7097AD39" w14:textId="77777777" w:rsidR="00253815" w:rsidRDefault="00253815">
            <w:pPr>
              <w:pStyle w:val="TableText0"/>
              <w:keepNext w:val="0"/>
              <w:spacing w:line="256" w:lineRule="auto"/>
              <w:ind w:left="-66"/>
              <w:jc w:val="center"/>
              <w:rPr>
                <w:b/>
                <w:bCs w:val="0"/>
                <w:kern w:val="2"/>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vAlign w:val="center"/>
            <w:hideMark/>
          </w:tcPr>
          <w:p w14:paraId="05DD4677" w14:textId="77777777" w:rsidR="00253815" w:rsidRDefault="00253815">
            <w:pPr>
              <w:pStyle w:val="TableText0"/>
              <w:keepNext w:val="0"/>
              <w:spacing w:line="256" w:lineRule="auto"/>
              <w:rPr>
                <w:kern w:val="2"/>
                <w:highlight w:val="yellow"/>
                <w:lang w:eastAsia="en-US"/>
                <w14:ligatures w14:val="standardContextual"/>
              </w:rPr>
            </w:pPr>
            <w:r>
              <w:rPr>
                <w:b/>
                <w:bCs w:val="0"/>
                <w:kern w:val="2"/>
                <w:lang w:eastAsia="en-US"/>
                <w14:ligatures w14:val="standardContextual"/>
              </w:rPr>
              <w:t>Time horizon (base case 20 years)</w:t>
            </w:r>
          </w:p>
        </w:tc>
      </w:tr>
      <w:tr w:rsidR="004E18A3" w:rsidRPr="00541454" w14:paraId="6F292E6D"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312F3487"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1.</w:t>
            </w:r>
          </w:p>
        </w:tc>
        <w:tc>
          <w:tcPr>
            <w:tcW w:w="2662" w:type="pct"/>
            <w:tcBorders>
              <w:top w:val="single" w:sz="4" w:space="0" w:color="auto"/>
              <w:left w:val="nil"/>
              <w:bottom w:val="single" w:sz="4" w:space="0" w:color="auto"/>
              <w:right w:val="single" w:sz="4" w:space="0" w:color="auto"/>
            </w:tcBorders>
            <w:vAlign w:val="center"/>
            <w:hideMark/>
          </w:tcPr>
          <w:p w14:paraId="7AFEEB3E" w14:textId="77777777" w:rsidR="00253815" w:rsidRPr="00541454" w:rsidRDefault="00253815">
            <w:pPr>
              <w:pStyle w:val="TableText0"/>
              <w:keepNext w:val="0"/>
              <w:spacing w:line="256" w:lineRule="auto"/>
              <w:ind w:left="164"/>
              <w:rPr>
                <w:iCs/>
                <w:color w:val="000000"/>
                <w:kern w:val="2"/>
                <w:szCs w:val="20"/>
                <w:lang w:eastAsia="en-US"/>
                <w14:ligatures w14:val="standardContextual"/>
              </w:rPr>
            </w:pPr>
            <w:r w:rsidRPr="00541454">
              <w:rPr>
                <w:iCs/>
                <w:color w:val="000000"/>
                <w:kern w:val="2"/>
                <w:szCs w:val="20"/>
                <w:lang w:eastAsia="en-US"/>
                <w14:ligatures w14:val="standardContextual"/>
              </w:rPr>
              <w:t xml:space="preserve">10 years </w:t>
            </w:r>
          </w:p>
        </w:tc>
        <w:tc>
          <w:tcPr>
            <w:tcW w:w="505" w:type="pct"/>
            <w:tcBorders>
              <w:top w:val="single" w:sz="4" w:space="0" w:color="auto"/>
              <w:left w:val="single" w:sz="4" w:space="0" w:color="auto"/>
              <w:bottom w:val="single" w:sz="4" w:space="0" w:color="auto"/>
              <w:right w:val="single" w:sz="4" w:space="0" w:color="auto"/>
            </w:tcBorders>
            <w:vAlign w:val="center"/>
            <w:hideMark/>
          </w:tcPr>
          <w:p w14:paraId="20939F50" w14:textId="63789786" w:rsidR="00253815" w:rsidRPr="00541454" w:rsidRDefault="00B63528">
            <w:pPr>
              <w:pStyle w:val="TableText0"/>
              <w:keepNext w:val="0"/>
              <w:spacing w:line="256" w:lineRule="auto"/>
              <w:jc w:val="center"/>
              <w:rPr>
                <w:kern w:val="2"/>
                <w:lang w:eastAsia="en-US"/>
                <w14:ligatures w14:val="standardContextual"/>
              </w:rPr>
            </w:pPr>
            <w:r w:rsidRPr="00B63528">
              <w:rPr>
                <w:kern w:val="2"/>
                <w:szCs w:val="20"/>
                <w:lang w:eastAsia="en-US"/>
                <w14:ligatures w14:val="standardContextual"/>
              </w:rPr>
              <w:t>$</w:t>
            </w:r>
            <w:r w:rsidR="00F5190C" w:rsidRPr="00F5190C">
              <w:rPr>
                <w:color w:val="000000"/>
                <w:spacing w:val="52"/>
                <w:szCs w:val="20"/>
                <w:shd w:val="solid" w:color="000000" w:fill="000000"/>
                <w:fitText w:val="233" w:id="-1167926782"/>
                <w:lang w:eastAsia="en-US"/>
                <w14:textFill>
                  <w14:solidFill>
                    <w14:srgbClr w14:val="000000">
                      <w14:alpha w14:val="100000"/>
                    </w14:srgbClr>
                  </w14:solidFill>
                </w14:textFill>
                <w14:ligatures w14:val="standardContextual"/>
              </w:rPr>
              <w:t>||</w:t>
            </w:r>
            <w:r w:rsidR="00F5190C" w:rsidRPr="00F5190C">
              <w:rPr>
                <w:color w:val="000000"/>
                <w:spacing w:val="2"/>
                <w:szCs w:val="20"/>
                <w:shd w:val="solid" w:color="000000" w:fill="000000"/>
                <w:fitText w:val="233" w:id="-1167926782"/>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5A538838" w14:textId="77777777" w:rsidR="00253815" w:rsidRPr="00541454" w:rsidRDefault="00253815">
            <w:pPr>
              <w:pStyle w:val="TableText0"/>
              <w:keepNext w:val="0"/>
              <w:spacing w:line="256" w:lineRule="auto"/>
              <w:jc w:val="center"/>
              <w:rPr>
                <w:kern w:val="2"/>
                <w:highlight w:val="yellow"/>
                <w:lang w:eastAsia="en-US"/>
                <w14:ligatures w14:val="standardContextual"/>
              </w:rPr>
            </w:pPr>
            <w:r w:rsidRPr="00541454">
              <w:rPr>
                <w:kern w:val="2"/>
                <w:szCs w:val="20"/>
                <w:lang w:eastAsia="en-US"/>
                <w14:ligatures w14:val="standardContextual"/>
              </w:rPr>
              <w:t>0.40</w:t>
            </w:r>
          </w:p>
        </w:tc>
        <w:tc>
          <w:tcPr>
            <w:tcW w:w="505" w:type="pct"/>
            <w:tcBorders>
              <w:top w:val="single" w:sz="4" w:space="0" w:color="auto"/>
              <w:left w:val="single" w:sz="4" w:space="0" w:color="auto"/>
              <w:bottom w:val="single" w:sz="4" w:space="0" w:color="auto"/>
              <w:right w:val="single" w:sz="4" w:space="0" w:color="auto"/>
            </w:tcBorders>
            <w:vAlign w:val="center"/>
            <w:hideMark/>
          </w:tcPr>
          <w:p w14:paraId="519DA31C" w14:textId="35B6FC01" w:rsidR="00253815" w:rsidRPr="00541454" w:rsidRDefault="00B63528">
            <w:pPr>
              <w:pStyle w:val="TableText0"/>
              <w:keepNext w:val="0"/>
              <w:spacing w:line="256" w:lineRule="auto"/>
              <w:jc w:val="center"/>
              <w:rPr>
                <w:kern w:val="2"/>
                <w:highlight w:val="yellow"/>
                <w:lang w:eastAsia="en-US"/>
                <w14:ligatures w14:val="standardContextual"/>
              </w:rPr>
            </w:pPr>
            <w:r w:rsidRPr="00B63528">
              <w:rPr>
                <w:color w:val="000000"/>
                <w:kern w:val="2"/>
                <w:szCs w:val="20"/>
                <w:lang w:eastAsia="en-US"/>
                <w14:ligatures w14:val="standardContextual"/>
              </w:rPr>
              <w:t>$</w:t>
            </w:r>
            <w:r w:rsidR="00F5190C" w:rsidRPr="00F5190C">
              <w:rPr>
                <w:color w:val="000000"/>
                <w:spacing w:val="191"/>
                <w:szCs w:val="20"/>
                <w:shd w:val="solid" w:color="000000" w:fill="000000"/>
                <w:fitText w:val="277" w:id="-1167926781"/>
                <w:lang w:eastAsia="en-US"/>
                <w14:textFill>
                  <w14:solidFill>
                    <w14:srgbClr w14:val="000000">
                      <w14:alpha w14:val="100000"/>
                    </w14:srgbClr>
                  </w14:solidFill>
                </w14:textFill>
                <w14:ligatures w14:val="standardContextual"/>
              </w:rPr>
              <w:t>|</w:t>
            </w:r>
            <w:r w:rsidR="00F5190C" w:rsidRPr="00F5190C">
              <w:rPr>
                <w:color w:val="000000"/>
                <w:spacing w:val="1"/>
                <w:szCs w:val="20"/>
                <w:shd w:val="solid" w:color="000000" w:fill="000000"/>
                <w:fitText w:val="277" w:id="-1167926781"/>
                <w:lang w:eastAsia="en-US"/>
                <w14:textFill>
                  <w14:solidFill>
                    <w14:srgbClr w14:val="000000">
                      <w14:alpha w14:val="100000"/>
                    </w14:srgbClr>
                  </w14:solidFill>
                </w14:textFill>
                <w14:ligatures w14:val="standardContextual"/>
              </w:rPr>
              <w:t>|</w:t>
            </w:r>
            <w:r w:rsidR="00585419">
              <w:rPr>
                <w:vertAlign w:val="superscript"/>
              </w:rPr>
              <w:t>2</w:t>
            </w:r>
          </w:p>
        </w:tc>
        <w:tc>
          <w:tcPr>
            <w:tcW w:w="511" w:type="pct"/>
            <w:tcBorders>
              <w:top w:val="single" w:sz="4" w:space="0" w:color="auto"/>
              <w:left w:val="single" w:sz="4" w:space="0" w:color="auto"/>
              <w:bottom w:val="single" w:sz="4" w:space="0" w:color="auto"/>
              <w:right w:val="single" w:sz="4" w:space="0" w:color="auto"/>
            </w:tcBorders>
            <w:vAlign w:val="center"/>
            <w:hideMark/>
          </w:tcPr>
          <w:p w14:paraId="2787500D" w14:textId="77777777" w:rsidR="00253815" w:rsidRPr="00541454" w:rsidRDefault="00253815">
            <w:pPr>
              <w:pStyle w:val="TableText0"/>
              <w:keepNext w:val="0"/>
              <w:spacing w:line="256" w:lineRule="auto"/>
              <w:jc w:val="center"/>
              <w:rPr>
                <w:rFonts w:eastAsia="Calibri"/>
                <w:kern w:val="2"/>
                <w:szCs w:val="20"/>
                <w:highlight w:val="yellow"/>
                <w:lang w:eastAsia="en-US"/>
                <w14:ligatures w14:val="standardContextual"/>
              </w:rPr>
            </w:pPr>
            <w:r w:rsidRPr="00541454">
              <w:rPr>
                <w:color w:val="000000"/>
                <w:kern w:val="2"/>
                <w:szCs w:val="20"/>
                <w:lang w:eastAsia="en-US"/>
                <w14:ligatures w14:val="standardContextual"/>
              </w:rPr>
              <w:t>+48.5%</w:t>
            </w:r>
          </w:p>
        </w:tc>
      </w:tr>
      <w:tr w:rsidR="00CF1CA5" w14:paraId="1FDBC8CD"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tcPr>
          <w:p w14:paraId="3D9A5A35" w14:textId="77777777" w:rsidR="00253815" w:rsidRDefault="00253815">
            <w:pPr>
              <w:pStyle w:val="TableText0"/>
              <w:keepNext w:val="0"/>
              <w:spacing w:line="256" w:lineRule="auto"/>
              <w:ind w:left="-66"/>
              <w:jc w:val="center"/>
              <w:rPr>
                <w:b/>
                <w:color w:val="000000"/>
                <w:kern w:val="2"/>
                <w:szCs w:val="20"/>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vAlign w:val="center"/>
            <w:hideMark/>
          </w:tcPr>
          <w:p w14:paraId="658365F0" w14:textId="77777777" w:rsidR="00253815" w:rsidRDefault="00253815">
            <w:pPr>
              <w:pStyle w:val="TableText0"/>
              <w:keepNext w:val="0"/>
              <w:spacing w:line="256" w:lineRule="auto"/>
              <w:rPr>
                <w:rFonts w:eastAsia="Calibri"/>
                <w:kern w:val="2"/>
                <w:szCs w:val="20"/>
                <w:highlight w:val="yellow"/>
                <w:lang w:eastAsia="en-US"/>
                <w14:ligatures w14:val="standardContextual"/>
              </w:rPr>
            </w:pPr>
            <w:r>
              <w:rPr>
                <w:b/>
                <w:color w:val="000000"/>
                <w:kern w:val="2"/>
                <w:szCs w:val="20"/>
                <w:lang w:eastAsia="en-US"/>
                <w14:ligatures w14:val="standardContextual"/>
              </w:rPr>
              <w:t>Trial-based TP truncation time point (base case: 30 weeks for MAVA + BB/CCB and 38 weeks for BB/CCB)</w:t>
            </w:r>
          </w:p>
        </w:tc>
      </w:tr>
      <w:tr w:rsidR="004E18A3" w14:paraId="6C61EA47"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4F56AC81" w14:textId="77777777" w:rsidR="00253815" w:rsidRDefault="00253815">
            <w:pPr>
              <w:pStyle w:val="TableText0"/>
              <w:keepNext w:val="0"/>
              <w:spacing w:line="256" w:lineRule="auto"/>
              <w:ind w:left="-66"/>
              <w:jc w:val="center"/>
              <w:rPr>
                <w:color w:val="000000"/>
                <w:kern w:val="2"/>
                <w:szCs w:val="20"/>
                <w:lang w:eastAsia="en-US"/>
                <w14:ligatures w14:val="standardContextual"/>
              </w:rPr>
            </w:pPr>
            <w:r>
              <w:rPr>
                <w:color w:val="000000"/>
                <w:kern w:val="2"/>
                <w:szCs w:val="20"/>
                <w:lang w:eastAsia="en-US"/>
                <w14:ligatures w14:val="standardContextual"/>
              </w:rPr>
              <w:t>2.</w:t>
            </w:r>
          </w:p>
        </w:tc>
        <w:tc>
          <w:tcPr>
            <w:tcW w:w="2662" w:type="pct"/>
            <w:tcBorders>
              <w:top w:val="single" w:sz="4" w:space="0" w:color="auto"/>
              <w:left w:val="nil"/>
              <w:bottom w:val="single" w:sz="4" w:space="0" w:color="auto"/>
              <w:right w:val="single" w:sz="4" w:space="0" w:color="auto"/>
            </w:tcBorders>
            <w:vAlign w:val="center"/>
            <w:hideMark/>
          </w:tcPr>
          <w:p w14:paraId="4B249E6A" w14:textId="77777777" w:rsidR="00253815" w:rsidRPr="00FD6569" w:rsidRDefault="00253815">
            <w:pPr>
              <w:pStyle w:val="TableText0"/>
              <w:keepNext w:val="0"/>
              <w:spacing w:line="256" w:lineRule="auto"/>
              <w:ind w:left="164"/>
              <w:rPr>
                <w:iCs/>
                <w:color w:val="000000"/>
                <w:kern w:val="2"/>
                <w:szCs w:val="20"/>
                <w:lang w:eastAsia="en-US"/>
                <w14:ligatures w14:val="standardContextual"/>
              </w:rPr>
            </w:pPr>
            <w:r w:rsidRPr="00FD6569">
              <w:rPr>
                <w:iCs/>
                <w:color w:val="000000"/>
                <w:kern w:val="2"/>
                <w:szCs w:val="20"/>
                <w:lang w:eastAsia="en-US"/>
                <w14:ligatures w14:val="standardContextual"/>
              </w:rPr>
              <w:t>30 weeks for both treatment arms</w:t>
            </w:r>
          </w:p>
        </w:tc>
        <w:tc>
          <w:tcPr>
            <w:tcW w:w="505" w:type="pct"/>
            <w:tcBorders>
              <w:top w:val="single" w:sz="4" w:space="0" w:color="auto"/>
              <w:left w:val="single" w:sz="4" w:space="0" w:color="auto"/>
              <w:bottom w:val="single" w:sz="4" w:space="0" w:color="auto"/>
              <w:right w:val="single" w:sz="4" w:space="0" w:color="auto"/>
            </w:tcBorders>
            <w:vAlign w:val="center"/>
            <w:hideMark/>
          </w:tcPr>
          <w:p w14:paraId="56DE2245" w14:textId="1D4A2095" w:rsidR="00253815" w:rsidRDefault="00B63528">
            <w:pPr>
              <w:pStyle w:val="TableText0"/>
              <w:keepNext w:val="0"/>
              <w:spacing w:line="256" w:lineRule="auto"/>
              <w:jc w:val="center"/>
              <w:rPr>
                <w:rFonts w:eastAsia="Calibri"/>
                <w:kern w:val="2"/>
                <w:szCs w:val="20"/>
                <w:highlight w:val="yellow"/>
                <w:lang w:eastAsia="en-US"/>
                <w14:ligatures w14:val="standardContextual"/>
              </w:rPr>
            </w:pPr>
            <w:r w:rsidRPr="00B63528">
              <w:rPr>
                <w:kern w:val="2"/>
                <w:szCs w:val="20"/>
                <w:lang w:eastAsia="en-US"/>
                <w14:ligatures w14:val="standardContextual"/>
              </w:rPr>
              <w:t>$</w:t>
            </w:r>
            <w:r w:rsidR="00F5190C" w:rsidRPr="00F5190C">
              <w:rPr>
                <w:color w:val="000000"/>
                <w:spacing w:val="52"/>
                <w:szCs w:val="20"/>
                <w:shd w:val="solid" w:color="000000" w:fill="000000"/>
                <w:fitText w:val="233" w:id="-1167926780"/>
                <w:lang w:eastAsia="en-US"/>
                <w14:textFill>
                  <w14:solidFill>
                    <w14:srgbClr w14:val="000000">
                      <w14:alpha w14:val="100000"/>
                    </w14:srgbClr>
                  </w14:solidFill>
                </w14:textFill>
                <w14:ligatures w14:val="standardContextual"/>
              </w:rPr>
              <w:t>||</w:t>
            </w:r>
            <w:r w:rsidR="00F5190C" w:rsidRPr="00F5190C">
              <w:rPr>
                <w:color w:val="000000"/>
                <w:spacing w:val="2"/>
                <w:szCs w:val="20"/>
                <w:shd w:val="solid" w:color="000000" w:fill="000000"/>
                <w:fitText w:val="233" w:id="-1167926780"/>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22D5A223" w14:textId="77777777" w:rsidR="00253815" w:rsidRDefault="00253815">
            <w:pPr>
              <w:pStyle w:val="TableText0"/>
              <w:keepNext w:val="0"/>
              <w:spacing w:line="256" w:lineRule="auto"/>
              <w:jc w:val="center"/>
              <w:rPr>
                <w:rFonts w:eastAsia="Calibri"/>
                <w:kern w:val="2"/>
                <w:szCs w:val="20"/>
                <w:highlight w:val="yellow"/>
                <w:lang w:eastAsia="en-US"/>
                <w14:ligatures w14:val="standardContextual"/>
              </w:rPr>
            </w:pPr>
            <w:r>
              <w:rPr>
                <w:kern w:val="2"/>
                <w:szCs w:val="20"/>
                <w:lang w:eastAsia="en-US"/>
                <w14:ligatures w14:val="standardContextual"/>
              </w:rPr>
              <w:t>0.57</w:t>
            </w:r>
          </w:p>
        </w:tc>
        <w:tc>
          <w:tcPr>
            <w:tcW w:w="505" w:type="pct"/>
            <w:tcBorders>
              <w:top w:val="single" w:sz="4" w:space="0" w:color="auto"/>
              <w:left w:val="single" w:sz="4" w:space="0" w:color="auto"/>
              <w:bottom w:val="single" w:sz="4" w:space="0" w:color="auto"/>
              <w:right w:val="single" w:sz="4" w:space="0" w:color="auto"/>
            </w:tcBorders>
            <w:vAlign w:val="center"/>
            <w:hideMark/>
          </w:tcPr>
          <w:p w14:paraId="78B9CFDC" w14:textId="01F303C5" w:rsidR="00253815" w:rsidRDefault="00B63528">
            <w:pPr>
              <w:pStyle w:val="TableText0"/>
              <w:keepNext w:val="0"/>
              <w:spacing w:line="256" w:lineRule="auto"/>
              <w:jc w:val="center"/>
              <w:rPr>
                <w:rFonts w:eastAsia="Calibri"/>
                <w:kern w:val="2"/>
                <w:szCs w:val="20"/>
                <w:highlight w:val="yellow"/>
                <w:lang w:eastAsia="en-US"/>
                <w14:ligatures w14:val="standardContextual"/>
              </w:rPr>
            </w:pPr>
            <w:r w:rsidRPr="00B63528">
              <w:rPr>
                <w:color w:val="000000"/>
                <w:kern w:val="2"/>
                <w:szCs w:val="20"/>
                <w:lang w:eastAsia="en-US"/>
                <w14:ligatures w14:val="standardContextual"/>
              </w:rPr>
              <w:t>$</w:t>
            </w:r>
            <w:r w:rsidR="00F5190C" w:rsidRPr="00F5190C">
              <w:rPr>
                <w:color w:val="000000"/>
                <w:spacing w:val="191"/>
                <w:szCs w:val="20"/>
                <w:shd w:val="solid" w:color="000000" w:fill="000000"/>
                <w:fitText w:val="277" w:id="-1167926779"/>
                <w:lang w:eastAsia="en-US"/>
                <w14:textFill>
                  <w14:solidFill>
                    <w14:srgbClr w14:val="000000">
                      <w14:alpha w14:val="100000"/>
                    </w14:srgbClr>
                  </w14:solidFill>
                </w14:textFill>
                <w14:ligatures w14:val="standardContextual"/>
              </w:rPr>
              <w:t>|</w:t>
            </w:r>
            <w:r w:rsidR="00F5190C" w:rsidRPr="00F5190C">
              <w:rPr>
                <w:color w:val="000000"/>
                <w:spacing w:val="1"/>
                <w:szCs w:val="20"/>
                <w:shd w:val="solid" w:color="000000" w:fill="000000"/>
                <w:fitText w:val="277" w:id="-1167926779"/>
                <w:lang w:eastAsia="en-US"/>
                <w14:textFill>
                  <w14:solidFill>
                    <w14:srgbClr w14:val="000000">
                      <w14:alpha w14:val="100000"/>
                    </w14:srgbClr>
                  </w14:solidFill>
                </w14:textFill>
                <w14:ligatures w14:val="standardContextual"/>
              </w:rPr>
              <w:t>|</w:t>
            </w:r>
            <w:r w:rsidR="00585419">
              <w:rPr>
                <w:vertAlign w:val="superscript"/>
              </w:rPr>
              <w:t>2</w:t>
            </w:r>
          </w:p>
        </w:tc>
        <w:tc>
          <w:tcPr>
            <w:tcW w:w="511" w:type="pct"/>
            <w:tcBorders>
              <w:top w:val="single" w:sz="4" w:space="0" w:color="auto"/>
              <w:left w:val="single" w:sz="4" w:space="0" w:color="auto"/>
              <w:bottom w:val="single" w:sz="4" w:space="0" w:color="auto"/>
              <w:right w:val="single" w:sz="4" w:space="0" w:color="auto"/>
            </w:tcBorders>
            <w:vAlign w:val="center"/>
            <w:hideMark/>
          </w:tcPr>
          <w:p w14:paraId="0B681F24" w14:textId="77777777" w:rsidR="00253815" w:rsidRDefault="00253815">
            <w:pPr>
              <w:pStyle w:val="TableText0"/>
              <w:keepNext w:val="0"/>
              <w:spacing w:line="256" w:lineRule="auto"/>
              <w:jc w:val="center"/>
              <w:rPr>
                <w:rFonts w:eastAsia="Calibri"/>
                <w:kern w:val="2"/>
                <w:szCs w:val="20"/>
                <w:highlight w:val="yellow"/>
                <w:lang w:eastAsia="en-US"/>
                <w14:ligatures w14:val="standardContextual"/>
              </w:rPr>
            </w:pPr>
            <w:r>
              <w:rPr>
                <w:color w:val="000000"/>
                <w:kern w:val="2"/>
                <w:szCs w:val="20"/>
                <w:lang w:eastAsia="en-US"/>
                <w14:ligatures w14:val="standardContextual"/>
              </w:rPr>
              <w:t>+55.3%</w:t>
            </w:r>
          </w:p>
        </w:tc>
      </w:tr>
      <w:tr w:rsidR="00CF1CA5" w14:paraId="36F94B60" w14:textId="77777777" w:rsidTr="00FD6569">
        <w:trPr>
          <w:cantSplit/>
          <w:trHeight w:val="283"/>
        </w:trPr>
        <w:tc>
          <w:tcPr>
            <w:tcW w:w="312" w:type="pct"/>
            <w:tcBorders>
              <w:top w:val="single" w:sz="4" w:space="0" w:color="auto"/>
              <w:left w:val="single" w:sz="4" w:space="0" w:color="auto"/>
              <w:bottom w:val="single" w:sz="4" w:space="0" w:color="auto"/>
              <w:right w:val="nil"/>
            </w:tcBorders>
            <w:vAlign w:val="center"/>
          </w:tcPr>
          <w:p w14:paraId="0D1F482B" w14:textId="77777777" w:rsidR="00FD6569" w:rsidRDefault="00FD6569" w:rsidP="00FD6569">
            <w:pPr>
              <w:pStyle w:val="TableText0"/>
              <w:keepNext w:val="0"/>
              <w:spacing w:line="256" w:lineRule="auto"/>
              <w:ind w:left="-66"/>
              <w:jc w:val="center"/>
              <w:rPr>
                <w:color w:val="000000"/>
                <w:kern w:val="2"/>
                <w:szCs w:val="20"/>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vAlign w:val="center"/>
          </w:tcPr>
          <w:p w14:paraId="7FE5E4EC" w14:textId="1E86FF4D" w:rsidR="00FD6569" w:rsidRDefault="00FD6569" w:rsidP="00FD6569">
            <w:pPr>
              <w:pStyle w:val="TableText0"/>
              <w:keepNext w:val="0"/>
              <w:spacing w:line="256" w:lineRule="auto"/>
              <w:rPr>
                <w:color w:val="000000"/>
                <w:kern w:val="2"/>
                <w:szCs w:val="20"/>
                <w:lang w:eastAsia="en-US"/>
                <w14:ligatures w14:val="standardContextual"/>
              </w:rPr>
            </w:pPr>
            <w:r w:rsidRPr="00484271">
              <w:rPr>
                <w:b/>
                <w:color w:val="000000"/>
                <w:szCs w:val="20"/>
              </w:rPr>
              <w:t xml:space="preserve">Efficacy of SRT + BB/CCB (base case: Knyshov </w:t>
            </w:r>
            <w:r w:rsidRPr="00BF5BC7">
              <w:rPr>
                <w:b/>
                <w:color w:val="000000"/>
                <w:szCs w:val="20"/>
              </w:rPr>
              <w:t>et al</w:t>
            </w:r>
            <w:r w:rsidRPr="00484271">
              <w:rPr>
                <w:b/>
                <w:color w:val="000000"/>
                <w:szCs w:val="20"/>
              </w:rPr>
              <w:t xml:space="preserve"> 2013)</w:t>
            </w:r>
          </w:p>
        </w:tc>
      </w:tr>
      <w:tr w:rsidR="004E18A3" w14:paraId="4547EBA1" w14:textId="77777777" w:rsidTr="00462F23">
        <w:trPr>
          <w:cantSplit/>
          <w:trHeight w:val="283"/>
        </w:trPr>
        <w:tc>
          <w:tcPr>
            <w:tcW w:w="312" w:type="pct"/>
            <w:tcBorders>
              <w:top w:val="single" w:sz="4" w:space="0" w:color="auto"/>
              <w:left w:val="single" w:sz="4" w:space="0" w:color="auto"/>
              <w:bottom w:val="single" w:sz="4" w:space="0" w:color="auto"/>
              <w:right w:val="nil"/>
            </w:tcBorders>
            <w:vAlign w:val="center"/>
          </w:tcPr>
          <w:p w14:paraId="6895CAD4" w14:textId="77777777" w:rsidR="00FD6569" w:rsidRDefault="00FD6569" w:rsidP="00FD6569">
            <w:pPr>
              <w:pStyle w:val="TableText0"/>
              <w:keepNext w:val="0"/>
              <w:spacing w:line="256" w:lineRule="auto"/>
              <w:ind w:left="-66"/>
              <w:jc w:val="center"/>
              <w:rPr>
                <w:color w:val="000000"/>
                <w:kern w:val="2"/>
                <w:szCs w:val="20"/>
                <w:lang w:eastAsia="en-US"/>
                <w14:ligatures w14:val="standardContextual"/>
              </w:rPr>
            </w:pPr>
          </w:p>
        </w:tc>
        <w:tc>
          <w:tcPr>
            <w:tcW w:w="2662" w:type="pct"/>
            <w:tcBorders>
              <w:top w:val="single" w:sz="4" w:space="0" w:color="auto"/>
              <w:left w:val="nil"/>
              <w:bottom w:val="single" w:sz="4" w:space="0" w:color="auto"/>
              <w:right w:val="single" w:sz="4" w:space="0" w:color="auto"/>
            </w:tcBorders>
            <w:vAlign w:val="center"/>
          </w:tcPr>
          <w:p w14:paraId="559319A8" w14:textId="36AD31AD" w:rsidR="00FD6569" w:rsidRPr="00FD6569" w:rsidRDefault="00FD6569" w:rsidP="00FD6569">
            <w:pPr>
              <w:pStyle w:val="TableText0"/>
              <w:keepNext w:val="0"/>
              <w:spacing w:line="256" w:lineRule="auto"/>
              <w:ind w:left="164"/>
              <w:rPr>
                <w:iCs/>
                <w:color w:val="000000"/>
                <w:kern w:val="2"/>
                <w:szCs w:val="20"/>
                <w:lang w:eastAsia="en-US"/>
                <w14:ligatures w14:val="standardContextual"/>
              </w:rPr>
            </w:pPr>
            <w:r w:rsidRPr="00BF5BC7">
              <w:rPr>
                <w:iCs/>
                <w:color w:val="000000"/>
                <w:szCs w:val="20"/>
              </w:rPr>
              <w:t>Advisory board inputs</w:t>
            </w:r>
            <w:r w:rsidRPr="00BF5BC7">
              <w:rPr>
                <w:color w:val="000000"/>
                <w:szCs w:val="20"/>
                <w:vertAlign w:val="superscript"/>
              </w:rPr>
              <w:t xml:space="preserve"> a</w:t>
            </w:r>
            <w:r w:rsidRPr="00BF5BC7">
              <w:rPr>
                <w:iCs/>
                <w:color w:val="000000"/>
                <w:szCs w:val="20"/>
              </w:rPr>
              <w:t xml:space="preserve"> </w:t>
            </w:r>
          </w:p>
        </w:tc>
        <w:tc>
          <w:tcPr>
            <w:tcW w:w="505" w:type="pct"/>
            <w:tcBorders>
              <w:top w:val="single" w:sz="4" w:space="0" w:color="auto"/>
              <w:left w:val="single" w:sz="4" w:space="0" w:color="auto"/>
              <w:bottom w:val="single" w:sz="4" w:space="0" w:color="auto"/>
              <w:right w:val="single" w:sz="4" w:space="0" w:color="auto"/>
            </w:tcBorders>
          </w:tcPr>
          <w:p w14:paraId="074C186D" w14:textId="6260786C" w:rsidR="00FD6569" w:rsidRDefault="00B63528" w:rsidP="00FD6569">
            <w:pPr>
              <w:pStyle w:val="TableText0"/>
              <w:keepNext w:val="0"/>
              <w:spacing w:line="256" w:lineRule="auto"/>
              <w:jc w:val="center"/>
              <w:rPr>
                <w:kern w:val="2"/>
                <w:szCs w:val="20"/>
                <w:lang w:eastAsia="en-US"/>
                <w14:ligatures w14:val="standardContextual"/>
              </w:rPr>
            </w:pPr>
            <w:r w:rsidRPr="00B63528">
              <w:rPr>
                <w:iCs/>
                <w:szCs w:val="20"/>
              </w:rPr>
              <w:t>$</w:t>
            </w:r>
            <w:r w:rsidR="00F5190C" w:rsidRPr="00F5190C">
              <w:rPr>
                <w:iCs/>
                <w:color w:val="000000"/>
                <w:spacing w:val="52"/>
                <w:szCs w:val="20"/>
                <w:shd w:val="solid" w:color="000000" w:fill="000000"/>
                <w:fitText w:val="233" w:id="-1167926778"/>
                <w14:textFill>
                  <w14:solidFill>
                    <w14:srgbClr w14:val="000000">
                      <w14:alpha w14:val="100000"/>
                    </w14:srgbClr>
                  </w14:solidFill>
                </w14:textFill>
              </w:rPr>
              <w:t>||</w:t>
            </w:r>
            <w:r w:rsidR="00F5190C" w:rsidRPr="00F5190C">
              <w:rPr>
                <w:iCs/>
                <w:color w:val="000000"/>
                <w:spacing w:val="2"/>
                <w:szCs w:val="20"/>
                <w:shd w:val="solid" w:color="000000" w:fill="000000"/>
                <w:fitText w:val="233" w:id="-1167926778"/>
                <w14:textFill>
                  <w14:solidFill>
                    <w14:srgbClr w14:val="000000">
                      <w14:alpha w14:val="100000"/>
                    </w14:srgbClr>
                  </w14:solidFill>
                </w14:textFill>
              </w:rPr>
              <w:t>|</w:t>
            </w:r>
          </w:p>
        </w:tc>
        <w:tc>
          <w:tcPr>
            <w:tcW w:w="505" w:type="pct"/>
            <w:tcBorders>
              <w:top w:val="single" w:sz="4" w:space="0" w:color="auto"/>
              <w:left w:val="single" w:sz="4" w:space="0" w:color="auto"/>
              <w:bottom w:val="single" w:sz="4" w:space="0" w:color="auto"/>
              <w:right w:val="single" w:sz="4" w:space="0" w:color="auto"/>
            </w:tcBorders>
          </w:tcPr>
          <w:p w14:paraId="0D51D1A3" w14:textId="6DE8D9A6" w:rsidR="00FD6569" w:rsidRDefault="00FD6569" w:rsidP="00FD6569">
            <w:pPr>
              <w:pStyle w:val="TableText0"/>
              <w:keepNext w:val="0"/>
              <w:spacing w:line="256" w:lineRule="auto"/>
              <w:jc w:val="center"/>
              <w:rPr>
                <w:kern w:val="2"/>
                <w:szCs w:val="20"/>
                <w:lang w:eastAsia="en-US"/>
                <w14:ligatures w14:val="standardContextual"/>
              </w:rPr>
            </w:pPr>
            <w:r w:rsidRPr="00BF5BC7">
              <w:rPr>
                <w:iCs/>
                <w:szCs w:val="20"/>
              </w:rPr>
              <w:t>0.53</w:t>
            </w:r>
          </w:p>
        </w:tc>
        <w:tc>
          <w:tcPr>
            <w:tcW w:w="505" w:type="pct"/>
            <w:tcBorders>
              <w:top w:val="single" w:sz="4" w:space="0" w:color="auto"/>
              <w:left w:val="single" w:sz="4" w:space="0" w:color="auto"/>
              <w:bottom w:val="single" w:sz="4" w:space="0" w:color="auto"/>
              <w:right w:val="single" w:sz="4" w:space="0" w:color="auto"/>
            </w:tcBorders>
            <w:vAlign w:val="center"/>
          </w:tcPr>
          <w:p w14:paraId="16E40AFF" w14:textId="058C5348" w:rsidR="00FD6569" w:rsidRDefault="00B63528" w:rsidP="00FD6569">
            <w:pPr>
              <w:pStyle w:val="TableText0"/>
              <w:keepNext w:val="0"/>
              <w:spacing w:line="256" w:lineRule="auto"/>
              <w:jc w:val="center"/>
              <w:rPr>
                <w:color w:val="000000"/>
                <w:kern w:val="2"/>
                <w:szCs w:val="20"/>
                <w:lang w:eastAsia="en-US"/>
                <w14:ligatures w14:val="standardContextual"/>
              </w:rPr>
            </w:pPr>
            <w:r w:rsidRPr="00B63528">
              <w:rPr>
                <w:iCs/>
                <w:color w:val="000000"/>
                <w:szCs w:val="20"/>
              </w:rPr>
              <w:t>$</w:t>
            </w:r>
            <w:r w:rsidR="00F5190C" w:rsidRPr="00F5190C">
              <w:rPr>
                <w:iCs/>
                <w:color w:val="000000"/>
                <w:spacing w:val="191"/>
                <w:szCs w:val="20"/>
                <w:shd w:val="solid" w:color="000000" w:fill="000000"/>
                <w:fitText w:val="277" w:id="-1167926777"/>
                <w14:textFill>
                  <w14:solidFill>
                    <w14:srgbClr w14:val="000000">
                      <w14:alpha w14:val="100000"/>
                    </w14:srgbClr>
                  </w14:solidFill>
                </w14:textFill>
              </w:rPr>
              <w:t>|</w:t>
            </w:r>
            <w:r w:rsidR="00F5190C" w:rsidRPr="00F5190C">
              <w:rPr>
                <w:iCs/>
                <w:color w:val="000000"/>
                <w:spacing w:val="1"/>
                <w:szCs w:val="20"/>
                <w:shd w:val="solid" w:color="000000" w:fill="000000"/>
                <w:fitText w:val="277" w:id="-1167926777"/>
                <w14:textFill>
                  <w14:solidFill>
                    <w14:srgbClr w14:val="000000">
                      <w14:alpha w14:val="100000"/>
                    </w14:srgbClr>
                  </w14:solidFill>
                </w14:textFill>
              </w:rPr>
              <w:t>|</w:t>
            </w:r>
            <w:r w:rsidR="00585419">
              <w:rPr>
                <w:vertAlign w:val="superscript"/>
              </w:rPr>
              <w:t>3</w:t>
            </w:r>
          </w:p>
        </w:tc>
        <w:tc>
          <w:tcPr>
            <w:tcW w:w="511" w:type="pct"/>
            <w:tcBorders>
              <w:top w:val="single" w:sz="4" w:space="0" w:color="auto"/>
              <w:left w:val="single" w:sz="4" w:space="0" w:color="auto"/>
              <w:bottom w:val="single" w:sz="4" w:space="0" w:color="auto"/>
              <w:right w:val="single" w:sz="4" w:space="0" w:color="auto"/>
            </w:tcBorders>
            <w:vAlign w:val="center"/>
          </w:tcPr>
          <w:p w14:paraId="458695A1" w14:textId="53BC3937" w:rsidR="00FD6569" w:rsidRDefault="00FD6569" w:rsidP="00FD6569">
            <w:pPr>
              <w:pStyle w:val="TableText0"/>
              <w:keepNext w:val="0"/>
              <w:spacing w:line="256" w:lineRule="auto"/>
              <w:jc w:val="center"/>
              <w:rPr>
                <w:color w:val="000000"/>
                <w:kern w:val="2"/>
                <w:szCs w:val="20"/>
                <w:lang w:eastAsia="en-US"/>
                <w14:ligatures w14:val="standardContextual"/>
              </w:rPr>
            </w:pPr>
            <w:r w:rsidRPr="00BF5BC7">
              <w:rPr>
                <w:iCs/>
                <w:color w:val="000000"/>
                <w:szCs w:val="20"/>
              </w:rPr>
              <w:t>+68.2%</w:t>
            </w:r>
          </w:p>
        </w:tc>
      </w:tr>
      <w:tr w:rsidR="00CF1CA5" w14:paraId="1A83D35A"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tcPr>
          <w:p w14:paraId="1355BA5E" w14:textId="77777777" w:rsidR="00253815" w:rsidRDefault="00253815">
            <w:pPr>
              <w:pStyle w:val="TableText0"/>
              <w:keepNext w:val="0"/>
              <w:spacing w:line="256" w:lineRule="auto"/>
              <w:ind w:left="-66"/>
              <w:jc w:val="center"/>
              <w:rPr>
                <w:b/>
                <w:color w:val="000000"/>
                <w:kern w:val="2"/>
                <w:szCs w:val="20"/>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vAlign w:val="center"/>
            <w:hideMark/>
          </w:tcPr>
          <w:p w14:paraId="5ADB5CAC" w14:textId="77777777" w:rsidR="00253815" w:rsidRDefault="00253815">
            <w:pPr>
              <w:pStyle w:val="TableText0"/>
              <w:keepNext w:val="0"/>
              <w:spacing w:line="256" w:lineRule="auto"/>
              <w:rPr>
                <w:rFonts w:eastAsia="Calibri"/>
                <w:kern w:val="2"/>
                <w:szCs w:val="20"/>
                <w:highlight w:val="yellow"/>
                <w:lang w:eastAsia="en-US"/>
                <w14:ligatures w14:val="standardContextual"/>
              </w:rPr>
            </w:pPr>
            <w:r>
              <w:rPr>
                <w:b/>
                <w:color w:val="000000"/>
                <w:kern w:val="2"/>
                <w:szCs w:val="20"/>
                <w:lang w:eastAsia="en-US"/>
                <w14:ligatures w14:val="standardContextual"/>
              </w:rPr>
              <w:t>Mortality HRs by NYHA class, compared with mortality in general population (base case: 1.0 for NYHA I, 1.48 for NYHA II and 3.17 for NYHA III/IV, based on the SHaRe adjusted)</w:t>
            </w:r>
          </w:p>
        </w:tc>
      </w:tr>
      <w:tr w:rsidR="004E18A3" w:rsidRPr="00541454" w14:paraId="2954AC91"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22EE67F8"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3.</w:t>
            </w:r>
          </w:p>
        </w:tc>
        <w:tc>
          <w:tcPr>
            <w:tcW w:w="2662" w:type="pct"/>
            <w:tcBorders>
              <w:top w:val="single" w:sz="4" w:space="0" w:color="auto"/>
              <w:left w:val="nil"/>
              <w:bottom w:val="single" w:sz="4" w:space="0" w:color="auto"/>
              <w:right w:val="single" w:sz="4" w:space="0" w:color="auto"/>
            </w:tcBorders>
            <w:vAlign w:val="center"/>
            <w:hideMark/>
          </w:tcPr>
          <w:p w14:paraId="2F176891" w14:textId="77777777" w:rsidR="00253815" w:rsidRPr="00541454" w:rsidRDefault="00253815">
            <w:pPr>
              <w:pStyle w:val="TableText0"/>
              <w:keepNext w:val="0"/>
              <w:spacing w:line="256" w:lineRule="auto"/>
              <w:ind w:left="164"/>
              <w:rPr>
                <w:iCs/>
                <w:color w:val="000000"/>
                <w:kern w:val="2"/>
                <w:szCs w:val="20"/>
                <w:lang w:eastAsia="en-US"/>
                <w14:ligatures w14:val="standardContextual"/>
              </w:rPr>
            </w:pPr>
            <w:r w:rsidRPr="00541454">
              <w:rPr>
                <w:iCs/>
                <w:color w:val="000000"/>
                <w:kern w:val="2"/>
                <w:szCs w:val="20"/>
                <w:lang w:eastAsia="en-US"/>
                <w14:ligatures w14:val="standardContextual"/>
              </w:rPr>
              <w:t>All cause/general mortality not NYHA specific (1.0 across all NYHA classes)</w:t>
            </w:r>
          </w:p>
        </w:tc>
        <w:tc>
          <w:tcPr>
            <w:tcW w:w="505" w:type="pct"/>
            <w:tcBorders>
              <w:top w:val="single" w:sz="4" w:space="0" w:color="auto"/>
              <w:left w:val="single" w:sz="4" w:space="0" w:color="auto"/>
              <w:bottom w:val="single" w:sz="4" w:space="0" w:color="auto"/>
              <w:right w:val="single" w:sz="4" w:space="0" w:color="auto"/>
            </w:tcBorders>
            <w:vAlign w:val="center"/>
            <w:hideMark/>
          </w:tcPr>
          <w:p w14:paraId="3013437D" w14:textId="0A87BCCC" w:rsidR="00253815" w:rsidRPr="00541454" w:rsidRDefault="00B63528">
            <w:pPr>
              <w:pStyle w:val="TableText0"/>
              <w:keepNext w:val="0"/>
              <w:spacing w:line="256" w:lineRule="auto"/>
              <w:jc w:val="center"/>
              <w:rPr>
                <w:kern w:val="2"/>
                <w:szCs w:val="20"/>
                <w:lang w:eastAsia="en-US"/>
                <w14:ligatures w14:val="standardContextual"/>
              </w:rPr>
            </w:pPr>
            <w:r w:rsidRPr="00B63528">
              <w:rPr>
                <w:kern w:val="2"/>
                <w:szCs w:val="20"/>
                <w:lang w:eastAsia="en-US"/>
                <w14:ligatures w14:val="standardContextual"/>
              </w:rPr>
              <w:t>$</w:t>
            </w:r>
            <w:r w:rsidR="00F5190C" w:rsidRPr="00F5190C">
              <w:rPr>
                <w:color w:val="000000"/>
                <w:spacing w:val="52"/>
                <w:szCs w:val="20"/>
                <w:shd w:val="solid" w:color="000000" w:fill="000000"/>
                <w:fitText w:val="233" w:id="-1167926776"/>
                <w:lang w:eastAsia="en-US"/>
                <w14:textFill>
                  <w14:solidFill>
                    <w14:srgbClr w14:val="000000">
                      <w14:alpha w14:val="100000"/>
                    </w14:srgbClr>
                  </w14:solidFill>
                </w14:textFill>
                <w14:ligatures w14:val="standardContextual"/>
              </w:rPr>
              <w:t>||</w:t>
            </w:r>
            <w:r w:rsidR="00F5190C" w:rsidRPr="00F5190C">
              <w:rPr>
                <w:color w:val="000000"/>
                <w:spacing w:val="2"/>
                <w:szCs w:val="20"/>
                <w:shd w:val="solid" w:color="000000" w:fill="000000"/>
                <w:fitText w:val="233" w:id="-1167926776"/>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6E10F0D1" w14:textId="77777777" w:rsidR="00253815" w:rsidRPr="00541454" w:rsidRDefault="00253815">
            <w:pPr>
              <w:pStyle w:val="TableText0"/>
              <w:keepNext w:val="0"/>
              <w:spacing w:line="256" w:lineRule="auto"/>
              <w:jc w:val="center"/>
              <w:rPr>
                <w:kern w:val="2"/>
                <w:szCs w:val="20"/>
                <w:lang w:eastAsia="en-US"/>
                <w14:ligatures w14:val="standardContextual"/>
              </w:rPr>
            </w:pPr>
            <w:r w:rsidRPr="00541454">
              <w:rPr>
                <w:kern w:val="2"/>
                <w:szCs w:val="20"/>
                <w:lang w:eastAsia="en-US"/>
                <w14:ligatures w14:val="standardContextual"/>
              </w:rPr>
              <w:t>0.47</w:t>
            </w:r>
          </w:p>
        </w:tc>
        <w:tc>
          <w:tcPr>
            <w:tcW w:w="505" w:type="pct"/>
            <w:tcBorders>
              <w:top w:val="single" w:sz="4" w:space="0" w:color="auto"/>
              <w:left w:val="single" w:sz="4" w:space="0" w:color="auto"/>
              <w:bottom w:val="single" w:sz="4" w:space="0" w:color="auto"/>
              <w:right w:val="single" w:sz="4" w:space="0" w:color="auto"/>
            </w:tcBorders>
            <w:vAlign w:val="center"/>
            <w:hideMark/>
          </w:tcPr>
          <w:p w14:paraId="1AF37D09" w14:textId="3B2FAB36" w:rsidR="00253815" w:rsidRPr="00541454" w:rsidRDefault="00B63528">
            <w:pPr>
              <w:pStyle w:val="TableText0"/>
              <w:keepNext w:val="0"/>
              <w:spacing w:line="256" w:lineRule="auto"/>
              <w:jc w:val="center"/>
              <w:rPr>
                <w:kern w:val="2"/>
                <w:szCs w:val="20"/>
                <w:lang w:eastAsia="en-US"/>
                <w14:ligatures w14:val="standardContextual"/>
              </w:rPr>
            </w:pPr>
            <w:r w:rsidRPr="00B63528">
              <w:rPr>
                <w:kern w:val="2"/>
                <w:szCs w:val="20"/>
                <w:lang w:eastAsia="en-US"/>
                <w14:ligatures w14:val="standardContextual"/>
              </w:rPr>
              <w:t>$</w:t>
            </w:r>
            <w:r w:rsidR="00F5190C" w:rsidRPr="00F5190C">
              <w:rPr>
                <w:color w:val="000000"/>
                <w:spacing w:val="191"/>
                <w:szCs w:val="20"/>
                <w:shd w:val="solid" w:color="000000" w:fill="000000"/>
                <w:fitText w:val="277" w:id="-1167926775"/>
                <w:lang w:eastAsia="en-US"/>
                <w14:textFill>
                  <w14:solidFill>
                    <w14:srgbClr w14:val="000000">
                      <w14:alpha w14:val="100000"/>
                    </w14:srgbClr>
                  </w14:solidFill>
                </w14:textFill>
                <w14:ligatures w14:val="standardContextual"/>
              </w:rPr>
              <w:t>|</w:t>
            </w:r>
            <w:r w:rsidR="00F5190C" w:rsidRPr="00F5190C">
              <w:rPr>
                <w:color w:val="000000"/>
                <w:spacing w:val="1"/>
                <w:szCs w:val="20"/>
                <w:shd w:val="solid" w:color="000000" w:fill="000000"/>
                <w:fitText w:val="277" w:id="-1167926775"/>
                <w:lang w:eastAsia="en-US"/>
                <w14:textFill>
                  <w14:solidFill>
                    <w14:srgbClr w14:val="000000">
                      <w14:alpha w14:val="100000"/>
                    </w14:srgbClr>
                  </w14:solidFill>
                </w14:textFill>
                <w14:ligatures w14:val="standardContextual"/>
              </w:rPr>
              <w:t>|</w:t>
            </w:r>
            <w:r w:rsidR="00585419">
              <w:rPr>
                <w:vertAlign w:val="superscript"/>
              </w:rPr>
              <w:t>2</w:t>
            </w:r>
          </w:p>
        </w:tc>
        <w:tc>
          <w:tcPr>
            <w:tcW w:w="511" w:type="pct"/>
            <w:tcBorders>
              <w:top w:val="single" w:sz="4" w:space="0" w:color="auto"/>
              <w:left w:val="single" w:sz="4" w:space="0" w:color="auto"/>
              <w:bottom w:val="single" w:sz="4" w:space="0" w:color="auto"/>
              <w:right w:val="single" w:sz="4" w:space="0" w:color="auto"/>
            </w:tcBorders>
            <w:vAlign w:val="center"/>
            <w:hideMark/>
          </w:tcPr>
          <w:p w14:paraId="0A108688" w14:textId="77777777" w:rsidR="00253815" w:rsidRPr="00541454" w:rsidRDefault="00253815">
            <w:pPr>
              <w:pStyle w:val="TableText0"/>
              <w:keepNext w:val="0"/>
              <w:spacing w:line="256" w:lineRule="auto"/>
              <w:jc w:val="center"/>
              <w:rPr>
                <w:kern w:val="2"/>
                <w:szCs w:val="20"/>
                <w:lang w:eastAsia="en-US"/>
                <w14:ligatures w14:val="standardContextual"/>
              </w:rPr>
            </w:pPr>
            <w:r w:rsidRPr="00541454">
              <w:rPr>
                <w:kern w:val="2"/>
                <w:szCs w:val="20"/>
                <w:lang w:eastAsia="en-US"/>
                <w14:ligatures w14:val="standardContextual"/>
              </w:rPr>
              <w:t>+38.2%</w:t>
            </w:r>
          </w:p>
        </w:tc>
      </w:tr>
      <w:tr w:rsidR="00CF1CA5" w:rsidRPr="00541454" w14:paraId="59AEAE20"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75CCAA58"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4a.</w:t>
            </w:r>
          </w:p>
        </w:tc>
        <w:tc>
          <w:tcPr>
            <w:tcW w:w="4688" w:type="pct"/>
            <w:gridSpan w:val="5"/>
            <w:tcBorders>
              <w:top w:val="single" w:sz="4" w:space="0" w:color="auto"/>
              <w:left w:val="nil"/>
              <w:bottom w:val="single" w:sz="4" w:space="0" w:color="auto"/>
              <w:right w:val="single" w:sz="4" w:space="0" w:color="auto"/>
            </w:tcBorders>
            <w:vAlign w:val="center"/>
            <w:hideMark/>
          </w:tcPr>
          <w:p w14:paraId="47AFEDC0" w14:textId="77777777" w:rsidR="00253815" w:rsidRPr="00541454" w:rsidRDefault="00253815">
            <w:pPr>
              <w:pStyle w:val="TableText0"/>
              <w:keepNext w:val="0"/>
              <w:spacing w:line="256" w:lineRule="auto"/>
              <w:rPr>
                <w:iCs/>
                <w:kern w:val="2"/>
                <w:szCs w:val="20"/>
                <w:lang w:eastAsia="en-US"/>
                <w14:ligatures w14:val="standardContextual"/>
              </w:rPr>
            </w:pPr>
            <w:r w:rsidRPr="00541454">
              <w:rPr>
                <w:b/>
                <w:iCs/>
                <w:kern w:val="2"/>
                <w:szCs w:val="20"/>
                <w:lang w:eastAsia="en-US"/>
                <w14:ligatures w14:val="standardContextual"/>
              </w:rPr>
              <w:t>Cardiovascular (CV) hospitalisation rates (base case: NYHA II, 0.38 and NYHA III/IV, 1.00)</w:t>
            </w:r>
          </w:p>
        </w:tc>
      </w:tr>
      <w:tr w:rsidR="004E18A3" w:rsidRPr="00541454" w14:paraId="6F43A23E"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255DC5E0"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4ai.</w:t>
            </w:r>
          </w:p>
        </w:tc>
        <w:tc>
          <w:tcPr>
            <w:tcW w:w="2662" w:type="pct"/>
            <w:tcBorders>
              <w:top w:val="single" w:sz="4" w:space="0" w:color="auto"/>
              <w:left w:val="nil"/>
              <w:bottom w:val="single" w:sz="4" w:space="0" w:color="auto"/>
              <w:right w:val="single" w:sz="4" w:space="0" w:color="auto"/>
            </w:tcBorders>
            <w:vAlign w:val="center"/>
            <w:hideMark/>
          </w:tcPr>
          <w:p w14:paraId="197CDA80" w14:textId="77777777" w:rsidR="00253815" w:rsidRPr="00541454" w:rsidRDefault="00253815">
            <w:pPr>
              <w:pStyle w:val="TableText0"/>
              <w:keepNext w:val="0"/>
              <w:spacing w:line="256" w:lineRule="auto"/>
              <w:ind w:left="164"/>
              <w:rPr>
                <w:iCs/>
                <w:color w:val="000000"/>
                <w:kern w:val="2"/>
                <w:szCs w:val="20"/>
                <w:lang w:eastAsia="en-US"/>
                <w14:ligatures w14:val="standardContextual"/>
              </w:rPr>
            </w:pPr>
            <w:r w:rsidRPr="00541454">
              <w:rPr>
                <w:iCs/>
                <w:color w:val="000000"/>
                <w:kern w:val="2"/>
                <w:szCs w:val="20"/>
                <w:lang w:eastAsia="en-US"/>
                <w14:ligatures w14:val="standardContextual"/>
              </w:rPr>
              <w:t>Reduced to zero for</w:t>
            </w:r>
            <w:r w:rsidRPr="00541454">
              <w:rPr>
                <w:iCs/>
                <w:color w:val="000000"/>
                <w:kern w:val="2"/>
                <w:szCs w:val="20"/>
                <w:lang w:eastAsia="en-US"/>
                <w14:ligatures w14:val="standardContextual"/>
              </w:rPr>
              <w:br/>
              <w:t>NYHA II (i.e. 0.38 →0.</w:t>
            </w:r>
            <w:proofErr w:type="gramStart"/>
            <w:r w:rsidRPr="00541454">
              <w:rPr>
                <w:iCs/>
                <w:color w:val="000000"/>
                <w:kern w:val="2"/>
                <w:szCs w:val="20"/>
                <w:lang w:eastAsia="en-US"/>
                <w14:ligatures w14:val="standardContextual"/>
              </w:rPr>
              <w:t>00)</w:t>
            </w:r>
            <w:r w:rsidRPr="00541454">
              <w:rPr>
                <w:iCs/>
                <w:color w:val="000000"/>
                <w:kern w:val="2"/>
                <w:szCs w:val="20"/>
                <w:vertAlign w:val="superscript"/>
                <w:lang w:eastAsia="en-US"/>
                <w14:ligatures w14:val="standardContextual"/>
              </w:rPr>
              <w:t>a</w:t>
            </w:r>
            <w:proofErr w:type="gramEnd"/>
            <w:r w:rsidRPr="00541454">
              <w:rPr>
                <w:iCs/>
                <w:color w:val="000000"/>
                <w:kern w:val="2"/>
                <w:szCs w:val="20"/>
                <w:lang w:eastAsia="en-US"/>
                <w14:ligatures w14:val="standardContextual"/>
              </w:rPr>
              <w:t xml:space="preserve"> and </w:t>
            </w:r>
            <w:r w:rsidRPr="00541454">
              <w:rPr>
                <w:iCs/>
                <w:color w:val="000000"/>
                <w:kern w:val="2"/>
                <w:szCs w:val="20"/>
                <w:lang w:eastAsia="en-US"/>
                <w14:ligatures w14:val="standardContextual"/>
              </w:rPr>
              <w:br/>
              <w:t>NYHA III/IV patients (i.e. 1.00 →0.00)</w:t>
            </w:r>
            <w:r w:rsidRPr="00541454">
              <w:rPr>
                <w:iCs/>
                <w:color w:val="000000"/>
                <w:kern w:val="2"/>
                <w:szCs w:val="20"/>
                <w:vertAlign w:val="superscript"/>
                <w:lang w:eastAsia="en-US"/>
                <w14:ligatures w14:val="standardContextual"/>
              </w:rPr>
              <w:t>a</w:t>
            </w:r>
          </w:p>
        </w:tc>
        <w:tc>
          <w:tcPr>
            <w:tcW w:w="505" w:type="pct"/>
            <w:tcBorders>
              <w:top w:val="single" w:sz="4" w:space="0" w:color="auto"/>
              <w:left w:val="single" w:sz="4" w:space="0" w:color="auto"/>
              <w:bottom w:val="single" w:sz="4" w:space="0" w:color="auto"/>
              <w:right w:val="single" w:sz="4" w:space="0" w:color="auto"/>
            </w:tcBorders>
            <w:vAlign w:val="center"/>
            <w:hideMark/>
          </w:tcPr>
          <w:p w14:paraId="65D715D9" w14:textId="7E175DD8" w:rsidR="00253815" w:rsidRPr="00585419" w:rsidRDefault="00B63528">
            <w:pPr>
              <w:pStyle w:val="TableText0"/>
              <w:keepNext w:val="0"/>
              <w:spacing w:line="256" w:lineRule="auto"/>
              <w:jc w:val="center"/>
              <w:rPr>
                <w:iCs/>
                <w:kern w:val="2"/>
                <w:szCs w:val="20"/>
                <w:highlight w:val="darkGray"/>
                <w:lang w:eastAsia="en-US"/>
                <w14:ligatures w14:val="standardContextual"/>
              </w:rPr>
            </w:pPr>
            <w:r w:rsidRPr="00B63528">
              <w:rPr>
                <w:iCs/>
                <w:kern w:val="2"/>
                <w:szCs w:val="20"/>
                <w:lang w:eastAsia="en-US"/>
                <w14:ligatures w14:val="standardContextual"/>
              </w:rPr>
              <w:t>$</w:t>
            </w:r>
            <w:r w:rsidR="00F5190C" w:rsidRPr="00F5190C">
              <w:rPr>
                <w:iCs/>
                <w:color w:val="000000"/>
                <w:spacing w:val="52"/>
                <w:szCs w:val="20"/>
                <w:shd w:val="solid" w:color="000000" w:fill="000000"/>
                <w:fitText w:val="233" w:id="-1167926774"/>
                <w:lang w:eastAsia="en-US"/>
                <w14:textFill>
                  <w14:solidFill>
                    <w14:srgbClr w14:val="000000">
                      <w14:alpha w14:val="100000"/>
                    </w14:srgbClr>
                  </w14:solidFill>
                </w14:textFill>
                <w14:ligatures w14:val="standardContextual"/>
              </w:rPr>
              <w:t>||</w:t>
            </w:r>
            <w:r w:rsidR="00F5190C" w:rsidRPr="00F5190C">
              <w:rPr>
                <w:iCs/>
                <w:color w:val="000000"/>
                <w:spacing w:val="2"/>
                <w:szCs w:val="20"/>
                <w:shd w:val="solid" w:color="000000" w:fill="000000"/>
                <w:fitText w:val="233" w:id="-1167926774"/>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076E0C43"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0.72</w:t>
            </w:r>
          </w:p>
        </w:tc>
        <w:tc>
          <w:tcPr>
            <w:tcW w:w="505" w:type="pct"/>
            <w:tcBorders>
              <w:top w:val="single" w:sz="4" w:space="0" w:color="auto"/>
              <w:left w:val="single" w:sz="4" w:space="0" w:color="auto"/>
              <w:bottom w:val="single" w:sz="4" w:space="0" w:color="auto"/>
              <w:right w:val="single" w:sz="4" w:space="0" w:color="auto"/>
            </w:tcBorders>
            <w:vAlign w:val="center"/>
            <w:hideMark/>
          </w:tcPr>
          <w:p w14:paraId="23D9256E" w14:textId="5D3305CF" w:rsidR="00253815" w:rsidRPr="00585419" w:rsidRDefault="00B63528">
            <w:pPr>
              <w:pStyle w:val="TableText0"/>
              <w:keepNext w:val="0"/>
              <w:spacing w:line="256" w:lineRule="auto"/>
              <w:jc w:val="center"/>
              <w:rPr>
                <w:iCs/>
                <w:kern w:val="2"/>
                <w:szCs w:val="20"/>
                <w:highlight w:val="darkGray"/>
                <w:lang w:eastAsia="en-US"/>
                <w14:ligatures w14:val="standardContextual"/>
              </w:rPr>
            </w:pPr>
            <w:r w:rsidRPr="00B63528">
              <w:rPr>
                <w:iCs/>
                <w:kern w:val="2"/>
                <w:szCs w:val="20"/>
                <w:lang w:eastAsia="en-US"/>
                <w14:ligatures w14:val="standardContextual"/>
              </w:rPr>
              <w:t>$</w:t>
            </w:r>
            <w:r w:rsidR="00F5190C" w:rsidRPr="00F5190C">
              <w:rPr>
                <w:iCs/>
                <w:color w:val="000000"/>
                <w:spacing w:val="191"/>
                <w:szCs w:val="20"/>
                <w:shd w:val="solid" w:color="000000" w:fill="000000"/>
                <w:fitText w:val="277" w:id="-1167926773"/>
                <w:lang w:eastAsia="en-US"/>
                <w14:textFill>
                  <w14:solidFill>
                    <w14:srgbClr w14:val="000000">
                      <w14:alpha w14:val="100000"/>
                    </w14:srgbClr>
                  </w14:solidFill>
                </w14:textFill>
                <w14:ligatures w14:val="standardContextual"/>
              </w:rPr>
              <w:t>|</w:t>
            </w:r>
            <w:r w:rsidR="00F5190C" w:rsidRPr="00F5190C">
              <w:rPr>
                <w:iCs/>
                <w:color w:val="000000"/>
                <w:spacing w:val="1"/>
                <w:szCs w:val="20"/>
                <w:shd w:val="solid" w:color="000000" w:fill="000000"/>
                <w:fitText w:val="277" w:id="-1167926773"/>
                <w:lang w:eastAsia="en-US"/>
                <w14:textFill>
                  <w14:solidFill>
                    <w14:srgbClr w14:val="000000">
                      <w14:alpha w14:val="100000"/>
                    </w14:srgbClr>
                  </w14:solidFill>
                </w14:textFill>
                <w14:ligatures w14:val="standardContextual"/>
              </w:rPr>
              <w:t>|</w:t>
            </w:r>
            <w:r w:rsidR="00585419">
              <w:rPr>
                <w:vertAlign w:val="superscript"/>
              </w:rPr>
              <w:t>3</w:t>
            </w:r>
          </w:p>
        </w:tc>
        <w:tc>
          <w:tcPr>
            <w:tcW w:w="511" w:type="pct"/>
            <w:tcBorders>
              <w:top w:val="single" w:sz="4" w:space="0" w:color="auto"/>
              <w:left w:val="single" w:sz="4" w:space="0" w:color="auto"/>
              <w:bottom w:val="single" w:sz="4" w:space="0" w:color="auto"/>
              <w:right w:val="single" w:sz="4" w:space="0" w:color="auto"/>
            </w:tcBorders>
            <w:vAlign w:val="center"/>
            <w:hideMark/>
          </w:tcPr>
          <w:p w14:paraId="5C7DC48D"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+80.3%</w:t>
            </w:r>
          </w:p>
        </w:tc>
      </w:tr>
      <w:tr w:rsidR="004E18A3" w:rsidRPr="00541454" w14:paraId="2B374DCE"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380D941D"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4aii.</w:t>
            </w:r>
          </w:p>
        </w:tc>
        <w:tc>
          <w:tcPr>
            <w:tcW w:w="2662" w:type="pct"/>
            <w:tcBorders>
              <w:top w:val="single" w:sz="4" w:space="0" w:color="auto"/>
              <w:left w:val="nil"/>
              <w:bottom w:val="single" w:sz="4" w:space="0" w:color="auto"/>
              <w:right w:val="single" w:sz="4" w:space="0" w:color="auto"/>
            </w:tcBorders>
            <w:vAlign w:val="center"/>
            <w:hideMark/>
          </w:tcPr>
          <w:p w14:paraId="7BF7DF85" w14:textId="77777777" w:rsidR="00253815" w:rsidRPr="00541454" w:rsidRDefault="00253815">
            <w:pPr>
              <w:pStyle w:val="TableText0"/>
              <w:keepNext w:val="0"/>
              <w:spacing w:line="256" w:lineRule="auto"/>
              <w:ind w:left="164"/>
              <w:rPr>
                <w:color w:val="000000"/>
                <w:kern w:val="2"/>
                <w:szCs w:val="20"/>
                <w:lang w:eastAsia="en-US"/>
                <w14:ligatures w14:val="standardContextual"/>
              </w:rPr>
            </w:pPr>
            <w:r w:rsidRPr="00541454">
              <w:rPr>
                <w:color w:val="000000"/>
                <w:kern w:val="2"/>
                <w:szCs w:val="20"/>
                <w:lang w:eastAsia="en-US"/>
                <w14:ligatures w14:val="standardContextual"/>
              </w:rPr>
              <w:t>Reduced by half for</w:t>
            </w:r>
            <w:r w:rsidRPr="00541454">
              <w:rPr>
                <w:color w:val="000000"/>
                <w:kern w:val="2"/>
                <w:szCs w:val="20"/>
                <w:lang w:eastAsia="en-US"/>
                <w14:ligatures w14:val="standardContextual"/>
              </w:rPr>
              <w:br/>
              <w:t>NYHA II (i.e. 0.38 →0.</w:t>
            </w:r>
            <w:proofErr w:type="gramStart"/>
            <w:r w:rsidRPr="00541454">
              <w:rPr>
                <w:color w:val="000000"/>
                <w:kern w:val="2"/>
                <w:szCs w:val="20"/>
                <w:lang w:eastAsia="en-US"/>
                <w14:ligatures w14:val="standardContextual"/>
              </w:rPr>
              <w:t>19)</w:t>
            </w:r>
            <w:r w:rsidRPr="00541454">
              <w:rPr>
                <w:color w:val="000000"/>
                <w:kern w:val="2"/>
                <w:szCs w:val="20"/>
                <w:vertAlign w:val="superscript"/>
                <w:lang w:eastAsia="en-US"/>
                <w14:ligatures w14:val="standardContextual"/>
              </w:rPr>
              <w:t>a</w:t>
            </w:r>
            <w:proofErr w:type="gramEnd"/>
            <w:r w:rsidRPr="00541454">
              <w:rPr>
                <w:color w:val="000000"/>
                <w:kern w:val="2"/>
                <w:szCs w:val="20"/>
                <w:lang w:eastAsia="en-US"/>
                <w14:ligatures w14:val="standardContextual"/>
              </w:rPr>
              <w:t xml:space="preserve"> and </w:t>
            </w:r>
            <w:r w:rsidRPr="00541454">
              <w:rPr>
                <w:color w:val="000000"/>
                <w:kern w:val="2"/>
                <w:szCs w:val="20"/>
                <w:lang w:eastAsia="en-US"/>
                <w14:ligatures w14:val="standardContextual"/>
              </w:rPr>
              <w:br/>
              <w:t>NYHA III/IV patients (i.e. 1.00 →0.50)</w:t>
            </w:r>
            <w:r w:rsidRPr="00541454">
              <w:rPr>
                <w:color w:val="000000"/>
                <w:kern w:val="2"/>
                <w:szCs w:val="20"/>
                <w:vertAlign w:val="superscript"/>
                <w:lang w:eastAsia="en-US"/>
                <w14:ligatures w14:val="standardContextual"/>
              </w:rPr>
              <w:t>a</w:t>
            </w:r>
          </w:p>
        </w:tc>
        <w:tc>
          <w:tcPr>
            <w:tcW w:w="505" w:type="pct"/>
            <w:tcBorders>
              <w:top w:val="single" w:sz="4" w:space="0" w:color="auto"/>
              <w:left w:val="single" w:sz="4" w:space="0" w:color="auto"/>
              <w:bottom w:val="single" w:sz="4" w:space="0" w:color="auto"/>
              <w:right w:val="single" w:sz="4" w:space="0" w:color="auto"/>
            </w:tcBorders>
            <w:vAlign w:val="center"/>
            <w:hideMark/>
          </w:tcPr>
          <w:p w14:paraId="6F46D9FD" w14:textId="4C790567" w:rsidR="00253815" w:rsidRPr="00585419" w:rsidRDefault="00B63528">
            <w:pPr>
              <w:pStyle w:val="TableText0"/>
              <w:keepNext w:val="0"/>
              <w:spacing w:line="256" w:lineRule="auto"/>
              <w:jc w:val="center"/>
              <w:rPr>
                <w:iCs/>
                <w:kern w:val="2"/>
                <w:szCs w:val="20"/>
                <w:highlight w:val="darkGray"/>
                <w:lang w:eastAsia="en-US"/>
                <w14:ligatures w14:val="standardContextual"/>
              </w:rPr>
            </w:pPr>
            <w:r w:rsidRPr="00B63528">
              <w:rPr>
                <w:iCs/>
                <w:kern w:val="2"/>
                <w:szCs w:val="20"/>
                <w:lang w:eastAsia="en-US"/>
                <w14:ligatures w14:val="standardContextual"/>
              </w:rPr>
              <w:t>$</w:t>
            </w:r>
            <w:r w:rsidR="00F5190C" w:rsidRPr="00F5190C">
              <w:rPr>
                <w:iCs/>
                <w:color w:val="000000"/>
                <w:spacing w:val="52"/>
                <w:szCs w:val="20"/>
                <w:shd w:val="solid" w:color="000000" w:fill="000000"/>
                <w:fitText w:val="233" w:id="-1167926772"/>
                <w:lang w:eastAsia="en-US"/>
                <w14:textFill>
                  <w14:solidFill>
                    <w14:srgbClr w14:val="000000">
                      <w14:alpha w14:val="100000"/>
                    </w14:srgbClr>
                  </w14:solidFill>
                </w14:textFill>
                <w14:ligatures w14:val="standardContextual"/>
              </w:rPr>
              <w:t>||</w:t>
            </w:r>
            <w:r w:rsidR="00F5190C" w:rsidRPr="00F5190C">
              <w:rPr>
                <w:iCs/>
                <w:color w:val="000000"/>
                <w:spacing w:val="2"/>
                <w:szCs w:val="20"/>
                <w:shd w:val="solid" w:color="000000" w:fill="000000"/>
                <w:fitText w:val="233" w:id="-1167926772"/>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0C25B5AD"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0.72</w:t>
            </w:r>
          </w:p>
        </w:tc>
        <w:tc>
          <w:tcPr>
            <w:tcW w:w="505" w:type="pct"/>
            <w:tcBorders>
              <w:top w:val="single" w:sz="4" w:space="0" w:color="auto"/>
              <w:left w:val="single" w:sz="4" w:space="0" w:color="auto"/>
              <w:bottom w:val="single" w:sz="4" w:space="0" w:color="auto"/>
              <w:right w:val="single" w:sz="4" w:space="0" w:color="auto"/>
            </w:tcBorders>
            <w:vAlign w:val="center"/>
            <w:hideMark/>
          </w:tcPr>
          <w:p w14:paraId="1DB75D94" w14:textId="252529F9" w:rsidR="00253815" w:rsidRPr="00585419" w:rsidRDefault="00B63528">
            <w:pPr>
              <w:pStyle w:val="TableText0"/>
              <w:keepNext w:val="0"/>
              <w:spacing w:line="256" w:lineRule="auto"/>
              <w:jc w:val="center"/>
              <w:rPr>
                <w:iCs/>
                <w:kern w:val="2"/>
                <w:szCs w:val="20"/>
                <w:highlight w:val="darkGray"/>
                <w:lang w:eastAsia="en-US"/>
                <w14:ligatures w14:val="standardContextual"/>
              </w:rPr>
            </w:pPr>
            <w:r w:rsidRPr="00B63528">
              <w:rPr>
                <w:iCs/>
                <w:kern w:val="2"/>
                <w:szCs w:val="20"/>
                <w:lang w:eastAsia="en-US"/>
                <w14:ligatures w14:val="standardContextual"/>
              </w:rPr>
              <w:t>$</w:t>
            </w:r>
            <w:r w:rsidR="00F5190C" w:rsidRPr="00F5190C">
              <w:rPr>
                <w:iCs/>
                <w:color w:val="000000"/>
                <w:spacing w:val="191"/>
                <w:szCs w:val="20"/>
                <w:shd w:val="solid" w:color="000000" w:fill="000000"/>
                <w:fitText w:val="277" w:id="-1167926771"/>
                <w:lang w:eastAsia="en-US"/>
                <w14:textFill>
                  <w14:solidFill>
                    <w14:srgbClr w14:val="000000">
                      <w14:alpha w14:val="100000"/>
                    </w14:srgbClr>
                  </w14:solidFill>
                </w14:textFill>
                <w14:ligatures w14:val="standardContextual"/>
              </w:rPr>
              <w:t>|</w:t>
            </w:r>
            <w:r w:rsidR="00F5190C" w:rsidRPr="00F5190C">
              <w:rPr>
                <w:iCs/>
                <w:color w:val="000000"/>
                <w:spacing w:val="1"/>
                <w:szCs w:val="20"/>
                <w:shd w:val="solid" w:color="000000" w:fill="000000"/>
                <w:fitText w:val="277" w:id="-1167926771"/>
                <w:lang w:eastAsia="en-US"/>
                <w14:textFill>
                  <w14:solidFill>
                    <w14:srgbClr w14:val="000000">
                      <w14:alpha w14:val="100000"/>
                    </w14:srgbClr>
                  </w14:solidFill>
                </w14:textFill>
                <w14:ligatures w14:val="standardContextual"/>
              </w:rPr>
              <w:t>|</w:t>
            </w:r>
            <w:r w:rsidR="00452CCD">
              <w:rPr>
                <w:vertAlign w:val="superscript"/>
              </w:rPr>
              <w:t>2</w:t>
            </w:r>
          </w:p>
        </w:tc>
        <w:tc>
          <w:tcPr>
            <w:tcW w:w="511" w:type="pct"/>
            <w:tcBorders>
              <w:top w:val="single" w:sz="4" w:space="0" w:color="auto"/>
              <w:left w:val="single" w:sz="4" w:space="0" w:color="auto"/>
              <w:bottom w:val="single" w:sz="4" w:space="0" w:color="auto"/>
              <w:right w:val="single" w:sz="4" w:space="0" w:color="auto"/>
            </w:tcBorders>
            <w:vAlign w:val="center"/>
            <w:hideMark/>
          </w:tcPr>
          <w:p w14:paraId="1E8DC54B"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+40.2</w:t>
            </w:r>
          </w:p>
        </w:tc>
      </w:tr>
      <w:tr w:rsidR="00CF1CA5" w:rsidRPr="00541454" w14:paraId="11ADB65E"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254C5016"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4b.</w:t>
            </w:r>
          </w:p>
        </w:tc>
        <w:tc>
          <w:tcPr>
            <w:tcW w:w="4688" w:type="pct"/>
            <w:gridSpan w:val="5"/>
            <w:tcBorders>
              <w:top w:val="single" w:sz="4" w:space="0" w:color="auto"/>
              <w:left w:val="nil"/>
              <w:bottom w:val="single" w:sz="4" w:space="0" w:color="auto"/>
              <w:right w:val="single" w:sz="4" w:space="0" w:color="auto"/>
            </w:tcBorders>
            <w:vAlign w:val="center"/>
            <w:hideMark/>
          </w:tcPr>
          <w:p w14:paraId="7BA91802" w14:textId="77777777" w:rsidR="00253815" w:rsidRPr="00541454" w:rsidRDefault="00253815">
            <w:pPr>
              <w:pStyle w:val="TableText0"/>
              <w:keepNext w:val="0"/>
              <w:spacing w:line="256" w:lineRule="auto"/>
              <w:rPr>
                <w:kern w:val="2"/>
                <w:szCs w:val="20"/>
                <w:lang w:eastAsia="en-US"/>
                <w14:ligatures w14:val="standardContextual"/>
              </w:rPr>
            </w:pPr>
            <w:r w:rsidRPr="00541454">
              <w:rPr>
                <w:b/>
                <w:color w:val="000000"/>
                <w:kern w:val="2"/>
                <w:szCs w:val="20"/>
                <w:lang w:eastAsia="en-US"/>
                <w14:ligatures w14:val="standardContextual"/>
              </w:rPr>
              <w:t xml:space="preserve">Cost of hospitalisation associated with SRT (base case: $55,895)  </w:t>
            </w:r>
          </w:p>
        </w:tc>
      </w:tr>
      <w:tr w:rsidR="004E18A3" w:rsidRPr="00541454" w14:paraId="4159B680"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3BE071A1"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4bi.</w:t>
            </w:r>
          </w:p>
        </w:tc>
        <w:tc>
          <w:tcPr>
            <w:tcW w:w="2662" w:type="pct"/>
            <w:tcBorders>
              <w:top w:val="single" w:sz="4" w:space="0" w:color="auto"/>
              <w:left w:val="nil"/>
              <w:bottom w:val="single" w:sz="4" w:space="0" w:color="auto"/>
              <w:right w:val="single" w:sz="4" w:space="0" w:color="auto"/>
            </w:tcBorders>
            <w:vAlign w:val="center"/>
            <w:hideMark/>
          </w:tcPr>
          <w:p w14:paraId="2C740010" w14:textId="77777777" w:rsidR="00253815" w:rsidRPr="00541454" w:rsidRDefault="00253815">
            <w:pPr>
              <w:pStyle w:val="TableText0"/>
              <w:keepNext w:val="0"/>
              <w:spacing w:line="256" w:lineRule="auto"/>
              <w:ind w:left="164"/>
              <w:rPr>
                <w:iCs/>
                <w:color w:val="000000"/>
                <w:kern w:val="2"/>
                <w:szCs w:val="20"/>
                <w:lang w:eastAsia="en-US"/>
                <w14:ligatures w14:val="standardContextual"/>
              </w:rPr>
            </w:pPr>
            <w:r w:rsidRPr="00541454">
              <w:rPr>
                <w:iCs/>
                <w:color w:val="000000"/>
                <w:kern w:val="2"/>
                <w:szCs w:val="20"/>
                <w:lang w:eastAsia="en-US"/>
                <w14:ligatures w14:val="standardContextual"/>
              </w:rPr>
              <w:t xml:space="preserve">Weighted unit cost reduced by 50% (i.e. $27,947 per SRT-associated hospital </w:t>
            </w:r>
            <w:proofErr w:type="gramStart"/>
            <w:r w:rsidRPr="00541454">
              <w:rPr>
                <w:iCs/>
                <w:color w:val="000000"/>
                <w:kern w:val="2"/>
                <w:szCs w:val="20"/>
                <w:lang w:eastAsia="en-US"/>
                <w14:ligatures w14:val="standardContextual"/>
              </w:rPr>
              <w:t>admission)</w:t>
            </w:r>
            <w:r w:rsidRPr="00541454">
              <w:rPr>
                <w:iCs/>
                <w:color w:val="000000"/>
                <w:kern w:val="2"/>
                <w:szCs w:val="20"/>
                <w:vertAlign w:val="superscript"/>
                <w:lang w:eastAsia="en-US"/>
                <w14:ligatures w14:val="standardContextual"/>
              </w:rPr>
              <w:t>a</w:t>
            </w:r>
            <w:proofErr w:type="gramEnd"/>
          </w:p>
        </w:tc>
        <w:tc>
          <w:tcPr>
            <w:tcW w:w="505" w:type="pct"/>
            <w:tcBorders>
              <w:top w:val="single" w:sz="4" w:space="0" w:color="auto"/>
              <w:left w:val="single" w:sz="4" w:space="0" w:color="auto"/>
              <w:bottom w:val="single" w:sz="4" w:space="0" w:color="auto"/>
              <w:right w:val="single" w:sz="4" w:space="0" w:color="auto"/>
            </w:tcBorders>
            <w:vAlign w:val="center"/>
            <w:hideMark/>
          </w:tcPr>
          <w:p w14:paraId="79331FBB" w14:textId="65D51505" w:rsidR="00253815" w:rsidRPr="00585419" w:rsidRDefault="00B63528">
            <w:pPr>
              <w:pStyle w:val="TableText0"/>
              <w:keepNext w:val="0"/>
              <w:spacing w:line="256" w:lineRule="auto"/>
              <w:jc w:val="center"/>
              <w:rPr>
                <w:iCs/>
                <w:kern w:val="2"/>
                <w:szCs w:val="20"/>
                <w:highlight w:val="darkGray"/>
                <w:lang w:eastAsia="en-US"/>
                <w14:ligatures w14:val="standardContextual"/>
              </w:rPr>
            </w:pPr>
            <w:r w:rsidRPr="00B63528">
              <w:rPr>
                <w:iCs/>
                <w:kern w:val="2"/>
                <w:szCs w:val="20"/>
                <w:lang w:eastAsia="en-US"/>
                <w14:ligatures w14:val="standardContextual"/>
              </w:rPr>
              <w:t>$</w:t>
            </w:r>
            <w:r w:rsidR="00F5190C" w:rsidRPr="00F5190C">
              <w:rPr>
                <w:iCs/>
                <w:color w:val="000000"/>
                <w:spacing w:val="52"/>
                <w:szCs w:val="20"/>
                <w:shd w:val="solid" w:color="000000" w:fill="000000"/>
                <w:fitText w:val="233" w:id="-1167926528"/>
                <w:lang w:eastAsia="en-US"/>
                <w14:textFill>
                  <w14:solidFill>
                    <w14:srgbClr w14:val="000000">
                      <w14:alpha w14:val="100000"/>
                    </w14:srgbClr>
                  </w14:solidFill>
                </w14:textFill>
                <w14:ligatures w14:val="standardContextual"/>
              </w:rPr>
              <w:t>||</w:t>
            </w:r>
            <w:r w:rsidR="00F5190C" w:rsidRPr="00F5190C">
              <w:rPr>
                <w:iCs/>
                <w:color w:val="000000"/>
                <w:spacing w:val="2"/>
                <w:szCs w:val="20"/>
                <w:shd w:val="solid" w:color="000000" w:fill="000000"/>
                <w:fitText w:val="233" w:id="-1167926528"/>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3955326F"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0.72</w:t>
            </w:r>
          </w:p>
        </w:tc>
        <w:tc>
          <w:tcPr>
            <w:tcW w:w="505" w:type="pct"/>
            <w:tcBorders>
              <w:top w:val="single" w:sz="4" w:space="0" w:color="auto"/>
              <w:left w:val="single" w:sz="4" w:space="0" w:color="auto"/>
              <w:bottom w:val="single" w:sz="4" w:space="0" w:color="auto"/>
              <w:right w:val="single" w:sz="4" w:space="0" w:color="auto"/>
            </w:tcBorders>
            <w:vAlign w:val="center"/>
            <w:hideMark/>
          </w:tcPr>
          <w:p w14:paraId="147C9C93" w14:textId="120DFBC4" w:rsidR="00253815" w:rsidRPr="00585419" w:rsidRDefault="00B63528">
            <w:pPr>
              <w:pStyle w:val="TableText0"/>
              <w:keepNext w:val="0"/>
              <w:spacing w:line="256" w:lineRule="auto"/>
              <w:jc w:val="center"/>
              <w:rPr>
                <w:iCs/>
                <w:kern w:val="2"/>
                <w:szCs w:val="20"/>
                <w:highlight w:val="darkGray"/>
                <w:lang w:eastAsia="en-US"/>
                <w14:ligatures w14:val="standardContextual"/>
              </w:rPr>
            </w:pPr>
            <w:r w:rsidRPr="00B63528">
              <w:rPr>
                <w:iCs/>
                <w:kern w:val="2"/>
                <w:szCs w:val="20"/>
                <w:lang w:eastAsia="en-US"/>
                <w14:ligatures w14:val="standardContextual"/>
              </w:rPr>
              <w:t>$</w:t>
            </w:r>
            <w:r w:rsidR="00F5190C" w:rsidRPr="00F5190C">
              <w:rPr>
                <w:iCs/>
                <w:color w:val="000000"/>
                <w:spacing w:val="191"/>
                <w:szCs w:val="20"/>
                <w:shd w:val="solid" w:color="000000" w:fill="000000"/>
                <w:fitText w:val="277" w:id="-1167926527"/>
                <w:lang w:eastAsia="en-US"/>
                <w14:textFill>
                  <w14:solidFill>
                    <w14:srgbClr w14:val="000000">
                      <w14:alpha w14:val="100000"/>
                    </w14:srgbClr>
                  </w14:solidFill>
                </w14:textFill>
                <w14:ligatures w14:val="standardContextual"/>
              </w:rPr>
              <w:t>|</w:t>
            </w:r>
            <w:r w:rsidR="00F5190C" w:rsidRPr="00F5190C">
              <w:rPr>
                <w:iCs/>
                <w:color w:val="000000"/>
                <w:spacing w:val="1"/>
                <w:szCs w:val="20"/>
                <w:shd w:val="solid" w:color="000000" w:fill="000000"/>
                <w:fitText w:val="277" w:id="-1167926527"/>
                <w:lang w:eastAsia="en-US"/>
                <w14:textFill>
                  <w14:solidFill>
                    <w14:srgbClr w14:val="000000">
                      <w14:alpha w14:val="100000"/>
                    </w14:srgbClr>
                  </w14:solidFill>
                </w14:textFill>
                <w14:ligatures w14:val="standardContextual"/>
              </w:rPr>
              <w:t>|</w:t>
            </w:r>
            <w:r w:rsidR="00452CCD">
              <w:rPr>
                <w:vertAlign w:val="superscript"/>
              </w:rPr>
              <w:t>4</w:t>
            </w:r>
          </w:p>
        </w:tc>
        <w:tc>
          <w:tcPr>
            <w:tcW w:w="511" w:type="pct"/>
            <w:tcBorders>
              <w:top w:val="single" w:sz="4" w:space="0" w:color="auto"/>
              <w:left w:val="single" w:sz="4" w:space="0" w:color="auto"/>
              <w:bottom w:val="single" w:sz="4" w:space="0" w:color="auto"/>
              <w:right w:val="single" w:sz="4" w:space="0" w:color="auto"/>
            </w:tcBorders>
            <w:vAlign w:val="center"/>
            <w:hideMark/>
          </w:tcPr>
          <w:p w14:paraId="0B8F7B7D"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+20.3%</w:t>
            </w:r>
          </w:p>
        </w:tc>
      </w:tr>
      <w:tr w:rsidR="004E18A3" w:rsidRPr="00541454" w14:paraId="165A30C0"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64E33077" w14:textId="77777777" w:rsidR="00253815" w:rsidRPr="00541454" w:rsidRDefault="00253815">
            <w:pPr>
              <w:pStyle w:val="TableText0"/>
              <w:keepNext w:val="0"/>
              <w:spacing w:line="256" w:lineRule="auto"/>
              <w:ind w:left="-66"/>
              <w:jc w:val="center"/>
              <w:rPr>
                <w:color w:val="000000"/>
                <w:kern w:val="2"/>
                <w:szCs w:val="20"/>
                <w:lang w:eastAsia="en-US"/>
                <w14:ligatures w14:val="standardContextual"/>
              </w:rPr>
            </w:pPr>
            <w:r w:rsidRPr="00541454">
              <w:rPr>
                <w:color w:val="000000"/>
                <w:kern w:val="2"/>
                <w:szCs w:val="20"/>
                <w:lang w:eastAsia="en-US"/>
                <w14:ligatures w14:val="standardContextual"/>
              </w:rPr>
              <w:t>4bii.</w:t>
            </w:r>
          </w:p>
        </w:tc>
        <w:tc>
          <w:tcPr>
            <w:tcW w:w="2662" w:type="pct"/>
            <w:tcBorders>
              <w:top w:val="single" w:sz="4" w:space="0" w:color="auto"/>
              <w:left w:val="nil"/>
              <w:bottom w:val="single" w:sz="4" w:space="0" w:color="auto"/>
              <w:right w:val="single" w:sz="4" w:space="0" w:color="auto"/>
            </w:tcBorders>
            <w:vAlign w:val="center"/>
            <w:hideMark/>
          </w:tcPr>
          <w:p w14:paraId="7AC72DC1" w14:textId="77777777" w:rsidR="00253815" w:rsidRPr="00541454" w:rsidRDefault="00253815">
            <w:pPr>
              <w:pStyle w:val="TableText0"/>
              <w:keepNext w:val="0"/>
              <w:spacing w:line="256" w:lineRule="auto"/>
              <w:ind w:left="164"/>
              <w:rPr>
                <w:color w:val="000000"/>
                <w:kern w:val="2"/>
                <w:szCs w:val="20"/>
                <w:lang w:eastAsia="en-US"/>
                <w14:ligatures w14:val="standardContextual"/>
              </w:rPr>
            </w:pPr>
            <w:r w:rsidRPr="00541454">
              <w:rPr>
                <w:color w:val="000000"/>
                <w:kern w:val="2"/>
                <w:szCs w:val="20"/>
                <w:lang w:eastAsia="en-US"/>
                <w14:ligatures w14:val="standardContextual"/>
              </w:rPr>
              <w:t>Assuming market share of septal ablation therapy is 100% (i.e., myectomy, 0%, cost of septal ablation therapy $37,106.20)</w:t>
            </w:r>
          </w:p>
        </w:tc>
        <w:tc>
          <w:tcPr>
            <w:tcW w:w="505" w:type="pct"/>
            <w:tcBorders>
              <w:top w:val="single" w:sz="4" w:space="0" w:color="auto"/>
              <w:left w:val="single" w:sz="4" w:space="0" w:color="auto"/>
              <w:bottom w:val="single" w:sz="4" w:space="0" w:color="auto"/>
              <w:right w:val="single" w:sz="4" w:space="0" w:color="auto"/>
            </w:tcBorders>
            <w:vAlign w:val="center"/>
            <w:hideMark/>
          </w:tcPr>
          <w:p w14:paraId="46332DDD" w14:textId="60DC1109" w:rsidR="00253815" w:rsidRPr="00585419" w:rsidRDefault="00B63528">
            <w:pPr>
              <w:pStyle w:val="TableText0"/>
              <w:keepNext w:val="0"/>
              <w:spacing w:line="256" w:lineRule="auto"/>
              <w:jc w:val="center"/>
              <w:rPr>
                <w:kern w:val="2"/>
                <w:szCs w:val="20"/>
                <w:highlight w:val="darkGray"/>
                <w:lang w:eastAsia="en-US"/>
                <w14:ligatures w14:val="standardContextual"/>
              </w:rPr>
            </w:pPr>
            <w:r w:rsidRPr="00B63528">
              <w:rPr>
                <w:kern w:val="2"/>
                <w:szCs w:val="20"/>
                <w:lang w:eastAsia="en-US"/>
                <w14:ligatures w14:val="standardContextual"/>
              </w:rPr>
              <w:t>$</w:t>
            </w:r>
            <w:r w:rsidR="00F5190C" w:rsidRPr="00F5190C">
              <w:rPr>
                <w:color w:val="000000"/>
                <w:spacing w:val="52"/>
                <w:szCs w:val="20"/>
                <w:shd w:val="solid" w:color="000000" w:fill="000000"/>
                <w:fitText w:val="233" w:id="-1167926526"/>
                <w:lang w:eastAsia="en-US"/>
                <w14:textFill>
                  <w14:solidFill>
                    <w14:srgbClr w14:val="000000">
                      <w14:alpha w14:val="100000"/>
                    </w14:srgbClr>
                  </w14:solidFill>
                </w14:textFill>
                <w14:ligatures w14:val="standardContextual"/>
              </w:rPr>
              <w:t>||</w:t>
            </w:r>
            <w:r w:rsidR="00F5190C" w:rsidRPr="00F5190C">
              <w:rPr>
                <w:color w:val="000000"/>
                <w:spacing w:val="2"/>
                <w:szCs w:val="20"/>
                <w:shd w:val="solid" w:color="000000" w:fill="000000"/>
                <w:fitText w:val="233" w:id="-1167926526"/>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34734EBA" w14:textId="77777777" w:rsidR="00253815" w:rsidRPr="00541454" w:rsidRDefault="00253815">
            <w:pPr>
              <w:pStyle w:val="TableText0"/>
              <w:keepNext w:val="0"/>
              <w:spacing w:line="256" w:lineRule="auto"/>
              <w:jc w:val="center"/>
              <w:rPr>
                <w:kern w:val="2"/>
                <w:szCs w:val="20"/>
                <w:lang w:eastAsia="en-US"/>
                <w14:ligatures w14:val="standardContextual"/>
              </w:rPr>
            </w:pPr>
            <w:r w:rsidRPr="00541454">
              <w:rPr>
                <w:kern w:val="2"/>
                <w:szCs w:val="20"/>
                <w:lang w:eastAsia="en-US"/>
                <w14:ligatures w14:val="standardContextual"/>
              </w:rPr>
              <w:t>0.72</w:t>
            </w:r>
          </w:p>
        </w:tc>
        <w:tc>
          <w:tcPr>
            <w:tcW w:w="505" w:type="pct"/>
            <w:tcBorders>
              <w:top w:val="single" w:sz="4" w:space="0" w:color="auto"/>
              <w:left w:val="single" w:sz="4" w:space="0" w:color="auto"/>
              <w:bottom w:val="single" w:sz="4" w:space="0" w:color="auto"/>
              <w:right w:val="single" w:sz="4" w:space="0" w:color="auto"/>
            </w:tcBorders>
            <w:vAlign w:val="center"/>
            <w:hideMark/>
          </w:tcPr>
          <w:p w14:paraId="46A00E6F" w14:textId="7DE0F8A5" w:rsidR="00253815" w:rsidRPr="00585419" w:rsidRDefault="00B63528">
            <w:pPr>
              <w:pStyle w:val="TableText0"/>
              <w:keepNext w:val="0"/>
              <w:spacing w:line="256" w:lineRule="auto"/>
              <w:jc w:val="center"/>
              <w:rPr>
                <w:kern w:val="2"/>
                <w:szCs w:val="20"/>
                <w:highlight w:val="darkGray"/>
                <w:lang w:eastAsia="en-US"/>
                <w14:ligatures w14:val="standardContextual"/>
              </w:rPr>
            </w:pPr>
            <w:r w:rsidRPr="00B63528">
              <w:rPr>
                <w:kern w:val="2"/>
                <w:szCs w:val="20"/>
                <w:lang w:eastAsia="en-US"/>
                <w14:ligatures w14:val="standardContextual"/>
              </w:rPr>
              <w:t>$</w:t>
            </w:r>
            <w:r w:rsidR="00F5190C" w:rsidRPr="00F5190C">
              <w:rPr>
                <w:color w:val="000000"/>
                <w:spacing w:val="191"/>
                <w:szCs w:val="20"/>
                <w:shd w:val="solid" w:color="000000" w:fill="000000"/>
                <w:fitText w:val="277" w:id="-1167926525"/>
                <w:lang w:eastAsia="en-US"/>
                <w14:textFill>
                  <w14:solidFill>
                    <w14:srgbClr w14:val="000000">
                      <w14:alpha w14:val="100000"/>
                    </w14:srgbClr>
                  </w14:solidFill>
                </w14:textFill>
                <w14:ligatures w14:val="standardContextual"/>
              </w:rPr>
              <w:t>|</w:t>
            </w:r>
            <w:r w:rsidR="00F5190C" w:rsidRPr="00F5190C">
              <w:rPr>
                <w:color w:val="000000"/>
                <w:spacing w:val="1"/>
                <w:szCs w:val="20"/>
                <w:shd w:val="solid" w:color="000000" w:fill="000000"/>
                <w:fitText w:val="277" w:id="-1167926525"/>
                <w:lang w:eastAsia="en-US"/>
                <w14:textFill>
                  <w14:solidFill>
                    <w14:srgbClr w14:val="000000">
                      <w14:alpha w14:val="100000"/>
                    </w14:srgbClr>
                  </w14:solidFill>
                </w14:textFill>
                <w14:ligatures w14:val="standardContextual"/>
              </w:rPr>
              <w:t>|</w:t>
            </w:r>
            <w:r w:rsidR="00452CCD">
              <w:rPr>
                <w:vertAlign w:val="superscript"/>
              </w:rPr>
              <w:t>4</w:t>
            </w:r>
          </w:p>
        </w:tc>
        <w:tc>
          <w:tcPr>
            <w:tcW w:w="511" w:type="pct"/>
            <w:tcBorders>
              <w:top w:val="single" w:sz="4" w:space="0" w:color="auto"/>
              <w:left w:val="single" w:sz="4" w:space="0" w:color="auto"/>
              <w:bottom w:val="single" w:sz="4" w:space="0" w:color="auto"/>
              <w:right w:val="single" w:sz="4" w:space="0" w:color="auto"/>
            </w:tcBorders>
            <w:vAlign w:val="center"/>
            <w:hideMark/>
          </w:tcPr>
          <w:p w14:paraId="0556A280" w14:textId="77777777" w:rsidR="00253815" w:rsidRPr="00541454" w:rsidRDefault="00253815">
            <w:pPr>
              <w:pStyle w:val="TableText0"/>
              <w:keepNext w:val="0"/>
              <w:spacing w:line="256" w:lineRule="auto"/>
              <w:jc w:val="center"/>
              <w:rPr>
                <w:kern w:val="2"/>
                <w:szCs w:val="20"/>
                <w:lang w:eastAsia="en-US"/>
                <w14:ligatures w14:val="standardContextual"/>
              </w:rPr>
            </w:pPr>
            <w:r w:rsidRPr="00541454">
              <w:rPr>
                <w:kern w:val="2"/>
                <w:szCs w:val="20"/>
                <w:lang w:eastAsia="en-US"/>
                <w14:ligatures w14:val="standardContextual"/>
              </w:rPr>
              <w:t>+13.9%</w:t>
            </w:r>
          </w:p>
        </w:tc>
      </w:tr>
      <w:tr w:rsidR="00CF1CA5" w:rsidRPr="00541454" w14:paraId="27CA123C"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38027E04" w14:textId="77777777" w:rsidR="00253815" w:rsidRPr="00541454" w:rsidRDefault="00253815">
            <w:pPr>
              <w:pStyle w:val="TableText0"/>
              <w:keepNext w:val="0"/>
              <w:spacing w:line="256" w:lineRule="auto"/>
              <w:ind w:left="-66"/>
              <w:jc w:val="center"/>
              <w:rPr>
                <w:b/>
                <w:iCs/>
                <w:color w:val="000000"/>
                <w:kern w:val="2"/>
                <w:szCs w:val="20"/>
                <w:lang w:eastAsia="en-US"/>
                <w14:ligatures w14:val="standardContextual"/>
              </w:rPr>
            </w:pPr>
            <w:r w:rsidRPr="00541454">
              <w:rPr>
                <w:b/>
                <w:iCs/>
                <w:color w:val="000000"/>
                <w:kern w:val="2"/>
                <w:szCs w:val="20"/>
                <w:lang w:eastAsia="en-US"/>
                <w14:ligatures w14:val="standardContextual"/>
              </w:rPr>
              <w:t>4d.</w:t>
            </w:r>
          </w:p>
        </w:tc>
        <w:tc>
          <w:tcPr>
            <w:tcW w:w="4688" w:type="pct"/>
            <w:gridSpan w:val="5"/>
            <w:tcBorders>
              <w:top w:val="single" w:sz="4" w:space="0" w:color="auto"/>
              <w:left w:val="nil"/>
              <w:bottom w:val="single" w:sz="4" w:space="0" w:color="auto"/>
              <w:right w:val="single" w:sz="4" w:space="0" w:color="auto"/>
            </w:tcBorders>
            <w:vAlign w:val="center"/>
            <w:hideMark/>
          </w:tcPr>
          <w:p w14:paraId="52A9329F" w14:textId="77777777" w:rsidR="00253815" w:rsidRPr="00541454" w:rsidRDefault="00253815">
            <w:pPr>
              <w:pStyle w:val="TableText0"/>
              <w:keepNext w:val="0"/>
              <w:spacing w:line="256" w:lineRule="auto"/>
              <w:rPr>
                <w:rFonts w:eastAsia="Calibri"/>
                <w:kern w:val="2"/>
                <w:szCs w:val="20"/>
                <w:highlight w:val="yellow"/>
                <w:lang w:eastAsia="en-US"/>
                <w14:ligatures w14:val="standardContextual"/>
              </w:rPr>
            </w:pPr>
            <w:r w:rsidRPr="00541454">
              <w:rPr>
                <w:b/>
                <w:color w:val="000000"/>
                <w:kern w:val="2"/>
                <w:szCs w:val="20"/>
                <w:lang w:eastAsia="en-US"/>
                <w14:ligatures w14:val="standardContextual"/>
              </w:rPr>
              <w:t>Discontinuation of mavacamten due to lack of response at Week 30 (base case: no improvement in NYHA class)</w:t>
            </w:r>
          </w:p>
        </w:tc>
      </w:tr>
      <w:tr w:rsidR="004E18A3" w:rsidRPr="00541454" w14:paraId="51338341"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0B79177F" w14:textId="77777777" w:rsidR="00253815" w:rsidRPr="00541454" w:rsidRDefault="00253815">
            <w:pPr>
              <w:pStyle w:val="TableText0"/>
              <w:keepNext w:val="0"/>
              <w:spacing w:line="256" w:lineRule="auto"/>
              <w:ind w:left="-66"/>
              <w:jc w:val="center"/>
              <w:rPr>
                <w:iCs/>
                <w:color w:val="000000"/>
                <w:kern w:val="2"/>
                <w:szCs w:val="20"/>
                <w:lang w:eastAsia="en-US"/>
                <w14:ligatures w14:val="standardContextual"/>
              </w:rPr>
            </w:pPr>
            <w:r w:rsidRPr="00541454">
              <w:rPr>
                <w:iCs/>
                <w:color w:val="000000"/>
                <w:kern w:val="2"/>
                <w:szCs w:val="20"/>
                <w:lang w:eastAsia="en-US"/>
                <w14:ligatures w14:val="standardContextual"/>
              </w:rPr>
              <w:t>4di.</w:t>
            </w:r>
          </w:p>
        </w:tc>
        <w:tc>
          <w:tcPr>
            <w:tcW w:w="2662" w:type="pct"/>
            <w:tcBorders>
              <w:top w:val="single" w:sz="4" w:space="0" w:color="auto"/>
              <w:left w:val="nil"/>
              <w:bottom w:val="single" w:sz="4" w:space="0" w:color="auto"/>
              <w:right w:val="single" w:sz="4" w:space="0" w:color="auto"/>
            </w:tcBorders>
            <w:vAlign w:val="center"/>
            <w:hideMark/>
          </w:tcPr>
          <w:p w14:paraId="3F871005" w14:textId="12AC7409" w:rsidR="00253815" w:rsidRPr="00541454" w:rsidRDefault="00253815">
            <w:pPr>
              <w:pStyle w:val="TableText0"/>
              <w:keepNext w:val="0"/>
              <w:spacing w:line="256" w:lineRule="auto"/>
              <w:ind w:left="164"/>
              <w:rPr>
                <w:kern w:val="2"/>
                <w:highlight w:val="yellow"/>
                <w:lang w:eastAsia="en-US"/>
                <w14:ligatures w14:val="standardContextual"/>
              </w:rPr>
            </w:pPr>
            <w:r w:rsidRPr="00541454">
              <w:rPr>
                <w:color w:val="000000"/>
                <w:kern w:val="2"/>
                <w:szCs w:val="20"/>
                <w:lang w:eastAsia="en-US"/>
                <w14:ligatures w14:val="standardContextual"/>
              </w:rPr>
              <w:t>Worsening in NYHA class</w:t>
            </w:r>
            <w:r w:rsidRPr="00541454">
              <w:rPr>
                <w:color w:val="000000"/>
                <w:kern w:val="2"/>
                <w:szCs w:val="20"/>
                <w:vertAlign w:val="superscript"/>
                <w:lang w:eastAsia="en-US"/>
                <w14:ligatures w14:val="standardContextual"/>
              </w:rPr>
              <w:t>a</w:t>
            </w:r>
          </w:p>
        </w:tc>
        <w:tc>
          <w:tcPr>
            <w:tcW w:w="505" w:type="pct"/>
            <w:tcBorders>
              <w:top w:val="single" w:sz="4" w:space="0" w:color="auto"/>
              <w:left w:val="single" w:sz="4" w:space="0" w:color="auto"/>
              <w:bottom w:val="single" w:sz="4" w:space="0" w:color="auto"/>
              <w:right w:val="single" w:sz="4" w:space="0" w:color="auto"/>
            </w:tcBorders>
            <w:hideMark/>
          </w:tcPr>
          <w:p w14:paraId="3B7E6217" w14:textId="2FB8A7F9" w:rsidR="00253815" w:rsidRPr="00541454" w:rsidRDefault="00B63528">
            <w:pPr>
              <w:pStyle w:val="TableText0"/>
              <w:keepNext w:val="0"/>
              <w:spacing w:line="256" w:lineRule="auto"/>
              <w:jc w:val="center"/>
              <w:rPr>
                <w:rFonts w:eastAsia="Calibri"/>
                <w:kern w:val="2"/>
                <w:szCs w:val="20"/>
                <w:highlight w:val="yellow"/>
                <w:lang w:eastAsia="en-US"/>
                <w14:ligatures w14:val="standardContextual"/>
              </w:rPr>
            </w:pPr>
            <w:r w:rsidRPr="00B63528">
              <w:rPr>
                <w:kern w:val="2"/>
                <w:szCs w:val="20"/>
                <w:lang w:eastAsia="en-US"/>
                <w14:ligatures w14:val="standardContextual"/>
              </w:rPr>
              <w:t>$</w:t>
            </w:r>
            <w:r w:rsidR="00F5190C" w:rsidRPr="00F5190C">
              <w:rPr>
                <w:color w:val="000000"/>
                <w:spacing w:val="52"/>
                <w:szCs w:val="20"/>
                <w:shd w:val="solid" w:color="000000" w:fill="000000"/>
                <w:fitText w:val="233" w:id="-1167926524"/>
                <w:lang w:eastAsia="en-US"/>
                <w14:textFill>
                  <w14:solidFill>
                    <w14:srgbClr w14:val="000000">
                      <w14:alpha w14:val="100000"/>
                    </w14:srgbClr>
                  </w14:solidFill>
                </w14:textFill>
                <w14:ligatures w14:val="standardContextual"/>
              </w:rPr>
              <w:t>||</w:t>
            </w:r>
            <w:r w:rsidR="00F5190C" w:rsidRPr="00F5190C">
              <w:rPr>
                <w:color w:val="000000"/>
                <w:spacing w:val="2"/>
                <w:szCs w:val="20"/>
                <w:shd w:val="solid" w:color="000000" w:fill="000000"/>
                <w:fitText w:val="233" w:id="-1167926524"/>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hideMark/>
          </w:tcPr>
          <w:p w14:paraId="7A85D0C3" w14:textId="77777777" w:rsidR="00253815" w:rsidRPr="00541454" w:rsidRDefault="00253815">
            <w:pPr>
              <w:pStyle w:val="TableText0"/>
              <w:keepNext w:val="0"/>
              <w:spacing w:line="256" w:lineRule="auto"/>
              <w:jc w:val="center"/>
              <w:rPr>
                <w:rFonts w:eastAsia="Calibri"/>
                <w:kern w:val="2"/>
                <w:szCs w:val="20"/>
                <w:highlight w:val="yellow"/>
                <w:lang w:eastAsia="en-US"/>
                <w14:ligatures w14:val="standardContextual"/>
              </w:rPr>
            </w:pPr>
            <w:r w:rsidRPr="00541454">
              <w:rPr>
                <w:kern w:val="2"/>
                <w:szCs w:val="20"/>
                <w:lang w:eastAsia="en-US"/>
                <w14:ligatures w14:val="standardContextual"/>
              </w:rPr>
              <w:t>0.70</w:t>
            </w:r>
          </w:p>
        </w:tc>
        <w:tc>
          <w:tcPr>
            <w:tcW w:w="505" w:type="pct"/>
            <w:tcBorders>
              <w:top w:val="single" w:sz="4" w:space="0" w:color="auto"/>
              <w:left w:val="single" w:sz="4" w:space="0" w:color="auto"/>
              <w:bottom w:val="single" w:sz="4" w:space="0" w:color="auto"/>
              <w:right w:val="single" w:sz="4" w:space="0" w:color="auto"/>
            </w:tcBorders>
            <w:hideMark/>
          </w:tcPr>
          <w:p w14:paraId="7AA6C2D2" w14:textId="0F56E2AD" w:rsidR="00253815" w:rsidRPr="00541454" w:rsidRDefault="00B63528">
            <w:pPr>
              <w:pStyle w:val="TableText0"/>
              <w:keepNext w:val="0"/>
              <w:spacing w:line="256" w:lineRule="auto"/>
              <w:jc w:val="center"/>
              <w:rPr>
                <w:rFonts w:eastAsia="Calibri"/>
                <w:kern w:val="2"/>
                <w:szCs w:val="20"/>
                <w:highlight w:val="yellow"/>
                <w:lang w:eastAsia="en-US"/>
                <w14:ligatures w14:val="standardContextual"/>
              </w:rPr>
            </w:pPr>
            <w:r w:rsidRPr="00B63528">
              <w:rPr>
                <w:color w:val="000000"/>
                <w:kern w:val="2"/>
                <w:szCs w:val="20"/>
                <w:lang w:eastAsia="en-US"/>
                <w14:ligatures w14:val="standardContextual"/>
              </w:rPr>
              <w:t>$</w:t>
            </w:r>
            <w:r w:rsidR="00F5190C" w:rsidRPr="00F5190C">
              <w:rPr>
                <w:color w:val="000000"/>
                <w:spacing w:val="191"/>
                <w:szCs w:val="20"/>
                <w:shd w:val="solid" w:color="000000" w:fill="000000"/>
                <w:fitText w:val="277" w:id="-1167926523"/>
                <w:lang w:eastAsia="en-US"/>
                <w14:textFill>
                  <w14:solidFill>
                    <w14:srgbClr w14:val="000000">
                      <w14:alpha w14:val="100000"/>
                    </w14:srgbClr>
                  </w14:solidFill>
                </w14:textFill>
                <w14:ligatures w14:val="standardContextual"/>
              </w:rPr>
              <w:t>|</w:t>
            </w:r>
            <w:r w:rsidR="00F5190C" w:rsidRPr="00F5190C">
              <w:rPr>
                <w:color w:val="000000"/>
                <w:spacing w:val="1"/>
                <w:szCs w:val="20"/>
                <w:shd w:val="solid" w:color="000000" w:fill="000000"/>
                <w:fitText w:val="277" w:id="-1167926523"/>
                <w:lang w:eastAsia="en-US"/>
                <w14:textFill>
                  <w14:solidFill>
                    <w14:srgbClr w14:val="000000">
                      <w14:alpha w14:val="100000"/>
                    </w14:srgbClr>
                  </w14:solidFill>
                </w14:textFill>
                <w14:ligatures w14:val="standardContextual"/>
              </w:rPr>
              <w:t>|</w:t>
            </w:r>
            <w:r w:rsidR="00452CCD">
              <w:rPr>
                <w:vertAlign w:val="superscript"/>
              </w:rPr>
              <w:t>3</w:t>
            </w:r>
          </w:p>
        </w:tc>
        <w:tc>
          <w:tcPr>
            <w:tcW w:w="511" w:type="pct"/>
            <w:tcBorders>
              <w:top w:val="single" w:sz="4" w:space="0" w:color="auto"/>
              <w:left w:val="single" w:sz="4" w:space="0" w:color="auto"/>
              <w:bottom w:val="single" w:sz="4" w:space="0" w:color="auto"/>
              <w:right w:val="single" w:sz="4" w:space="0" w:color="auto"/>
            </w:tcBorders>
            <w:vAlign w:val="center"/>
            <w:hideMark/>
          </w:tcPr>
          <w:p w14:paraId="6A8CE766" w14:textId="77777777" w:rsidR="00253815" w:rsidRPr="00541454" w:rsidRDefault="00253815">
            <w:pPr>
              <w:pStyle w:val="TableText0"/>
              <w:keepNext w:val="0"/>
              <w:spacing w:line="256" w:lineRule="auto"/>
              <w:jc w:val="center"/>
              <w:rPr>
                <w:rFonts w:eastAsia="Calibri"/>
                <w:kern w:val="2"/>
                <w:szCs w:val="20"/>
                <w:highlight w:val="yellow"/>
                <w:lang w:eastAsia="en-US"/>
                <w14:ligatures w14:val="standardContextual"/>
              </w:rPr>
            </w:pPr>
            <w:r w:rsidRPr="00541454">
              <w:rPr>
                <w:color w:val="000000"/>
                <w:kern w:val="2"/>
                <w:szCs w:val="20"/>
                <w:lang w:eastAsia="en-US"/>
                <w14:ligatures w14:val="standardContextual"/>
              </w:rPr>
              <w:t>+92.5%</w:t>
            </w:r>
          </w:p>
        </w:tc>
      </w:tr>
      <w:tr w:rsidR="004E18A3" w:rsidRPr="00541454" w14:paraId="7847CCB3"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hideMark/>
          </w:tcPr>
          <w:p w14:paraId="2ED59FDB" w14:textId="77777777" w:rsidR="00253815" w:rsidRPr="00541454" w:rsidRDefault="00253815">
            <w:pPr>
              <w:pStyle w:val="TableText0"/>
              <w:keepNext w:val="0"/>
              <w:spacing w:line="256" w:lineRule="auto"/>
              <w:ind w:left="-66"/>
              <w:jc w:val="center"/>
              <w:rPr>
                <w:iCs/>
                <w:color w:val="000000"/>
                <w:kern w:val="2"/>
                <w:szCs w:val="20"/>
                <w:lang w:eastAsia="en-US"/>
                <w14:ligatures w14:val="standardContextual"/>
              </w:rPr>
            </w:pPr>
            <w:r w:rsidRPr="00541454">
              <w:rPr>
                <w:iCs/>
                <w:color w:val="000000"/>
                <w:kern w:val="2"/>
                <w:szCs w:val="20"/>
                <w:lang w:eastAsia="en-US"/>
                <w14:ligatures w14:val="standardContextual"/>
              </w:rPr>
              <w:t>4dii.</w:t>
            </w:r>
          </w:p>
        </w:tc>
        <w:tc>
          <w:tcPr>
            <w:tcW w:w="2662" w:type="pct"/>
            <w:tcBorders>
              <w:top w:val="single" w:sz="4" w:space="0" w:color="auto"/>
              <w:left w:val="nil"/>
              <w:bottom w:val="single" w:sz="4" w:space="0" w:color="auto"/>
              <w:right w:val="single" w:sz="4" w:space="0" w:color="auto"/>
            </w:tcBorders>
            <w:vAlign w:val="center"/>
            <w:hideMark/>
          </w:tcPr>
          <w:p w14:paraId="546273F1" w14:textId="77777777" w:rsidR="00253815" w:rsidRPr="00541454" w:rsidRDefault="00253815">
            <w:pPr>
              <w:pStyle w:val="TableText0"/>
              <w:keepNext w:val="0"/>
              <w:spacing w:line="256" w:lineRule="auto"/>
              <w:ind w:left="164"/>
              <w:rPr>
                <w:iCs/>
                <w:color w:val="000000"/>
                <w:kern w:val="2"/>
                <w:szCs w:val="20"/>
                <w:lang w:eastAsia="en-US"/>
                <w14:ligatures w14:val="standardContextual"/>
              </w:rPr>
            </w:pPr>
            <w:r w:rsidRPr="00541454">
              <w:rPr>
                <w:iCs/>
                <w:color w:val="000000"/>
                <w:kern w:val="2"/>
                <w:szCs w:val="20"/>
                <w:lang w:eastAsia="en-US"/>
                <w14:ligatures w14:val="standardContextual"/>
              </w:rPr>
              <w:t xml:space="preserve">LVOT gradient decreased: not able to implement in model. </w:t>
            </w:r>
          </w:p>
        </w:tc>
        <w:tc>
          <w:tcPr>
            <w:tcW w:w="505" w:type="pct"/>
            <w:tcBorders>
              <w:top w:val="single" w:sz="4" w:space="0" w:color="auto"/>
              <w:left w:val="single" w:sz="4" w:space="0" w:color="auto"/>
              <w:bottom w:val="single" w:sz="4" w:space="0" w:color="auto"/>
              <w:right w:val="single" w:sz="4" w:space="0" w:color="auto"/>
            </w:tcBorders>
            <w:vAlign w:val="center"/>
            <w:hideMark/>
          </w:tcPr>
          <w:p w14:paraId="6006C728"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7F1324DE" w14:textId="77777777" w:rsidR="00253815" w:rsidRPr="00541454" w:rsidRDefault="00253815">
            <w:pPr>
              <w:pStyle w:val="TableText0"/>
              <w:keepNext w:val="0"/>
              <w:spacing w:line="256" w:lineRule="auto"/>
              <w:jc w:val="center"/>
              <w:rPr>
                <w:iCs/>
                <w:kern w:val="2"/>
                <w:szCs w:val="20"/>
                <w:lang w:eastAsia="en-US"/>
                <w14:ligatures w14:val="standardContextual"/>
              </w:rPr>
            </w:pPr>
            <w:r w:rsidRPr="00541454">
              <w:rPr>
                <w:iCs/>
                <w:kern w:val="2"/>
                <w:szCs w:val="20"/>
                <w:lang w:eastAsia="en-US"/>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1C7A4299" w14:textId="77777777" w:rsidR="00253815" w:rsidRPr="00541454" w:rsidRDefault="00253815">
            <w:pPr>
              <w:pStyle w:val="TableText0"/>
              <w:keepNext w:val="0"/>
              <w:spacing w:line="256" w:lineRule="auto"/>
              <w:jc w:val="center"/>
              <w:rPr>
                <w:iCs/>
                <w:color w:val="000000"/>
                <w:kern w:val="2"/>
                <w:szCs w:val="20"/>
                <w:lang w:eastAsia="en-US"/>
                <w14:ligatures w14:val="standardContextual"/>
              </w:rPr>
            </w:pPr>
            <w:r w:rsidRPr="00541454">
              <w:rPr>
                <w:iCs/>
                <w:color w:val="000000"/>
                <w:kern w:val="2"/>
                <w:szCs w:val="20"/>
                <w:lang w:eastAsia="en-US"/>
                <w14:ligatures w14:val="standardContextual"/>
              </w:rPr>
              <w:t>-</w:t>
            </w:r>
          </w:p>
        </w:tc>
        <w:tc>
          <w:tcPr>
            <w:tcW w:w="511" w:type="pct"/>
            <w:tcBorders>
              <w:top w:val="single" w:sz="4" w:space="0" w:color="auto"/>
              <w:left w:val="single" w:sz="4" w:space="0" w:color="auto"/>
              <w:bottom w:val="single" w:sz="4" w:space="0" w:color="auto"/>
              <w:right w:val="single" w:sz="4" w:space="0" w:color="auto"/>
            </w:tcBorders>
            <w:vAlign w:val="center"/>
            <w:hideMark/>
          </w:tcPr>
          <w:p w14:paraId="1959BB6E" w14:textId="77777777" w:rsidR="00253815" w:rsidRPr="00541454" w:rsidRDefault="00253815">
            <w:pPr>
              <w:pStyle w:val="TableText0"/>
              <w:keepNext w:val="0"/>
              <w:spacing w:line="256" w:lineRule="auto"/>
              <w:jc w:val="center"/>
              <w:rPr>
                <w:iCs/>
                <w:color w:val="000000"/>
                <w:kern w:val="2"/>
                <w:szCs w:val="20"/>
                <w:lang w:eastAsia="en-US"/>
                <w14:ligatures w14:val="standardContextual"/>
              </w:rPr>
            </w:pPr>
            <w:r w:rsidRPr="00541454">
              <w:rPr>
                <w:iCs/>
                <w:color w:val="000000"/>
                <w:kern w:val="2"/>
                <w:szCs w:val="20"/>
                <w:lang w:eastAsia="en-US"/>
                <w14:ligatures w14:val="standardContextual"/>
              </w:rPr>
              <w:t>-</w:t>
            </w:r>
          </w:p>
        </w:tc>
      </w:tr>
      <w:tr w:rsidR="00041A78" w:rsidRPr="00541454" w14:paraId="48629043" w14:textId="77777777" w:rsidTr="00041A78">
        <w:trPr>
          <w:cantSplit/>
          <w:trHeight w:val="283"/>
        </w:trPr>
        <w:tc>
          <w:tcPr>
            <w:tcW w:w="312" w:type="pct"/>
            <w:tcBorders>
              <w:top w:val="single" w:sz="4" w:space="0" w:color="auto"/>
              <w:left w:val="single" w:sz="4" w:space="0" w:color="auto"/>
              <w:bottom w:val="single" w:sz="4" w:space="0" w:color="auto"/>
              <w:right w:val="nil"/>
            </w:tcBorders>
            <w:vAlign w:val="center"/>
          </w:tcPr>
          <w:p w14:paraId="4F8B1670" w14:textId="5279C420" w:rsidR="00041A78" w:rsidRPr="00541454" w:rsidRDefault="00041A78">
            <w:pPr>
              <w:pStyle w:val="TableText0"/>
              <w:keepNext w:val="0"/>
              <w:spacing w:line="256" w:lineRule="auto"/>
              <w:ind w:left="-66"/>
              <w:jc w:val="center"/>
              <w:rPr>
                <w:iCs/>
                <w:color w:val="000000"/>
                <w:kern w:val="2"/>
                <w:szCs w:val="20"/>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vAlign w:val="center"/>
          </w:tcPr>
          <w:p w14:paraId="40383C00" w14:textId="7AE6CB3B" w:rsidR="00041A78" w:rsidRPr="00541454" w:rsidRDefault="00041A78" w:rsidP="00041A78">
            <w:pPr>
              <w:pStyle w:val="TableText0"/>
              <w:keepNext w:val="0"/>
              <w:rPr>
                <w:b/>
                <w:bCs w:val="0"/>
                <w:iCs/>
                <w:color w:val="000000"/>
                <w:szCs w:val="20"/>
              </w:rPr>
            </w:pPr>
            <w:r w:rsidRPr="00541454">
              <w:rPr>
                <w:b/>
                <w:bCs w:val="0"/>
                <w:iCs/>
                <w:color w:val="000000"/>
                <w:szCs w:val="20"/>
              </w:rPr>
              <w:t xml:space="preserve">Proportion of patients escalating to SRT after MAVA, base case: NYHA 1, 4.0%; NYHA II, 8.7%; NYHA III/IV, 68.75% </w:t>
            </w:r>
          </w:p>
        </w:tc>
      </w:tr>
      <w:tr w:rsidR="004E18A3" w:rsidRPr="00541454" w14:paraId="259C881B" w14:textId="77777777" w:rsidTr="00253815">
        <w:trPr>
          <w:cantSplit/>
          <w:trHeight w:val="283"/>
        </w:trPr>
        <w:tc>
          <w:tcPr>
            <w:tcW w:w="312" w:type="pct"/>
            <w:tcBorders>
              <w:top w:val="single" w:sz="4" w:space="0" w:color="auto"/>
              <w:left w:val="single" w:sz="4" w:space="0" w:color="auto"/>
              <w:bottom w:val="single" w:sz="4" w:space="0" w:color="auto"/>
              <w:right w:val="nil"/>
            </w:tcBorders>
            <w:vAlign w:val="center"/>
          </w:tcPr>
          <w:p w14:paraId="373217F6" w14:textId="43AC7569" w:rsidR="00041A78" w:rsidRPr="00541454" w:rsidRDefault="00041A78" w:rsidP="00041A78">
            <w:pPr>
              <w:pStyle w:val="TableText0"/>
              <w:keepNext w:val="0"/>
              <w:spacing w:line="256" w:lineRule="auto"/>
              <w:ind w:left="-66"/>
              <w:jc w:val="center"/>
              <w:rPr>
                <w:iCs/>
                <w:color w:val="000000"/>
                <w:kern w:val="2"/>
                <w:szCs w:val="20"/>
                <w:lang w:eastAsia="en-US"/>
                <w14:ligatures w14:val="standardContextual"/>
              </w:rPr>
            </w:pPr>
            <w:r w:rsidRPr="00541454">
              <w:rPr>
                <w:iCs/>
                <w:color w:val="000000"/>
                <w:kern w:val="2"/>
                <w:szCs w:val="20"/>
                <w:lang w:eastAsia="en-US"/>
                <w14:ligatures w14:val="standardContextual"/>
              </w:rPr>
              <w:t>5.</w:t>
            </w:r>
          </w:p>
        </w:tc>
        <w:tc>
          <w:tcPr>
            <w:tcW w:w="2662" w:type="pct"/>
            <w:tcBorders>
              <w:top w:val="single" w:sz="4" w:space="0" w:color="auto"/>
              <w:left w:val="nil"/>
              <w:bottom w:val="single" w:sz="4" w:space="0" w:color="auto"/>
              <w:right w:val="single" w:sz="4" w:space="0" w:color="auto"/>
            </w:tcBorders>
            <w:vAlign w:val="center"/>
          </w:tcPr>
          <w:p w14:paraId="17CE06F8" w14:textId="2C9CB7C3" w:rsidR="00041A78" w:rsidRPr="00541454" w:rsidRDefault="00041A78" w:rsidP="00041A78">
            <w:pPr>
              <w:pStyle w:val="TableText0"/>
              <w:keepNext w:val="0"/>
              <w:spacing w:line="256" w:lineRule="auto"/>
              <w:rPr>
                <w:iCs/>
                <w:color w:val="000000"/>
                <w:kern w:val="2"/>
                <w:szCs w:val="20"/>
                <w:lang w:eastAsia="en-US"/>
                <w14:ligatures w14:val="standardContextual"/>
              </w:rPr>
            </w:pPr>
            <w:r w:rsidRPr="00541454">
              <w:rPr>
                <w:iCs/>
              </w:rPr>
              <w:t>Patients (%) escalating from MAVA to SRT using VALOR-HCM (all NYHA classes: 3.6%)</w:t>
            </w:r>
          </w:p>
        </w:tc>
        <w:tc>
          <w:tcPr>
            <w:tcW w:w="505" w:type="pct"/>
            <w:tcBorders>
              <w:top w:val="single" w:sz="4" w:space="0" w:color="auto"/>
              <w:left w:val="single" w:sz="4" w:space="0" w:color="auto"/>
              <w:bottom w:val="single" w:sz="4" w:space="0" w:color="auto"/>
              <w:right w:val="single" w:sz="4" w:space="0" w:color="auto"/>
            </w:tcBorders>
            <w:vAlign w:val="center"/>
          </w:tcPr>
          <w:p w14:paraId="55EE2053" w14:textId="3495A3ED" w:rsidR="00041A78" w:rsidRPr="00541454" w:rsidRDefault="00B63528" w:rsidP="00041A78">
            <w:pPr>
              <w:pStyle w:val="TableText0"/>
              <w:keepNext w:val="0"/>
              <w:spacing w:line="256" w:lineRule="auto"/>
              <w:jc w:val="center"/>
              <w:rPr>
                <w:iCs/>
                <w:kern w:val="2"/>
                <w:szCs w:val="20"/>
                <w:lang w:eastAsia="en-US"/>
                <w14:ligatures w14:val="standardContextual"/>
              </w:rPr>
            </w:pPr>
            <w:r w:rsidRPr="00B63528">
              <w:rPr>
                <w:iCs/>
                <w:szCs w:val="20"/>
              </w:rPr>
              <w:t>$</w:t>
            </w:r>
            <w:r w:rsidR="00F5190C" w:rsidRPr="00F5190C">
              <w:rPr>
                <w:iCs/>
                <w:color w:val="000000"/>
                <w:spacing w:val="52"/>
                <w:szCs w:val="20"/>
                <w:shd w:val="solid" w:color="000000" w:fill="000000"/>
                <w:fitText w:val="233" w:id="-1167926522"/>
                <w14:textFill>
                  <w14:solidFill>
                    <w14:srgbClr w14:val="000000">
                      <w14:alpha w14:val="100000"/>
                    </w14:srgbClr>
                  </w14:solidFill>
                </w14:textFill>
              </w:rPr>
              <w:t>||</w:t>
            </w:r>
            <w:r w:rsidR="00F5190C" w:rsidRPr="00F5190C">
              <w:rPr>
                <w:iCs/>
                <w:color w:val="000000"/>
                <w:spacing w:val="2"/>
                <w:szCs w:val="20"/>
                <w:shd w:val="solid" w:color="000000" w:fill="000000"/>
                <w:fitText w:val="233" w:id="-1167926522"/>
                <w14:textFill>
                  <w14:solidFill>
                    <w14:srgbClr w14:val="000000">
                      <w14:alpha w14:val="100000"/>
                    </w14:srgbClr>
                  </w14:solidFill>
                </w14:textFill>
              </w:rPr>
              <w:t>|</w:t>
            </w:r>
          </w:p>
        </w:tc>
        <w:tc>
          <w:tcPr>
            <w:tcW w:w="505" w:type="pct"/>
            <w:tcBorders>
              <w:top w:val="single" w:sz="4" w:space="0" w:color="auto"/>
              <w:left w:val="single" w:sz="4" w:space="0" w:color="auto"/>
              <w:bottom w:val="single" w:sz="4" w:space="0" w:color="auto"/>
              <w:right w:val="single" w:sz="4" w:space="0" w:color="auto"/>
            </w:tcBorders>
            <w:vAlign w:val="center"/>
          </w:tcPr>
          <w:p w14:paraId="2B5AEDE4" w14:textId="775F8AA0" w:rsidR="00041A78" w:rsidRPr="00541454" w:rsidRDefault="00041A78" w:rsidP="00041A78">
            <w:pPr>
              <w:pStyle w:val="TableText0"/>
              <w:keepNext w:val="0"/>
              <w:spacing w:line="256" w:lineRule="auto"/>
              <w:jc w:val="center"/>
              <w:rPr>
                <w:iCs/>
                <w:kern w:val="2"/>
                <w:szCs w:val="20"/>
                <w:lang w:eastAsia="en-US"/>
                <w14:ligatures w14:val="standardContextual"/>
              </w:rPr>
            </w:pPr>
            <w:r w:rsidRPr="00541454">
              <w:rPr>
                <w:iCs/>
                <w:szCs w:val="20"/>
              </w:rPr>
              <w:t>0.70</w:t>
            </w:r>
          </w:p>
        </w:tc>
        <w:tc>
          <w:tcPr>
            <w:tcW w:w="505" w:type="pct"/>
            <w:tcBorders>
              <w:top w:val="single" w:sz="4" w:space="0" w:color="auto"/>
              <w:left w:val="single" w:sz="4" w:space="0" w:color="auto"/>
              <w:bottom w:val="single" w:sz="4" w:space="0" w:color="auto"/>
              <w:right w:val="single" w:sz="4" w:space="0" w:color="auto"/>
            </w:tcBorders>
            <w:vAlign w:val="center"/>
          </w:tcPr>
          <w:p w14:paraId="5A650038" w14:textId="5256F774" w:rsidR="00041A78" w:rsidRPr="00541454" w:rsidRDefault="00B63528" w:rsidP="00041A78">
            <w:pPr>
              <w:pStyle w:val="TableText0"/>
              <w:keepNext w:val="0"/>
              <w:spacing w:line="256" w:lineRule="auto"/>
              <w:jc w:val="center"/>
              <w:rPr>
                <w:iCs/>
                <w:color w:val="000000"/>
                <w:kern w:val="2"/>
                <w:szCs w:val="20"/>
                <w:lang w:eastAsia="en-US"/>
                <w14:ligatures w14:val="standardContextual"/>
              </w:rPr>
            </w:pPr>
            <w:r w:rsidRPr="00B63528">
              <w:rPr>
                <w:iCs/>
                <w:color w:val="000000"/>
                <w:szCs w:val="20"/>
              </w:rPr>
              <w:t>$</w:t>
            </w:r>
            <w:r w:rsidR="00F5190C" w:rsidRPr="00F5190C">
              <w:rPr>
                <w:iCs/>
                <w:color w:val="000000"/>
                <w:spacing w:val="191"/>
                <w:szCs w:val="20"/>
                <w:shd w:val="solid" w:color="000000" w:fill="000000"/>
                <w:fitText w:val="277" w:id="-1167926521"/>
                <w14:textFill>
                  <w14:solidFill>
                    <w14:srgbClr w14:val="000000">
                      <w14:alpha w14:val="100000"/>
                    </w14:srgbClr>
                  </w14:solidFill>
                </w14:textFill>
              </w:rPr>
              <w:t>|</w:t>
            </w:r>
            <w:r w:rsidR="00F5190C" w:rsidRPr="00F5190C">
              <w:rPr>
                <w:iCs/>
                <w:color w:val="000000"/>
                <w:spacing w:val="1"/>
                <w:szCs w:val="20"/>
                <w:shd w:val="solid" w:color="000000" w:fill="000000"/>
                <w:fitText w:val="277" w:id="-1167926521"/>
                <w14:textFill>
                  <w14:solidFill>
                    <w14:srgbClr w14:val="000000">
                      <w14:alpha w14:val="100000"/>
                    </w14:srgbClr>
                  </w14:solidFill>
                </w14:textFill>
              </w:rPr>
              <w:t>|</w:t>
            </w:r>
            <w:r w:rsidR="00452CCD">
              <w:rPr>
                <w:vertAlign w:val="superscript"/>
              </w:rPr>
              <w:t>4</w:t>
            </w:r>
          </w:p>
        </w:tc>
        <w:tc>
          <w:tcPr>
            <w:tcW w:w="511" w:type="pct"/>
            <w:tcBorders>
              <w:top w:val="single" w:sz="4" w:space="0" w:color="auto"/>
              <w:left w:val="single" w:sz="4" w:space="0" w:color="auto"/>
              <w:bottom w:val="single" w:sz="4" w:space="0" w:color="auto"/>
              <w:right w:val="single" w:sz="4" w:space="0" w:color="auto"/>
            </w:tcBorders>
            <w:vAlign w:val="center"/>
          </w:tcPr>
          <w:p w14:paraId="6FC64D9E" w14:textId="2E6F89EB" w:rsidR="00041A78" w:rsidRPr="00541454" w:rsidRDefault="00041A78" w:rsidP="00041A78">
            <w:pPr>
              <w:pStyle w:val="TableText0"/>
              <w:keepNext w:val="0"/>
              <w:spacing w:line="256" w:lineRule="auto"/>
              <w:jc w:val="center"/>
              <w:rPr>
                <w:iCs/>
                <w:color w:val="000000"/>
                <w:kern w:val="2"/>
                <w:szCs w:val="20"/>
                <w:lang w:eastAsia="en-US"/>
                <w14:ligatures w14:val="standardContextual"/>
              </w:rPr>
            </w:pPr>
            <w:r w:rsidRPr="00541454">
              <w:rPr>
                <w:iCs/>
                <w:color w:val="000000"/>
                <w:szCs w:val="20"/>
              </w:rPr>
              <w:t>+7.0%</w:t>
            </w:r>
          </w:p>
        </w:tc>
      </w:tr>
      <w:tr w:rsidR="00CF1CA5" w:rsidRPr="00541454" w14:paraId="1AC1B4E8" w14:textId="77777777" w:rsidTr="00253815">
        <w:trPr>
          <w:cantSplit/>
          <w:trHeight w:val="58"/>
        </w:trPr>
        <w:tc>
          <w:tcPr>
            <w:tcW w:w="312" w:type="pct"/>
            <w:tcBorders>
              <w:top w:val="single" w:sz="4" w:space="0" w:color="auto"/>
              <w:left w:val="single" w:sz="4" w:space="0" w:color="auto"/>
              <w:bottom w:val="single" w:sz="4" w:space="0" w:color="auto"/>
              <w:right w:val="nil"/>
            </w:tcBorders>
            <w:vAlign w:val="center"/>
          </w:tcPr>
          <w:p w14:paraId="76AD0F6A" w14:textId="77777777" w:rsidR="00253815" w:rsidRPr="00541454" w:rsidRDefault="00253815">
            <w:pPr>
              <w:pStyle w:val="TableText0"/>
              <w:keepNext w:val="0"/>
              <w:spacing w:line="256" w:lineRule="auto"/>
              <w:ind w:left="-66"/>
              <w:jc w:val="center"/>
              <w:rPr>
                <w:rFonts w:eastAsia="Calibri"/>
                <w:b/>
                <w:bCs w:val="0"/>
                <w:iCs/>
                <w:kern w:val="2"/>
                <w:szCs w:val="20"/>
                <w:lang w:eastAsia="en-US"/>
                <w14:ligatures w14:val="standardContextual"/>
              </w:rPr>
            </w:pPr>
          </w:p>
        </w:tc>
        <w:tc>
          <w:tcPr>
            <w:tcW w:w="4688" w:type="pct"/>
            <w:gridSpan w:val="5"/>
            <w:tcBorders>
              <w:top w:val="single" w:sz="4" w:space="0" w:color="auto"/>
              <w:left w:val="nil"/>
              <w:bottom w:val="single" w:sz="4" w:space="0" w:color="auto"/>
              <w:right w:val="single" w:sz="4" w:space="0" w:color="auto"/>
            </w:tcBorders>
            <w:vAlign w:val="center"/>
            <w:hideMark/>
          </w:tcPr>
          <w:p w14:paraId="6835527C" w14:textId="77777777" w:rsidR="00253815" w:rsidRPr="00541454" w:rsidRDefault="00253815">
            <w:pPr>
              <w:pStyle w:val="TableText0"/>
              <w:keepNext w:val="0"/>
              <w:spacing w:line="256" w:lineRule="auto"/>
              <w:rPr>
                <w:rFonts w:eastAsia="Calibri"/>
                <w:b/>
                <w:bCs w:val="0"/>
                <w:iCs/>
                <w:kern w:val="2"/>
                <w:szCs w:val="20"/>
                <w:vertAlign w:val="superscript"/>
                <w:lang w:eastAsia="en-US"/>
                <w14:ligatures w14:val="standardContextual"/>
              </w:rPr>
            </w:pPr>
            <w:r w:rsidRPr="00541454">
              <w:rPr>
                <w:rFonts w:eastAsia="Calibri"/>
                <w:b/>
                <w:bCs w:val="0"/>
                <w:iCs/>
                <w:kern w:val="2"/>
                <w:szCs w:val="20"/>
                <w:lang w:eastAsia="en-US"/>
                <w14:ligatures w14:val="standardContextual"/>
              </w:rPr>
              <w:t xml:space="preserve">Multivariate analyses </w:t>
            </w:r>
            <w:r w:rsidRPr="00541454">
              <w:rPr>
                <w:rFonts w:eastAsia="Calibri"/>
                <w:b/>
                <w:bCs w:val="0"/>
                <w:iCs/>
                <w:kern w:val="2"/>
                <w:szCs w:val="20"/>
                <w:vertAlign w:val="superscript"/>
                <w:lang w:eastAsia="en-US"/>
                <w14:ligatures w14:val="standardContextual"/>
              </w:rPr>
              <w:t>a</w:t>
            </w:r>
          </w:p>
        </w:tc>
      </w:tr>
      <w:tr w:rsidR="004E18A3" w14:paraId="5D44B039" w14:textId="77777777" w:rsidTr="00253815">
        <w:trPr>
          <w:cantSplit/>
          <w:trHeight w:val="283"/>
        </w:trPr>
        <w:tc>
          <w:tcPr>
            <w:tcW w:w="312" w:type="pct"/>
            <w:tcBorders>
              <w:top w:val="single" w:sz="4" w:space="0" w:color="auto"/>
              <w:left w:val="single" w:sz="4" w:space="0" w:color="auto"/>
              <w:bottom w:val="single" w:sz="4" w:space="0" w:color="auto"/>
              <w:right w:val="nil"/>
            </w:tcBorders>
            <w:hideMark/>
          </w:tcPr>
          <w:p w14:paraId="02F26D7A"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1.</w:t>
            </w:r>
          </w:p>
          <w:p w14:paraId="295E9F70"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2.</w:t>
            </w:r>
          </w:p>
          <w:p w14:paraId="2E17556C" w14:textId="77777777" w:rsidR="00253815" w:rsidRDefault="00253815" w:rsidP="00041A78">
            <w:pPr>
              <w:pStyle w:val="TableText0"/>
              <w:keepNext w:val="0"/>
              <w:spacing w:line="256" w:lineRule="auto"/>
              <w:ind w:left="-66"/>
              <w:jc w:val="center"/>
              <w:rPr>
                <w:i/>
                <w:iCs/>
                <w:kern w:val="2"/>
                <w:lang w:eastAsia="en-US"/>
                <w14:ligatures w14:val="standardContextual"/>
              </w:rPr>
            </w:pPr>
            <w:r w:rsidRPr="00541454">
              <w:rPr>
                <w:iCs/>
                <w:kern w:val="2"/>
                <w:lang w:eastAsia="en-US"/>
                <w14:ligatures w14:val="standardContextual"/>
              </w:rPr>
              <w:t>3.</w:t>
            </w:r>
          </w:p>
        </w:tc>
        <w:tc>
          <w:tcPr>
            <w:tcW w:w="2662" w:type="pct"/>
            <w:tcBorders>
              <w:top w:val="single" w:sz="4" w:space="0" w:color="auto"/>
              <w:left w:val="nil"/>
              <w:bottom w:val="single" w:sz="4" w:space="0" w:color="auto"/>
              <w:right w:val="single" w:sz="4" w:space="0" w:color="auto"/>
            </w:tcBorders>
            <w:vAlign w:val="center"/>
            <w:hideMark/>
          </w:tcPr>
          <w:p w14:paraId="5034D086"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10-year time </w:t>
            </w:r>
            <w:proofErr w:type="gramStart"/>
            <w:r w:rsidRPr="00541454">
              <w:rPr>
                <w:iCs/>
                <w:kern w:val="2"/>
                <w:lang w:eastAsia="en-US"/>
                <w14:ligatures w14:val="standardContextual"/>
              </w:rPr>
              <w:t>horizon;</w:t>
            </w:r>
            <w:proofErr w:type="gramEnd"/>
            <w:r w:rsidRPr="00541454">
              <w:rPr>
                <w:iCs/>
                <w:kern w:val="2"/>
                <w:lang w:eastAsia="en-US"/>
                <w14:ligatures w14:val="standardContextual"/>
              </w:rPr>
              <w:t xml:space="preserve"> </w:t>
            </w:r>
          </w:p>
          <w:p w14:paraId="153078AD"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TP truncation at 30 weeks both </w:t>
            </w:r>
            <w:proofErr w:type="gramStart"/>
            <w:r w:rsidRPr="00541454">
              <w:rPr>
                <w:iCs/>
                <w:kern w:val="2"/>
                <w:lang w:eastAsia="en-US"/>
                <w14:ligatures w14:val="standardContextual"/>
              </w:rPr>
              <w:t>arms;</w:t>
            </w:r>
            <w:proofErr w:type="gramEnd"/>
            <w:r w:rsidRPr="00541454">
              <w:rPr>
                <w:iCs/>
                <w:kern w:val="2"/>
                <w:lang w:eastAsia="en-US"/>
                <w14:ligatures w14:val="standardContextual"/>
              </w:rPr>
              <w:t xml:space="preserve"> </w:t>
            </w:r>
          </w:p>
          <w:p w14:paraId="7F925012" w14:textId="77777777" w:rsidR="00253815" w:rsidRDefault="00253815" w:rsidP="00EE280A">
            <w:pPr>
              <w:pStyle w:val="TableText0"/>
              <w:keepNext w:val="0"/>
              <w:numPr>
                <w:ilvl w:val="0"/>
                <w:numId w:val="23"/>
              </w:numPr>
              <w:spacing w:line="256" w:lineRule="auto"/>
              <w:ind w:left="284" w:hanging="208"/>
              <w:rPr>
                <w:kern w:val="2"/>
                <w:lang w:eastAsia="en-US"/>
                <w14:ligatures w14:val="standardContextual"/>
              </w:rPr>
            </w:pPr>
            <w:r w:rsidRPr="00541454">
              <w:rPr>
                <w:iCs/>
                <w:kern w:val="2"/>
                <w:lang w:eastAsia="en-US"/>
                <w14:ligatures w14:val="standardContextual"/>
              </w:rPr>
              <w:t xml:space="preserve">Removal of mortality benefits.  </w:t>
            </w:r>
          </w:p>
        </w:tc>
        <w:tc>
          <w:tcPr>
            <w:tcW w:w="505" w:type="pct"/>
            <w:tcBorders>
              <w:top w:val="single" w:sz="4" w:space="0" w:color="auto"/>
              <w:left w:val="single" w:sz="4" w:space="0" w:color="auto"/>
              <w:bottom w:val="single" w:sz="4" w:space="0" w:color="auto"/>
              <w:right w:val="single" w:sz="4" w:space="0" w:color="auto"/>
            </w:tcBorders>
            <w:vAlign w:val="center"/>
            <w:hideMark/>
          </w:tcPr>
          <w:p w14:paraId="2B16D0D4" w14:textId="646722F3" w:rsidR="00253815" w:rsidRDefault="00B63528">
            <w:pPr>
              <w:pStyle w:val="TableText0"/>
              <w:keepNext w:val="0"/>
              <w:spacing w:line="256" w:lineRule="auto"/>
              <w:jc w:val="center"/>
              <w:rPr>
                <w:rFonts w:eastAsia="Calibri"/>
                <w:kern w:val="2"/>
                <w:szCs w:val="20"/>
                <w:lang w:eastAsia="en-US"/>
                <w14:ligatures w14:val="standardContextual"/>
              </w:rPr>
            </w:pPr>
            <w:r w:rsidRPr="00B63528">
              <w:rPr>
                <w:bCs w:val="0"/>
                <w:iCs/>
                <w:color w:val="000000"/>
                <w:kern w:val="2"/>
                <w:szCs w:val="20"/>
                <w:lang w:eastAsia="en-US"/>
                <w14:ligatures w14:val="standardContextual"/>
              </w:rPr>
              <w:t>$</w:t>
            </w:r>
            <w:r w:rsidR="00F5190C" w:rsidRPr="00F5190C">
              <w:rPr>
                <w:bCs w:val="0"/>
                <w:iCs/>
                <w:color w:val="000000"/>
                <w:spacing w:val="52"/>
                <w:szCs w:val="20"/>
                <w:shd w:val="solid" w:color="000000" w:fill="000000"/>
                <w:fitText w:val="233" w:id="-1167926520"/>
                <w:lang w:eastAsia="en-US"/>
                <w14:textFill>
                  <w14:solidFill>
                    <w14:srgbClr w14:val="000000">
                      <w14:alpha w14:val="100000"/>
                    </w14:srgbClr>
                  </w14:solidFill>
                </w14:textFill>
                <w14:ligatures w14:val="standardContextual"/>
              </w:rPr>
              <w:t>||</w:t>
            </w:r>
            <w:r w:rsidR="00F5190C" w:rsidRPr="00F5190C">
              <w:rPr>
                <w:bCs w:val="0"/>
                <w:iCs/>
                <w:color w:val="000000"/>
                <w:spacing w:val="2"/>
                <w:szCs w:val="20"/>
                <w:shd w:val="solid" w:color="000000" w:fill="000000"/>
                <w:fitText w:val="233" w:id="-1167926520"/>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25562C75" w14:textId="77777777" w:rsidR="00253815" w:rsidRDefault="00253815">
            <w:pPr>
              <w:pStyle w:val="TableText0"/>
              <w:keepNext w:val="0"/>
              <w:spacing w:line="256" w:lineRule="auto"/>
              <w:jc w:val="center"/>
              <w:rPr>
                <w:rFonts w:eastAsia="Calibri"/>
                <w:kern w:val="2"/>
                <w:szCs w:val="20"/>
                <w:lang w:eastAsia="en-US"/>
                <w14:ligatures w14:val="standardContextual"/>
              </w:rPr>
            </w:pPr>
            <w:r w:rsidRPr="00541454">
              <w:rPr>
                <w:bCs w:val="0"/>
                <w:iCs/>
                <w:color w:val="000000"/>
                <w:kern w:val="2"/>
                <w:szCs w:val="20"/>
                <w:lang w:eastAsia="en-US"/>
                <w14:ligatures w14:val="standardContextual"/>
              </w:rPr>
              <w:t>0.25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5F45D5E" w14:textId="68032428" w:rsidR="00253815" w:rsidRDefault="00B63528">
            <w:pPr>
              <w:pStyle w:val="TableText0"/>
              <w:keepNext w:val="0"/>
              <w:spacing w:line="256" w:lineRule="auto"/>
              <w:jc w:val="center"/>
              <w:rPr>
                <w:rFonts w:eastAsia="Calibri"/>
                <w:kern w:val="2"/>
                <w:szCs w:val="20"/>
                <w:lang w:eastAsia="en-US"/>
                <w14:ligatures w14:val="standardContextual"/>
              </w:rPr>
            </w:pPr>
            <w:r w:rsidRPr="00B63528">
              <w:rPr>
                <w:bCs w:val="0"/>
                <w:iCs/>
                <w:color w:val="000000"/>
                <w:kern w:val="2"/>
                <w:szCs w:val="20"/>
                <w:lang w:eastAsia="en-US"/>
                <w14:ligatures w14:val="standardContextual"/>
              </w:rPr>
              <w:t>$</w:t>
            </w:r>
            <w:r w:rsidR="00F5190C" w:rsidRPr="00F5190C">
              <w:rPr>
                <w:bCs w:val="0"/>
                <w:iCs/>
                <w:color w:val="000000"/>
                <w:spacing w:val="191"/>
                <w:szCs w:val="20"/>
                <w:shd w:val="solid" w:color="000000" w:fill="000000"/>
                <w:fitText w:val="277" w:id="-1167926519"/>
                <w:lang w:eastAsia="en-US"/>
                <w14:textFill>
                  <w14:solidFill>
                    <w14:srgbClr w14:val="000000">
                      <w14:alpha w14:val="100000"/>
                    </w14:srgbClr>
                  </w14:solidFill>
                </w14:textFill>
                <w14:ligatures w14:val="standardContextual"/>
              </w:rPr>
              <w:t>|</w:t>
            </w:r>
            <w:r w:rsidR="00F5190C" w:rsidRPr="00F5190C">
              <w:rPr>
                <w:bCs w:val="0"/>
                <w:iCs/>
                <w:color w:val="000000"/>
                <w:spacing w:val="1"/>
                <w:szCs w:val="20"/>
                <w:shd w:val="solid" w:color="000000" w:fill="000000"/>
                <w:fitText w:val="277" w:id="-1167926519"/>
                <w:lang w:eastAsia="en-US"/>
                <w14:textFill>
                  <w14:solidFill>
                    <w14:srgbClr w14:val="000000">
                      <w14:alpha w14:val="100000"/>
                    </w14:srgbClr>
                  </w14:solidFill>
                </w14:textFill>
                <w14:ligatures w14:val="standardContextual"/>
              </w:rPr>
              <w:t>|</w:t>
            </w:r>
            <w:r w:rsidR="00452CCD">
              <w:rPr>
                <w:vertAlign w:val="superscript"/>
              </w:rPr>
              <w:t>5</w:t>
            </w:r>
          </w:p>
        </w:tc>
        <w:tc>
          <w:tcPr>
            <w:tcW w:w="511" w:type="pct"/>
            <w:tcBorders>
              <w:top w:val="single" w:sz="4" w:space="0" w:color="auto"/>
              <w:left w:val="single" w:sz="4" w:space="0" w:color="auto"/>
              <w:bottom w:val="single" w:sz="4" w:space="0" w:color="auto"/>
              <w:right w:val="single" w:sz="4" w:space="0" w:color="auto"/>
            </w:tcBorders>
            <w:vAlign w:val="center"/>
            <w:hideMark/>
          </w:tcPr>
          <w:p w14:paraId="3AAEC953" w14:textId="77777777" w:rsidR="00253815" w:rsidRDefault="00253815">
            <w:pPr>
              <w:pStyle w:val="TableText0"/>
              <w:keepNext w:val="0"/>
              <w:spacing w:line="256" w:lineRule="auto"/>
              <w:jc w:val="center"/>
              <w:rPr>
                <w:rFonts w:eastAsia="Calibri"/>
                <w:kern w:val="2"/>
                <w:szCs w:val="20"/>
                <w:lang w:eastAsia="en-US"/>
                <w14:ligatures w14:val="standardContextual"/>
              </w:rPr>
            </w:pPr>
            <w:r w:rsidRPr="00541454">
              <w:rPr>
                <w:kern w:val="2"/>
                <w:szCs w:val="20"/>
                <w:lang w:eastAsia="en-US"/>
                <w14:ligatures w14:val="standardContextual"/>
              </w:rPr>
              <w:t>+182.7%</w:t>
            </w:r>
          </w:p>
        </w:tc>
      </w:tr>
      <w:tr w:rsidR="004E18A3" w:rsidRPr="00541454" w14:paraId="478B62C7" w14:textId="77777777" w:rsidTr="00253815">
        <w:trPr>
          <w:cantSplit/>
          <w:trHeight w:val="283"/>
        </w:trPr>
        <w:tc>
          <w:tcPr>
            <w:tcW w:w="312" w:type="pct"/>
            <w:tcBorders>
              <w:top w:val="single" w:sz="4" w:space="0" w:color="auto"/>
              <w:left w:val="single" w:sz="4" w:space="0" w:color="auto"/>
              <w:bottom w:val="single" w:sz="4" w:space="0" w:color="auto"/>
              <w:right w:val="nil"/>
            </w:tcBorders>
            <w:hideMark/>
          </w:tcPr>
          <w:p w14:paraId="38245D89"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lastRenderedPageBreak/>
              <w:t>1.</w:t>
            </w:r>
          </w:p>
          <w:p w14:paraId="66252104"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2.</w:t>
            </w:r>
          </w:p>
          <w:p w14:paraId="397084E6"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3.</w:t>
            </w:r>
          </w:p>
          <w:p w14:paraId="2CA73B5B"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4ai.</w:t>
            </w:r>
          </w:p>
          <w:p w14:paraId="269CD6B2"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4bi.</w:t>
            </w:r>
          </w:p>
        </w:tc>
        <w:tc>
          <w:tcPr>
            <w:tcW w:w="2662" w:type="pct"/>
            <w:tcBorders>
              <w:top w:val="single" w:sz="4" w:space="0" w:color="auto"/>
              <w:left w:val="nil"/>
              <w:bottom w:val="single" w:sz="4" w:space="0" w:color="auto"/>
              <w:right w:val="single" w:sz="4" w:space="0" w:color="auto"/>
            </w:tcBorders>
            <w:vAlign w:val="center"/>
            <w:hideMark/>
          </w:tcPr>
          <w:p w14:paraId="69E52CD3"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10-year time </w:t>
            </w:r>
            <w:proofErr w:type="gramStart"/>
            <w:r w:rsidRPr="00541454">
              <w:rPr>
                <w:iCs/>
                <w:kern w:val="2"/>
                <w:lang w:eastAsia="en-US"/>
                <w14:ligatures w14:val="standardContextual"/>
              </w:rPr>
              <w:t>horizon;</w:t>
            </w:r>
            <w:proofErr w:type="gramEnd"/>
            <w:r w:rsidRPr="00541454">
              <w:rPr>
                <w:iCs/>
                <w:kern w:val="2"/>
                <w:lang w:eastAsia="en-US"/>
                <w14:ligatures w14:val="standardContextual"/>
              </w:rPr>
              <w:t xml:space="preserve"> </w:t>
            </w:r>
          </w:p>
          <w:p w14:paraId="17F58368"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TP truncation at 30 weeks both </w:t>
            </w:r>
            <w:proofErr w:type="gramStart"/>
            <w:r w:rsidRPr="00541454">
              <w:rPr>
                <w:iCs/>
                <w:kern w:val="2"/>
                <w:lang w:eastAsia="en-US"/>
                <w14:ligatures w14:val="standardContextual"/>
              </w:rPr>
              <w:t>arms;</w:t>
            </w:r>
            <w:proofErr w:type="gramEnd"/>
          </w:p>
          <w:p w14:paraId="40BEDDB6"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Removal of mortality benefits.  </w:t>
            </w:r>
          </w:p>
          <w:p w14:paraId="754C5A0B"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Assume CV hospitalisation rates reduced to </w:t>
            </w:r>
            <w:proofErr w:type="gramStart"/>
            <w:r w:rsidRPr="00541454">
              <w:rPr>
                <w:iCs/>
                <w:kern w:val="2"/>
                <w:lang w:eastAsia="en-US"/>
                <w14:ligatures w14:val="standardContextual"/>
              </w:rPr>
              <w:t>zero</w:t>
            </w:r>
            <w:proofErr w:type="gramEnd"/>
          </w:p>
          <w:p w14:paraId="0D274A6A"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color w:val="000000"/>
                <w:kern w:val="2"/>
                <w:szCs w:val="20"/>
                <w:lang w:eastAsia="en-US"/>
                <w14:ligatures w14:val="standardContextual"/>
              </w:rPr>
              <w:t>Assume reduced weighted unit cost by half (</w:t>
            </w:r>
            <w:proofErr w:type="gramStart"/>
            <w:r w:rsidRPr="00541454">
              <w:rPr>
                <w:color w:val="000000"/>
                <w:kern w:val="2"/>
                <w:szCs w:val="20"/>
                <w:lang w:eastAsia="en-US"/>
                <w14:ligatures w14:val="standardContextual"/>
              </w:rPr>
              <w:t>i.e.</w:t>
            </w:r>
            <w:proofErr w:type="gramEnd"/>
            <w:r w:rsidRPr="00541454">
              <w:rPr>
                <w:color w:val="000000"/>
                <w:kern w:val="2"/>
                <w:szCs w:val="20"/>
                <w:lang w:eastAsia="en-US"/>
                <w14:ligatures w14:val="standardContextual"/>
              </w:rPr>
              <w:t xml:space="preserve"> $27,947 per SRT-associated hospital admission).</w:t>
            </w:r>
          </w:p>
        </w:tc>
        <w:tc>
          <w:tcPr>
            <w:tcW w:w="505" w:type="pct"/>
            <w:tcBorders>
              <w:top w:val="single" w:sz="4" w:space="0" w:color="auto"/>
              <w:left w:val="single" w:sz="4" w:space="0" w:color="auto"/>
              <w:bottom w:val="single" w:sz="4" w:space="0" w:color="auto"/>
              <w:right w:val="single" w:sz="4" w:space="0" w:color="auto"/>
            </w:tcBorders>
            <w:vAlign w:val="center"/>
            <w:hideMark/>
          </w:tcPr>
          <w:p w14:paraId="375E8612" w14:textId="4AF2A3A3" w:rsidR="00253815" w:rsidRPr="00585419" w:rsidRDefault="00B63528">
            <w:pPr>
              <w:pStyle w:val="TableText0"/>
              <w:keepNext w:val="0"/>
              <w:spacing w:line="256" w:lineRule="auto"/>
              <w:jc w:val="center"/>
              <w:rPr>
                <w:iCs/>
                <w:kern w:val="2"/>
                <w:highlight w:val="darkGray"/>
                <w:lang w:eastAsia="en-US"/>
                <w14:ligatures w14:val="standardContextual"/>
              </w:rPr>
            </w:pPr>
            <w:r w:rsidRPr="00B63528">
              <w:rPr>
                <w:iCs/>
                <w:kern w:val="2"/>
                <w:lang w:eastAsia="en-US"/>
                <w14:ligatures w14:val="standardContextual"/>
              </w:rPr>
              <w:t>$</w:t>
            </w:r>
            <w:r w:rsidR="00F5190C" w:rsidRPr="00F5190C">
              <w:rPr>
                <w:iCs/>
                <w:color w:val="000000"/>
                <w:spacing w:val="52"/>
                <w:shd w:val="solid" w:color="000000" w:fill="000000"/>
                <w:fitText w:val="233" w:id="-1167926518"/>
                <w:lang w:eastAsia="en-US"/>
                <w14:textFill>
                  <w14:solidFill>
                    <w14:srgbClr w14:val="000000">
                      <w14:alpha w14:val="100000"/>
                    </w14:srgbClr>
                  </w14:solidFill>
                </w14:textFill>
                <w14:ligatures w14:val="standardContextual"/>
              </w:rPr>
              <w:t>||</w:t>
            </w:r>
            <w:r w:rsidR="00F5190C" w:rsidRPr="00F5190C">
              <w:rPr>
                <w:iCs/>
                <w:color w:val="000000"/>
                <w:spacing w:val="2"/>
                <w:shd w:val="solid" w:color="000000" w:fill="000000"/>
                <w:fitText w:val="233" w:id="-1167926518"/>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404A37E8" w14:textId="77777777" w:rsidR="00253815" w:rsidRPr="00541454" w:rsidRDefault="00253815">
            <w:pPr>
              <w:pStyle w:val="TableText0"/>
              <w:keepNext w:val="0"/>
              <w:spacing w:line="256" w:lineRule="auto"/>
              <w:jc w:val="center"/>
              <w:rPr>
                <w:iCs/>
                <w:kern w:val="2"/>
                <w:lang w:eastAsia="en-US"/>
                <w14:ligatures w14:val="standardContextual"/>
              </w:rPr>
            </w:pPr>
            <w:r w:rsidRPr="00541454">
              <w:rPr>
                <w:iCs/>
                <w:kern w:val="2"/>
                <w:lang w:eastAsia="en-US"/>
                <w14:ligatures w14:val="standardContextual"/>
              </w:rPr>
              <w:t>0.25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A4F912D" w14:textId="28C0FAE5" w:rsidR="00253815" w:rsidRPr="00585419" w:rsidRDefault="00B63528">
            <w:pPr>
              <w:pStyle w:val="TableText0"/>
              <w:keepNext w:val="0"/>
              <w:spacing w:line="256" w:lineRule="auto"/>
              <w:jc w:val="center"/>
              <w:rPr>
                <w:iCs/>
                <w:kern w:val="2"/>
                <w:highlight w:val="darkGray"/>
                <w:lang w:eastAsia="en-US"/>
                <w14:ligatures w14:val="standardContextual"/>
              </w:rPr>
            </w:pPr>
            <w:r w:rsidRPr="00B63528">
              <w:rPr>
                <w:iCs/>
                <w:kern w:val="2"/>
                <w:lang w:eastAsia="en-US"/>
                <w14:ligatures w14:val="standardContextual"/>
              </w:rPr>
              <w:t>$</w:t>
            </w:r>
            <w:r w:rsidR="00F5190C" w:rsidRPr="00F5190C">
              <w:rPr>
                <w:iCs/>
                <w:color w:val="000000"/>
                <w:spacing w:val="191"/>
                <w:shd w:val="solid" w:color="000000" w:fill="000000"/>
                <w:fitText w:val="277" w:id="-1167926517"/>
                <w:lang w:eastAsia="en-US"/>
                <w14:textFill>
                  <w14:solidFill>
                    <w14:srgbClr w14:val="000000">
                      <w14:alpha w14:val="100000"/>
                    </w14:srgbClr>
                  </w14:solidFill>
                </w14:textFill>
                <w14:ligatures w14:val="standardContextual"/>
              </w:rPr>
              <w:t>|</w:t>
            </w:r>
            <w:r w:rsidR="00F5190C" w:rsidRPr="00F5190C">
              <w:rPr>
                <w:iCs/>
                <w:color w:val="000000"/>
                <w:spacing w:val="1"/>
                <w:shd w:val="solid" w:color="000000" w:fill="000000"/>
                <w:fitText w:val="277" w:id="-1167926517"/>
                <w:lang w:eastAsia="en-US"/>
                <w14:textFill>
                  <w14:solidFill>
                    <w14:srgbClr w14:val="000000">
                      <w14:alpha w14:val="100000"/>
                    </w14:srgbClr>
                  </w14:solidFill>
                </w14:textFill>
                <w14:ligatures w14:val="standardContextual"/>
              </w:rPr>
              <w:t>|</w:t>
            </w:r>
            <w:r w:rsidR="00452CCD">
              <w:rPr>
                <w:vertAlign w:val="superscript"/>
              </w:rPr>
              <w:t>6</w:t>
            </w:r>
          </w:p>
        </w:tc>
        <w:tc>
          <w:tcPr>
            <w:tcW w:w="511" w:type="pct"/>
            <w:tcBorders>
              <w:top w:val="single" w:sz="4" w:space="0" w:color="auto"/>
              <w:left w:val="single" w:sz="4" w:space="0" w:color="auto"/>
              <w:bottom w:val="single" w:sz="4" w:space="0" w:color="auto"/>
              <w:right w:val="single" w:sz="4" w:space="0" w:color="auto"/>
            </w:tcBorders>
            <w:vAlign w:val="center"/>
            <w:hideMark/>
          </w:tcPr>
          <w:p w14:paraId="598159A4" w14:textId="77777777" w:rsidR="00253815" w:rsidRPr="00541454" w:rsidRDefault="00253815">
            <w:pPr>
              <w:pStyle w:val="TableText0"/>
              <w:keepNext w:val="0"/>
              <w:spacing w:line="256" w:lineRule="auto"/>
              <w:jc w:val="center"/>
              <w:rPr>
                <w:iCs/>
                <w:kern w:val="2"/>
                <w:lang w:eastAsia="en-US"/>
                <w14:ligatures w14:val="standardContextual"/>
              </w:rPr>
            </w:pPr>
            <w:r w:rsidRPr="00541454">
              <w:rPr>
                <w:iCs/>
                <w:kern w:val="2"/>
                <w:lang w:eastAsia="en-US"/>
                <w14:ligatures w14:val="standardContextual"/>
              </w:rPr>
              <w:t>380.8%</w:t>
            </w:r>
          </w:p>
        </w:tc>
      </w:tr>
      <w:tr w:rsidR="004E18A3" w:rsidRPr="00541454" w14:paraId="6A284051" w14:textId="77777777" w:rsidTr="00253815">
        <w:trPr>
          <w:cantSplit/>
          <w:trHeight w:val="283"/>
        </w:trPr>
        <w:tc>
          <w:tcPr>
            <w:tcW w:w="312" w:type="pct"/>
            <w:tcBorders>
              <w:top w:val="single" w:sz="4" w:space="0" w:color="auto"/>
              <w:left w:val="single" w:sz="4" w:space="0" w:color="auto"/>
              <w:bottom w:val="single" w:sz="4" w:space="0" w:color="auto"/>
              <w:right w:val="nil"/>
            </w:tcBorders>
            <w:hideMark/>
          </w:tcPr>
          <w:p w14:paraId="1F0FD560" w14:textId="0C2C59CE" w:rsidR="00DB020E" w:rsidRPr="00541454" w:rsidRDefault="004801A4"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1.</w:t>
            </w:r>
          </w:p>
          <w:p w14:paraId="2892CF2C" w14:textId="76831D81"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2.</w:t>
            </w:r>
          </w:p>
          <w:p w14:paraId="23228CB3"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3.</w:t>
            </w:r>
          </w:p>
        </w:tc>
        <w:tc>
          <w:tcPr>
            <w:tcW w:w="2662" w:type="pct"/>
            <w:tcBorders>
              <w:top w:val="single" w:sz="4" w:space="0" w:color="auto"/>
              <w:left w:val="nil"/>
              <w:bottom w:val="single" w:sz="4" w:space="0" w:color="auto"/>
              <w:right w:val="single" w:sz="4" w:space="0" w:color="auto"/>
            </w:tcBorders>
            <w:vAlign w:val="center"/>
            <w:hideMark/>
          </w:tcPr>
          <w:p w14:paraId="45899F91" w14:textId="4A69C481" w:rsidR="00DB020E" w:rsidRPr="00541454" w:rsidRDefault="00DB020E"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20-year time </w:t>
            </w:r>
            <w:proofErr w:type="gramStart"/>
            <w:r w:rsidRPr="00541454">
              <w:rPr>
                <w:iCs/>
                <w:kern w:val="2"/>
                <w:lang w:eastAsia="en-US"/>
                <w14:ligatures w14:val="standardContextual"/>
              </w:rPr>
              <w:t>horizon;</w:t>
            </w:r>
            <w:proofErr w:type="gramEnd"/>
          </w:p>
          <w:p w14:paraId="7F7C84F7" w14:textId="7F1436DC"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TP truncation at 30 weeks both </w:t>
            </w:r>
            <w:proofErr w:type="gramStart"/>
            <w:r w:rsidRPr="00541454">
              <w:rPr>
                <w:iCs/>
                <w:kern w:val="2"/>
                <w:lang w:eastAsia="en-US"/>
                <w14:ligatures w14:val="standardContextual"/>
              </w:rPr>
              <w:t>arms;</w:t>
            </w:r>
            <w:proofErr w:type="gramEnd"/>
            <w:r w:rsidRPr="00541454">
              <w:rPr>
                <w:iCs/>
                <w:kern w:val="2"/>
                <w:lang w:eastAsia="en-US"/>
                <w14:ligatures w14:val="standardContextual"/>
              </w:rPr>
              <w:t xml:space="preserve"> </w:t>
            </w:r>
          </w:p>
          <w:p w14:paraId="6706050B"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Removal of mortality benefits.  </w:t>
            </w:r>
          </w:p>
        </w:tc>
        <w:tc>
          <w:tcPr>
            <w:tcW w:w="505" w:type="pct"/>
            <w:tcBorders>
              <w:top w:val="single" w:sz="4" w:space="0" w:color="auto"/>
              <w:left w:val="single" w:sz="4" w:space="0" w:color="auto"/>
              <w:bottom w:val="single" w:sz="4" w:space="0" w:color="auto"/>
              <w:right w:val="single" w:sz="4" w:space="0" w:color="auto"/>
            </w:tcBorders>
            <w:vAlign w:val="center"/>
            <w:hideMark/>
          </w:tcPr>
          <w:p w14:paraId="6CFC6703" w14:textId="43E9C04B" w:rsidR="00253815" w:rsidRPr="00585419" w:rsidRDefault="00B63528">
            <w:pPr>
              <w:pStyle w:val="TableText0"/>
              <w:keepNext w:val="0"/>
              <w:spacing w:line="256" w:lineRule="auto"/>
              <w:jc w:val="center"/>
              <w:rPr>
                <w:iCs/>
                <w:kern w:val="2"/>
                <w:highlight w:val="darkGray"/>
                <w:lang w:eastAsia="en-US"/>
                <w14:ligatures w14:val="standardContextual"/>
              </w:rPr>
            </w:pPr>
            <w:r w:rsidRPr="00B63528">
              <w:rPr>
                <w:iCs/>
                <w:kern w:val="2"/>
                <w:lang w:eastAsia="en-US"/>
                <w14:ligatures w14:val="standardContextual"/>
              </w:rPr>
              <w:t>$</w:t>
            </w:r>
            <w:r w:rsidR="00F5190C" w:rsidRPr="00F5190C">
              <w:rPr>
                <w:iCs/>
                <w:color w:val="000000"/>
                <w:spacing w:val="52"/>
                <w:shd w:val="solid" w:color="000000" w:fill="000000"/>
                <w:fitText w:val="233" w:id="-1167926516"/>
                <w:lang w:eastAsia="en-US"/>
                <w14:textFill>
                  <w14:solidFill>
                    <w14:srgbClr w14:val="000000">
                      <w14:alpha w14:val="100000"/>
                    </w14:srgbClr>
                  </w14:solidFill>
                </w14:textFill>
                <w14:ligatures w14:val="standardContextual"/>
              </w:rPr>
              <w:t>||</w:t>
            </w:r>
            <w:r w:rsidR="00F5190C" w:rsidRPr="00F5190C">
              <w:rPr>
                <w:iCs/>
                <w:color w:val="000000"/>
                <w:spacing w:val="2"/>
                <w:shd w:val="solid" w:color="000000" w:fill="000000"/>
                <w:fitText w:val="233" w:id="-1167926516"/>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2A08CD23" w14:textId="77777777" w:rsidR="00253815" w:rsidRPr="00541454" w:rsidRDefault="00253815">
            <w:pPr>
              <w:pStyle w:val="TableText0"/>
              <w:keepNext w:val="0"/>
              <w:spacing w:line="256" w:lineRule="auto"/>
              <w:jc w:val="center"/>
              <w:rPr>
                <w:iCs/>
                <w:kern w:val="2"/>
                <w:lang w:eastAsia="en-US"/>
                <w14:ligatures w14:val="standardContextual"/>
              </w:rPr>
            </w:pPr>
            <w:r w:rsidRPr="00541454">
              <w:rPr>
                <w:iCs/>
                <w:kern w:val="2"/>
                <w:lang w:eastAsia="en-US"/>
                <w14:ligatures w14:val="standardContextual"/>
              </w:rPr>
              <w:t>0.37</w:t>
            </w:r>
          </w:p>
        </w:tc>
        <w:tc>
          <w:tcPr>
            <w:tcW w:w="505" w:type="pct"/>
            <w:tcBorders>
              <w:top w:val="single" w:sz="4" w:space="0" w:color="auto"/>
              <w:left w:val="single" w:sz="4" w:space="0" w:color="auto"/>
              <w:bottom w:val="single" w:sz="4" w:space="0" w:color="auto"/>
              <w:right w:val="single" w:sz="4" w:space="0" w:color="auto"/>
            </w:tcBorders>
            <w:vAlign w:val="center"/>
            <w:hideMark/>
          </w:tcPr>
          <w:p w14:paraId="2EB272AF" w14:textId="55B666D9" w:rsidR="00253815" w:rsidRPr="00585419" w:rsidRDefault="00B63528">
            <w:pPr>
              <w:pStyle w:val="TableText0"/>
              <w:keepNext w:val="0"/>
              <w:spacing w:line="256" w:lineRule="auto"/>
              <w:jc w:val="center"/>
              <w:rPr>
                <w:iCs/>
                <w:kern w:val="2"/>
                <w:highlight w:val="darkGray"/>
                <w:lang w:eastAsia="en-US"/>
                <w14:ligatures w14:val="standardContextual"/>
              </w:rPr>
            </w:pPr>
            <w:r w:rsidRPr="00B63528">
              <w:rPr>
                <w:iCs/>
                <w:kern w:val="2"/>
                <w:lang w:eastAsia="en-US"/>
                <w14:ligatures w14:val="standardContextual"/>
              </w:rPr>
              <w:t>$</w:t>
            </w:r>
            <w:r w:rsidR="00F5190C" w:rsidRPr="00F5190C">
              <w:rPr>
                <w:iCs/>
                <w:color w:val="000000"/>
                <w:spacing w:val="191"/>
                <w:shd w:val="solid" w:color="000000" w:fill="000000"/>
                <w:fitText w:val="277" w:id="-1167926515"/>
                <w:lang w:eastAsia="en-US"/>
                <w14:textFill>
                  <w14:solidFill>
                    <w14:srgbClr w14:val="000000">
                      <w14:alpha w14:val="100000"/>
                    </w14:srgbClr>
                  </w14:solidFill>
                </w14:textFill>
                <w14:ligatures w14:val="standardContextual"/>
              </w:rPr>
              <w:t>|</w:t>
            </w:r>
            <w:r w:rsidR="00F5190C" w:rsidRPr="00F5190C">
              <w:rPr>
                <w:iCs/>
                <w:color w:val="000000"/>
                <w:spacing w:val="1"/>
                <w:shd w:val="solid" w:color="000000" w:fill="000000"/>
                <w:fitText w:val="277" w:id="-1167926515"/>
                <w:lang w:eastAsia="en-US"/>
                <w14:textFill>
                  <w14:solidFill>
                    <w14:srgbClr w14:val="000000">
                      <w14:alpha w14:val="100000"/>
                    </w14:srgbClr>
                  </w14:solidFill>
                </w14:textFill>
                <w14:ligatures w14:val="standardContextual"/>
              </w:rPr>
              <w:t>|</w:t>
            </w:r>
            <w:r w:rsidR="00452CCD">
              <w:rPr>
                <w:vertAlign w:val="superscript"/>
              </w:rPr>
              <w:t>7</w:t>
            </w:r>
          </w:p>
        </w:tc>
        <w:tc>
          <w:tcPr>
            <w:tcW w:w="511" w:type="pct"/>
            <w:tcBorders>
              <w:top w:val="single" w:sz="4" w:space="0" w:color="auto"/>
              <w:left w:val="single" w:sz="4" w:space="0" w:color="auto"/>
              <w:bottom w:val="single" w:sz="4" w:space="0" w:color="auto"/>
              <w:right w:val="single" w:sz="4" w:space="0" w:color="auto"/>
            </w:tcBorders>
            <w:vAlign w:val="center"/>
            <w:hideMark/>
          </w:tcPr>
          <w:p w14:paraId="0EE67B8B" w14:textId="77777777" w:rsidR="00253815" w:rsidRPr="00541454" w:rsidRDefault="00253815">
            <w:pPr>
              <w:pStyle w:val="TableText0"/>
              <w:keepNext w:val="0"/>
              <w:spacing w:line="256" w:lineRule="auto"/>
              <w:jc w:val="center"/>
              <w:rPr>
                <w:iCs/>
                <w:kern w:val="2"/>
                <w:lang w:eastAsia="en-US"/>
                <w14:ligatures w14:val="standardContextual"/>
              </w:rPr>
            </w:pPr>
            <w:r w:rsidRPr="00541454">
              <w:rPr>
                <w:iCs/>
                <w:kern w:val="2"/>
                <w:lang w:eastAsia="en-US"/>
                <w14:ligatures w14:val="standardContextual"/>
              </w:rPr>
              <w:t>+123.9%</w:t>
            </w:r>
          </w:p>
        </w:tc>
      </w:tr>
      <w:tr w:rsidR="004E18A3" w:rsidRPr="00541454" w14:paraId="687D728C" w14:textId="77777777" w:rsidTr="00041A78">
        <w:trPr>
          <w:cantSplit/>
          <w:trHeight w:val="283"/>
        </w:trPr>
        <w:tc>
          <w:tcPr>
            <w:tcW w:w="312" w:type="pct"/>
            <w:tcBorders>
              <w:top w:val="single" w:sz="4" w:space="0" w:color="auto"/>
              <w:left w:val="single" w:sz="4" w:space="0" w:color="auto"/>
              <w:bottom w:val="single" w:sz="4" w:space="0" w:color="auto"/>
              <w:right w:val="nil"/>
            </w:tcBorders>
          </w:tcPr>
          <w:p w14:paraId="760ED0F7" w14:textId="361C7652" w:rsidR="00041A78" w:rsidRPr="00541454" w:rsidRDefault="00041A78" w:rsidP="00041A78">
            <w:pPr>
              <w:pStyle w:val="TableText0"/>
              <w:keepNext w:val="0"/>
              <w:ind w:left="-66"/>
              <w:jc w:val="center"/>
              <w:rPr>
                <w:iCs/>
              </w:rPr>
            </w:pPr>
            <w:r w:rsidRPr="00541454">
              <w:rPr>
                <w:iCs/>
              </w:rPr>
              <w:t>1.</w:t>
            </w:r>
          </w:p>
          <w:p w14:paraId="12056704" w14:textId="2465F258" w:rsidR="00041A78" w:rsidRPr="00541454" w:rsidRDefault="00041A78" w:rsidP="00041A78">
            <w:pPr>
              <w:pStyle w:val="TableText0"/>
              <w:keepNext w:val="0"/>
              <w:ind w:left="-66"/>
              <w:jc w:val="center"/>
              <w:rPr>
                <w:iCs/>
              </w:rPr>
            </w:pPr>
            <w:r w:rsidRPr="00541454">
              <w:rPr>
                <w:iCs/>
              </w:rPr>
              <w:t>2.</w:t>
            </w:r>
          </w:p>
          <w:p w14:paraId="744DC21E" w14:textId="77777777" w:rsidR="00041A78" w:rsidRPr="00541454" w:rsidRDefault="00041A78" w:rsidP="00041A78">
            <w:pPr>
              <w:pStyle w:val="TableText0"/>
              <w:keepNext w:val="0"/>
              <w:ind w:left="-66"/>
              <w:jc w:val="center"/>
              <w:rPr>
                <w:iCs/>
              </w:rPr>
            </w:pPr>
            <w:r w:rsidRPr="00541454">
              <w:rPr>
                <w:iCs/>
              </w:rPr>
              <w:t>3.</w:t>
            </w:r>
          </w:p>
          <w:p w14:paraId="661CE58B" w14:textId="77777777" w:rsidR="00041A78" w:rsidRPr="00541454" w:rsidRDefault="00041A78" w:rsidP="00041A78">
            <w:pPr>
              <w:pStyle w:val="TableText0"/>
              <w:keepNext w:val="0"/>
              <w:ind w:left="-66"/>
              <w:jc w:val="center"/>
              <w:rPr>
                <w:iCs/>
              </w:rPr>
            </w:pPr>
            <w:r w:rsidRPr="00541454">
              <w:rPr>
                <w:iCs/>
              </w:rPr>
              <w:t>4ai.</w:t>
            </w:r>
          </w:p>
          <w:p w14:paraId="7D9EEE05" w14:textId="77777777" w:rsidR="00041A78" w:rsidRPr="00541454" w:rsidRDefault="00041A78" w:rsidP="00041A78">
            <w:pPr>
              <w:pStyle w:val="TableText0"/>
              <w:keepNext w:val="0"/>
              <w:ind w:left="-66"/>
              <w:jc w:val="center"/>
              <w:rPr>
                <w:iCs/>
              </w:rPr>
            </w:pPr>
            <w:r w:rsidRPr="00541454">
              <w:rPr>
                <w:iCs/>
              </w:rPr>
              <w:t>4bi.</w:t>
            </w:r>
          </w:p>
          <w:p w14:paraId="551E1E91" w14:textId="77777777" w:rsidR="00041A78" w:rsidRPr="00541454" w:rsidRDefault="00041A78" w:rsidP="00041A78">
            <w:pPr>
              <w:pStyle w:val="TableText0"/>
              <w:keepNext w:val="0"/>
              <w:ind w:left="-66"/>
              <w:jc w:val="center"/>
              <w:rPr>
                <w:iCs/>
              </w:rPr>
            </w:pPr>
          </w:p>
          <w:p w14:paraId="7CCCBA6E" w14:textId="4269D559" w:rsidR="00041A78" w:rsidRPr="00541454" w:rsidRDefault="00041A78" w:rsidP="00041A78">
            <w:pPr>
              <w:pStyle w:val="TableText0"/>
              <w:keepNext w:val="0"/>
              <w:spacing w:line="256" w:lineRule="auto"/>
              <w:ind w:left="-66"/>
              <w:jc w:val="center"/>
              <w:rPr>
                <w:iCs/>
                <w:kern w:val="2"/>
                <w:lang w:eastAsia="en-US"/>
                <w14:ligatures w14:val="standardContextual"/>
              </w:rPr>
            </w:pPr>
            <w:r w:rsidRPr="00541454">
              <w:rPr>
                <w:iCs/>
              </w:rPr>
              <w:t>5.</w:t>
            </w:r>
          </w:p>
        </w:tc>
        <w:tc>
          <w:tcPr>
            <w:tcW w:w="2662" w:type="pct"/>
            <w:tcBorders>
              <w:top w:val="single" w:sz="4" w:space="0" w:color="auto"/>
              <w:left w:val="nil"/>
              <w:bottom w:val="single" w:sz="4" w:space="0" w:color="auto"/>
              <w:right w:val="single" w:sz="4" w:space="0" w:color="auto"/>
            </w:tcBorders>
            <w:vAlign w:val="center"/>
          </w:tcPr>
          <w:p w14:paraId="3420DB01" w14:textId="58D6223C" w:rsidR="00041A78" w:rsidRPr="00541454" w:rsidRDefault="00041A78" w:rsidP="00EE280A">
            <w:pPr>
              <w:pStyle w:val="TableText0"/>
              <w:keepNext w:val="0"/>
              <w:numPr>
                <w:ilvl w:val="0"/>
                <w:numId w:val="23"/>
              </w:numPr>
              <w:ind w:left="284" w:hanging="208"/>
              <w:rPr>
                <w:iCs/>
              </w:rPr>
            </w:pPr>
            <w:r w:rsidRPr="00541454">
              <w:rPr>
                <w:iCs/>
              </w:rPr>
              <w:t xml:space="preserve">20-year time </w:t>
            </w:r>
            <w:proofErr w:type="gramStart"/>
            <w:r w:rsidRPr="00541454">
              <w:rPr>
                <w:iCs/>
              </w:rPr>
              <w:t>horizon</w:t>
            </w:r>
            <w:r w:rsidR="00E953AF" w:rsidRPr="00541454">
              <w:rPr>
                <w:iCs/>
              </w:rPr>
              <w:t>;</w:t>
            </w:r>
            <w:proofErr w:type="gramEnd"/>
          </w:p>
          <w:p w14:paraId="0B17EFC4" w14:textId="7CF3E839" w:rsidR="00041A78" w:rsidRPr="00541454" w:rsidRDefault="00041A78" w:rsidP="00EE280A">
            <w:pPr>
              <w:pStyle w:val="TableText0"/>
              <w:keepNext w:val="0"/>
              <w:numPr>
                <w:ilvl w:val="0"/>
                <w:numId w:val="23"/>
              </w:numPr>
              <w:ind w:left="284" w:hanging="208"/>
              <w:rPr>
                <w:iCs/>
              </w:rPr>
            </w:pPr>
            <w:r w:rsidRPr="00541454">
              <w:rPr>
                <w:iCs/>
              </w:rPr>
              <w:t xml:space="preserve">TP truncation at 30 weeks both </w:t>
            </w:r>
            <w:proofErr w:type="gramStart"/>
            <w:r w:rsidRPr="00541454">
              <w:rPr>
                <w:iCs/>
              </w:rPr>
              <w:t>arms;</w:t>
            </w:r>
            <w:proofErr w:type="gramEnd"/>
          </w:p>
          <w:p w14:paraId="3055F62A" w14:textId="69101FA8" w:rsidR="00041A78" w:rsidRPr="00541454" w:rsidRDefault="00041A78" w:rsidP="00EE280A">
            <w:pPr>
              <w:pStyle w:val="TableText0"/>
              <w:keepNext w:val="0"/>
              <w:numPr>
                <w:ilvl w:val="0"/>
                <w:numId w:val="23"/>
              </w:numPr>
              <w:ind w:left="284" w:hanging="208"/>
              <w:rPr>
                <w:iCs/>
              </w:rPr>
            </w:pPr>
            <w:r w:rsidRPr="00541454">
              <w:rPr>
                <w:iCs/>
              </w:rPr>
              <w:t xml:space="preserve">Removal of mortality </w:t>
            </w:r>
            <w:proofErr w:type="gramStart"/>
            <w:r w:rsidRPr="00541454">
              <w:rPr>
                <w:iCs/>
              </w:rPr>
              <w:t>benefits</w:t>
            </w:r>
            <w:r w:rsidR="00E953AF" w:rsidRPr="00541454">
              <w:rPr>
                <w:iCs/>
              </w:rPr>
              <w:t>;</w:t>
            </w:r>
            <w:proofErr w:type="gramEnd"/>
            <w:r w:rsidRPr="00541454">
              <w:rPr>
                <w:iCs/>
              </w:rPr>
              <w:t xml:space="preserve"> </w:t>
            </w:r>
          </w:p>
          <w:p w14:paraId="6CD1796E" w14:textId="2A9B5376" w:rsidR="00041A78" w:rsidRPr="00541454" w:rsidRDefault="00041A78" w:rsidP="00EE280A">
            <w:pPr>
              <w:pStyle w:val="TableText0"/>
              <w:keepNext w:val="0"/>
              <w:numPr>
                <w:ilvl w:val="0"/>
                <w:numId w:val="23"/>
              </w:numPr>
              <w:ind w:left="284" w:hanging="208"/>
              <w:rPr>
                <w:iCs/>
              </w:rPr>
            </w:pPr>
            <w:r w:rsidRPr="00541454">
              <w:rPr>
                <w:iCs/>
              </w:rPr>
              <w:t xml:space="preserve">Assume CV hospitalisation rates reduced to </w:t>
            </w:r>
            <w:proofErr w:type="gramStart"/>
            <w:r w:rsidRPr="00541454">
              <w:rPr>
                <w:iCs/>
              </w:rPr>
              <w:t>zero</w:t>
            </w:r>
            <w:r w:rsidR="00E953AF" w:rsidRPr="00541454">
              <w:rPr>
                <w:iCs/>
              </w:rPr>
              <w:t>;</w:t>
            </w:r>
            <w:proofErr w:type="gramEnd"/>
          </w:p>
          <w:p w14:paraId="25A8DAE1" w14:textId="0AE121F9" w:rsidR="00041A78" w:rsidRPr="00541454" w:rsidRDefault="00041A78" w:rsidP="00EE280A">
            <w:pPr>
              <w:pStyle w:val="TableText0"/>
              <w:keepNext w:val="0"/>
              <w:numPr>
                <w:ilvl w:val="0"/>
                <w:numId w:val="23"/>
              </w:numPr>
              <w:ind w:left="284" w:hanging="208"/>
              <w:rPr>
                <w:iCs/>
              </w:rPr>
            </w:pPr>
            <w:r w:rsidRPr="00541454">
              <w:rPr>
                <w:color w:val="000000"/>
                <w:szCs w:val="20"/>
              </w:rPr>
              <w:t>Assume reduced weighted unit cost by half (</w:t>
            </w:r>
            <w:proofErr w:type="gramStart"/>
            <w:r w:rsidRPr="00541454">
              <w:rPr>
                <w:color w:val="000000"/>
                <w:szCs w:val="20"/>
              </w:rPr>
              <w:t>i.e.</w:t>
            </w:r>
            <w:proofErr w:type="gramEnd"/>
            <w:r w:rsidRPr="00541454">
              <w:rPr>
                <w:color w:val="000000"/>
                <w:szCs w:val="20"/>
              </w:rPr>
              <w:t xml:space="preserve"> $27,947 per SRT-associated hospital admission)</w:t>
            </w:r>
            <w:r w:rsidR="00E953AF" w:rsidRPr="00541454">
              <w:rPr>
                <w:color w:val="000000"/>
                <w:szCs w:val="20"/>
              </w:rPr>
              <w:t>;</w:t>
            </w:r>
          </w:p>
          <w:p w14:paraId="55191009" w14:textId="20B04737" w:rsidR="00041A78" w:rsidRPr="00541454" w:rsidRDefault="00041A78" w:rsidP="00EE280A">
            <w:pPr>
              <w:pStyle w:val="TableText0"/>
              <w:keepNext w:val="0"/>
              <w:numPr>
                <w:ilvl w:val="0"/>
                <w:numId w:val="23"/>
              </w:numPr>
              <w:ind w:left="284" w:hanging="208"/>
              <w:rPr>
                <w:iCs/>
              </w:rPr>
            </w:pPr>
            <w:r w:rsidRPr="00541454">
              <w:rPr>
                <w:iCs/>
              </w:rPr>
              <w:t xml:space="preserve">Patients (%) escalating from MAVA to SRT using VALOR-HCM. </w:t>
            </w:r>
          </w:p>
        </w:tc>
        <w:tc>
          <w:tcPr>
            <w:tcW w:w="505" w:type="pct"/>
            <w:tcBorders>
              <w:top w:val="single" w:sz="4" w:space="0" w:color="auto"/>
              <w:left w:val="single" w:sz="4" w:space="0" w:color="auto"/>
              <w:bottom w:val="single" w:sz="4" w:space="0" w:color="auto"/>
              <w:right w:val="single" w:sz="4" w:space="0" w:color="auto"/>
            </w:tcBorders>
            <w:vAlign w:val="center"/>
          </w:tcPr>
          <w:p w14:paraId="3D890FB2" w14:textId="5AC619E6" w:rsidR="00041A78" w:rsidRPr="00585419" w:rsidRDefault="00B63528" w:rsidP="00041A78">
            <w:pPr>
              <w:pStyle w:val="TableText0"/>
              <w:keepNext w:val="0"/>
              <w:spacing w:line="256" w:lineRule="auto"/>
              <w:jc w:val="center"/>
              <w:rPr>
                <w:iCs/>
                <w:kern w:val="2"/>
                <w:highlight w:val="darkGray"/>
                <w:lang w:eastAsia="en-US"/>
                <w14:ligatures w14:val="standardContextual"/>
              </w:rPr>
            </w:pPr>
            <w:r w:rsidRPr="00B63528">
              <w:rPr>
                <w:iCs/>
              </w:rPr>
              <w:t>$</w:t>
            </w:r>
            <w:r w:rsidR="00F5190C" w:rsidRPr="00F5190C">
              <w:rPr>
                <w:iCs/>
                <w:color w:val="000000"/>
                <w:spacing w:val="52"/>
                <w:shd w:val="solid" w:color="000000" w:fill="000000"/>
                <w:fitText w:val="233" w:id="-1167926514"/>
                <w14:textFill>
                  <w14:solidFill>
                    <w14:srgbClr w14:val="000000">
                      <w14:alpha w14:val="100000"/>
                    </w14:srgbClr>
                  </w14:solidFill>
                </w14:textFill>
              </w:rPr>
              <w:t>||</w:t>
            </w:r>
            <w:r w:rsidR="00F5190C" w:rsidRPr="00F5190C">
              <w:rPr>
                <w:iCs/>
                <w:color w:val="000000"/>
                <w:spacing w:val="2"/>
                <w:shd w:val="solid" w:color="000000" w:fill="000000"/>
                <w:fitText w:val="233" w:id="-1167926514"/>
                <w14:textFill>
                  <w14:solidFill>
                    <w14:srgbClr w14:val="000000">
                      <w14:alpha w14:val="100000"/>
                    </w14:srgbClr>
                  </w14:solidFill>
                </w14:textFill>
              </w:rPr>
              <w:t>|</w:t>
            </w:r>
          </w:p>
        </w:tc>
        <w:tc>
          <w:tcPr>
            <w:tcW w:w="505" w:type="pct"/>
            <w:tcBorders>
              <w:top w:val="single" w:sz="4" w:space="0" w:color="auto"/>
              <w:left w:val="single" w:sz="4" w:space="0" w:color="auto"/>
              <w:bottom w:val="single" w:sz="4" w:space="0" w:color="auto"/>
              <w:right w:val="single" w:sz="4" w:space="0" w:color="auto"/>
            </w:tcBorders>
            <w:vAlign w:val="center"/>
          </w:tcPr>
          <w:p w14:paraId="4E2C051E" w14:textId="21F94866" w:rsidR="00041A78" w:rsidRPr="00541454" w:rsidRDefault="00041A78" w:rsidP="00041A78">
            <w:pPr>
              <w:pStyle w:val="TableText0"/>
              <w:keepNext w:val="0"/>
              <w:spacing w:line="256" w:lineRule="auto"/>
              <w:jc w:val="center"/>
              <w:rPr>
                <w:iCs/>
                <w:kern w:val="2"/>
                <w:lang w:eastAsia="en-US"/>
                <w14:ligatures w14:val="standardContextual"/>
              </w:rPr>
            </w:pPr>
            <w:r w:rsidRPr="00541454">
              <w:rPr>
                <w:iCs/>
              </w:rPr>
              <w:t>0.36</w:t>
            </w:r>
          </w:p>
        </w:tc>
        <w:tc>
          <w:tcPr>
            <w:tcW w:w="505" w:type="pct"/>
            <w:tcBorders>
              <w:top w:val="single" w:sz="4" w:space="0" w:color="auto"/>
              <w:left w:val="single" w:sz="4" w:space="0" w:color="auto"/>
              <w:bottom w:val="single" w:sz="4" w:space="0" w:color="auto"/>
              <w:right w:val="single" w:sz="4" w:space="0" w:color="auto"/>
            </w:tcBorders>
            <w:vAlign w:val="center"/>
          </w:tcPr>
          <w:p w14:paraId="09CD277E" w14:textId="386FCE65" w:rsidR="00041A78" w:rsidRPr="00585419" w:rsidRDefault="00B63528" w:rsidP="00041A78">
            <w:pPr>
              <w:pStyle w:val="TableText0"/>
              <w:keepNext w:val="0"/>
              <w:spacing w:line="256" w:lineRule="auto"/>
              <w:jc w:val="center"/>
              <w:rPr>
                <w:iCs/>
                <w:kern w:val="2"/>
                <w:highlight w:val="darkGray"/>
                <w:lang w:eastAsia="en-US"/>
                <w14:ligatures w14:val="standardContextual"/>
              </w:rPr>
            </w:pPr>
            <w:r w:rsidRPr="00B63528">
              <w:rPr>
                <w:iCs/>
              </w:rPr>
              <w:t>$</w:t>
            </w:r>
            <w:r w:rsidR="00F5190C" w:rsidRPr="00F5190C">
              <w:rPr>
                <w:iCs/>
                <w:color w:val="000000"/>
                <w:spacing w:val="191"/>
                <w:shd w:val="solid" w:color="000000" w:fill="000000"/>
                <w:fitText w:val="277" w:id="-1167926513"/>
                <w14:textFill>
                  <w14:solidFill>
                    <w14:srgbClr w14:val="000000">
                      <w14:alpha w14:val="100000"/>
                    </w14:srgbClr>
                  </w14:solidFill>
                </w14:textFill>
              </w:rPr>
              <w:t>|</w:t>
            </w:r>
            <w:r w:rsidR="00F5190C" w:rsidRPr="00F5190C">
              <w:rPr>
                <w:iCs/>
                <w:color w:val="000000"/>
                <w:spacing w:val="1"/>
                <w:shd w:val="solid" w:color="000000" w:fill="000000"/>
                <w:fitText w:val="277" w:id="-1167926513"/>
                <w14:textFill>
                  <w14:solidFill>
                    <w14:srgbClr w14:val="000000">
                      <w14:alpha w14:val="100000"/>
                    </w14:srgbClr>
                  </w14:solidFill>
                </w14:textFill>
              </w:rPr>
              <w:t>|</w:t>
            </w:r>
            <w:r w:rsidR="00452CCD">
              <w:rPr>
                <w:vertAlign w:val="superscript"/>
              </w:rPr>
              <w:t>6</w:t>
            </w:r>
          </w:p>
        </w:tc>
        <w:tc>
          <w:tcPr>
            <w:tcW w:w="511" w:type="pct"/>
            <w:tcBorders>
              <w:top w:val="single" w:sz="4" w:space="0" w:color="auto"/>
              <w:left w:val="single" w:sz="4" w:space="0" w:color="auto"/>
              <w:bottom w:val="single" w:sz="4" w:space="0" w:color="auto"/>
              <w:right w:val="single" w:sz="4" w:space="0" w:color="auto"/>
            </w:tcBorders>
            <w:vAlign w:val="center"/>
          </w:tcPr>
          <w:p w14:paraId="1E70CD37" w14:textId="0FF62922" w:rsidR="00041A78" w:rsidRPr="00541454" w:rsidRDefault="00041A78" w:rsidP="00041A78">
            <w:pPr>
              <w:pStyle w:val="TableText0"/>
              <w:keepNext w:val="0"/>
              <w:spacing w:line="256" w:lineRule="auto"/>
              <w:jc w:val="center"/>
              <w:rPr>
                <w:iCs/>
                <w:kern w:val="2"/>
                <w:lang w:eastAsia="en-US"/>
                <w14:ligatures w14:val="standardContextual"/>
              </w:rPr>
            </w:pPr>
            <w:r w:rsidRPr="00541454">
              <w:rPr>
                <w:iCs/>
              </w:rPr>
              <w:t>+310.4%</w:t>
            </w:r>
          </w:p>
        </w:tc>
      </w:tr>
      <w:tr w:rsidR="004E18A3" w:rsidRPr="00541454" w14:paraId="73556AC1" w14:textId="77777777" w:rsidTr="00253815">
        <w:trPr>
          <w:cantSplit/>
          <w:trHeight w:val="283"/>
        </w:trPr>
        <w:tc>
          <w:tcPr>
            <w:tcW w:w="312" w:type="pct"/>
            <w:tcBorders>
              <w:top w:val="single" w:sz="4" w:space="0" w:color="auto"/>
              <w:left w:val="single" w:sz="4" w:space="0" w:color="auto"/>
              <w:bottom w:val="single" w:sz="4" w:space="0" w:color="auto"/>
              <w:right w:val="nil"/>
            </w:tcBorders>
            <w:hideMark/>
          </w:tcPr>
          <w:p w14:paraId="271B4EA9" w14:textId="5957242E" w:rsidR="00DB020E" w:rsidRPr="00541454" w:rsidRDefault="00DB020E" w:rsidP="00041A78">
            <w:pPr>
              <w:pStyle w:val="TableText0"/>
              <w:keepNext w:val="0"/>
              <w:spacing w:line="256" w:lineRule="auto"/>
              <w:ind w:left="-66"/>
              <w:jc w:val="center"/>
              <w:rPr>
                <w:iCs/>
                <w:kern w:val="2"/>
                <w:lang w:eastAsia="en-US"/>
                <w14:ligatures w14:val="standardContextual"/>
              </w:rPr>
            </w:pPr>
          </w:p>
          <w:p w14:paraId="666CA0F8" w14:textId="25FFEFA6" w:rsidR="009F62CA" w:rsidRPr="00541454" w:rsidRDefault="004801A4"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1.</w:t>
            </w:r>
          </w:p>
          <w:p w14:paraId="6559C8BF" w14:textId="3670F95E"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2.</w:t>
            </w:r>
          </w:p>
          <w:p w14:paraId="407724F9"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3.</w:t>
            </w:r>
          </w:p>
          <w:p w14:paraId="35D23947"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4ai.</w:t>
            </w:r>
          </w:p>
          <w:p w14:paraId="5CEC23F2" w14:textId="77777777" w:rsidR="00253815" w:rsidRPr="00541454" w:rsidRDefault="00253815" w:rsidP="00041A78">
            <w:pPr>
              <w:pStyle w:val="TableText0"/>
              <w:keepNext w:val="0"/>
              <w:spacing w:line="256" w:lineRule="auto"/>
              <w:ind w:left="-66"/>
              <w:jc w:val="center"/>
              <w:rPr>
                <w:iCs/>
                <w:kern w:val="2"/>
                <w:lang w:eastAsia="en-US"/>
                <w14:ligatures w14:val="standardContextual"/>
              </w:rPr>
            </w:pPr>
            <w:r w:rsidRPr="00541454">
              <w:rPr>
                <w:iCs/>
                <w:kern w:val="2"/>
                <w:lang w:eastAsia="en-US"/>
                <w14:ligatures w14:val="standardContextual"/>
              </w:rPr>
              <w:t>4bi.</w:t>
            </w:r>
          </w:p>
        </w:tc>
        <w:tc>
          <w:tcPr>
            <w:tcW w:w="2662" w:type="pct"/>
            <w:tcBorders>
              <w:top w:val="single" w:sz="4" w:space="0" w:color="auto"/>
              <w:left w:val="nil"/>
              <w:bottom w:val="single" w:sz="4" w:space="0" w:color="auto"/>
              <w:right w:val="single" w:sz="4" w:space="0" w:color="auto"/>
            </w:tcBorders>
            <w:vAlign w:val="center"/>
            <w:hideMark/>
          </w:tcPr>
          <w:p w14:paraId="377FE6E0" w14:textId="6EBF0E21" w:rsidR="009F62CA" w:rsidRPr="00541454" w:rsidRDefault="009F62CA" w:rsidP="009F62CA">
            <w:pPr>
              <w:pStyle w:val="TableText0"/>
              <w:keepNext w:val="0"/>
              <w:spacing w:line="256" w:lineRule="auto"/>
              <w:rPr>
                <w:b/>
                <w:bCs w:val="0"/>
                <w:iCs/>
                <w:kern w:val="2"/>
                <w:lang w:eastAsia="en-US"/>
                <w14:ligatures w14:val="standardContextual"/>
              </w:rPr>
            </w:pPr>
            <w:r w:rsidRPr="00541454">
              <w:rPr>
                <w:b/>
                <w:bCs w:val="0"/>
                <w:iCs/>
                <w:kern w:val="2"/>
                <w:lang w:eastAsia="en-US"/>
                <w14:ligatures w14:val="standardContextual"/>
              </w:rPr>
              <w:t>Respecified ESC base case</w:t>
            </w:r>
          </w:p>
          <w:p w14:paraId="1809CB47" w14:textId="1509E416" w:rsidR="00DB020E" w:rsidRPr="00541454" w:rsidRDefault="00DB020E"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20-year time </w:t>
            </w:r>
            <w:proofErr w:type="gramStart"/>
            <w:r w:rsidRPr="00541454">
              <w:rPr>
                <w:iCs/>
                <w:kern w:val="2"/>
                <w:lang w:eastAsia="en-US"/>
                <w14:ligatures w14:val="standardContextual"/>
              </w:rPr>
              <w:t>horizon;</w:t>
            </w:r>
            <w:proofErr w:type="gramEnd"/>
          </w:p>
          <w:p w14:paraId="6A2BDBDE" w14:textId="6E7BA22F"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TP truncation at 30 weeks both </w:t>
            </w:r>
            <w:proofErr w:type="gramStart"/>
            <w:r w:rsidRPr="00541454">
              <w:rPr>
                <w:iCs/>
                <w:kern w:val="2"/>
                <w:lang w:eastAsia="en-US"/>
                <w14:ligatures w14:val="standardContextual"/>
              </w:rPr>
              <w:t>arms;</w:t>
            </w:r>
            <w:proofErr w:type="gramEnd"/>
          </w:p>
          <w:p w14:paraId="2F9ED580" w14:textId="47A005FD"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Removal of mortality </w:t>
            </w:r>
            <w:proofErr w:type="gramStart"/>
            <w:r w:rsidRPr="00541454">
              <w:rPr>
                <w:iCs/>
                <w:kern w:val="2"/>
                <w:lang w:eastAsia="en-US"/>
                <w14:ligatures w14:val="standardContextual"/>
              </w:rPr>
              <w:t>benefits</w:t>
            </w:r>
            <w:r w:rsidR="00E953AF" w:rsidRPr="00541454">
              <w:rPr>
                <w:iCs/>
                <w:kern w:val="2"/>
                <w:lang w:eastAsia="en-US"/>
                <w14:ligatures w14:val="standardContextual"/>
              </w:rPr>
              <w:t>;</w:t>
            </w:r>
            <w:proofErr w:type="gramEnd"/>
            <w:r w:rsidRPr="00541454">
              <w:rPr>
                <w:iCs/>
                <w:kern w:val="2"/>
                <w:lang w:eastAsia="en-US"/>
                <w14:ligatures w14:val="standardContextual"/>
              </w:rPr>
              <w:t xml:space="preserve">  </w:t>
            </w:r>
          </w:p>
          <w:p w14:paraId="7B716105" w14:textId="6112908D"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Assume CV hospitalisation rates reduced to </w:t>
            </w:r>
            <w:proofErr w:type="gramStart"/>
            <w:r w:rsidRPr="00541454">
              <w:rPr>
                <w:iCs/>
                <w:kern w:val="2"/>
                <w:lang w:eastAsia="en-US"/>
                <w14:ligatures w14:val="standardContextual"/>
              </w:rPr>
              <w:t>zero</w:t>
            </w:r>
            <w:r w:rsidR="00E953AF" w:rsidRPr="00541454">
              <w:rPr>
                <w:iCs/>
                <w:kern w:val="2"/>
                <w:lang w:eastAsia="en-US"/>
                <w14:ligatures w14:val="standardContextual"/>
              </w:rPr>
              <w:t>;</w:t>
            </w:r>
            <w:proofErr w:type="gramEnd"/>
          </w:p>
          <w:p w14:paraId="47A3EEA2" w14:textId="77777777" w:rsidR="00253815" w:rsidRPr="00541454" w:rsidRDefault="00253815" w:rsidP="00EE280A">
            <w:pPr>
              <w:pStyle w:val="TableText0"/>
              <w:keepNext w:val="0"/>
              <w:numPr>
                <w:ilvl w:val="0"/>
                <w:numId w:val="23"/>
              </w:numPr>
              <w:spacing w:line="256" w:lineRule="auto"/>
              <w:ind w:left="284" w:hanging="208"/>
              <w:rPr>
                <w:iCs/>
                <w:kern w:val="2"/>
                <w:lang w:eastAsia="en-US"/>
                <w14:ligatures w14:val="standardContextual"/>
              </w:rPr>
            </w:pPr>
            <w:r w:rsidRPr="00541454">
              <w:rPr>
                <w:color w:val="000000"/>
                <w:kern w:val="2"/>
                <w:szCs w:val="20"/>
                <w:lang w:eastAsia="en-US"/>
                <w14:ligatures w14:val="standardContextual"/>
              </w:rPr>
              <w:t>Assume reduced weighted unit cost by half (</w:t>
            </w:r>
            <w:proofErr w:type="gramStart"/>
            <w:r w:rsidRPr="00541454">
              <w:rPr>
                <w:color w:val="000000"/>
                <w:kern w:val="2"/>
                <w:szCs w:val="20"/>
                <w:lang w:eastAsia="en-US"/>
                <w14:ligatures w14:val="standardContextual"/>
              </w:rPr>
              <w:t>i.e.</w:t>
            </w:r>
            <w:proofErr w:type="gramEnd"/>
            <w:r w:rsidRPr="00541454">
              <w:rPr>
                <w:color w:val="000000"/>
                <w:kern w:val="2"/>
                <w:szCs w:val="20"/>
                <w:lang w:eastAsia="en-US"/>
                <w14:ligatures w14:val="standardContextual"/>
              </w:rPr>
              <w:t xml:space="preserve"> $27,947 per SRT-associated hospital admission).</w:t>
            </w:r>
          </w:p>
        </w:tc>
        <w:tc>
          <w:tcPr>
            <w:tcW w:w="505" w:type="pct"/>
            <w:tcBorders>
              <w:top w:val="single" w:sz="4" w:space="0" w:color="auto"/>
              <w:left w:val="single" w:sz="4" w:space="0" w:color="auto"/>
              <w:bottom w:val="single" w:sz="4" w:space="0" w:color="auto"/>
              <w:right w:val="single" w:sz="4" w:space="0" w:color="auto"/>
            </w:tcBorders>
            <w:vAlign w:val="center"/>
            <w:hideMark/>
          </w:tcPr>
          <w:p w14:paraId="77069364" w14:textId="16D7EB6B" w:rsidR="00253815" w:rsidRPr="00585419" w:rsidRDefault="00B63528">
            <w:pPr>
              <w:pStyle w:val="TableText0"/>
              <w:keepNext w:val="0"/>
              <w:spacing w:line="256" w:lineRule="auto"/>
              <w:jc w:val="center"/>
              <w:rPr>
                <w:iCs/>
                <w:kern w:val="2"/>
                <w:highlight w:val="darkGray"/>
                <w:lang w:eastAsia="en-US"/>
                <w14:ligatures w14:val="standardContextual"/>
              </w:rPr>
            </w:pPr>
            <w:r w:rsidRPr="00B63528">
              <w:rPr>
                <w:iCs/>
                <w:kern w:val="2"/>
                <w:lang w:eastAsia="en-US"/>
                <w14:ligatures w14:val="standardContextual"/>
              </w:rPr>
              <w:t>$</w:t>
            </w:r>
            <w:r w:rsidR="00F5190C" w:rsidRPr="00F5190C">
              <w:rPr>
                <w:iCs/>
                <w:color w:val="000000"/>
                <w:spacing w:val="52"/>
                <w:shd w:val="solid" w:color="000000" w:fill="000000"/>
                <w:fitText w:val="233" w:id="-1167926512"/>
                <w:lang w:eastAsia="en-US"/>
                <w14:textFill>
                  <w14:solidFill>
                    <w14:srgbClr w14:val="000000">
                      <w14:alpha w14:val="100000"/>
                    </w14:srgbClr>
                  </w14:solidFill>
                </w14:textFill>
                <w14:ligatures w14:val="standardContextual"/>
              </w:rPr>
              <w:t>||</w:t>
            </w:r>
            <w:r w:rsidR="00F5190C" w:rsidRPr="00F5190C">
              <w:rPr>
                <w:iCs/>
                <w:color w:val="000000"/>
                <w:spacing w:val="2"/>
                <w:shd w:val="solid" w:color="000000" w:fill="000000"/>
                <w:fitText w:val="233" w:id="-1167926512"/>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52515BAA" w14:textId="77777777" w:rsidR="00253815" w:rsidRPr="00541454" w:rsidRDefault="00253815">
            <w:pPr>
              <w:pStyle w:val="TableText0"/>
              <w:keepNext w:val="0"/>
              <w:spacing w:line="256" w:lineRule="auto"/>
              <w:jc w:val="center"/>
              <w:rPr>
                <w:iCs/>
                <w:kern w:val="2"/>
                <w:lang w:eastAsia="en-US"/>
                <w14:ligatures w14:val="standardContextual"/>
              </w:rPr>
            </w:pPr>
            <w:r w:rsidRPr="00541454">
              <w:rPr>
                <w:iCs/>
                <w:kern w:val="2"/>
                <w:lang w:eastAsia="en-US"/>
                <w14:ligatures w14:val="standardContextual"/>
              </w:rPr>
              <w:t>0.37</w:t>
            </w:r>
          </w:p>
        </w:tc>
        <w:tc>
          <w:tcPr>
            <w:tcW w:w="505" w:type="pct"/>
            <w:tcBorders>
              <w:top w:val="single" w:sz="4" w:space="0" w:color="auto"/>
              <w:left w:val="single" w:sz="4" w:space="0" w:color="auto"/>
              <w:bottom w:val="single" w:sz="4" w:space="0" w:color="auto"/>
              <w:right w:val="single" w:sz="4" w:space="0" w:color="auto"/>
            </w:tcBorders>
            <w:vAlign w:val="center"/>
            <w:hideMark/>
          </w:tcPr>
          <w:p w14:paraId="163657CF" w14:textId="589AEE15" w:rsidR="00253815" w:rsidRPr="00585419" w:rsidRDefault="00B63528">
            <w:pPr>
              <w:pStyle w:val="TableText0"/>
              <w:keepNext w:val="0"/>
              <w:spacing w:line="256" w:lineRule="auto"/>
              <w:jc w:val="center"/>
              <w:rPr>
                <w:iCs/>
                <w:kern w:val="2"/>
                <w:highlight w:val="darkGray"/>
                <w:lang w:eastAsia="en-US"/>
                <w14:ligatures w14:val="standardContextual"/>
              </w:rPr>
            </w:pPr>
            <w:r w:rsidRPr="00B63528">
              <w:rPr>
                <w:iCs/>
                <w:kern w:val="2"/>
                <w:lang w:eastAsia="en-US"/>
                <w14:ligatures w14:val="standardContextual"/>
              </w:rPr>
              <w:t>$</w:t>
            </w:r>
            <w:r w:rsidR="00F5190C" w:rsidRPr="00F5190C">
              <w:rPr>
                <w:iCs/>
                <w:color w:val="000000"/>
                <w:spacing w:val="191"/>
                <w:shd w:val="solid" w:color="000000" w:fill="000000"/>
                <w:fitText w:val="277" w:id="-1167926528"/>
                <w:lang w:eastAsia="en-US"/>
                <w14:textFill>
                  <w14:solidFill>
                    <w14:srgbClr w14:val="000000">
                      <w14:alpha w14:val="100000"/>
                    </w14:srgbClr>
                  </w14:solidFill>
                </w14:textFill>
                <w14:ligatures w14:val="standardContextual"/>
              </w:rPr>
              <w:t>|</w:t>
            </w:r>
            <w:r w:rsidR="00F5190C" w:rsidRPr="00F5190C">
              <w:rPr>
                <w:iCs/>
                <w:color w:val="000000"/>
                <w:spacing w:val="1"/>
                <w:shd w:val="solid" w:color="000000" w:fill="000000"/>
                <w:fitText w:val="277" w:id="-1167926528"/>
                <w:lang w:eastAsia="en-US"/>
                <w14:textFill>
                  <w14:solidFill>
                    <w14:srgbClr w14:val="000000">
                      <w14:alpha w14:val="100000"/>
                    </w14:srgbClr>
                  </w14:solidFill>
                </w14:textFill>
                <w14:ligatures w14:val="standardContextual"/>
              </w:rPr>
              <w:t>|</w:t>
            </w:r>
            <w:r w:rsidR="00452CCD">
              <w:rPr>
                <w:vertAlign w:val="superscript"/>
              </w:rPr>
              <w:t>6</w:t>
            </w:r>
          </w:p>
        </w:tc>
        <w:tc>
          <w:tcPr>
            <w:tcW w:w="511" w:type="pct"/>
            <w:tcBorders>
              <w:top w:val="single" w:sz="4" w:space="0" w:color="auto"/>
              <w:left w:val="single" w:sz="4" w:space="0" w:color="auto"/>
              <w:bottom w:val="single" w:sz="4" w:space="0" w:color="auto"/>
              <w:right w:val="single" w:sz="4" w:space="0" w:color="auto"/>
            </w:tcBorders>
            <w:vAlign w:val="center"/>
            <w:hideMark/>
          </w:tcPr>
          <w:p w14:paraId="3DD36BE1" w14:textId="77777777" w:rsidR="00253815" w:rsidRPr="00541454" w:rsidRDefault="00253815">
            <w:pPr>
              <w:pStyle w:val="TableText0"/>
              <w:keepNext w:val="0"/>
              <w:spacing w:line="256" w:lineRule="auto"/>
              <w:jc w:val="center"/>
              <w:rPr>
                <w:iCs/>
                <w:kern w:val="2"/>
                <w:lang w:eastAsia="en-US"/>
                <w14:ligatures w14:val="standardContextual"/>
              </w:rPr>
            </w:pPr>
            <w:r w:rsidRPr="00541454">
              <w:rPr>
                <w:iCs/>
                <w:kern w:val="2"/>
                <w:lang w:eastAsia="en-US"/>
                <w14:ligatures w14:val="standardContextual"/>
              </w:rPr>
              <w:t>+298.1%</w:t>
            </w:r>
          </w:p>
        </w:tc>
      </w:tr>
      <w:tr w:rsidR="004E18A3" w:rsidRPr="00541454" w14:paraId="7A3A0689" w14:textId="77777777" w:rsidTr="00FA546F">
        <w:trPr>
          <w:cantSplit/>
          <w:trHeight w:val="1806"/>
        </w:trPr>
        <w:tc>
          <w:tcPr>
            <w:tcW w:w="312" w:type="pct"/>
            <w:tcBorders>
              <w:top w:val="single" w:sz="4" w:space="0" w:color="auto"/>
              <w:left w:val="single" w:sz="4" w:space="0" w:color="auto"/>
              <w:bottom w:val="single" w:sz="4" w:space="0" w:color="auto"/>
              <w:right w:val="nil"/>
            </w:tcBorders>
          </w:tcPr>
          <w:p w14:paraId="38EC4103" w14:textId="77777777" w:rsidR="00111D90" w:rsidRDefault="00111D90" w:rsidP="00041A78">
            <w:pPr>
              <w:pStyle w:val="TableText0"/>
              <w:keepNext w:val="0"/>
              <w:spacing w:line="256" w:lineRule="auto"/>
              <w:ind w:left="-66"/>
              <w:jc w:val="center"/>
              <w:rPr>
                <w:iCs/>
                <w:kern w:val="2"/>
                <w:lang w:eastAsia="en-US"/>
                <w14:ligatures w14:val="standardContextual"/>
              </w:rPr>
            </w:pPr>
          </w:p>
          <w:p w14:paraId="271358C1" w14:textId="77777777" w:rsidR="00111D90" w:rsidRDefault="00111D90" w:rsidP="00041A78">
            <w:pPr>
              <w:pStyle w:val="TableText0"/>
              <w:keepNext w:val="0"/>
              <w:spacing w:line="256" w:lineRule="auto"/>
              <w:ind w:left="-66"/>
              <w:jc w:val="center"/>
              <w:rPr>
                <w:iCs/>
                <w:kern w:val="2"/>
                <w:lang w:eastAsia="en-US"/>
                <w14:ligatures w14:val="standardContextual"/>
              </w:rPr>
            </w:pPr>
            <w:r>
              <w:rPr>
                <w:iCs/>
                <w:kern w:val="2"/>
                <w:lang w:eastAsia="en-US"/>
                <w14:ligatures w14:val="standardContextual"/>
              </w:rPr>
              <w:t>1.</w:t>
            </w:r>
          </w:p>
          <w:p w14:paraId="2BB06806" w14:textId="77777777" w:rsidR="00111D90" w:rsidRDefault="00111D90" w:rsidP="00041A78">
            <w:pPr>
              <w:pStyle w:val="TableText0"/>
              <w:keepNext w:val="0"/>
              <w:spacing w:line="256" w:lineRule="auto"/>
              <w:ind w:left="-66"/>
              <w:jc w:val="center"/>
              <w:rPr>
                <w:iCs/>
                <w:kern w:val="2"/>
                <w:lang w:eastAsia="en-US"/>
                <w14:ligatures w14:val="standardContextual"/>
              </w:rPr>
            </w:pPr>
            <w:r>
              <w:rPr>
                <w:iCs/>
                <w:kern w:val="2"/>
                <w:lang w:eastAsia="en-US"/>
                <w14:ligatures w14:val="standardContextual"/>
              </w:rPr>
              <w:t>2.</w:t>
            </w:r>
          </w:p>
          <w:p w14:paraId="5D369F08" w14:textId="0981B1DC" w:rsidR="00111D90" w:rsidRDefault="00111D90" w:rsidP="00041A78">
            <w:pPr>
              <w:pStyle w:val="TableText0"/>
              <w:keepNext w:val="0"/>
              <w:spacing w:line="256" w:lineRule="auto"/>
              <w:ind w:left="-66"/>
              <w:jc w:val="center"/>
              <w:rPr>
                <w:iCs/>
                <w:kern w:val="2"/>
                <w:lang w:eastAsia="en-US"/>
                <w14:ligatures w14:val="standardContextual"/>
              </w:rPr>
            </w:pPr>
            <w:r>
              <w:rPr>
                <w:iCs/>
                <w:kern w:val="2"/>
                <w:lang w:eastAsia="en-US"/>
                <w14:ligatures w14:val="standardContextual"/>
              </w:rPr>
              <w:t>3.</w:t>
            </w:r>
          </w:p>
          <w:p w14:paraId="4F90F028" w14:textId="065A00F5" w:rsidR="00111D90" w:rsidRDefault="00111D90" w:rsidP="00041A78">
            <w:pPr>
              <w:pStyle w:val="TableText0"/>
              <w:keepNext w:val="0"/>
              <w:spacing w:line="256" w:lineRule="auto"/>
              <w:ind w:left="-66"/>
              <w:jc w:val="center"/>
              <w:rPr>
                <w:iCs/>
                <w:kern w:val="2"/>
                <w:lang w:eastAsia="en-US"/>
                <w14:ligatures w14:val="standardContextual"/>
              </w:rPr>
            </w:pPr>
            <w:r w:rsidRPr="00541454">
              <w:rPr>
                <w:color w:val="000000"/>
                <w:kern w:val="2"/>
                <w:szCs w:val="20"/>
                <w:lang w:eastAsia="en-US"/>
                <w14:ligatures w14:val="standardContextual"/>
              </w:rPr>
              <w:t>4aii.</w:t>
            </w:r>
          </w:p>
          <w:p w14:paraId="2961C000" w14:textId="77777777" w:rsidR="00111D90" w:rsidRDefault="00111D90" w:rsidP="00041A78">
            <w:pPr>
              <w:pStyle w:val="TableText0"/>
              <w:keepNext w:val="0"/>
              <w:spacing w:line="256" w:lineRule="auto"/>
              <w:ind w:left="-66"/>
              <w:jc w:val="center"/>
              <w:rPr>
                <w:iCs/>
                <w:kern w:val="2"/>
                <w:lang w:eastAsia="en-US"/>
                <w14:ligatures w14:val="standardContextual"/>
              </w:rPr>
            </w:pPr>
          </w:p>
          <w:p w14:paraId="3AF5F3AC" w14:textId="77777777" w:rsidR="00111D90" w:rsidRDefault="00111D90" w:rsidP="00041A78">
            <w:pPr>
              <w:pStyle w:val="TableText0"/>
              <w:keepNext w:val="0"/>
              <w:spacing w:line="256" w:lineRule="auto"/>
              <w:ind w:left="-66"/>
              <w:jc w:val="center"/>
              <w:rPr>
                <w:iCs/>
                <w:kern w:val="2"/>
                <w:lang w:eastAsia="en-US"/>
                <w14:ligatures w14:val="standardContextual"/>
              </w:rPr>
            </w:pPr>
          </w:p>
          <w:p w14:paraId="5A206AA6" w14:textId="0891E468" w:rsidR="00111D90" w:rsidRPr="00541454" w:rsidRDefault="00111D90" w:rsidP="00041A78">
            <w:pPr>
              <w:pStyle w:val="TableText0"/>
              <w:keepNext w:val="0"/>
              <w:spacing w:line="256" w:lineRule="auto"/>
              <w:ind w:left="-66"/>
              <w:jc w:val="center"/>
              <w:rPr>
                <w:iCs/>
                <w:kern w:val="2"/>
                <w:lang w:eastAsia="en-US"/>
                <w14:ligatures w14:val="standardContextual"/>
              </w:rPr>
            </w:pPr>
            <w:r w:rsidRPr="00541454">
              <w:rPr>
                <w:iCs/>
              </w:rPr>
              <w:t>5.</w:t>
            </w:r>
          </w:p>
        </w:tc>
        <w:tc>
          <w:tcPr>
            <w:tcW w:w="2662" w:type="pct"/>
            <w:tcBorders>
              <w:top w:val="single" w:sz="4" w:space="0" w:color="auto"/>
              <w:left w:val="nil"/>
              <w:bottom w:val="single" w:sz="4" w:space="0" w:color="auto"/>
              <w:right w:val="single" w:sz="4" w:space="0" w:color="auto"/>
            </w:tcBorders>
            <w:vAlign w:val="center"/>
          </w:tcPr>
          <w:p w14:paraId="77F0590D" w14:textId="77777777" w:rsidR="00111D90" w:rsidRDefault="00111D90" w:rsidP="009F62CA">
            <w:pPr>
              <w:pStyle w:val="TableText0"/>
              <w:keepNext w:val="0"/>
              <w:spacing w:line="256" w:lineRule="auto"/>
              <w:rPr>
                <w:b/>
                <w:bCs w:val="0"/>
                <w:iCs/>
                <w:kern w:val="2"/>
                <w:lang w:eastAsia="en-US"/>
                <w14:ligatures w14:val="standardContextual"/>
              </w:rPr>
            </w:pPr>
            <w:r>
              <w:rPr>
                <w:b/>
                <w:bCs w:val="0"/>
                <w:iCs/>
                <w:kern w:val="2"/>
                <w:lang w:eastAsia="en-US"/>
                <w14:ligatures w14:val="standardContextual"/>
              </w:rPr>
              <w:t>Respecified PBAC base case</w:t>
            </w:r>
          </w:p>
          <w:p w14:paraId="295DC38A" w14:textId="77777777" w:rsidR="00111D90" w:rsidRPr="00541454" w:rsidRDefault="00111D90" w:rsidP="00111D90">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20-year time </w:t>
            </w:r>
            <w:proofErr w:type="gramStart"/>
            <w:r w:rsidRPr="00541454">
              <w:rPr>
                <w:iCs/>
                <w:kern w:val="2"/>
                <w:lang w:eastAsia="en-US"/>
                <w14:ligatures w14:val="standardContextual"/>
              </w:rPr>
              <w:t>horizon;</w:t>
            </w:r>
            <w:proofErr w:type="gramEnd"/>
          </w:p>
          <w:p w14:paraId="0D234221" w14:textId="2CAD1D64" w:rsidR="00111D90" w:rsidRDefault="00111D90" w:rsidP="00111D90">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TP truncation at 30 weeks both </w:t>
            </w:r>
            <w:proofErr w:type="gramStart"/>
            <w:r w:rsidRPr="00541454">
              <w:rPr>
                <w:iCs/>
                <w:kern w:val="2"/>
                <w:lang w:eastAsia="en-US"/>
                <w14:ligatures w14:val="standardContextual"/>
              </w:rPr>
              <w:t>arms;</w:t>
            </w:r>
            <w:proofErr w:type="gramEnd"/>
          </w:p>
          <w:p w14:paraId="1A882EF6" w14:textId="77777777" w:rsidR="00111D90" w:rsidRPr="00541454" w:rsidRDefault="00111D90" w:rsidP="00111D90">
            <w:pPr>
              <w:pStyle w:val="TableText0"/>
              <w:keepNext w:val="0"/>
              <w:numPr>
                <w:ilvl w:val="0"/>
                <w:numId w:val="23"/>
              </w:numPr>
              <w:spacing w:line="256" w:lineRule="auto"/>
              <w:ind w:left="284" w:hanging="208"/>
              <w:rPr>
                <w:iCs/>
                <w:kern w:val="2"/>
                <w:lang w:eastAsia="en-US"/>
                <w14:ligatures w14:val="standardContextual"/>
              </w:rPr>
            </w:pPr>
            <w:r w:rsidRPr="00541454">
              <w:rPr>
                <w:iCs/>
                <w:kern w:val="2"/>
                <w:lang w:eastAsia="en-US"/>
                <w14:ligatures w14:val="standardContextual"/>
              </w:rPr>
              <w:t xml:space="preserve">Removal of mortality </w:t>
            </w:r>
            <w:proofErr w:type="gramStart"/>
            <w:r w:rsidRPr="00541454">
              <w:rPr>
                <w:iCs/>
                <w:kern w:val="2"/>
                <w:lang w:eastAsia="en-US"/>
                <w14:ligatures w14:val="standardContextual"/>
              </w:rPr>
              <w:t>benefits;</w:t>
            </w:r>
            <w:proofErr w:type="gramEnd"/>
            <w:r w:rsidRPr="00541454">
              <w:rPr>
                <w:iCs/>
                <w:kern w:val="2"/>
                <w:lang w:eastAsia="en-US"/>
                <w14:ligatures w14:val="standardContextual"/>
              </w:rPr>
              <w:t xml:space="preserve">  </w:t>
            </w:r>
          </w:p>
          <w:p w14:paraId="084D5A27" w14:textId="2AD1A4D5" w:rsidR="00111D90" w:rsidRPr="00111D90" w:rsidRDefault="00111D90" w:rsidP="00111D90">
            <w:pPr>
              <w:pStyle w:val="TableText0"/>
              <w:keepNext w:val="0"/>
              <w:numPr>
                <w:ilvl w:val="0"/>
                <w:numId w:val="23"/>
              </w:numPr>
              <w:spacing w:line="256" w:lineRule="auto"/>
              <w:ind w:left="284" w:hanging="208"/>
              <w:rPr>
                <w:iCs/>
                <w:kern w:val="2"/>
                <w:lang w:eastAsia="en-US"/>
                <w14:ligatures w14:val="standardContextual"/>
              </w:rPr>
            </w:pPr>
            <w:r w:rsidRPr="00541454">
              <w:rPr>
                <w:color w:val="000000"/>
                <w:kern w:val="2"/>
                <w:szCs w:val="20"/>
                <w:lang w:eastAsia="en-US"/>
                <w14:ligatures w14:val="standardContextual"/>
              </w:rPr>
              <w:t>Reduced by half for</w:t>
            </w:r>
            <w:r w:rsidR="000660E3">
              <w:rPr>
                <w:color w:val="000000"/>
                <w:kern w:val="2"/>
                <w:szCs w:val="20"/>
                <w:lang w:eastAsia="en-US"/>
                <w14:ligatures w14:val="standardContextual"/>
              </w:rPr>
              <w:t xml:space="preserve"> </w:t>
            </w:r>
            <w:r w:rsidR="00FC2D5E">
              <w:rPr>
                <w:color w:val="000000"/>
                <w:kern w:val="2"/>
                <w:szCs w:val="20"/>
                <w:lang w:eastAsia="en-US"/>
                <w14:ligatures w14:val="standardContextual"/>
              </w:rPr>
              <w:t>CV</w:t>
            </w:r>
            <w:r w:rsidR="000660E3">
              <w:rPr>
                <w:color w:val="000000"/>
                <w:kern w:val="2"/>
                <w:szCs w:val="20"/>
                <w:lang w:eastAsia="en-US"/>
                <w14:ligatures w14:val="standardContextual"/>
              </w:rPr>
              <w:t xml:space="preserve"> rates</w:t>
            </w:r>
            <w:r w:rsidRPr="00541454">
              <w:rPr>
                <w:color w:val="000000"/>
                <w:kern w:val="2"/>
                <w:szCs w:val="20"/>
                <w:lang w:eastAsia="en-US"/>
                <w14:ligatures w14:val="standardContextual"/>
              </w:rPr>
              <w:br/>
              <w:t>NYHA II (i.e. 0.38 →0.</w:t>
            </w:r>
            <w:proofErr w:type="gramStart"/>
            <w:r w:rsidRPr="00541454">
              <w:rPr>
                <w:color w:val="000000"/>
                <w:kern w:val="2"/>
                <w:szCs w:val="20"/>
                <w:lang w:eastAsia="en-US"/>
                <w14:ligatures w14:val="standardContextual"/>
              </w:rPr>
              <w:t>19)</w:t>
            </w:r>
            <w:r w:rsidRPr="00541454">
              <w:rPr>
                <w:color w:val="000000"/>
                <w:kern w:val="2"/>
                <w:szCs w:val="20"/>
                <w:vertAlign w:val="superscript"/>
                <w:lang w:eastAsia="en-US"/>
                <w14:ligatures w14:val="standardContextual"/>
              </w:rPr>
              <w:t>a</w:t>
            </w:r>
            <w:proofErr w:type="gramEnd"/>
            <w:r w:rsidRPr="00541454">
              <w:rPr>
                <w:color w:val="000000"/>
                <w:kern w:val="2"/>
                <w:szCs w:val="20"/>
                <w:lang w:eastAsia="en-US"/>
                <w14:ligatures w14:val="standardContextual"/>
              </w:rPr>
              <w:t xml:space="preserve"> and </w:t>
            </w:r>
            <w:r w:rsidRPr="00541454">
              <w:rPr>
                <w:color w:val="000000"/>
                <w:kern w:val="2"/>
                <w:szCs w:val="20"/>
                <w:lang w:eastAsia="en-US"/>
                <w14:ligatures w14:val="standardContextual"/>
              </w:rPr>
              <w:br/>
              <w:t>NYHA III/IV patients (i.e. 1.00 →0.50)</w:t>
            </w:r>
            <w:r w:rsidRPr="00541454">
              <w:rPr>
                <w:color w:val="000000"/>
                <w:kern w:val="2"/>
                <w:szCs w:val="20"/>
                <w:vertAlign w:val="superscript"/>
                <w:lang w:eastAsia="en-US"/>
                <w14:ligatures w14:val="standardContextual"/>
              </w:rPr>
              <w:t>a</w:t>
            </w:r>
          </w:p>
          <w:p w14:paraId="28A83BEC" w14:textId="720A69A9" w:rsidR="00111D90" w:rsidRPr="00111D90" w:rsidRDefault="00111D90" w:rsidP="009F62CA">
            <w:pPr>
              <w:pStyle w:val="TableText0"/>
              <w:keepNext w:val="0"/>
              <w:numPr>
                <w:ilvl w:val="0"/>
                <w:numId w:val="23"/>
              </w:numPr>
              <w:spacing w:line="256" w:lineRule="auto"/>
              <w:ind w:left="284" w:hanging="208"/>
              <w:rPr>
                <w:iCs/>
                <w:kern w:val="2"/>
                <w:lang w:eastAsia="en-US"/>
                <w14:ligatures w14:val="standardContextual"/>
              </w:rPr>
            </w:pPr>
            <w:r w:rsidRPr="00541454">
              <w:rPr>
                <w:iCs/>
              </w:rPr>
              <w:t>Patients (%) escalating from MAVA to SRT using VALOR-HCM.</w:t>
            </w:r>
          </w:p>
        </w:tc>
        <w:tc>
          <w:tcPr>
            <w:tcW w:w="505" w:type="pct"/>
            <w:tcBorders>
              <w:top w:val="single" w:sz="4" w:space="0" w:color="auto"/>
              <w:left w:val="single" w:sz="4" w:space="0" w:color="auto"/>
              <w:bottom w:val="single" w:sz="4" w:space="0" w:color="auto"/>
              <w:right w:val="single" w:sz="4" w:space="0" w:color="auto"/>
            </w:tcBorders>
            <w:vAlign w:val="center"/>
          </w:tcPr>
          <w:p w14:paraId="590F8980" w14:textId="13299A95" w:rsidR="00111D90" w:rsidRPr="00541454" w:rsidRDefault="00B63528">
            <w:pPr>
              <w:pStyle w:val="TableText0"/>
              <w:keepNext w:val="0"/>
              <w:spacing w:line="256" w:lineRule="auto"/>
              <w:jc w:val="center"/>
              <w:rPr>
                <w:iCs/>
                <w:kern w:val="2"/>
                <w:lang w:eastAsia="en-US"/>
                <w14:ligatures w14:val="standardContextual"/>
              </w:rPr>
            </w:pPr>
            <w:r w:rsidRPr="00B63528">
              <w:rPr>
                <w:iCs/>
                <w:kern w:val="2"/>
                <w:lang w:eastAsia="en-US"/>
                <w14:ligatures w14:val="standardContextual"/>
              </w:rPr>
              <w:t>$</w:t>
            </w:r>
            <w:r w:rsidR="00F5190C" w:rsidRPr="00F5190C">
              <w:rPr>
                <w:iCs/>
                <w:color w:val="000000"/>
                <w:spacing w:val="52"/>
                <w:shd w:val="solid" w:color="000000" w:fill="000000"/>
                <w:fitText w:val="233" w:id="-1167926527"/>
                <w:lang w:eastAsia="en-US"/>
                <w14:textFill>
                  <w14:solidFill>
                    <w14:srgbClr w14:val="000000">
                      <w14:alpha w14:val="100000"/>
                    </w14:srgbClr>
                  </w14:solidFill>
                </w14:textFill>
                <w14:ligatures w14:val="standardContextual"/>
              </w:rPr>
              <w:t>||</w:t>
            </w:r>
            <w:r w:rsidR="00F5190C" w:rsidRPr="00F5190C">
              <w:rPr>
                <w:iCs/>
                <w:color w:val="000000"/>
                <w:spacing w:val="2"/>
                <w:shd w:val="solid" w:color="000000" w:fill="000000"/>
                <w:fitText w:val="233" w:id="-1167926527"/>
                <w:lang w:eastAsia="en-US"/>
                <w14:textFill>
                  <w14:solidFill>
                    <w14:srgbClr w14:val="000000">
                      <w14:alpha w14:val="100000"/>
                    </w14:srgbClr>
                  </w14:solidFill>
                </w14:textFill>
                <w14:ligatures w14:val="standardContextual"/>
              </w:rPr>
              <w:t>|</w:t>
            </w:r>
          </w:p>
        </w:tc>
        <w:tc>
          <w:tcPr>
            <w:tcW w:w="505" w:type="pct"/>
            <w:tcBorders>
              <w:top w:val="single" w:sz="4" w:space="0" w:color="auto"/>
              <w:left w:val="single" w:sz="4" w:space="0" w:color="auto"/>
              <w:bottom w:val="single" w:sz="4" w:space="0" w:color="auto"/>
              <w:right w:val="single" w:sz="4" w:space="0" w:color="auto"/>
            </w:tcBorders>
            <w:vAlign w:val="center"/>
          </w:tcPr>
          <w:p w14:paraId="441AD941" w14:textId="72960082" w:rsidR="00111D90" w:rsidRPr="00541454" w:rsidRDefault="004E18A3">
            <w:pPr>
              <w:pStyle w:val="TableText0"/>
              <w:keepNext w:val="0"/>
              <w:spacing w:line="256" w:lineRule="auto"/>
              <w:jc w:val="center"/>
              <w:rPr>
                <w:iCs/>
                <w:kern w:val="2"/>
                <w:lang w:eastAsia="en-US"/>
                <w14:ligatures w14:val="standardContextual"/>
              </w:rPr>
            </w:pPr>
            <w:r>
              <w:rPr>
                <w:iCs/>
                <w:kern w:val="2"/>
                <w:lang w:eastAsia="en-US"/>
                <w14:ligatures w14:val="standardContextual"/>
              </w:rPr>
              <w:t>0.36</w:t>
            </w:r>
          </w:p>
        </w:tc>
        <w:tc>
          <w:tcPr>
            <w:tcW w:w="505" w:type="pct"/>
            <w:tcBorders>
              <w:top w:val="single" w:sz="4" w:space="0" w:color="auto"/>
              <w:left w:val="single" w:sz="4" w:space="0" w:color="auto"/>
              <w:bottom w:val="single" w:sz="4" w:space="0" w:color="auto"/>
              <w:right w:val="single" w:sz="4" w:space="0" w:color="auto"/>
            </w:tcBorders>
            <w:vAlign w:val="center"/>
          </w:tcPr>
          <w:p w14:paraId="550D5FB7" w14:textId="5F518357" w:rsidR="00111D90" w:rsidRPr="00541454" w:rsidRDefault="00B63528">
            <w:pPr>
              <w:pStyle w:val="TableText0"/>
              <w:keepNext w:val="0"/>
              <w:spacing w:line="256" w:lineRule="auto"/>
              <w:jc w:val="center"/>
              <w:rPr>
                <w:iCs/>
                <w:kern w:val="2"/>
                <w:lang w:eastAsia="en-US"/>
                <w14:ligatures w14:val="standardContextual"/>
              </w:rPr>
            </w:pPr>
            <w:r w:rsidRPr="00B63528">
              <w:rPr>
                <w:iCs/>
                <w:kern w:val="2"/>
                <w:lang w:eastAsia="en-US"/>
                <w14:ligatures w14:val="standardContextual"/>
              </w:rPr>
              <w:t>$</w:t>
            </w:r>
            <w:r w:rsidR="00F5190C" w:rsidRPr="00F5190C">
              <w:rPr>
                <w:iCs/>
                <w:color w:val="000000"/>
                <w:spacing w:val="191"/>
                <w:shd w:val="solid" w:color="000000" w:fill="000000"/>
                <w:fitText w:val="277" w:id="-1167926526"/>
                <w:lang w:eastAsia="en-US"/>
                <w14:textFill>
                  <w14:solidFill>
                    <w14:srgbClr w14:val="000000">
                      <w14:alpha w14:val="100000"/>
                    </w14:srgbClr>
                  </w14:solidFill>
                </w14:textFill>
                <w14:ligatures w14:val="standardContextual"/>
              </w:rPr>
              <w:t>|</w:t>
            </w:r>
            <w:r w:rsidR="00F5190C" w:rsidRPr="00F5190C">
              <w:rPr>
                <w:iCs/>
                <w:color w:val="000000"/>
                <w:spacing w:val="1"/>
                <w:shd w:val="solid" w:color="000000" w:fill="000000"/>
                <w:fitText w:val="277" w:id="-1167926526"/>
                <w:lang w:eastAsia="en-US"/>
                <w14:textFill>
                  <w14:solidFill>
                    <w14:srgbClr w14:val="000000">
                      <w14:alpha w14:val="100000"/>
                    </w14:srgbClr>
                  </w14:solidFill>
                </w14:textFill>
                <w14:ligatures w14:val="standardContextual"/>
              </w:rPr>
              <w:t>|</w:t>
            </w:r>
            <w:r w:rsidR="00452CCD">
              <w:rPr>
                <w:vertAlign w:val="superscript"/>
              </w:rPr>
              <w:t>8</w:t>
            </w:r>
          </w:p>
        </w:tc>
        <w:tc>
          <w:tcPr>
            <w:tcW w:w="511" w:type="pct"/>
            <w:tcBorders>
              <w:top w:val="single" w:sz="4" w:space="0" w:color="auto"/>
              <w:left w:val="single" w:sz="4" w:space="0" w:color="auto"/>
              <w:bottom w:val="single" w:sz="4" w:space="0" w:color="auto"/>
              <w:right w:val="single" w:sz="4" w:space="0" w:color="auto"/>
            </w:tcBorders>
            <w:vAlign w:val="center"/>
          </w:tcPr>
          <w:p w14:paraId="7D1DC5CB" w14:textId="68085DC5" w:rsidR="00111D90" w:rsidRPr="00541454" w:rsidRDefault="004E18A3">
            <w:pPr>
              <w:pStyle w:val="TableText0"/>
              <w:keepNext w:val="0"/>
              <w:spacing w:line="256" w:lineRule="auto"/>
              <w:jc w:val="center"/>
              <w:rPr>
                <w:iCs/>
                <w:kern w:val="2"/>
                <w:lang w:eastAsia="en-US"/>
                <w14:ligatures w14:val="standardContextual"/>
              </w:rPr>
            </w:pPr>
            <w:r>
              <w:rPr>
                <w:iCs/>
                <w:kern w:val="2"/>
                <w:lang w:eastAsia="en-US"/>
                <w14:ligatures w14:val="standardContextual"/>
              </w:rPr>
              <w:t>+206.8%</w:t>
            </w:r>
          </w:p>
        </w:tc>
      </w:tr>
    </w:tbl>
    <w:p w14:paraId="6C719902" w14:textId="4F1997FF" w:rsidR="00253815" w:rsidRPr="00541454" w:rsidRDefault="00253815" w:rsidP="00253815">
      <w:pPr>
        <w:pStyle w:val="FooterTableFigure"/>
      </w:pPr>
      <w:r>
        <w:t xml:space="preserve">Source: Table 64, pp108 of the resubmission; </w:t>
      </w:r>
      <w:r w:rsidRPr="00541454">
        <w:rPr>
          <w:iCs/>
        </w:rPr>
        <w:t>Mavacamten obstructive HCM model resubmission_FINAL, “Outcomes” spreadsheet.</w:t>
      </w:r>
    </w:p>
    <w:p w14:paraId="5D07E466" w14:textId="77777777" w:rsidR="00253815" w:rsidRDefault="00253815" w:rsidP="00253815">
      <w:pPr>
        <w:pStyle w:val="FooterTableFigure"/>
      </w:pPr>
      <w:r>
        <w:t>BB = beta-blocker; CCB = calcium channel blocker; CV – cardiovascular; HR = hazard ratio; ICER = incremental cost-effectiveness; MAVA = mavacamten; QALY = quality-adjusted life year; NYHA = New York Heart Association; SAEs = serious adverse events; SRT = septal reduction therapy; TP = transition probability.</w:t>
      </w:r>
    </w:p>
    <w:p w14:paraId="12D214DE" w14:textId="74FE33B0" w:rsidR="00253815" w:rsidRPr="00541454" w:rsidRDefault="00253815" w:rsidP="00253815">
      <w:pPr>
        <w:pStyle w:val="FooterTableFigure"/>
      </w:pPr>
      <w:r w:rsidRPr="00541454">
        <w:rPr>
          <w:vertAlign w:val="superscript"/>
        </w:rPr>
        <w:t>a</w:t>
      </w:r>
      <w:r w:rsidRPr="00541454">
        <w:t xml:space="preserve"> Sensitivity analyses performed during the evaluation or during ESC evaluation. </w:t>
      </w:r>
    </w:p>
    <w:p w14:paraId="48AE374B" w14:textId="74D6FCDB" w:rsidR="00786726" w:rsidRDefault="00786726" w:rsidP="00786726">
      <w:pPr>
        <w:pStyle w:val="FooterTableFigure"/>
      </w:pPr>
      <w:r w:rsidRPr="00205B76">
        <w:rPr>
          <w:shd w:val="clear" w:color="auto" w:fill="C6D9F1" w:themeFill="text2" w:themeFillTint="33"/>
        </w:rPr>
        <w:t>Blue</w:t>
      </w:r>
      <w:r>
        <w:t xml:space="preserve"> shading indicates rows unchanged from the November 2022 submission.</w:t>
      </w:r>
    </w:p>
    <w:p w14:paraId="76AF51EB" w14:textId="283A250C" w:rsidR="00585419" w:rsidRPr="00452CCD" w:rsidRDefault="00585419" w:rsidP="00786726">
      <w:pPr>
        <w:pStyle w:val="FooterTableFigure"/>
        <w:rPr>
          <w:i/>
          <w:iCs/>
        </w:rPr>
      </w:pPr>
      <w:r w:rsidRPr="00452CCD">
        <w:rPr>
          <w:i/>
          <w:iCs/>
        </w:rPr>
        <w:t>The redacted values correspond to the following ranges:</w:t>
      </w:r>
    </w:p>
    <w:p w14:paraId="59AC158C" w14:textId="72D66B9A" w:rsidR="00585419" w:rsidRPr="00452CCD" w:rsidRDefault="00585419" w:rsidP="00786726">
      <w:pPr>
        <w:pStyle w:val="FooterTableFigure"/>
        <w:rPr>
          <w:i/>
          <w:iCs/>
        </w:rPr>
      </w:pPr>
      <w:r w:rsidRPr="00452CCD">
        <w:rPr>
          <w:i/>
          <w:iCs/>
          <w:vertAlign w:val="superscript"/>
        </w:rPr>
        <w:t>1</w:t>
      </w:r>
      <w:r w:rsidRPr="00452CCD">
        <w:rPr>
          <w:i/>
          <w:iCs/>
        </w:rPr>
        <w:t xml:space="preserve"> $35,000 to &lt; $45,000</w:t>
      </w:r>
    </w:p>
    <w:p w14:paraId="26EAF207" w14:textId="0A2A1802" w:rsidR="00585419" w:rsidRPr="00452CCD" w:rsidRDefault="00585419" w:rsidP="00786726">
      <w:pPr>
        <w:pStyle w:val="FooterTableFigure"/>
        <w:rPr>
          <w:i/>
          <w:iCs/>
        </w:rPr>
      </w:pPr>
      <w:r w:rsidRPr="00452CCD">
        <w:rPr>
          <w:i/>
          <w:iCs/>
          <w:vertAlign w:val="superscript"/>
        </w:rPr>
        <w:t>2</w:t>
      </w:r>
      <w:r w:rsidRPr="00452CCD">
        <w:rPr>
          <w:i/>
          <w:iCs/>
        </w:rPr>
        <w:t xml:space="preserve"> $55,000 to &lt; $75,000</w:t>
      </w:r>
    </w:p>
    <w:p w14:paraId="0BE7CA0A" w14:textId="0E6FD965" w:rsidR="00585419" w:rsidRPr="00452CCD" w:rsidRDefault="00585419" w:rsidP="00786726">
      <w:pPr>
        <w:pStyle w:val="FooterTableFigure"/>
        <w:rPr>
          <w:i/>
          <w:iCs/>
        </w:rPr>
      </w:pPr>
      <w:r w:rsidRPr="00452CCD">
        <w:rPr>
          <w:i/>
          <w:iCs/>
          <w:vertAlign w:val="superscript"/>
        </w:rPr>
        <w:t>3</w:t>
      </w:r>
      <w:r w:rsidRPr="00452CCD">
        <w:rPr>
          <w:i/>
          <w:iCs/>
        </w:rPr>
        <w:t xml:space="preserve"> $75,000 to &lt; $95,000</w:t>
      </w:r>
    </w:p>
    <w:p w14:paraId="73F3B50E" w14:textId="3CC859AD" w:rsidR="00452CCD" w:rsidRPr="00452CCD" w:rsidRDefault="00452CCD" w:rsidP="00786726">
      <w:pPr>
        <w:pStyle w:val="FooterTableFigure"/>
        <w:rPr>
          <w:i/>
          <w:iCs/>
        </w:rPr>
      </w:pPr>
      <w:r w:rsidRPr="00452CCD">
        <w:rPr>
          <w:i/>
          <w:iCs/>
          <w:vertAlign w:val="superscript"/>
        </w:rPr>
        <w:t>4</w:t>
      </w:r>
      <w:r w:rsidRPr="00452CCD">
        <w:rPr>
          <w:i/>
          <w:iCs/>
        </w:rPr>
        <w:t xml:space="preserve"> $45,000 to &lt; $55,000</w:t>
      </w:r>
    </w:p>
    <w:p w14:paraId="6D252982" w14:textId="4B869725" w:rsidR="00452CCD" w:rsidRPr="00452CCD" w:rsidRDefault="00452CCD" w:rsidP="00786726">
      <w:pPr>
        <w:pStyle w:val="FooterTableFigure"/>
        <w:rPr>
          <w:i/>
          <w:iCs/>
        </w:rPr>
      </w:pPr>
      <w:r w:rsidRPr="00452CCD">
        <w:rPr>
          <w:i/>
          <w:iCs/>
          <w:vertAlign w:val="superscript"/>
        </w:rPr>
        <w:t>5</w:t>
      </w:r>
      <w:r w:rsidRPr="00452CCD">
        <w:rPr>
          <w:i/>
          <w:iCs/>
        </w:rPr>
        <w:t xml:space="preserve"> $115,000 to &lt; $135,000</w:t>
      </w:r>
    </w:p>
    <w:p w14:paraId="056143F5" w14:textId="679A922C" w:rsidR="00452CCD" w:rsidRPr="00452CCD" w:rsidRDefault="00452CCD" w:rsidP="00786726">
      <w:pPr>
        <w:pStyle w:val="FooterTableFigure"/>
        <w:rPr>
          <w:i/>
          <w:iCs/>
        </w:rPr>
      </w:pPr>
      <w:r w:rsidRPr="00452CCD">
        <w:rPr>
          <w:i/>
          <w:iCs/>
          <w:vertAlign w:val="superscript"/>
        </w:rPr>
        <w:t>6</w:t>
      </w:r>
      <w:r w:rsidRPr="00452CCD">
        <w:rPr>
          <w:i/>
          <w:iCs/>
        </w:rPr>
        <w:t xml:space="preserve"> $155,000 to &lt; $255,000</w:t>
      </w:r>
    </w:p>
    <w:p w14:paraId="2FE69E4B" w14:textId="35B56D28" w:rsidR="00452CCD" w:rsidRPr="00452CCD" w:rsidRDefault="00452CCD" w:rsidP="00786726">
      <w:pPr>
        <w:pStyle w:val="FooterTableFigure"/>
        <w:rPr>
          <w:i/>
          <w:iCs/>
        </w:rPr>
      </w:pPr>
      <w:r w:rsidRPr="00452CCD">
        <w:rPr>
          <w:i/>
          <w:iCs/>
          <w:vertAlign w:val="superscript"/>
        </w:rPr>
        <w:t>7</w:t>
      </w:r>
      <w:r w:rsidRPr="00452CCD">
        <w:rPr>
          <w:i/>
          <w:iCs/>
        </w:rPr>
        <w:t xml:space="preserve"> $95,000 to &lt; $115,000</w:t>
      </w:r>
    </w:p>
    <w:p w14:paraId="0C2956A0" w14:textId="401E6CDE" w:rsidR="00452CCD" w:rsidRPr="00452CCD" w:rsidRDefault="00452CCD" w:rsidP="00786726">
      <w:pPr>
        <w:pStyle w:val="FooterTableFigure"/>
        <w:rPr>
          <w:i/>
          <w:iCs/>
        </w:rPr>
      </w:pPr>
      <w:r w:rsidRPr="00452CCD">
        <w:rPr>
          <w:i/>
          <w:iCs/>
          <w:vertAlign w:val="superscript"/>
        </w:rPr>
        <w:t>8</w:t>
      </w:r>
      <w:r w:rsidRPr="00452CCD">
        <w:rPr>
          <w:i/>
          <w:iCs/>
        </w:rPr>
        <w:t xml:space="preserve"> $135,000 to &lt; $155,000</w:t>
      </w:r>
    </w:p>
    <w:p w14:paraId="5E8C1BDD" w14:textId="77777777" w:rsidR="00636080" w:rsidRPr="00031FDD" w:rsidRDefault="00C0702C" w:rsidP="00636080">
      <w:pPr>
        <w:pStyle w:val="3-BodyText"/>
      </w:pPr>
      <w:r w:rsidRPr="00BF5BC7">
        <w:rPr>
          <w:iCs/>
        </w:rPr>
        <w:lastRenderedPageBreak/>
        <w:t xml:space="preserve">The key drivers of the economic model were consistent with </w:t>
      </w:r>
      <w:r w:rsidR="00F9202D" w:rsidRPr="00BF5BC7">
        <w:rPr>
          <w:iCs/>
        </w:rPr>
        <w:t xml:space="preserve">a number of </w:t>
      </w:r>
      <w:r w:rsidRPr="00BF5BC7">
        <w:rPr>
          <w:iCs/>
        </w:rPr>
        <w:t>those identified during the November 2022 evaluation which are: time horizon, assumed point of truncation, mortality benefits, and costs for hospitalisation and SRT.</w:t>
      </w:r>
    </w:p>
    <w:p w14:paraId="4015C6C0" w14:textId="183D1216" w:rsidR="00636080" w:rsidRDefault="00636080" w:rsidP="00636080">
      <w:pPr>
        <w:pStyle w:val="4-SubsectionHeading"/>
      </w:pPr>
      <w:bookmarkStart w:id="87" w:name="_Toc22897646"/>
      <w:bookmarkStart w:id="88" w:name="_Toc107927632"/>
      <w:bookmarkStart w:id="89" w:name="_Toc135223332"/>
      <w:r w:rsidRPr="002C2775">
        <w:t>Drug</w:t>
      </w:r>
      <w:r w:rsidR="007B0A08">
        <w:t xml:space="preserve"> </w:t>
      </w:r>
      <w:r w:rsidRPr="002C2775">
        <w:t>cost/patient/year</w:t>
      </w:r>
      <w:bookmarkEnd w:id="87"/>
      <w:bookmarkEnd w:id="88"/>
      <w:bookmarkEnd w:id="89"/>
    </w:p>
    <w:p w14:paraId="1E7688F2" w14:textId="2AF85D39" w:rsidR="00A97A71" w:rsidRPr="00A97A71" w:rsidRDefault="00A97A71" w:rsidP="00682D62">
      <w:pPr>
        <w:pStyle w:val="3-BodyText"/>
      </w:pPr>
      <w:bookmarkStart w:id="90" w:name="_Ref104805102"/>
      <w:r>
        <w:t xml:space="preserve">A comparison of the drug cost </w:t>
      </w:r>
      <w:r w:rsidR="0030419D">
        <w:t xml:space="preserve">for </w:t>
      </w:r>
      <w:r>
        <w:t xml:space="preserve">mavacamten estimated based on EXPLORER-HCM, in the economic evaluation and in the financial analysis is presented in </w:t>
      </w:r>
      <w:r>
        <w:fldChar w:fldCharType="begin"/>
      </w:r>
      <w:r>
        <w:instrText xml:space="preserve"> REF _Ref132304778 \h </w:instrText>
      </w:r>
      <w:r>
        <w:fldChar w:fldCharType="separate"/>
      </w:r>
      <w:r w:rsidR="00F84C70">
        <w:t xml:space="preserve">Table </w:t>
      </w:r>
      <w:r w:rsidR="00F84C70">
        <w:rPr>
          <w:noProof/>
        </w:rPr>
        <w:t>17</w:t>
      </w:r>
      <w:r>
        <w:fldChar w:fldCharType="end"/>
      </w:r>
      <w:r>
        <w:t xml:space="preserve">. The cost of BB/CCB is not included in the table as patients in both treatment arms will receive BB/CCB therapy, either in combination with mavacamten or as monotherapy.  </w:t>
      </w:r>
      <w:r w:rsidRPr="00424AF9">
        <w:t xml:space="preserve"> </w:t>
      </w:r>
    </w:p>
    <w:p w14:paraId="4470738C" w14:textId="2150AB9F" w:rsidR="00646F6E" w:rsidRPr="007B0A08" w:rsidRDefault="00636080" w:rsidP="00646F6E">
      <w:pPr>
        <w:pStyle w:val="Caption"/>
        <w:rPr>
          <w:rStyle w:val="CommentReference"/>
          <w:b/>
          <w:szCs w:val="18"/>
        </w:rPr>
      </w:pPr>
      <w:bookmarkStart w:id="91" w:name="_Ref132304778"/>
      <w:r>
        <w:t xml:space="preserve">Table </w:t>
      </w:r>
      <w:fldSimple w:instr=" SEQ Table \* ARABIC ">
        <w:r w:rsidR="00F84C70">
          <w:rPr>
            <w:noProof/>
          </w:rPr>
          <w:t>17</w:t>
        </w:r>
      </w:fldSimple>
      <w:bookmarkEnd w:id="90"/>
      <w:bookmarkEnd w:id="91"/>
      <w:r>
        <w:t>:</w:t>
      </w:r>
      <w:r w:rsidRPr="00BB732D">
        <w:rPr>
          <w:rStyle w:val="CommentReference"/>
          <w:b/>
          <w:szCs w:val="24"/>
        </w:rPr>
        <w:t xml:space="preserve"> </w:t>
      </w:r>
      <w:r w:rsidR="00646F6E" w:rsidRPr="00BB732D">
        <w:rPr>
          <w:rStyle w:val="CommentReference"/>
          <w:b/>
          <w:szCs w:val="24"/>
        </w:rPr>
        <w:t xml:space="preserve">Drug cost per patient for </w:t>
      </w:r>
      <w:r w:rsidR="00646F6E">
        <w:rPr>
          <w:rStyle w:val="CommentReference"/>
          <w:b/>
          <w:szCs w:val="24"/>
        </w:rPr>
        <w:t>mavacamten</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6"/>
        <w:gridCol w:w="1560"/>
        <w:gridCol w:w="1196"/>
        <w:gridCol w:w="1083"/>
        <w:gridCol w:w="1562"/>
        <w:gridCol w:w="1201"/>
        <w:gridCol w:w="1316"/>
      </w:tblGrid>
      <w:tr w:rsidR="00E1098A" w:rsidRPr="00E2771E" w14:paraId="2BF5B99A" w14:textId="77777777" w:rsidTr="00AC0840">
        <w:trPr>
          <w:cantSplit/>
          <w:tblHeader/>
        </w:trPr>
        <w:tc>
          <w:tcPr>
            <w:tcW w:w="656" w:type="pct"/>
            <w:shd w:val="clear" w:color="auto" w:fill="auto"/>
            <w:vAlign w:val="center"/>
          </w:tcPr>
          <w:p w14:paraId="290D8E37" w14:textId="77777777" w:rsidR="00E1098A" w:rsidRPr="00E2771E" w:rsidRDefault="00E1098A" w:rsidP="00F774FD">
            <w:pPr>
              <w:pStyle w:val="In-tableHeading"/>
              <w:jc w:val="center"/>
            </w:pPr>
          </w:p>
        </w:tc>
        <w:tc>
          <w:tcPr>
            <w:tcW w:w="2106" w:type="pct"/>
            <w:gridSpan w:val="3"/>
            <w:shd w:val="clear" w:color="auto" w:fill="auto"/>
            <w:vAlign w:val="center"/>
          </w:tcPr>
          <w:p w14:paraId="08158AFB" w14:textId="77777777" w:rsidR="00E1098A" w:rsidRPr="00E2771E" w:rsidRDefault="00E1098A" w:rsidP="00F774FD">
            <w:pPr>
              <w:pStyle w:val="In-tableHeading"/>
              <w:jc w:val="center"/>
            </w:pPr>
            <w:r>
              <w:t>Resubmission, July 2023</w:t>
            </w:r>
          </w:p>
        </w:tc>
        <w:tc>
          <w:tcPr>
            <w:tcW w:w="2238" w:type="pct"/>
            <w:gridSpan w:val="3"/>
          </w:tcPr>
          <w:p w14:paraId="3D817F19" w14:textId="77777777" w:rsidR="00E1098A" w:rsidRDefault="00E1098A" w:rsidP="00F774FD">
            <w:pPr>
              <w:pStyle w:val="In-tableHeading"/>
              <w:jc w:val="center"/>
            </w:pPr>
            <w:r>
              <w:t>November 2022</w:t>
            </w:r>
          </w:p>
        </w:tc>
      </w:tr>
      <w:tr w:rsidR="00E1098A" w:rsidRPr="00E2771E" w14:paraId="5FF1401D" w14:textId="77777777" w:rsidTr="00AC0840">
        <w:trPr>
          <w:cantSplit/>
          <w:tblHeader/>
        </w:trPr>
        <w:tc>
          <w:tcPr>
            <w:tcW w:w="656" w:type="pct"/>
            <w:shd w:val="clear" w:color="auto" w:fill="auto"/>
            <w:vAlign w:val="center"/>
          </w:tcPr>
          <w:p w14:paraId="0CDE026B" w14:textId="77777777" w:rsidR="00E1098A" w:rsidRPr="00E2771E" w:rsidRDefault="00E1098A" w:rsidP="00E1098A">
            <w:pPr>
              <w:pStyle w:val="In-tableHeading"/>
              <w:jc w:val="center"/>
            </w:pPr>
          </w:p>
        </w:tc>
        <w:tc>
          <w:tcPr>
            <w:tcW w:w="856" w:type="pct"/>
            <w:shd w:val="clear" w:color="auto" w:fill="auto"/>
            <w:vAlign w:val="center"/>
          </w:tcPr>
          <w:p w14:paraId="3C0F8290" w14:textId="77777777" w:rsidR="00E1098A" w:rsidRPr="00F65EAA" w:rsidRDefault="00E1098A" w:rsidP="00E1098A">
            <w:pPr>
              <w:pStyle w:val="In-tableHeading"/>
              <w:jc w:val="center"/>
            </w:pPr>
            <w:r w:rsidRPr="00F65EAA">
              <w:t>Trial</w:t>
            </w:r>
            <w:r>
              <w:t xml:space="preserve"> </w:t>
            </w:r>
            <w:r w:rsidRPr="00F65EAA">
              <w:t>dos</w:t>
            </w:r>
            <w:r>
              <w:t>e</w:t>
            </w:r>
            <w:r w:rsidRPr="00F65EAA">
              <w:t xml:space="preserve"> and duration</w:t>
            </w:r>
          </w:p>
        </w:tc>
        <w:tc>
          <w:tcPr>
            <w:tcW w:w="656" w:type="pct"/>
            <w:shd w:val="clear" w:color="auto" w:fill="auto"/>
            <w:vAlign w:val="center"/>
          </w:tcPr>
          <w:p w14:paraId="3A1090ED" w14:textId="77777777" w:rsidR="00E1098A" w:rsidRDefault="00E1098A" w:rsidP="00E1098A">
            <w:pPr>
              <w:pStyle w:val="In-tableHeading"/>
              <w:jc w:val="center"/>
            </w:pPr>
            <w:r>
              <w:t>Model</w:t>
            </w:r>
          </w:p>
        </w:tc>
        <w:tc>
          <w:tcPr>
            <w:tcW w:w="594" w:type="pct"/>
            <w:shd w:val="clear" w:color="auto" w:fill="auto"/>
            <w:vAlign w:val="center"/>
          </w:tcPr>
          <w:p w14:paraId="289499EF" w14:textId="77777777" w:rsidR="00E1098A" w:rsidRDefault="00E1098A" w:rsidP="00E1098A">
            <w:pPr>
              <w:pStyle w:val="In-tableHeading"/>
              <w:jc w:val="center"/>
            </w:pPr>
            <w:r>
              <w:t>Financial estimates</w:t>
            </w:r>
          </w:p>
        </w:tc>
        <w:tc>
          <w:tcPr>
            <w:tcW w:w="857" w:type="pct"/>
            <w:shd w:val="clear" w:color="auto" w:fill="C6D9F1" w:themeFill="text2" w:themeFillTint="33"/>
            <w:vAlign w:val="center"/>
          </w:tcPr>
          <w:p w14:paraId="67E22463" w14:textId="77777777" w:rsidR="00E1098A" w:rsidRDefault="00E1098A" w:rsidP="00E1098A">
            <w:pPr>
              <w:pStyle w:val="In-tableHeading"/>
              <w:jc w:val="center"/>
            </w:pPr>
            <w:r w:rsidRPr="00F65EAA">
              <w:t>Trial</w:t>
            </w:r>
            <w:r>
              <w:t xml:space="preserve"> </w:t>
            </w:r>
            <w:r w:rsidRPr="00F65EAA">
              <w:t>dos</w:t>
            </w:r>
            <w:r>
              <w:t>e</w:t>
            </w:r>
            <w:r w:rsidRPr="00F65EAA">
              <w:t xml:space="preserve"> and duration</w:t>
            </w:r>
          </w:p>
        </w:tc>
        <w:tc>
          <w:tcPr>
            <w:tcW w:w="659" w:type="pct"/>
            <w:shd w:val="clear" w:color="auto" w:fill="C6D9F1" w:themeFill="text2" w:themeFillTint="33"/>
            <w:vAlign w:val="center"/>
          </w:tcPr>
          <w:p w14:paraId="699ADD81" w14:textId="77777777" w:rsidR="00E1098A" w:rsidRDefault="00E1098A" w:rsidP="00E1098A">
            <w:pPr>
              <w:pStyle w:val="In-tableHeading"/>
              <w:jc w:val="center"/>
            </w:pPr>
            <w:r>
              <w:t>Model</w:t>
            </w:r>
          </w:p>
        </w:tc>
        <w:tc>
          <w:tcPr>
            <w:tcW w:w="722" w:type="pct"/>
            <w:shd w:val="clear" w:color="auto" w:fill="C6D9F1" w:themeFill="text2" w:themeFillTint="33"/>
            <w:vAlign w:val="center"/>
          </w:tcPr>
          <w:p w14:paraId="75307B25" w14:textId="77777777" w:rsidR="00E1098A" w:rsidRDefault="00E1098A" w:rsidP="00E1098A">
            <w:pPr>
              <w:pStyle w:val="In-tableHeading"/>
              <w:jc w:val="center"/>
            </w:pPr>
            <w:r>
              <w:t>Financial estimates</w:t>
            </w:r>
          </w:p>
        </w:tc>
      </w:tr>
      <w:tr w:rsidR="00AC0840" w:rsidRPr="00E2771E" w14:paraId="1F166570" w14:textId="77777777" w:rsidTr="00AC0840">
        <w:trPr>
          <w:cantSplit/>
        </w:trPr>
        <w:tc>
          <w:tcPr>
            <w:tcW w:w="656" w:type="pct"/>
            <w:shd w:val="clear" w:color="auto" w:fill="auto"/>
            <w:vAlign w:val="center"/>
          </w:tcPr>
          <w:p w14:paraId="4535742C" w14:textId="77777777" w:rsidR="00E1098A" w:rsidRPr="001F5BDA" w:rsidRDefault="00E1098A" w:rsidP="00E1098A">
            <w:pPr>
              <w:pStyle w:val="TableText0"/>
              <w:rPr>
                <w:lang w:val="en-US"/>
              </w:rPr>
            </w:pPr>
            <w:r w:rsidRPr="001F5BDA">
              <w:rPr>
                <w:lang w:val="en-US"/>
              </w:rPr>
              <w:t>Mean dose</w:t>
            </w:r>
          </w:p>
        </w:tc>
        <w:tc>
          <w:tcPr>
            <w:tcW w:w="856" w:type="pct"/>
            <w:shd w:val="clear" w:color="auto" w:fill="C6D9F1" w:themeFill="text2" w:themeFillTint="33"/>
            <w:vAlign w:val="center"/>
          </w:tcPr>
          <w:p w14:paraId="2EB69B72" w14:textId="77777777" w:rsidR="00E1098A" w:rsidRPr="0014273B" w:rsidRDefault="00E1098A" w:rsidP="005F18B5">
            <w:pPr>
              <w:pStyle w:val="TableText0"/>
              <w:ind w:left="-163"/>
              <w:jc w:val="center"/>
              <w:rPr>
                <w:vertAlign w:val="superscript"/>
                <w:lang w:val="en-US"/>
              </w:rPr>
            </w:pPr>
            <w:r w:rsidRPr="0014273B">
              <w:rPr>
                <w:color w:val="000000" w:themeColor="text1"/>
                <w:lang w:val="en-US"/>
              </w:rPr>
              <w:t>6.69</w:t>
            </w:r>
            <w:r w:rsidR="005F18B5">
              <w:rPr>
                <w:color w:val="000000" w:themeColor="text1"/>
                <w:lang w:val="en-US"/>
              </w:rPr>
              <w:t> </w:t>
            </w:r>
            <w:r w:rsidRPr="0014273B">
              <w:rPr>
                <w:color w:val="000000" w:themeColor="text1"/>
                <w:lang w:val="en-US"/>
              </w:rPr>
              <w:t xml:space="preserve">mg </w:t>
            </w:r>
            <w:r>
              <w:rPr>
                <w:color w:val="000000" w:themeColor="text1"/>
                <w:lang w:val="en-US"/>
              </w:rPr>
              <w:t xml:space="preserve">per </w:t>
            </w:r>
            <w:proofErr w:type="gramStart"/>
            <w:r>
              <w:rPr>
                <w:color w:val="000000" w:themeColor="text1"/>
                <w:lang w:val="en-US"/>
              </w:rPr>
              <w:t>day</w:t>
            </w:r>
            <w:r>
              <w:rPr>
                <w:color w:val="000000" w:themeColor="text1"/>
                <w:vertAlign w:val="superscript"/>
                <w:lang w:val="en-US"/>
              </w:rPr>
              <w:t>a,b</w:t>
            </w:r>
            <w:proofErr w:type="gramEnd"/>
          </w:p>
        </w:tc>
        <w:tc>
          <w:tcPr>
            <w:tcW w:w="656" w:type="pct"/>
            <w:shd w:val="clear" w:color="auto" w:fill="C6D9F1" w:themeFill="text2" w:themeFillTint="33"/>
            <w:vAlign w:val="center"/>
          </w:tcPr>
          <w:p w14:paraId="2E7627A0" w14:textId="77777777" w:rsidR="00E1098A" w:rsidRPr="0014273B" w:rsidRDefault="00E1098A" w:rsidP="00E1098A">
            <w:pPr>
              <w:pStyle w:val="TableText0"/>
              <w:jc w:val="center"/>
              <w:rPr>
                <w:vertAlign w:val="superscript"/>
                <w:lang w:val="en-US"/>
              </w:rPr>
            </w:pPr>
            <w:r w:rsidRPr="0014273B">
              <w:rPr>
                <w:lang w:val="en-US"/>
              </w:rPr>
              <w:t>Not estimated</w:t>
            </w:r>
            <w:r>
              <w:rPr>
                <w:vertAlign w:val="superscript"/>
                <w:lang w:val="en-US"/>
              </w:rPr>
              <w:t>b</w:t>
            </w:r>
          </w:p>
        </w:tc>
        <w:tc>
          <w:tcPr>
            <w:tcW w:w="594" w:type="pct"/>
            <w:shd w:val="clear" w:color="auto" w:fill="C6D9F1" w:themeFill="text2" w:themeFillTint="33"/>
            <w:vAlign w:val="center"/>
          </w:tcPr>
          <w:p w14:paraId="05DAFC58" w14:textId="77777777" w:rsidR="00E1098A" w:rsidRDefault="00E1098A" w:rsidP="00E1098A">
            <w:pPr>
              <w:pStyle w:val="TableText0"/>
              <w:jc w:val="center"/>
              <w:rPr>
                <w:b/>
                <w:lang w:val="en-US"/>
              </w:rPr>
            </w:pPr>
            <w:r w:rsidRPr="0014273B">
              <w:rPr>
                <w:lang w:val="en-US"/>
              </w:rPr>
              <w:t>Not estimated</w:t>
            </w:r>
            <w:r>
              <w:rPr>
                <w:vertAlign w:val="superscript"/>
                <w:lang w:val="en-US"/>
              </w:rPr>
              <w:t>b</w:t>
            </w:r>
          </w:p>
        </w:tc>
        <w:tc>
          <w:tcPr>
            <w:tcW w:w="857" w:type="pct"/>
            <w:shd w:val="clear" w:color="auto" w:fill="C6D9F1" w:themeFill="text2" w:themeFillTint="33"/>
            <w:vAlign w:val="center"/>
          </w:tcPr>
          <w:p w14:paraId="3D0F7FEE" w14:textId="77777777" w:rsidR="00E1098A" w:rsidRPr="0014273B" w:rsidRDefault="00E1098A" w:rsidP="005F18B5">
            <w:pPr>
              <w:pStyle w:val="TableText0"/>
              <w:ind w:left="-149"/>
              <w:jc w:val="center"/>
              <w:rPr>
                <w:lang w:val="en-US"/>
              </w:rPr>
            </w:pPr>
            <w:r w:rsidRPr="0014273B">
              <w:rPr>
                <w:color w:val="000000" w:themeColor="text1"/>
                <w:lang w:val="en-US"/>
              </w:rPr>
              <w:t>6.69</w:t>
            </w:r>
            <w:r w:rsidR="005F18B5">
              <w:rPr>
                <w:color w:val="000000" w:themeColor="text1"/>
                <w:lang w:val="en-US"/>
              </w:rPr>
              <w:t> </w:t>
            </w:r>
            <w:r w:rsidRPr="0014273B">
              <w:rPr>
                <w:color w:val="000000" w:themeColor="text1"/>
                <w:lang w:val="en-US"/>
              </w:rPr>
              <w:t xml:space="preserve">mg </w:t>
            </w:r>
            <w:r>
              <w:rPr>
                <w:color w:val="000000" w:themeColor="text1"/>
                <w:lang w:val="en-US"/>
              </w:rPr>
              <w:t xml:space="preserve">per </w:t>
            </w:r>
            <w:proofErr w:type="gramStart"/>
            <w:r>
              <w:rPr>
                <w:color w:val="000000" w:themeColor="text1"/>
                <w:lang w:val="en-US"/>
              </w:rPr>
              <w:t>day</w:t>
            </w:r>
            <w:r>
              <w:rPr>
                <w:color w:val="000000" w:themeColor="text1"/>
                <w:vertAlign w:val="superscript"/>
                <w:lang w:val="en-US"/>
              </w:rPr>
              <w:t>a,b</w:t>
            </w:r>
            <w:proofErr w:type="gramEnd"/>
          </w:p>
        </w:tc>
        <w:tc>
          <w:tcPr>
            <w:tcW w:w="659" w:type="pct"/>
            <w:shd w:val="clear" w:color="auto" w:fill="C6D9F1" w:themeFill="text2" w:themeFillTint="33"/>
            <w:vAlign w:val="center"/>
          </w:tcPr>
          <w:p w14:paraId="16AB9DA3" w14:textId="77777777" w:rsidR="00E1098A" w:rsidRPr="0014273B" w:rsidRDefault="00E1098A" w:rsidP="00E1098A">
            <w:pPr>
              <w:pStyle w:val="TableText0"/>
              <w:jc w:val="center"/>
              <w:rPr>
                <w:lang w:val="en-US"/>
              </w:rPr>
            </w:pPr>
            <w:r w:rsidRPr="0014273B">
              <w:rPr>
                <w:lang w:val="en-US"/>
              </w:rPr>
              <w:t>Not estimated</w:t>
            </w:r>
            <w:r>
              <w:rPr>
                <w:vertAlign w:val="superscript"/>
                <w:lang w:val="en-US"/>
              </w:rPr>
              <w:t>b</w:t>
            </w:r>
          </w:p>
        </w:tc>
        <w:tc>
          <w:tcPr>
            <w:tcW w:w="722" w:type="pct"/>
            <w:shd w:val="clear" w:color="auto" w:fill="C6D9F1" w:themeFill="text2" w:themeFillTint="33"/>
            <w:vAlign w:val="center"/>
          </w:tcPr>
          <w:p w14:paraId="50CB3754" w14:textId="77777777" w:rsidR="00E1098A" w:rsidRPr="0014273B" w:rsidRDefault="00E1098A" w:rsidP="00E1098A">
            <w:pPr>
              <w:pStyle w:val="TableText0"/>
              <w:jc w:val="center"/>
              <w:rPr>
                <w:lang w:val="en-US"/>
              </w:rPr>
            </w:pPr>
            <w:r w:rsidRPr="0014273B">
              <w:rPr>
                <w:lang w:val="en-US"/>
              </w:rPr>
              <w:t>Not estimated</w:t>
            </w:r>
            <w:r>
              <w:rPr>
                <w:vertAlign w:val="superscript"/>
                <w:lang w:val="en-US"/>
              </w:rPr>
              <w:t>b</w:t>
            </w:r>
          </w:p>
        </w:tc>
      </w:tr>
      <w:tr w:rsidR="00E1098A" w:rsidRPr="00E2771E" w14:paraId="38B126A1" w14:textId="77777777" w:rsidTr="00AC0840">
        <w:trPr>
          <w:cantSplit/>
        </w:trPr>
        <w:tc>
          <w:tcPr>
            <w:tcW w:w="656" w:type="pct"/>
            <w:shd w:val="clear" w:color="auto" w:fill="auto"/>
            <w:vAlign w:val="center"/>
          </w:tcPr>
          <w:p w14:paraId="393E3DF3" w14:textId="77777777" w:rsidR="00E1098A" w:rsidRPr="001F5BDA" w:rsidRDefault="00E1098A" w:rsidP="00E1098A">
            <w:pPr>
              <w:pStyle w:val="TableText0"/>
              <w:rPr>
                <w:lang w:val="en-US"/>
              </w:rPr>
            </w:pPr>
            <w:r>
              <w:rPr>
                <w:lang w:val="en-US"/>
              </w:rPr>
              <w:t>Cost per 28 capsules</w:t>
            </w:r>
          </w:p>
        </w:tc>
        <w:tc>
          <w:tcPr>
            <w:tcW w:w="856" w:type="pct"/>
            <w:shd w:val="clear" w:color="auto" w:fill="auto"/>
            <w:vAlign w:val="center"/>
          </w:tcPr>
          <w:p w14:paraId="23DB58F6" w14:textId="596E9BE5" w:rsidR="00E1098A" w:rsidRPr="00086E0A" w:rsidRDefault="00E1098A" w:rsidP="00E1098A">
            <w:pPr>
              <w:pStyle w:val="TableText0"/>
              <w:jc w:val="center"/>
              <w:rPr>
                <w:color w:val="000000" w:themeColor="text1"/>
                <w:vertAlign w:val="superscript"/>
                <w:lang w:val="en-US"/>
              </w:rPr>
            </w:pPr>
            <w:r w:rsidRPr="00F71748">
              <w:rPr>
                <w:color w:val="000000" w:themeColor="text1"/>
                <w:lang w:val="en-US"/>
              </w:rPr>
              <w:t>$</w:t>
            </w:r>
            <w:r w:rsidR="00F5190C" w:rsidRPr="00F5190C">
              <w:rPr>
                <w:color w:val="000000"/>
                <w:shd w:val="solid" w:color="000000" w:fill="000000"/>
                <w14:textFill>
                  <w14:solidFill>
                    <w14:srgbClr w14:val="000000">
                      <w14:alpha w14:val="100000"/>
                    </w14:srgbClr>
                  </w14:solidFill>
                </w14:textFill>
              </w:rPr>
              <w:t>|</w:t>
            </w:r>
          </w:p>
        </w:tc>
        <w:tc>
          <w:tcPr>
            <w:tcW w:w="656" w:type="pct"/>
            <w:shd w:val="clear" w:color="auto" w:fill="auto"/>
            <w:vAlign w:val="center"/>
          </w:tcPr>
          <w:p w14:paraId="30F0AC5C" w14:textId="0D1AE013" w:rsidR="00E1098A" w:rsidRPr="00086E0A" w:rsidRDefault="00BE3165" w:rsidP="00E1098A">
            <w:pPr>
              <w:pStyle w:val="TableText0"/>
              <w:jc w:val="center"/>
              <w:rPr>
                <w:vertAlign w:val="superscript"/>
                <w:lang w:val="en-US"/>
              </w:rPr>
            </w:pPr>
            <w:r w:rsidRPr="00565C79">
              <w:t>$</w:t>
            </w:r>
            <w:r w:rsidR="00F5190C" w:rsidRPr="00F84C70">
              <w:rPr>
                <w:rFonts w:hint="eastAsia"/>
                <w:color w:val="000000"/>
                <w:w w:val="15"/>
                <w:shd w:val="solid" w:color="000000" w:fill="000000"/>
                <w:fitText w:val="11" w:id="-1167926525"/>
                <w14:textFill>
                  <w14:solidFill>
                    <w14:srgbClr w14:val="000000">
                      <w14:alpha w14:val="100000"/>
                    </w14:srgbClr>
                  </w14:solidFill>
                </w14:textFill>
              </w:rPr>
              <w:t xml:space="preserve">　</w:t>
            </w:r>
            <w:r w:rsidR="00F5190C" w:rsidRPr="00F84C70">
              <w:rPr>
                <w:color w:val="000000"/>
                <w:w w:val="15"/>
                <w:shd w:val="solid" w:color="000000" w:fill="000000"/>
                <w:fitText w:val="11" w:id="-1167926525"/>
                <w14:textFill>
                  <w14:solidFill>
                    <w14:srgbClr w14:val="000000">
                      <w14:alpha w14:val="100000"/>
                    </w14:srgbClr>
                  </w14:solidFill>
                </w14:textFill>
              </w:rPr>
              <w:t>|</w:t>
            </w:r>
            <w:r w:rsidR="00F5190C" w:rsidRPr="00F84C70">
              <w:rPr>
                <w:rFonts w:hint="eastAsia"/>
                <w:color w:val="000000"/>
                <w:spacing w:val="-54"/>
                <w:w w:val="15"/>
                <w:shd w:val="solid" w:color="000000" w:fill="000000"/>
                <w:fitText w:val="11" w:id="-1167926525"/>
                <w14:textFill>
                  <w14:solidFill>
                    <w14:srgbClr w14:val="000000">
                      <w14:alpha w14:val="100000"/>
                    </w14:srgbClr>
                  </w14:solidFill>
                </w14:textFill>
              </w:rPr>
              <w:t xml:space="preserve">　</w:t>
            </w:r>
          </w:p>
        </w:tc>
        <w:tc>
          <w:tcPr>
            <w:tcW w:w="594" w:type="pct"/>
            <w:shd w:val="clear" w:color="auto" w:fill="auto"/>
            <w:vAlign w:val="center"/>
          </w:tcPr>
          <w:p w14:paraId="1C111AD8" w14:textId="3F394724" w:rsidR="00E1098A" w:rsidRPr="00086E0A" w:rsidRDefault="00BE3165" w:rsidP="00E1098A">
            <w:pPr>
              <w:pStyle w:val="TableText0"/>
              <w:jc w:val="center"/>
              <w:rPr>
                <w:vertAlign w:val="superscript"/>
                <w:lang w:val="en-US"/>
              </w:rPr>
            </w:pPr>
            <w:r w:rsidRPr="00565C79">
              <w:t>$</w:t>
            </w:r>
            <w:r w:rsidR="00F5190C" w:rsidRPr="00F5190C">
              <w:rPr>
                <w:rFonts w:hint="eastAsia"/>
                <w:color w:val="000000"/>
                <w:w w:val="17"/>
                <w:shd w:val="solid" w:color="000000" w:fill="000000"/>
                <w:fitText w:val="77" w:id="-1167926524"/>
                <w14:textFill>
                  <w14:solidFill>
                    <w14:srgbClr w14:val="000000">
                      <w14:alpha w14:val="100000"/>
                    </w14:srgbClr>
                  </w14:solidFill>
                </w14:textFill>
              </w:rPr>
              <w:t xml:space="preserve">　</w:t>
            </w:r>
            <w:r w:rsidR="00F5190C" w:rsidRPr="00F5190C">
              <w:rPr>
                <w:color w:val="000000"/>
                <w:w w:val="17"/>
                <w:shd w:val="solid" w:color="000000" w:fill="000000"/>
                <w:fitText w:val="77" w:id="-1167926524"/>
                <w14:textFill>
                  <w14:solidFill>
                    <w14:srgbClr w14:val="000000">
                      <w14:alpha w14:val="100000"/>
                    </w14:srgbClr>
                  </w14:solidFill>
                </w14:textFill>
              </w:rPr>
              <w:t>|</w:t>
            </w:r>
            <w:r w:rsidR="00F5190C" w:rsidRPr="00F5190C">
              <w:rPr>
                <w:rFonts w:hint="eastAsia"/>
                <w:color w:val="000000"/>
                <w:spacing w:val="4"/>
                <w:w w:val="17"/>
                <w:shd w:val="solid" w:color="000000" w:fill="000000"/>
                <w:fitText w:val="77" w:id="-1167926524"/>
                <w14:textFill>
                  <w14:solidFill>
                    <w14:srgbClr w14:val="000000">
                      <w14:alpha w14:val="100000"/>
                    </w14:srgbClr>
                  </w14:solidFill>
                </w14:textFill>
              </w:rPr>
              <w:t xml:space="preserve">　</w:t>
            </w:r>
          </w:p>
        </w:tc>
        <w:tc>
          <w:tcPr>
            <w:tcW w:w="857" w:type="pct"/>
            <w:shd w:val="clear" w:color="auto" w:fill="C6D9F1" w:themeFill="text2" w:themeFillTint="33"/>
            <w:vAlign w:val="center"/>
          </w:tcPr>
          <w:p w14:paraId="573F86A4" w14:textId="7047662E" w:rsidR="00E1098A" w:rsidRPr="00F71748" w:rsidRDefault="00E1098A" w:rsidP="00E1098A">
            <w:pPr>
              <w:pStyle w:val="TableText0"/>
              <w:jc w:val="center"/>
              <w:rPr>
                <w:lang w:val="en-US"/>
              </w:rPr>
            </w:pPr>
            <w:r w:rsidRPr="00F71748">
              <w:rPr>
                <w:color w:val="000000" w:themeColor="text1"/>
                <w:lang w:val="en-US"/>
              </w:rPr>
              <w:t>$</w:t>
            </w:r>
            <w:r w:rsidR="00F5190C" w:rsidRPr="00F5190C">
              <w:rPr>
                <w:color w:val="000000" w:themeColor="text1"/>
                <w:shd w:val="solid" w:color="000000" w:fill="000000"/>
                <w:lang w:val="en-US"/>
                <w14:textFill>
                  <w14:solidFill>
                    <w14:schemeClr w14:val="tx1">
                      <w14:alpha w14:val="100000"/>
                    </w14:schemeClr>
                  </w14:solidFill>
                </w14:textFill>
              </w:rPr>
              <w:t>|</w:t>
            </w:r>
            <w:r>
              <w:rPr>
                <w:color w:val="000000" w:themeColor="text1"/>
                <w:vertAlign w:val="superscript"/>
                <w:lang w:val="en-US"/>
              </w:rPr>
              <w:t>c</w:t>
            </w:r>
          </w:p>
        </w:tc>
        <w:tc>
          <w:tcPr>
            <w:tcW w:w="659" w:type="pct"/>
            <w:shd w:val="clear" w:color="auto" w:fill="C6D9F1" w:themeFill="text2" w:themeFillTint="33"/>
            <w:vAlign w:val="center"/>
          </w:tcPr>
          <w:p w14:paraId="3B1D27EE" w14:textId="29EC94B5" w:rsidR="00E1098A" w:rsidRPr="00F71748" w:rsidRDefault="00E1098A" w:rsidP="00E1098A">
            <w:pPr>
              <w:pStyle w:val="TableText0"/>
              <w:jc w:val="center"/>
              <w:rPr>
                <w:lang w:val="en-US"/>
              </w:rPr>
            </w:pPr>
            <w:r w:rsidRPr="00F71748">
              <w:rPr>
                <w:lang w:val="en-US"/>
              </w:rPr>
              <w:t>$</w:t>
            </w:r>
            <w:r w:rsidR="00F5190C" w:rsidRPr="00F5190C">
              <w:rPr>
                <w:rFonts w:hint="eastAsia"/>
                <w:color w:val="000000"/>
                <w:w w:val="15"/>
                <w:shd w:val="solid" w:color="000000" w:fill="000000"/>
                <w:fitText w:val="45" w:id="-1167926523"/>
                <w:lang w:val="en-US"/>
                <w14:textFill>
                  <w14:solidFill>
                    <w14:srgbClr w14:val="000000">
                      <w14:alpha w14:val="100000"/>
                    </w14:srgbClr>
                  </w14:solidFill>
                </w14:textFill>
              </w:rPr>
              <w:t xml:space="preserve">　</w:t>
            </w:r>
            <w:r w:rsidR="00F5190C" w:rsidRPr="00F5190C">
              <w:rPr>
                <w:color w:val="000000"/>
                <w:w w:val="15"/>
                <w:shd w:val="solid" w:color="000000" w:fill="000000"/>
                <w:fitText w:val="45" w:id="-1167926523"/>
                <w:lang w:val="en-US"/>
                <w14:textFill>
                  <w14:solidFill>
                    <w14:srgbClr w14:val="000000">
                      <w14:alpha w14:val="100000"/>
                    </w14:srgbClr>
                  </w14:solidFill>
                </w14:textFill>
              </w:rPr>
              <w:t>|</w:t>
            </w:r>
            <w:r w:rsidR="00F5190C" w:rsidRPr="00F5190C">
              <w:rPr>
                <w:rFonts w:hint="eastAsia"/>
                <w:color w:val="000000"/>
                <w:spacing w:val="-20"/>
                <w:w w:val="15"/>
                <w:shd w:val="solid" w:color="000000" w:fill="000000"/>
                <w:fitText w:val="45" w:id="-1167926523"/>
                <w:lang w:val="en-US"/>
                <w14:textFill>
                  <w14:solidFill>
                    <w14:srgbClr w14:val="000000">
                      <w14:alpha w14:val="100000"/>
                    </w14:srgbClr>
                  </w14:solidFill>
                </w14:textFill>
              </w:rPr>
              <w:t xml:space="preserve">　</w:t>
            </w:r>
            <w:r>
              <w:rPr>
                <w:vertAlign w:val="superscript"/>
                <w:lang w:val="en-US"/>
              </w:rPr>
              <w:t>c</w:t>
            </w:r>
          </w:p>
        </w:tc>
        <w:tc>
          <w:tcPr>
            <w:tcW w:w="722" w:type="pct"/>
            <w:shd w:val="clear" w:color="auto" w:fill="C6D9F1" w:themeFill="text2" w:themeFillTint="33"/>
            <w:vAlign w:val="center"/>
          </w:tcPr>
          <w:p w14:paraId="6891B3F2" w14:textId="32DB8543" w:rsidR="00E1098A" w:rsidRPr="00F71748" w:rsidRDefault="00E1098A" w:rsidP="00E1098A">
            <w:pPr>
              <w:pStyle w:val="TableText0"/>
              <w:jc w:val="center"/>
              <w:rPr>
                <w:lang w:val="en-US"/>
              </w:rPr>
            </w:pPr>
            <w:r w:rsidRPr="00F71748">
              <w:rPr>
                <w:lang w:val="en-US"/>
              </w:rPr>
              <w:t>$</w:t>
            </w:r>
            <w:r w:rsidR="00F5190C" w:rsidRPr="00F5190C">
              <w:rPr>
                <w:color w:val="000000"/>
                <w:shd w:val="solid" w:color="000000" w:fill="000000"/>
                <w:lang w:val="en-US"/>
                <w14:textFill>
                  <w14:solidFill>
                    <w14:srgbClr w14:val="000000">
                      <w14:alpha w14:val="100000"/>
                    </w14:srgbClr>
                  </w14:solidFill>
                </w14:textFill>
              </w:rPr>
              <w:t>|</w:t>
            </w:r>
            <w:r>
              <w:rPr>
                <w:vertAlign w:val="superscript"/>
                <w:lang w:val="en-US"/>
              </w:rPr>
              <w:t>c</w:t>
            </w:r>
          </w:p>
        </w:tc>
      </w:tr>
      <w:tr w:rsidR="00E1098A" w:rsidRPr="00E2771E" w14:paraId="21837126" w14:textId="77777777" w:rsidTr="00AC0840">
        <w:trPr>
          <w:cantSplit/>
        </w:trPr>
        <w:tc>
          <w:tcPr>
            <w:tcW w:w="656" w:type="pct"/>
            <w:shd w:val="clear" w:color="auto" w:fill="auto"/>
            <w:vAlign w:val="center"/>
          </w:tcPr>
          <w:p w14:paraId="7F23AE8C" w14:textId="77777777" w:rsidR="00E1098A" w:rsidRDefault="00E1098A" w:rsidP="00E1098A">
            <w:pPr>
              <w:pStyle w:val="TableText0"/>
              <w:rPr>
                <w:lang w:val="en-US"/>
              </w:rPr>
            </w:pPr>
            <w:r>
              <w:rPr>
                <w:lang w:val="en-US"/>
              </w:rPr>
              <w:t>Number of scripts per year</w:t>
            </w:r>
          </w:p>
        </w:tc>
        <w:tc>
          <w:tcPr>
            <w:tcW w:w="856" w:type="pct"/>
            <w:shd w:val="clear" w:color="auto" w:fill="C6D9F1" w:themeFill="text2" w:themeFillTint="33"/>
            <w:vAlign w:val="center"/>
          </w:tcPr>
          <w:p w14:paraId="16EC3CAE" w14:textId="77777777" w:rsidR="00E1098A" w:rsidRPr="00F71748" w:rsidRDefault="00E1098A" w:rsidP="00E1098A">
            <w:pPr>
              <w:pStyle w:val="TableText0"/>
              <w:jc w:val="center"/>
              <w:rPr>
                <w:color w:val="000000" w:themeColor="text1"/>
                <w:lang w:val="en-US"/>
              </w:rPr>
            </w:pPr>
            <w:r>
              <w:rPr>
                <w:color w:val="000000" w:themeColor="text1"/>
                <w:lang w:val="en-US"/>
              </w:rPr>
              <w:t>–</w:t>
            </w:r>
          </w:p>
        </w:tc>
        <w:tc>
          <w:tcPr>
            <w:tcW w:w="656" w:type="pct"/>
            <w:shd w:val="clear" w:color="auto" w:fill="auto"/>
            <w:vAlign w:val="center"/>
          </w:tcPr>
          <w:p w14:paraId="7FE09096" w14:textId="77777777" w:rsidR="008078A3" w:rsidRPr="00285D8A" w:rsidRDefault="008078A3" w:rsidP="008078A3">
            <w:pPr>
              <w:pStyle w:val="TableText0"/>
              <w:jc w:val="center"/>
              <w:rPr>
                <w:vertAlign w:val="superscript"/>
                <w:lang w:val="en-US"/>
              </w:rPr>
            </w:pPr>
            <w:r>
              <w:rPr>
                <w:lang w:val="en-US"/>
              </w:rPr>
              <w:t>12.87</w:t>
            </w:r>
            <w:r>
              <w:rPr>
                <w:vertAlign w:val="superscript"/>
                <w:lang w:val="en-US"/>
              </w:rPr>
              <w:t>d</w:t>
            </w:r>
          </w:p>
          <w:p w14:paraId="6517BF3B" w14:textId="77777777" w:rsidR="00E1098A" w:rsidRPr="00285D8A" w:rsidRDefault="008078A3" w:rsidP="008078A3">
            <w:pPr>
              <w:pStyle w:val="TableText0"/>
              <w:jc w:val="center"/>
              <w:rPr>
                <w:i/>
                <w:lang w:val="en-US"/>
              </w:rPr>
            </w:pPr>
            <w:r w:rsidRPr="00424AF9">
              <w:rPr>
                <w:lang w:val="en-US"/>
              </w:rPr>
              <w:t>(13.04</w:t>
            </w:r>
            <w:r w:rsidRPr="00424AF9">
              <w:rPr>
                <w:vertAlign w:val="superscript"/>
                <w:lang w:val="en-US"/>
              </w:rPr>
              <w:t>e</w:t>
            </w:r>
            <w:r w:rsidRPr="00424AF9">
              <w:rPr>
                <w:lang w:val="en-US"/>
              </w:rPr>
              <w:t>)</w:t>
            </w:r>
          </w:p>
        </w:tc>
        <w:tc>
          <w:tcPr>
            <w:tcW w:w="594" w:type="pct"/>
            <w:shd w:val="clear" w:color="auto" w:fill="auto"/>
            <w:vAlign w:val="center"/>
          </w:tcPr>
          <w:p w14:paraId="5B101445" w14:textId="77777777" w:rsidR="00E1098A" w:rsidRPr="00285D8A" w:rsidRDefault="00E1098A" w:rsidP="00E1098A">
            <w:pPr>
              <w:pStyle w:val="TableText0"/>
              <w:jc w:val="center"/>
              <w:rPr>
                <w:vertAlign w:val="superscript"/>
                <w:lang w:val="en-US"/>
              </w:rPr>
            </w:pPr>
            <w:r>
              <w:rPr>
                <w:lang w:val="en-US"/>
              </w:rPr>
              <w:t>12.73</w:t>
            </w:r>
            <w:r>
              <w:rPr>
                <w:vertAlign w:val="superscript"/>
                <w:lang w:val="en-US"/>
              </w:rPr>
              <w:t>f</w:t>
            </w:r>
          </w:p>
          <w:p w14:paraId="12E6931B" w14:textId="77777777" w:rsidR="00E1098A" w:rsidRPr="00285D8A" w:rsidRDefault="00E1098A" w:rsidP="00E1098A">
            <w:pPr>
              <w:pStyle w:val="TableText0"/>
              <w:jc w:val="center"/>
              <w:rPr>
                <w:i/>
                <w:lang w:val="en-US"/>
              </w:rPr>
            </w:pPr>
            <w:r w:rsidRPr="00424AF9">
              <w:rPr>
                <w:lang w:val="en-US"/>
              </w:rPr>
              <w:t>(13.04</w:t>
            </w:r>
            <w:r w:rsidRPr="00424AF9">
              <w:rPr>
                <w:vertAlign w:val="superscript"/>
                <w:lang w:val="en-US"/>
              </w:rPr>
              <w:t>e</w:t>
            </w:r>
            <w:r w:rsidRPr="00424AF9">
              <w:rPr>
                <w:lang w:val="en-US"/>
              </w:rPr>
              <w:t>)</w:t>
            </w:r>
          </w:p>
        </w:tc>
        <w:tc>
          <w:tcPr>
            <w:tcW w:w="857" w:type="pct"/>
            <w:shd w:val="clear" w:color="auto" w:fill="C6D9F1" w:themeFill="text2" w:themeFillTint="33"/>
            <w:vAlign w:val="center"/>
          </w:tcPr>
          <w:p w14:paraId="32A625D6" w14:textId="77777777" w:rsidR="00E1098A" w:rsidRDefault="00E1098A" w:rsidP="00E1098A">
            <w:pPr>
              <w:pStyle w:val="TableText0"/>
              <w:jc w:val="center"/>
              <w:rPr>
                <w:lang w:val="en-US"/>
              </w:rPr>
            </w:pPr>
            <w:r>
              <w:rPr>
                <w:color w:val="000000" w:themeColor="text1"/>
                <w:lang w:val="en-US"/>
              </w:rPr>
              <w:t>–</w:t>
            </w:r>
          </w:p>
        </w:tc>
        <w:tc>
          <w:tcPr>
            <w:tcW w:w="659" w:type="pct"/>
            <w:shd w:val="clear" w:color="auto" w:fill="C6D9F1" w:themeFill="text2" w:themeFillTint="33"/>
            <w:vAlign w:val="center"/>
          </w:tcPr>
          <w:p w14:paraId="2B0650F8" w14:textId="77777777" w:rsidR="00E1098A" w:rsidRPr="00285D8A" w:rsidRDefault="00E1098A" w:rsidP="00E1098A">
            <w:pPr>
              <w:pStyle w:val="TableText0"/>
              <w:jc w:val="center"/>
              <w:rPr>
                <w:vertAlign w:val="superscript"/>
                <w:lang w:val="en-US"/>
              </w:rPr>
            </w:pPr>
            <w:r>
              <w:rPr>
                <w:lang w:val="en-US"/>
              </w:rPr>
              <w:t>12.87</w:t>
            </w:r>
            <w:r>
              <w:rPr>
                <w:vertAlign w:val="superscript"/>
                <w:lang w:val="en-US"/>
              </w:rPr>
              <w:t>d</w:t>
            </w:r>
          </w:p>
          <w:p w14:paraId="2C5D05D9" w14:textId="77777777" w:rsidR="00E1098A" w:rsidRDefault="00E1098A" w:rsidP="00E1098A">
            <w:pPr>
              <w:pStyle w:val="TableText0"/>
              <w:jc w:val="center"/>
              <w:rPr>
                <w:lang w:val="en-US"/>
              </w:rPr>
            </w:pPr>
            <w:r w:rsidRPr="00424AF9">
              <w:rPr>
                <w:lang w:val="en-US"/>
              </w:rPr>
              <w:t>(13.04</w:t>
            </w:r>
            <w:r w:rsidRPr="00424AF9">
              <w:rPr>
                <w:vertAlign w:val="superscript"/>
                <w:lang w:val="en-US"/>
              </w:rPr>
              <w:t>e</w:t>
            </w:r>
            <w:r w:rsidRPr="00424AF9">
              <w:rPr>
                <w:lang w:val="en-US"/>
              </w:rPr>
              <w:t>)</w:t>
            </w:r>
          </w:p>
        </w:tc>
        <w:tc>
          <w:tcPr>
            <w:tcW w:w="722" w:type="pct"/>
            <w:shd w:val="clear" w:color="auto" w:fill="C6D9F1" w:themeFill="text2" w:themeFillTint="33"/>
            <w:vAlign w:val="center"/>
          </w:tcPr>
          <w:p w14:paraId="07B621D0" w14:textId="77777777" w:rsidR="00E1098A" w:rsidRPr="00285D8A" w:rsidRDefault="00E1098A" w:rsidP="00E1098A">
            <w:pPr>
              <w:pStyle w:val="TableText0"/>
              <w:jc w:val="center"/>
              <w:rPr>
                <w:vertAlign w:val="superscript"/>
                <w:lang w:val="en-US"/>
              </w:rPr>
            </w:pPr>
            <w:r>
              <w:rPr>
                <w:lang w:val="en-US"/>
              </w:rPr>
              <w:t>12.73</w:t>
            </w:r>
            <w:r>
              <w:rPr>
                <w:vertAlign w:val="superscript"/>
                <w:lang w:val="en-US"/>
              </w:rPr>
              <w:t>f</w:t>
            </w:r>
          </w:p>
          <w:p w14:paraId="713BE314" w14:textId="77777777" w:rsidR="00E1098A" w:rsidRDefault="00E1098A" w:rsidP="00E1098A">
            <w:pPr>
              <w:pStyle w:val="TableText0"/>
              <w:jc w:val="center"/>
              <w:rPr>
                <w:lang w:val="en-US"/>
              </w:rPr>
            </w:pPr>
            <w:r w:rsidRPr="00424AF9">
              <w:rPr>
                <w:lang w:val="en-US"/>
              </w:rPr>
              <w:t>(13.04</w:t>
            </w:r>
            <w:r w:rsidRPr="00424AF9">
              <w:rPr>
                <w:vertAlign w:val="superscript"/>
                <w:lang w:val="en-US"/>
              </w:rPr>
              <w:t>e</w:t>
            </w:r>
            <w:r w:rsidRPr="00424AF9">
              <w:rPr>
                <w:lang w:val="en-US"/>
              </w:rPr>
              <w:t>)</w:t>
            </w:r>
          </w:p>
        </w:tc>
      </w:tr>
      <w:tr w:rsidR="00DF719C" w:rsidRPr="00E2771E" w14:paraId="2195086F" w14:textId="77777777" w:rsidTr="00AC0840">
        <w:trPr>
          <w:cantSplit/>
        </w:trPr>
        <w:tc>
          <w:tcPr>
            <w:tcW w:w="656" w:type="pct"/>
            <w:shd w:val="clear" w:color="auto" w:fill="auto"/>
            <w:vAlign w:val="center"/>
          </w:tcPr>
          <w:p w14:paraId="4A989473" w14:textId="77777777" w:rsidR="00DF719C" w:rsidRPr="00E2771E" w:rsidRDefault="00DF719C" w:rsidP="00DF719C">
            <w:pPr>
              <w:pStyle w:val="TableText0"/>
              <w:rPr>
                <w:lang w:val="en-US"/>
              </w:rPr>
            </w:pPr>
            <w:r>
              <w:rPr>
                <w:lang w:val="en-US"/>
              </w:rPr>
              <w:t>Cost/patient/year</w:t>
            </w:r>
          </w:p>
        </w:tc>
        <w:tc>
          <w:tcPr>
            <w:tcW w:w="856" w:type="pct"/>
            <w:shd w:val="clear" w:color="auto" w:fill="C6D9F1" w:themeFill="text2" w:themeFillTint="33"/>
            <w:vAlign w:val="center"/>
          </w:tcPr>
          <w:p w14:paraId="5A83CADB" w14:textId="77777777" w:rsidR="00DF719C" w:rsidRPr="0014273B" w:rsidRDefault="00DF719C" w:rsidP="00DF719C">
            <w:pPr>
              <w:pStyle w:val="TableText0"/>
              <w:jc w:val="center"/>
              <w:rPr>
                <w:vertAlign w:val="superscript"/>
                <w:lang w:val="en-US"/>
              </w:rPr>
            </w:pPr>
            <w:r>
              <w:rPr>
                <w:color w:val="000000" w:themeColor="text1"/>
                <w:lang w:val="en-US"/>
              </w:rPr>
              <w:t>–</w:t>
            </w:r>
          </w:p>
        </w:tc>
        <w:tc>
          <w:tcPr>
            <w:tcW w:w="656" w:type="pct"/>
            <w:shd w:val="clear" w:color="auto" w:fill="auto"/>
            <w:vAlign w:val="center"/>
          </w:tcPr>
          <w:p w14:paraId="0D0A0D8D" w14:textId="3DD49D67" w:rsidR="00DF719C" w:rsidRDefault="00DF719C" w:rsidP="00DF719C">
            <w:pPr>
              <w:pStyle w:val="TableText0"/>
              <w:jc w:val="center"/>
              <w:rPr>
                <w:vertAlign w:val="superscript"/>
                <w:lang w:val="en-US"/>
              </w:rPr>
            </w:pPr>
            <w:r>
              <w:rPr>
                <w:lang w:val="en-US"/>
              </w:rPr>
              <w:t>$</w:t>
            </w:r>
            <w:r w:rsidR="00F5190C" w:rsidRPr="00F5190C">
              <w:rPr>
                <w:rFonts w:hint="eastAsia"/>
                <w:color w:val="000000"/>
                <w:w w:val="15"/>
                <w:shd w:val="solid" w:color="000000" w:fill="000000"/>
                <w:fitText w:val="55" w:id="-1167926522"/>
                <w:lang w:val="en-US"/>
                <w14:textFill>
                  <w14:solidFill>
                    <w14:srgbClr w14:val="000000">
                      <w14:alpha w14:val="100000"/>
                    </w14:srgbClr>
                  </w14:solidFill>
                </w14:textFill>
              </w:rPr>
              <w:t xml:space="preserve">　</w:t>
            </w:r>
            <w:r w:rsidR="00F5190C" w:rsidRPr="00F5190C">
              <w:rPr>
                <w:color w:val="000000"/>
                <w:w w:val="15"/>
                <w:shd w:val="solid" w:color="000000" w:fill="000000"/>
                <w:fitText w:val="55" w:id="-1167926522"/>
                <w:lang w:val="en-US"/>
                <w14:textFill>
                  <w14:solidFill>
                    <w14:srgbClr w14:val="000000">
                      <w14:alpha w14:val="100000"/>
                    </w14:srgbClr>
                  </w14:solidFill>
                </w14:textFill>
              </w:rPr>
              <w:t>|</w:t>
            </w:r>
            <w:r w:rsidR="00F5190C" w:rsidRPr="00F5190C">
              <w:rPr>
                <w:rFonts w:hint="eastAsia"/>
                <w:color w:val="000000"/>
                <w:spacing w:val="-10"/>
                <w:w w:val="15"/>
                <w:shd w:val="solid" w:color="000000" w:fill="000000"/>
                <w:fitText w:val="55" w:id="-1167926522"/>
                <w:lang w:val="en-US"/>
                <w14:textFill>
                  <w14:solidFill>
                    <w14:srgbClr w14:val="000000">
                      <w14:alpha w14:val="100000"/>
                    </w14:srgbClr>
                  </w14:solidFill>
                </w14:textFill>
              </w:rPr>
              <w:t xml:space="preserve">　</w:t>
            </w:r>
            <w:r>
              <w:rPr>
                <w:vertAlign w:val="superscript"/>
                <w:lang w:val="en-US"/>
              </w:rPr>
              <w:t>d</w:t>
            </w:r>
          </w:p>
          <w:p w14:paraId="55B69378" w14:textId="71B309A8" w:rsidR="00DF719C" w:rsidRPr="00394F83" w:rsidRDefault="00DF719C" w:rsidP="00DF719C">
            <w:pPr>
              <w:pStyle w:val="TableText0"/>
              <w:jc w:val="center"/>
              <w:rPr>
                <w:i/>
                <w:vertAlign w:val="superscript"/>
                <w:lang w:val="en-US"/>
              </w:rPr>
            </w:pPr>
            <w:r w:rsidRPr="00424AF9">
              <w:rPr>
                <w:lang w:val="en-US"/>
              </w:rPr>
              <w:t>($</w:t>
            </w:r>
            <w:r w:rsidR="00F5190C" w:rsidRPr="00F5190C">
              <w:rPr>
                <w:rFonts w:hint="eastAsia"/>
                <w:color w:val="000000"/>
                <w:w w:val="24"/>
                <w:shd w:val="solid" w:color="000000" w:fill="000000"/>
                <w:fitText w:val="110" w:id="-1167926521"/>
                <w:lang w:val="en-US"/>
                <w14:textFill>
                  <w14:solidFill>
                    <w14:srgbClr w14:val="000000">
                      <w14:alpha w14:val="100000"/>
                    </w14:srgbClr>
                  </w14:solidFill>
                </w14:textFill>
              </w:rPr>
              <w:t xml:space="preserve">　</w:t>
            </w:r>
            <w:r w:rsidR="00F5190C" w:rsidRPr="00F5190C">
              <w:rPr>
                <w:color w:val="000000"/>
                <w:w w:val="24"/>
                <w:shd w:val="solid" w:color="000000" w:fill="000000"/>
                <w:fitText w:val="110" w:id="-1167926521"/>
                <w:lang w:val="en-US"/>
                <w14:textFill>
                  <w14:solidFill>
                    <w14:srgbClr w14:val="000000">
                      <w14:alpha w14:val="100000"/>
                    </w14:srgbClr>
                  </w14:solidFill>
                </w14:textFill>
              </w:rPr>
              <w:t>|</w:t>
            </w:r>
            <w:r w:rsidR="00F5190C" w:rsidRPr="00F5190C">
              <w:rPr>
                <w:rFonts w:hint="eastAsia"/>
                <w:color w:val="000000"/>
                <w:spacing w:val="6"/>
                <w:w w:val="24"/>
                <w:shd w:val="solid" w:color="000000" w:fill="000000"/>
                <w:fitText w:val="110" w:id="-1167926521"/>
                <w:lang w:val="en-US"/>
                <w14:textFill>
                  <w14:solidFill>
                    <w14:srgbClr w14:val="000000">
                      <w14:alpha w14:val="100000"/>
                    </w14:srgbClr>
                  </w14:solidFill>
                </w14:textFill>
              </w:rPr>
              <w:t xml:space="preserve">　</w:t>
            </w:r>
            <w:r w:rsidRPr="00424AF9">
              <w:rPr>
                <w:vertAlign w:val="superscript"/>
                <w:lang w:val="en-US"/>
              </w:rPr>
              <w:t>e</w:t>
            </w:r>
            <w:r w:rsidRPr="00424AF9">
              <w:rPr>
                <w:lang w:val="en-US"/>
              </w:rPr>
              <w:t>)</w:t>
            </w:r>
          </w:p>
        </w:tc>
        <w:tc>
          <w:tcPr>
            <w:tcW w:w="594" w:type="pct"/>
            <w:shd w:val="clear" w:color="auto" w:fill="auto"/>
            <w:vAlign w:val="center"/>
          </w:tcPr>
          <w:p w14:paraId="584433BD" w14:textId="1F0DBF47" w:rsidR="00DF719C" w:rsidRDefault="00DF719C" w:rsidP="00DF719C">
            <w:pPr>
              <w:pStyle w:val="TableText0"/>
              <w:jc w:val="center"/>
              <w:rPr>
                <w:lang w:val="en-US"/>
              </w:rPr>
            </w:pPr>
            <w:r>
              <w:rPr>
                <w:lang w:val="en-US"/>
              </w:rPr>
              <w:t>$</w:t>
            </w:r>
            <w:r w:rsidR="00F5190C" w:rsidRPr="00F5190C">
              <w:rPr>
                <w:rFonts w:hint="eastAsia"/>
                <w:color w:val="000000"/>
                <w:w w:val="17"/>
                <w:shd w:val="solid" w:color="000000" w:fill="000000"/>
                <w:fitText w:val="77" w:id="-1167926520"/>
                <w:lang w:val="en-US"/>
                <w14:textFill>
                  <w14:solidFill>
                    <w14:srgbClr w14:val="000000">
                      <w14:alpha w14:val="100000"/>
                    </w14:srgbClr>
                  </w14:solidFill>
                </w14:textFill>
              </w:rPr>
              <w:t xml:space="preserve">　</w:t>
            </w:r>
            <w:r w:rsidR="00F5190C" w:rsidRPr="00F5190C">
              <w:rPr>
                <w:color w:val="000000"/>
                <w:w w:val="17"/>
                <w:shd w:val="solid" w:color="000000" w:fill="000000"/>
                <w:fitText w:val="77" w:id="-1167926520"/>
                <w:lang w:val="en-US"/>
                <w14:textFill>
                  <w14:solidFill>
                    <w14:srgbClr w14:val="000000">
                      <w14:alpha w14:val="100000"/>
                    </w14:srgbClr>
                  </w14:solidFill>
                </w14:textFill>
              </w:rPr>
              <w:t>|</w:t>
            </w:r>
            <w:r w:rsidR="00F5190C" w:rsidRPr="00F5190C">
              <w:rPr>
                <w:rFonts w:hint="eastAsia"/>
                <w:color w:val="000000"/>
                <w:spacing w:val="4"/>
                <w:w w:val="17"/>
                <w:shd w:val="solid" w:color="000000" w:fill="000000"/>
                <w:fitText w:val="77" w:id="-1167926520"/>
                <w:lang w:val="en-US"/>
                <w14:textFill>
                  <w14:solidFill>
                    <w14:srgbClr w14:val="000000">
                      <w14:alpha w14:val="100000"/>
                    </w14:srgbClr>
                  </w14:solidFill>
                </w14:textFill>
              </w:rPr>
              <w:t xml:space="preserve">　</w:t>
            </w:r>
          </w:p>
          <w:p w14:paraId="4B81CEFF" w14:textId="620F7E71" w:rsidR="00DF719C" w:rsidRPr="00E2771E" w:rsidRDefault="00DF719C" w:rsidP="00DF719C">
            <w:pPr>
              <w:pStyle w:val="TableText0"/>
              <w:jc w:val="center"/>
              <w:rPr>
                <w:lang w:val="en-US"/>
              </w:rPr>
            </w:pPr>
            <w:r w:rsidRPr="00424AF9">
              <w:rPr>
                <w:lang w:val="en-US"/>
              </w:rPr>
              <w:t>($</w:t>
            </w:r>
            <w:r w:rsidR="00F5190C" w:rsidRPr="00F5190C">
              <w:rPr>
                <w:color w:val="000000"/>
                <w:spacing w:val="80"/>
                <w:shd w:val="solid" w:color="000000" w:fill="000000"/>
                <w:fitText w:val="166" w:id="-1167926519"/>
                <w:lang w:val="en-US"/>
                <w14:textFill>
                  <w14:solidFill>
                    <w14:srgbClr w14:val="000000">
                      <w14:alpha w14:val="100000"/>
                    </w14:srgbClr>
                  </w14:solidFill>
                </w14:textFill>
              </w:rPr>
              <w:t>|</w:t>
            </w:r>
            <w:r w:rsidR="00F5190C" w:rsidRPr="00F5190C">
              <w:rPr>
                <w:color w:val="000000"/>
                <w:spacing w:val="1"/>
                <w:shd w:val="solid" w:color="000000" w:fill="000000"/>
                <w:fitText w:val="166" w:id="-1167926519"/>
                <w:lang w:val="en-US"/>
                <w14:textFill>
                  <w14:solidFill>
                    <w14:srgbClr w14:val="000000">
                      <w14:alpha w14:val="100000"/>
                    </w14:srgbClr>
                  </w14:solidFill>
                </w14:textFill>
              </w:rPr>
              <w:t>|</w:t>
            </w:r>
            <w:r w:rsidRPr="00424AF9">
              <w:rPr>
                <w:vertAlign w:val="superscript"/>
                <w:lang w:val="en-US"/>
              </w:rPr>
              <w:t>e</w:t>
            </w:r>
            <w:r w:rsidRPr="00424AF9">
              <w:rPr>
                <w:lang w:val="en-US"/>
              </w:rPr>
              <w:t>)</w:t>
            </w:r>
          </w:p>
        </w:tc>
        <w:tc>
          <w:tcPr>
            <w:tcW w:w="857" w:type="pct"/>
            <w:shd w:val="clear" w:color="auto" w:fill="C6D9F1" w:themeFill="text2" w:themeFillTint="33"/>
            <w:vAlign w:val="center"/>
          </w:tcPr>
          <w:p w14:paraId="4DEEF7B5" w14:textId="77777777" w:rsidR="00DF719C" w:rsidRDefault="00DF719C" w:rsidP="00DF719C">
            <w:pPr>
              <w:pStyle w:val="TableText0"/>
              <w:jc w:val="center"/>
              <w:rPr>
                <w:lang w:val="en-US"/>
              </w:rPr>
            </w:pPr>
            <w:r>
              <w:rPr>
                <w:color w:val="000000" w:themeColor="text1"/>
                <w:lang w:val="en-US"/>
              </w:rPr>
              <w:t>–</w:t>
            </w:r>
          </w:p>
        </w:tc>
        <w:tc>
          <w:tcPr>
            <w:tcW w:w="659" w:type="pct"/>
            <w:shd w:val="clear" w:color="auto" w:fill="C6D9F1" w:themeFill="text2" w:themeFillTint="33"/>
            <w:vAlign w:val="center"/>
          </w:tcPr>
          <w:p w14:paraId="63A1CA3F" w14:textId="019C1B8F" w:rsidR="00DF719C" w:rsidRDefault="00DF719C" w:rsidP="00DF719C">
            <w:pPr>
              <w:pStyle w:val="TableText0"/>
              <w:jc w:val="center"/>
              <w:rPr>
                <w:vertAlign w:val="superscript"/>
                <w:lang w:val="en-US"/>
              </w:rPr>
            </w:pPr>
            <w:r>
              <w:rPr>
                <w:lang w:val="en-US"/>
              </w:rPr>
              <w:t>$</w:t>
            </w:r>
            <w:r w:rsidR="00F5190C" w:rsidRPr="00F5190C">
              <w:rPr>
                <w:rFonts w:hint="eastAsia"/>
                <w:color w:val="000000"/>
                <w:w w:val="15"/>
                <w:shd w:val="solid" w:color="000000" w:fill="000000"/>
                <w:fitText w:val="56" w:id="-1167926518"/>
                <w:lang w:val="en-US"/>
                <w14:textFill>
                  <w14:solidFill>
                    <w14:srgbClr w14:val="000000">
                      <w14:alpha w14:val="100000"/>
                    </w14:srgbClr>
                  </w14:solidFill>
                </w14:textFill>
              </w:rPr>
              <w:t xml:space="preserve">　</w:t>
            </w:r>
            <w:r w:rsidR="00F5190C" w:rsidRPr="00F5190C">
              <w:rPr>
                <w:color w:val="000000"/>
                <w:w w:val="15"/>
                <w:shd w:val="solid" w:color="000000" w:fill="000000"/>
                <w:fitText w:val="56" w:id="-1167926518"/>
                <w:lang w:val="en-US"/>
                <w14:textFill>
                  <w14:solidFill>
                    <w14:srgbClr w14:val="000000">
                      <w14:alpha w14:val="100000"/>
                    </w14:srgbClr>
                  </w14:solidFill>
                </w14:textFill>
              </w:rPr>
              <w:t>|</w:t>
            </w:r>
            <w:r w:rsidR="00F5190C" w:rsidRPr="00F5190C">
              <w:rPr>
                <w:rFonts w:hint="eastAsia"/>
                <w:color w:val="000000"/>
                <w:spacing w:val="-9"/>
                <w:w w:val="15"/>
                <w:shd w:val="solid" w:color="000000" w:fill="000000"/>
                <w:fitText w:val="56" w:id="-1167926518"/>
                <w:lang w:val="en-US"/>
                <w14:textFill>
                  <w14:solidFill>
                    <w14:srgbClr w14:val="000000">
                      <w14:alpha w14:val="100000"/>
                    </w14:srgbClr>
                  </w14:solidFill>
                </w14:textFill>
              </w:rPr>
              <w:t xml:space="preserve">　</w:t>
            </w:r>
            <w:r>
              <w:rPr>
                <w:vertAlign w:val="superscript"/>
                <w:lang w:val="en-US"/>
              </w:rPr>
              <w:t>d</w:t>
            </w:r>
          </w:p>
          <w:p w14:paraId="50D8B784" w14:textId="34BD5C0E" w:rsidR="00DF719C" w:rsidRDefault="00DF719C" w:rsidP="00DF719C">
            <w:pPr>
              <w:pStyle w:val="TableText0"/>
              <w:jc w:val="center"/>
              <w:rPr>
                <w:lang w:val="en-US"/>
              </w:rPr>
            </w:pPr>
            <w:r w:rsidRPr="00424AF9">
              <w:rPr>
                <w:lang w:val="en-US"/>
              </w:rPr>
              <w:t>($</w:t>
            </w:r>
            <w:r w:rsidR="00F5190C" w:rsidRPr="00F5190C">
              <w:rPr>
                <w:rFonts w:hint="eastAsia"/>
                <w:color w:val="000000"/>
                <w:w w:val="25"/>
                <w:shd w:val="solid" w:color="000000" w:fill="000000"/>
                <w:fitText w:val="111" w:id="-1167926517"/>
                <w:lang w:val="en-US"/>
                <w14:textFill>
                  <w14:solidFill>
                    <w14:srgbClr w14:val="000000">
                      <w14:alpha w14:val="100000"/>
                    </w14:srgbClr>
                  </w14:solidFill>
                </w14:textFill>
              </w:rPr>
              <w:t xml:space="preserve">　</w:t>
            </w:r>
            <w:r w:rsidR="00F5190C" w:rsidRPr="00F5190C">
              <w:rPr>
                <w:color w:val="000000"/>
                <w:w w:val="25"/>
                <w:shd w:val="solid" w:color="000000" w:fill="000000"/>
                <w:fitText w:val="111" w:id="-1167926517"/>
                <w:lang w:val="en-US"/>
                <w14:textFill>
                  <w14:solidFill>
                    <w14:srgbClr w14:val="000000">
                      <w14:alpha w14:val="100000"/>
                    </w14:srgbClr>
                  </w14:solidFill>
                </w14:textFill>
              </w:rPr>
              <w:t>|</w:t>
            </w:r>
            <w:r w:rsidR="00F5190C" w:rsidRPr="00F5190C">
              <w:rPr>
                <w:rFonts w:hint="eastAsia"/>
                <w:color w:val="000000"/>
                <w:w w:val="25"/>
                <w:shd w:val="solid" w:color="000000" w:fill="000000"/>
                <w:fitText w:val="111" w:id="-1167926517"/>
                <w:lang w:val="en-US"/>
                <w14:textFill>
                  <w14:solidFill>
                    <w14:srgbClr w14:val="000000">
                      <w14:alpha w14:val="100000"/>
                    </w14:srgbClr>
                  </w14:solidFill>
                </w14:textFill>
              </w:rPr>
              <w:t xml:space="preserve">　</w:t>
            </w:r>
            <w:r w:rsidRPr="00424AF9">
              <w:rPr>
                <w:vertAlign w:val="superscript"/>
                <w:lang w:val="en-US"/>
              </w:rPr>
              <w:t>e</w:t>
            </w:r>
            <w:r w:rsidRPr="00424AF9">
              <w:rPr>
                <w:lang w:val="en-US"/>
              </w:rPr>
              <w:t>)</w:t>
            </w:r>
          </w:p>
        </w:tc>
        <w:tc>
          <w:tcPr>
            <w:tcW w:w="722" w:type="pct"/>
            <w:shd w:val="clear" w:color="auto" w:fill="C6D9F1" w:themeFill="text2" w:themeFillTint="33"/>
            <w:vAlign w:val="center"/>
          </w:tcPr>
          <w:p w14:paraId="25051A9F" w14:textId="23586C09" w:rsidR="00DF719C" w:rsidRDefault="00DF719C" w:rsidP="00DF719C">
            <w:pPr>
              <w:pStyle w:val="TableText0"/>
              <w:jc w:val="center"/>
              <w:rPr>
                <w:lang w:val="en-US"/>
              </w:rPr>
            </w:pPr>
            <w:r>
              <w:rPr>
                <w:lang w:val="en-US"/>
              </w:rPr>
              <w:t>$</w:t>
            </w:r>
            <w:r w:rsidR="00F5190C" w:rsidRPr="00F5190C">
              <w:rPr>
                <w:color w:val="000000"/>
                <w:shd w:val="solid" w:color="000000" w:fill="000000"/>
                <w:lang w:val="en-US"/>
                <w14:textFill>
                  <w14:solidFill>
                    <w14:srgbClr w14:val="000000">
                      <w14:alpha w14:val="100000"/>
                    </w14:srgbClr>
                  </w14:solidFill>
                </w14:textFill>
              </w:rPr>
              <w:t>|</w:t>
            </w:r>
            <w:r>
              <w:rPr>
                <w:vertAlign w:val="superscript"/>
                <w:lang w:val="en-US"/>
              </w:rPr>
              <w:t>f</w:t>
            </w:r>
          </w:p>
          <w:p w14:paraId="4FDB0D2B" w14:textId="1C08D0D8" w:rsidR="00DF719C" w:rsidRDefault="00DF719C" w:rsidP="00DF719C">
            <w:pPr>
              <w:pStyle w:val="TableText0"/>
              <w:jc w:val="center"/>
              <w:rPr>
                <w:lang w:val="en-US"/>
              </w:rPr>
            </w:pPr>
            <w:r w:rsidRPr="00424AF9">
              <w:rPr>
                <w:lang w:val="en-US"/>
              </w:rPr>
              <w:t>($</w:t>
            </w:r>
            <w:r w:rsidR="00F5190C" w:rsidRPr="00F5190C">
              <w:rPr>
                <w:rFonts w:hint="eastAsia"/>
                <w:color w:val="000000"/>
                <w:w w:val="15"/>
                <w:shd w:val="solid" w:color="000000" w:fill="000000"/>
                <w:fitText w:val="55" w:id="-1167926516"/>
                <w:lang w:val="en-US"/>
                <w14:textFill>
                  <w14:solidFill>
                    <w14:srgbClr w14:val="000000">
                      <w14:alpha w14:val="100000"/>
                    </w14:srgbClr>
                  </w14:solidFill>
                </w14:textFill>
              </w:rPr>
              <w:t xml:space="preserve">　</w:t>
            </w:r>
            <w:r w:rsidR="00F5190C" w:rsidRPr="00F5190C">
              <w:rPr>
                <w:color w:val="000000"/>
                <w:w w:val="15"/>
                <w:shd w:val="solid" w:color="000000" w:fill="000000"/>
                <w:fitText w:val="55" w:id="-1167926516"/>
                <w:lang w:val="en-US"/>
                <w14:textFill>
                  <w14:solidFill>
                    <w14:srgbClr w14:val="000000">
                      <w14:alpha w14:val="100000"/>
                    </w14:srgbClr>
                  </w14:solidFill>
                </w14:textFill>
              </w:rPr>
              <w:t>|</w:t>
            </w:r>
            <w:r w:rsidR="00F5190C" w:rsidRPr="00F5190C">
              <w:rPr>
                <w:rFonts w:hint="eastAsia"/>
                <w:color w:val="000000"/>
                <w:spacing w:val="-10"/>
                <w:w w:val="15"/>
                <w:shd w:val="solid" w:color="000000" w:fill="000000"/>
                <w:fitText w:val="55" w:id="-1167926516"/>
                <w:lang w:val="en-US"/>
                <w14:textFill>
                  <w14:solidFill>
                    <w14:srgbClr w14:val="000000">
                      <w14:alpha w14:val="100000"/>
                    </w14:srgbClr>
                  </w14:solidFill>
                </w14:textFill>
              </w:rPr>
              <w:t xml:space="preserve">　</w:t>
            </w:r>
            <w:r w:rsidRPr="00424AF9">
              <w:rPr>
                <w:vertAlign w:val="superscript"/>
                <w:lang w:val="en-US"/>
              </w:rPr>
              <w:t>e</w:t>
            </w:r>
            <w:r w:rsidRPr="00424AF9">
              <w:rPr>
                <w:lang w:val="en-US"/>
              </w:rPr>
              <w:t>)</w:t>
            </w:r>
          </w:p>
        </w:tc>
      </w:tr>
      <w:tr w:rsidR="00E1098A" w:rsidRPr="00E2771E" w14:paraId="3F155414" w14:textId="77777777" w:rsidTr="00AC0840">
        <w:trPr>
          <w:cantSplit/>
        </w:trPr>
        <w:tc>
          <w:tcPr>
            <w:tcW w:w="656" w:type="pct"/>
            <w:shd w:val="clear" w:color="auto" w:fill="auto"/>
            <w:vAlign w:val="center"/>
          </w:tcPr>
          <w:p w14:paraId="6D714DAF" w14:textId="77777777" w:rsidR="00E1098A" w:rsidRPr="00467A27" w:rsidRDefault="00E1098A" w:rsidP="00E1098A">
            <w:pPr>
              <w:pStyle w:val="TableText0"/>
              <w:rPr>
                <w:vertAlign w:val="superscript"/>
                <w:lang w:val="en-US"/>
              </w:rPr>
            </w:pPr>
            <w:r>
              <w:rPr>
                <w:lang w:val="en-US"/>
              </w:rPr>
              <w:t>Proportion of patients on treatment</w:t>
            </w:r>
          </w:p>
        </w:tc>
        <w:tc>
          <w:tcPr>
            <w:tcW w:w="856" w:type="pct"/>
            <w:shd w:val="clear" w:color="auto" w:fill="C6D9F1" w:themeFill="text2" w:themeFillTint="33"/>
            <w:vAlign w:val="center"/>
          </w:tcPr>
          <w:p w14:paraId="2EBE17BB" w14:textId="77777777" w:rsidR="00E1098A" w:rsidDel="00F71748" w:rsidRDefault="00E1098A" w:rsidP="00E1098A">
            <w:pPr>
              <w:pStyle w:val="TableText0"/>
              <w:jc w:val="center"/>
              <w:rPr>
                <w:lang w:val="en-US"/>
              </w:rPr>
            </w:pPr>
            <w:r w:rsidRPr="002763D9">
              <w:rPr>
                <w:lang w:val="en-US"/>
              </w:rPr>
              <w:t xml:space="preserve">At 30 </w:t>
            </w:r>
            <w:r>
              <w:rPr>
                <w:lang w:val="en-US"/>
              </w:rPr>
              <w:t>week</w:t>
            </w:r>
            <w:r w:rsidRPr="002763D9">
              <w:rPr>
                <w:lang w:val="en-US"/>
              </w:rPr>
              <w:t xml:space="preserve">s, </w:t>
            </w:r>
            <w:r>
              <w:rPr>
                <w:lang w:val="en-US"/>
              </w:rPr>
              <w:t>3.3</w:t>
            </w:r>
            <w:r w:rsidRPr="002763D9">
              <w:rPr>
                <w:lang w:val="en-US"/>
              </w:rPr>
              <w:t xml:space="preserve">% of patients in the </w:t>
            </w:r>
            <w:r>
              <w:rPr>
                <w:lang w:val="en-US"/>
              </w:rPr>
              <w:t xml:space="preserve">MAVA </w:t>
            </w:r>
            <w:r w:rsidRPr="002763D9">
              <w:rPr>
                <w:lang w:val="en-US"/>
              </w:rPr>
              <w:t xml:space="preserve">arm of </w:t>
            </w:r>
            <w:r>
              <w:rPr>
                <w:lang w:val="en-US"/>
              </w:rPr>
              <w:t>EXPLORER-HCM</w:t>
            </w:r>
            <w:r w:rsidRPr="002763D9">
              <w:rPr>
                <w:lang w:val="en-US"/>
              </w:rPr>
              <w:t xml:space="preserve"> had discontinued</w:t>
            </w:r>
            <w:r>
              <w:rPr>
                <w:lang w:val="en-US"/>
              </w:rPr>
              <w:t xml:space="preserve"> treatment</w:t>
            </w:r>
          </w:p>
        </w:tc>
        <w:tc>
          <w:tcPr>
            <w:tcW w:w="656" w:type="pct"/>
            <w:shd w:val="clear" w:color="auto" w:fill="auto"/>
            <w:vAlign w:val="center"/>
          </w:tcPr>
          <w:p w14:paraId="4DA11CCD" w14:textId="77777777" w:rsidR="00E1098A" w:rsidRPr="007D04D1" w:rsidRDefault="00E1098A" w:rsidP="00E1098A">
            <w:pPr>
              <w:pStyle w:val="TableText0"/>
              <w:jc w:val="center"/>
              <w:rPr>
                <w:vertAlign w:val="superscript"/>
                <w:lang w:val="en-US"/>
              </w:rPr>
            </w:pPr>
            <w:r w:rsidRPr="007D04D1">
              <w:rPr>
                <w:lang w:val="en-US"/>
              </w:rPr>
              <w:t>Year 1: 100%</w:t>
            </w:r>
            <w:r w:rsidRPr="007D04D1">
              <w:rPr>
                <w:vertAlign w:val="superscript"/>
                <w:lang w:val="en-US"/>
              </w:rPr>
              <w:t>g</w:t>
            </w:r>
          </w:p>
          <w:p w14:paraId="38DAC355" w14:textId="77777777" w:rsidR="00E1098A" w:rsidRPr="007D04D1" w:rsidRDefault="00E1098A" w:rsidP="00E1098A">
            <w:pPr>
              <w:pStyle w:val="TableText0"/>
              <w:jc w:val="center"/>
              <w:rPr>
                <w:vertAlign w:val="superscript"/>
                <w:lang w:val="en-US"/>
              </w:rPr>
            </w:pPr>
            <w:r w:rsidRPr="007D04D1">
              <w:rPr>
                <w:lang w:val="en-US"/>
              </w:rPr>
              <w:t xml:space="preserve">Year 2: </w:t>
            </w:r>
            <w:r w:rsidR="002D5188" w:rsidRPr="007D04D1">
              <w:rPr>
                <w:lang w:val="en-US"/>
              </w:rPr>
              <w:t>60.4</w:t>
            </w:r>
            <w:r w:rsidRPr="007D04D1">
              <w:rPr>
                <w:lang w:val="en-US"/>
              </w:rPr>
              <w:t>%</w:t>
            </w:r>
          </w:p>
          <w:p w14:paraId="3B846C12" w14:textId="77777777" w:rsidR="00E1098A" w:rsidRPr="007D04D1" w:rsidRDefault="00E1098A" w:rsidP="00E1098A">
            <w:pPr>
              <w:pStyle w:val="TableText0"/>
              <w:jc w:val="center"/>
              <w:rPr>
                <w:lang w:val="en-US"/>
              </w:rPr>
            </w:pPr>
            <w:r w:rsidRPr="007D04D1">
              <w:rPr>
                <w:lang w:val="en-US"/>
              </w:rPr>
              <w:t xml:space="preserve">Year 3: </w:t>
            </w:r>
            <w:r w:rsidR="00DA1A6A" w:rsidRPr="007D04D1">
              <w:rPr>
                <w:lang w:val="en-US"/>
              </w:rPr>
              <w:t>48.2</w:t>
            </w:r>
            <w:r w:rsidRPr="007D04D1">
              <w:rPr>
                <w:lang w:val="en-US"/>
              </w:rPr>
              <w:t>%</w:t>
            </w:r>
          </w:p>
          <w:p w14:paraId="6232C05C" w14:textId="77777777" w:rsidR="00E1098A" w:rsidRPr="007D04D1" w:rsidRDefault="00E1098A" w:rsidP="00E1098A">
            <w:pPr>
              <w:pStyle w:val="TableText0"/>
              <w:jc w:val="center"/>
              <w:rPr>
                <w:lang w:val="en-US"/>
              </w:rPr>
            </w:pPr>
            <w:r w:rsidRPr="007D04D1">
              <w:rPr>
                <w:lang w:val="en-US"/>
              </w:rPr>
              <w:t xml:space="preserve">Year 4: </w:t>
            </w:r>
            <w:r w:rsidR="006446E5" w:rsidRPr="007D04D1">
              <w:rPr>
                <w:lang w:val="en-US"/>
              </w:rPr>
              <w:t>43.0</w:t>
            </w:r>
            <w:r w:rsidRPr="007D04D1">
              <w:rPr>
                <w:lang w:val="en-US"/>
              </w:rPr>
              <w:t>%</w:t>
            </w:r>
          </w:p>
          <w:p w14:paraId="500A70BF" w14:textId="77777777" w:rsidR="00E1098A" w:rsidRPr="007D04D1" w:rsidRDefault="00E1098A" w:rsidP="00E1098A">
            <w:pPr>
              <w:pStyle w:val="TableText0"/>
              <w:jc w:val="center"/>
              <w:rPr>
                <w:lang w:val="en-US"/>
              </w:rPr>
            </w:pPr>
            <w:r w:rsidRPr="007D04D1">
              <w:rPr>
                <w:lang w:val="en-US"/>
              </w:rPr>
              <w:t xml:space="preserve">Year 5: </w:t>
            </w:r>
            <w:r w:rsidR="006070D0" w:rsidRPr="007D04D1">
              <w:rPr>
                <w:lang w:val="en-US"/>
              </w:rPr>
              <w:t>38.4</w:t>
            </w:r>
            <w:r w:rsidRPr="007D04D1">
              <w:rPr>
                <w:lang w:val="en-US"/>
              </w:rPr>
              <w:t>%</w:t>
            </w:r>
          </w:p>
          <w:p w14:paraId="3B943BBC" w14:textId="77777777" w:rsidR="00E1098A" w:rsidRPr="00CB021D" w:rsidDel="00086E0A" w:rsidRDefault="00E1098A" w:rsidP="00E1098A">
            <w:pPr>
              <w:pStyle w:val="TableText0"/>
              <w:jc w:val="center"/>
              <w:rPr>
                <w:highlight w:val="yellow"/>
                <w:lang w:val="en-US"/>
              </w:rPr>
            </w:pPr>
            <w:r w:rsidRPr="007D04D1">
              <w:rPr>
                <w:lang w:val="en-US"/>
              </w:rPr>
              <w:t xml:space="preserve">Year 6: </w:t>
            </w:r>
            <w:r w:rsidR="007D04D1" w:rsidRPr="007D04D1">
              <w:rPr>
                <w:lang w:val="en-US"/>
              </w:rPr>
              <w:t>34.2</w:t>
            </w:r>
            <w:r w:rsidRPr="007D04D1">
              <w:rPr>
                <w:lang w:val="en-US"/>
              </w:rPr>
              <w:t>%</w:t>
            </w:r>
          </w:p>
        </w:tc>
        <w:tc>
          <w:tcPr>
            <w:tcW w:w="594" w:type="pct"/>
            <w:shd w:val="clear" w:color="auto" w:fill="auto"/>
            <w:vAlign w:val="center"/>
          </w:tcPr>
          <w:p w14:paraId="40C467CD" w14:textId="77777777" w:rsidR="00E1098A" w:rsidRPr="006638E9" w:rsidRDefault="00E1098A" w:rsidP="00E1098A">
            <w:pPr>
              <w:pStyle w:val="TableText0"/>
              <w:jc w:val="center"/>
              <w:rPr>
                <w:vertAlign w:val="superscript"/>
                <w:lang w:val="en-US"/>
              </w:rPr>
            </w:pPr>
            <w:r>
              <w:rPr>
                <w:lang w:val="en-US"/>
              </w:rPr>
              <w:t>Year 1: 100%</w:t>
            </w:r>
            <w:r w:rsidR="0096011D" w:rsidRPr="0096011D">
              <w:rPr>
                <w:vertAlign w:val="superscript"/>
                <w:lang w:val="en-US"/>
              </w:rPr>
              <w:t>i</w:t>
            </w:r>
          </w:p>
          <w:p w14:paraId="49CEE868" w14:textId="77777777" w:rsidR="00E1098A" w:rsidRPr="00467A27" w:rsidRDefault="00E1098A" w:rsidP="00E1098A">
            <w:pPr>
              <w:pStyle w:val="TableText0"/>
              <w:jc w:val="center"/>
              <w:rPr>
                <w:vertAlign w:val="superscript"/>
                <w:lang w:val="en-US"/>
              </w:rPr>
            </w:pPr>
            <w:r>
              <w:rPr>
                <w:lang w:val="en-US"/>
              </w:rPr>
              <w:t xml:space="preserve">Year 2: </w:t>
            </w:r>
            <w:r w:rsidR="00726B1F">
              <w:rPr>
                <w:lang w:val="en-US"/>
              </w:rPr>
              <w:t>100</w:t>
            </w:r>
            <w:r>
              <w:rPr>
                <w:lang w:val="en-US"/>
              </w:rPr>
              <w:t>%</w:t>
            </w:r>
          </w:p>
          <w:p w14:paraId="21B6BBD2" w14:textId="77777777" w:rsidR="00E1098A" w:rsidRDefault="00E1098A" w:rsidP="00E1098A">
            <w:pPr>
              <w:pStyle w:val="TableText0"/>
              <w:jc w:val="center"/>
              <w:rPr>
                <w:lang w:val="en-US"/>
              </w:rPr>
            </w:pPr>
            <w:r>
              <w:rPr>
                <w:lang w:val="en-US"/>
              </w:rPr>
              <w:t xml:space="preserve">Year 3: </w:t>
            </w:r>
            <w:r w:rsidR="00726B1F">
              <w:rPr>
                <w:lang w:val="en-US"/>
              </w:rPr>
              <w:t>100</w:t>
            </w:r>
            <w:r>
              <w:rPr>
                <w:lang w:val="en-US"/>
              </w:rPr>
              <w:t>%</w:t>
            </w:r>
          </w:p>
          <w:p w14:paraId="7A501930" w14:textId="77777777" w:rsidR="00E1098A" w:rsidRDefault="00E1098A" w:rsidP="00E1098A">
            <w:pPr>
              <w:pStyle w:val="TableText0"/>
              <w:jc w:val="center"/>
              <w:rPr>
                <w:lang w:val="en-US"/>
              </w:rPr>
            </w:pPr>
            <w:r>
              <w:rPr>
                <w:lang w:val="en-US"/>
              </w:rPr>
              <w:t xml:space="preserve">Year 4: </w:t>
            </w:r>
            <w:r w:rsidR="00726B1F">
              <w:rPr>
                <w:lang w:val="en-US"/>
              </w:rPr>
              <w:t>100</w:t>
            </w:r>
            <w:r>
              <w:rPr>
                <w:lang w:val="en-US"/>
              </w:rPr>
              <w:t>%</w:t>
            </w:r>
          </w:p>
          <w:p w14:paraId="6DE34597" w14:textId="77777777" w:rsidR="00E1098A" w:rsidRDefault="00E1098A" w:rsidP="00E1098A">
            <w:pPr>
              <w:pStyle w:val="TableText0"/>
              <w:jc w:val="center"/>
              <w:rPr>
                <w:lang w:val="en-US"/>
              </w:rPr>
            </w:pPr>
            <w:r>
              <w:rPr>
                <w:lang w:val="en-US"/>
              </w:rPr>
              <w:t xml:space="preserve">Year 5: </w:t>
            </w:r>
            <w:r w:rsidR="00BA43AE">
              <w:rPr>
                <w:lang w:val="en-US"/>
              </w:rPr>
              <w:t>100</w:t>
            </w:r>
            <w:r>
              <w:rPr>
                <w:lang w:val="en-US"/>
              </w:rPr>
              <w:t>%</w:t>
            </w:r>
          </w:p>
          <w:p w14:paraId="42F19523" w14:textId="77777777" w:rsidR="00E1098A" w:rsidDel="00BC3B0C" w:rsidRDefault="00E1098A" w:rsidP="00E1098A">
            <w:pPr>
              <w:pStyle w:val="TableText0"/>
              <w:jc w:val="center"/>
              <w:rPr>
                <w:lang w:val="en-US"/>
              </w:rPr>
            </w:pPr>
            <w:r>
              <w:rPr>
                <w:lang w:val="en-US"/>
              </w:rPr>
              <w:t xml:space="preserve">Year 6: </w:t>
            </w:r>
            <w:r w:rsidR="00BA43AE">
              <w:rPr>
                <w:lang w:val="en-US"/>
              </w:rPr>
              <w:t>100</w:t>
            </w:r>
            <w:r>
              <w:rPr>
                <w:lang w:val="en-US"/>
              </w:rPr>
              <w:t>%</w:t>
            </w:r>
          </w:p>
        </w:tc>
        <w:tc>
          <w:tcPr>
            <w:tcW w:w="857" w:type="pct"/>
            <w:shd w:val="clear" w:color="auto" w:fill="C6D9F1" w:themeFill="text2" w:themeFillTint="33"/>
            <w:vAlign w:val="center"/>
          </w:tcPr>
          <w:p w14:paraId="48F32D1E" w14:textId="77777777" w:rsidR="00E1098A" w:rsidRDefault="00E1098A" w:rsidP="00E1098A">
            <w:pPr>
              <w:pStyle w:val="TableText0"/>
              <w:jc w:val="center"/>
              <w:rPr>
                <w:lang w:val="en-US"/>
              </w:rPr>
            </w:pPr>
            <w:r w:rsidRPr="002763D9">
              <w:rPr>
                <w:lang w:val="en-US"/>
              </w:rPr>
              <w:t xml:space="preserve">At 30 </w:t>
            </w:r>
            <w:r>
              <w:rPr>
                <w:lang w:val="en-US"/>
              </w:rPr>
              <w:t>week</w:t>
            </w:r>
            <w:r w:rsidRPr="002763D9">
              <w:rPr>
                <w:lang w:val="en-US"/>
              </w:rPr>
              <w:t xml:space="preserve">s, </w:t>
            </w:r>
            <w:r>
              <w:rPr>
                <w:lang w:val="en-US"/>
              </w:rPr>
              <w:t>3.3</w:t>
            </w:r>
            <w:r w:rsidRPr="002763D9">
              <w:rPr>
                <w:lang w:val="en-US"/>
              </w:rPr>
              <w:t xml:space="preserve">% of patients in the </w:t>
            </w:r>
            <w:r>
              <w:rPr>
                <w:lang w:val="en-US"/>
              </w:rPr>
              <w:t>MAVA</w:t>
            </w:r>
            <w:r w:rsidRPr="002763D9">
              <w:rPr>
                <w:lang w:val="en-US"/>
              </w:rPr>
              <w:t xml:space="preserve"> arm of </w:t>
            </w:r>
            <w:r>
              <w:rPr>
                <w:lang w:val="en-US"/>
              </w:rPr>
              <w:t>EXPLORER-HCM</w:t>
            </w:r>
            <w:r w:rsidRPr="002763D9">
              <w:rPr>
                <w:lang w:val="en-US"/>
              </w:rPr>
              <w:t xml:space="preserve"> had discontinued</w:t>
            </w:r>
            <w:r>
              <w:rPr>
                <w:lang w:val="en-US"/>
              </w:rPr>
              <w:t xml:space="preserve"> treatment</w:t>
            </w:r>
          </w:p>
        </w:tc>
        <w:tc>
          <w:tcPr>
            <w:tcW w:w="659" w:type="pct"/>
            <w:shd w:val="clear" w:color="auto" w:fill="C6D9F1" w:themeFill="text2" w:themeFillTint="33"/>
            <w:vAlign w:val="center"/>
          </w:tcPr>
          <w:p w14:paraId="3416A3BA" w14:textId="77777777" w:rsidR="00E1098A" w:rsidRPr="006638E9" w:rsidRDefault="00E1098A" w:rsidP="00E1098A">
            <w:pPr>
              <w:pStyle w:val="TableText0"/>
              <w:jc w:val="center"/>
              <w:rPr>
                <w:vertAlign w:val="superscript"/>
                <w:lang w:val="en-US"/>
              </w:rPr>
            </w:pPr>
            <w:r>
              <w:rPr>
                <w:lang w:val="en-US"/>
              </w:rPr>
              <w:t>Year 1: 100%</w:t>
            </w:r>
            <w:r>
              <w:rPr>
                <w:vertAlign w:val="superscript"/>
                <w:lang w:val="en-US"/>
              </w:rPr>
              <w:t>g</w:t>
            </w:r>
          </w:p>
          <w:p w14:paraId="6393E984" w14:textId="77777777" w:rsidR="00E1098A" w:rsidRPr="006638E9" w:rsidRDefault="00E1098A" w:rsidP="00E1098A">
            <w:pPr>
              <w:pStyle w:val="TableText0"/>
              <w:jc w:val="center"/>
              <w:rPr>
                <w:vertAlign w:val="superscript"/>
                <w:lang w:val="en-US"/>
              </w:rPr>
            </w:pPr>
            <w:r>
              <w:rPr>
                <w:lang w:val="en-US"/>
              </w:rPr>
              <w:t>Year 2: 63.6%</w:t>
            </w:r>
          </w:p>
          <w:p w14:paraId="3C7249B7" w14:textId="77777777" w:rsidR="00E1098A" w:rsidRDefault="00E1098A" w:rsidP="00E1098A">
            <w:pPr>
              <w:pStyle w:val="TableText0"/>
              <w:jc w:val="center"/>
              <w:rPr>
                <w:lang w:val="en-US"/>
              </w:rPr>
            </w:pPr>
            <w:r>
              <w:rPr>
                <w:lang w:val="en-US"/>
              </w:rPr>
              <w:t>Year 3: 60.0%</w:t>
            </w:r>
          </w:p>
          <w:p w14:paraId="0782C661" w14:textId="77777777" w:rsidR="00E1098A" w:rsidRDefault="00E1098A" w:rsidP="00E1098A">
            <w:pPr>
              <w:pStyle w:val="TableText0"/>
              <w:jc w:val="center"/>
              <w:rPr>
                <w:lang w:val="en-US"/>
              </w:rPr>
            </w:pPr>
            <w:r>
              <w:rPr>
                <w:lang w:val="en-US"/>
              </w:rPr>
              <w:t>Year 4: 56.6%</w:t>
            </w:r>
          </w:p>
          <w:p w14:paraId="3F0122FF" w14:textId="77777777" w:rsidR="00E1098A" w:rsidRDefault="00E1098A" w:rsidP="00E1098A">
            <w:pPr>
              <w:pStyle w:val="TableText0"/>
              <w:jc w:val="center"/>
              <w:rPr>
                <w:lang w:val="en-US"/>
              </w:rPr>
            </w:pPr>
            <w:r>
              <w:rPr>
                <w:lang w:val="en-US"/>
              </w:rPr>
              <w:t>Year 5: 53.3%</w:t>
            </w:r>
          </w:p>
          <w:p w14:paraId="29A86D79" w14:textId="77777777" w:rsidR="00E1098A" w:rsidRDefault="00E1098A" w:rsidP="00E1098A">
            <w:pPr>
              <w:pStyle w:val="TableText0"/>
              <w:jc w:val="center"/>
              <w:rPr>
                <w:lang w:val="en-US"/>
              </w:rPr>
            </w:pPr>
            <w:r>
              <w:rPr>
                <w:lang w:val="en-US"/>
              </w:rPr>
              <w:t>Year 6: 50.2%</w:t>
            </w:r>
          </w:p>
        </w:tc>
        <w:tc>
          <w:tcPr>
            <w:tcW w:w="722" w:type="pct"/>
            <w:shd w:val="clear" w:color="auto" w:fill="C6D9F1" w:themeFill="text2" w:themeFillTint="33"/>
            <w:vAlign w:val="center"/>
          </w:tcPr>
          <w:p w14:paraId="3D7C96D2" w14:textId="77777777" w:rsidR="00E1098A" w:rsidRPr="006638E9" w:rsidRDefault="00E1098A" w:rsidP="00E1098A">
            <w:pPr>
              <w:pStyle w:val="TableText0"/>
              <w:jc w:val="center"/>
              <w:rPr>
                <w:vertAlign w:val="superscript"/>
                <w:lang w:val="en-US"/>
              </w:rPr>
            </w:pPr>
            <w:r>
              <w:rPr>
                <w:lang w:val="en-US"/>
              </w:rPr>
              <w:t>Year 1: 100%</w:t>
            </w:r>
            <w:r>
              <w:rPr>
                <w:vertAlign w:val="superscript"/>
                <w:lang w:val="en-US"/>
              </w:rPr>
              <w:t>h</w:t>
            </w:r>
          </w:p>
          <w:p w14:paraId="6FB2C449" w14:textId="77777777" w:rsidR="00E1098A" w:rsidRPr="00467A27" w:rsidRDefault="00E1098A" w:rsidP="00E1098A">
            <w:pPr>
              <w:pStyle w:val="TableText0"/>
              <w:jc w:val="center"/>
              <w:rPr>
                <w:vertAlign w:val="superscript"/>
                <w:lang w:val="en-US"/>
              </w:rPr>
            </w:pPr>
            <w:r>
              <w:rPr>
                <w:lang w:val="en-US"/>
              </w:rPr>
              <w:t>Year 2: 66.1%</w:t>
            </w:r>
          </w:p>
          <w:p w14:paraId="38212818" w14:textId="77777777" w:rsidR="00E1098A" w:rsidRDefault="00E1098A" w:rsidP="00E1098A">
            <w:pPr>
              <w:pStyle w:val="TableText0"/>
              <w:jc w:val="center"/>
              <w:rPr>
                <w:lang w:val="en-US"/>
              </w:rPr>
            </w:pPr>
            <w:r>
              <w:rPr>
                <w:lang w:val="en-US"/>
              </w:rPr>
              <w:t>Year 3: 62.1%</w:t>
            </w:r>
          </w:p>
          <w:p w14:paraId="6B0BF90F" w14:textId="77777777" w:rsidR="00E1098A" w:rsidRDefault="00E1098A" w:rsidP="00E1098A">
            <w:pPr>
              <w:pStyle w:val="TableText0"/>
              <w:jc w:val="center"/>
              <w:rPr>
                <w:lang w:val="en-US"/>
              </w:rPr>
            </w:pPr>
            <w:r>
              <w:rPr>
                <w:lang w:val="en-US"/>
              </w:rPr>
              <w:t>Year 4: 58.3%</w:t>
            </w:r>
          </w:p>
          <w:p w14:paraId="455E9435" w14:textId="77777777" w:rsidR="00E1098A" w:rsidRDefault="00E1098A" w:rsidP="00E1098A">
            <w:pPr>
              <w:pStyle w:val="TableText0"/>
              <w:jc w:val="center"/>
              <w:rPr>
                <w:lang w:val="en-US"/>
              </w:rPr>
            </w:pPr>
            <w:r>
              <w:rPr>
                <w:lang w:val="en-US"/>
              </w:rPr>
              <w:t>Year 5: 54.8%</w:t>
            </w:r>
          </w:p>
          <w:p w14:paraId="5868947D" w14:textId="77777777" w:rsidR="00E1098A" w:rsidRDefault="00E1098A" w:rsidP="00E1098A">
            <w:pPr>
              <w:pStyle w:val="TableText0"/>
              <w:jc w:val="center"/>
              <w:rPr>
                <w:lang w:val="en-US"/>
              </w:rPr>
            </w:pPr>
            <w:r>
              <w:rPr>
                <w:lang w:val="en-US"/>
              </w:rPr>
              <w:t>Year 6: 51.5%</w:t>
            </w:r>
          </w:p>
        </w:tc>
      </w:tr>
    </w:tbl>
    <w:p w14:paraId="304766D9" w14:textId="7B3E03B1" w:rsidR="00646F6E" w:rsidRDefault="00646F6E" w:rsidP="00646F6E">
      <w:pPr>
        <w:pStyle w:val="FooterTableFigure"/>
      </w:pPr>
      <w:r w:rsidRPr="0065351A">
        <w:t xml:space="preserve">Source: </w:t>
      </w:r>
      <w:r w:rsidRPr="0065351A">
        <w:rPr>
          <w:shd w:val="clear" w:color="auto" w:fill="C6D9F1" w:themeFill="text2" w:themeFillTint="33"/>
        </w:rPr>
        <w:t xml:space="preserve">Table constructed during the evaluation, based on Table 9, p37 and Table 29, p70 of the </w:t>
      </w:r>
      <w:r w:rsidR="00E856AB" w:rsidRPr="0065351A">
        <w:rPr>
          <w:shd w:val="clear" w:color="auto" w:fill="C6D9F1" w:themeFill="text2" w:themeFillTint="33"/>
        </w:rPr>
        <w:t xml:space="preserve">November 2022 </w:t>
      </w:r>
      <w:r w:rsidRPr="0065351A">
        <w:rPr>
          <w:shd w:val="clear" w:color="auto" w:fill="C6D9F1" w:themeFill="text2" w:themeFillTint="33"/>
        </w:rPr>
        <w:t>submission; the “Mavacamten oHCM Economic Evaluation” Excel workbook; and the “Mavacamten-obstructive HCM-Utilisation and Cost Model” Excel workbook</w:t>
      </w:r>
      <w:r w:rsidR="00E856AB" w:rsidRPr="0065351A">
        <w:rPr>
          <w:shd w:val="clear" w:color="auto" w:fill="C6D9F1" w:themeFill="text2" w:themeFillTint="33"/>
        </w:rPr>
        <w:t xml:space="preserve">; </w:t>
      </w:r>
      <w:r w:rsidR="00E856AB" w:rsidRPr="00FC3D00">
        <w:t xml:space="preserve">Table </w:t>
      </w:r>
      <w:r w:rsidR="00B356EC" w:rsidRPr="00FC3D00">
        <w:t>47, p92,</w:t>
      </w:r>
      <w:r w:rsidR="00E856AB" w:rsidRPr="00FC3D00">
        <w:t xml:space="preserve"> of the resubmission</w:t>
      </w:r>
      <w:r w:rsidR="00A14E86" w:rsidRPr="00FC3D00">
        <w:t>; Excel workbook</w:t>
      </w:r>
      <w:r w:rsidR="0065351A" w:rsidRPr="00FC3D00">
        <w:t xml:space="preserve">s “Mavacamten obstructive HCM model resubmission_FINAL” Excel workbook and </w:t>
      </w:r>
      <w:r w:rsidR="00A14E86" w:rsidRPr="00FC3D00">
        <w:t>‘Attachment 19 - Mavacamten-obstructive HCM-Utilisation and Cost Model-Resubmission’.</w:t>
      </w:r>
    </w:p>
    <w:p w14:paraId="3E4155AB" w14:textId="77777777" w:rsidR="00394FD5" w:rsidRPr="00394FD5" w:rsidRDefault="00394FD5" w:rsidP="00394FD5">
      <w:pPr>
        <w:pStyle w:val="FooterTableFigure"/>
        <w:shd w:val="clear" w:color="auto" w:fill="C6D9F1" w:themeFill="text2" w:themeFillTint="33"/>
        <w:spacing w:after="0"/>
        <w:rPr>
          <w:szCs w:val="18"/>
        </w:rPr>
      </w:pPr>
      <w:r w:rsidRPr="00490649">
        <w:rPr>
          <w:szCs w:val="18"/>
        </w:rPr>
        <w:t>HCM = hypertrophic cardiomyopathy; MAV</w:t>
      </w:r>
      <w:r>
        <w:rPr>
          <w:szCs w:val="18"/>
        </w:rPr>
        <w:t>A</w:t>
      </w:r>
      <w:r w:rsidRPr="00490649">
        <w:rPr>
          <w:szCs w:val="18"/>
        </w:rPr>
        <w:t>= mavacamten</w:t>
      </w:r>
      <w:r>
        <w:rPr>
          <w:szCs w:val="18"/>
        </w:rPr>
        <w:t>.</w:t>
      </w:r>
    </w:p>
    <w:p w14:paraId="6B805BDB" w14:textId="77777777" w:rsidR="00646F6E" w:rsidRDefault="00646F6E" w:rsidP="00530A63">
      <w:pPr>
        <w:pStyle w:val="FooterTableFigure"/>
        <w:shd w:val="clear" w:color="auto" w:fill="C6D9F1" w:themeFill="text2" w:themeFillTint="33"/>
      </w:pPr>
      <w:r>
        <w:rPr>
          <w:vertAlign w:val="superscript"/>
        </w:rPr>
        <w:t xml:space="preserve">a </w:t>
      </w:r>
      <w:r>
        <w:t>Sourced from Table 14.1.12.1 in Attachment 12 – EXPLORER-HCM Tables &amp; Figures</w:t>
      </w:r>
    </w:p>
    <w:p w14:paraId="3650DF7D" w14:textId="77777777" w:rsidR="00646F6E" w:rsidRDefault="00646F6E" w:rsidP="004069A0">
      <w:pPr>
        <w:pStyle w:val="FooterTableFigure"/>
        <w:shd w:val="clear" w:color="auto" w:fill="C6D9F1" w:themeFill="text2" w:themeFillTint="33"/>
      </w:pPr>
      <w:r>
        <w:rPr>
          <w:vertAlign w:val="superscript"/>
        </w:rPr>
        <w:t xml:space="preserve">b </w:t>
      </w:r>
      <w:proofErr w:type="gramStart"/>
      <w:r>
        <w:t>The</w:t>
      </w:r>
      <w:proofErr w:type="gramEnd"/>
      <w:r>
        <w:t xml:space="preserve"> submission proposed flat pricing for mavacamten. The daily dose of mavacamten does not affect the drug price as patients will take one mavacamten capsule per day regardless.</w:t>
      </w:r>
    </w:p>
    <w:p w14:paraId="579A8CDC" w14:textId="77777777" w:rsidR="00646F6E" w:rsidRPr="00F71748" w:rsidRDefault="00646F6E" w:rsidP="004069A0">
      <w:pPr>
        <w:pStyle w:val="FooterTableFigure"/>
        <w:shd w:val="clear" w:color="auto" w:fill="C6D9F1" w:themeFill="text2" w:themeFillTint="33"/>
      </w:pPr>
      <w:r>
        <w:rPr>
          <w:vertAlign w:val="superscript"/>
        </w:rPr>
        <w:t xml:space="preserve">c </w:t>
      </w:r>
      <w:r>
        <w:t>Dispensed price using the updated PBS fees and mark-up as in July 2022.</w:t>
      </w:r>
    </w:p>
    <w:p w14:paraId="5F1AB494" w14:textId="7A0CD006" w:rsidR="00646F6E" w:rsidRPr="00BF5BC7" w:rsidRDefault="00646F6E" w:rsidP="004069A0">
      <w:pPr>
        <w:pStyle w:val="FooterTableFigure"/>
        <w:shd w:val="clear" w:color="auto" w:fill="C6D9F1" w:themeFill="text2" w:themeFillTint="33"/>
        <w:rPr>
          <w:iCs/>
        </w:rPr>
      </w:pPr>
      <w:r>
        <w:rPr>
          <w:vertAlign w:val="superscript"/>
        </w:rPr>
        <w:t xml:space="preserve">d </w:t>
      </w:r>
      <w:r>
        <w:t>1</w:t>
      </w:r>
      <w:r w:rsidRPr="00DB3935">
        <w:t>2</w:t>
      </w:r>
      <w:r>
        <w:t xml:space="preserve">.87=365.25/28*98.64%. The submission’s economic evaluation assumed that 1.36% of patients did not receive any dose of mavacamten. The </w:t>
      </w:r>
      <w:r w:rsidR="001C57E7">
        <w:t xml:space="preserve">November 2022 </w:t>
      </w:r>
      <w:r>
        <w:t xml:space="preserve">submission stated that </w:t>
      </w:r>
      <w:r w:rsidRPr="0014273B">
        <w:t xml:space="preserve">98.64% of patients </w:t>
      </w:r>
      <w:r>
        <w:t xml:space="preserve">in the trial </w:t>
      </w:r>
      <w:r w:rsidRPr="0014273B">
        <w:t xml:space="preserve">did not miss any </w:t>
      </w:r>
      <w:proofErr w:type="gramStart"/>
      <w:r w:rsidRPr="0014273B">
        <w:t>doses</w:t>
      </w:r>
      <w:r>
        <w:t xml:space="preserve"> ;</w:t>
      </w:r>
      <w:proofErr w:type="gramEnd"/>
      <w:r>
        <w:t xml:space="preserve"> however, the number of pills missed in the remaining 1.36% trial subjects was not reported. </w:t>
      </w:r>
      <w:r w:rsidR="00091466" w:rsidRPr="00BF5BC7">
        <w:rPr>
          <w:iCs/>
        </w:rPr>
        <w:t xml:space="preserve">This assumption was unchanged for the resubmission. </w:t>
      </w:r>
    </w:p>
    <w:p w14:paraId="1E8E77BF" w14:textId="77777777" w:rsidR="00646F6E" w:rsidRDefault="00646F6E" w:rsidP="004069A0">
      <w:pPr>
        <w:pStyle w:val="FooterTableFigure"/>
        <w:shd w:val="clear" w:color="auto" w:fill="C6D9F1" w:themeFill="text2" w:themeFillTint="33"/>
      </w:pPr>
      <w:r w:rsidRPr="00424AF9">
        <w:rPr>
          <w:vertAlign w:val="superscript"/>
        </w:rPr>
        <w:t xml:space="preserve">e </w:t>
      </w:r>
      <w:proofErr w:type="gramStart"/>
      <w:r w:rsidRPr="00424AF9">
        <w:t>The</w:t>
      </w:r>
      <w:proofErr w:type="gramEnd"/>
      <w:r w:rsidRPr="00424AF9">
        <w:t xml:space="preserve"> revised number of scripts and drug cost were calculated by assuming 100% compliance rate. 13.04=365.25/28.</w:t>
      </w:r>
    </w:p>
    <w:p w14:paraId="5A949607" w14:textId="79C2F5B8" w:rsidR="00646F6E" w:rsidRPr="00BF5BC7" w:rsidRDefault="00646F6E" w:rsidP="004069A0">
      <w:pPr>
        <w:pStyle w:val="FooterTableFigure"/>
        <w:shd w:val="clear" w:color="auto" w:fill="C6D9F1" w:themeFill="text2" w:themeFillTint="33"/>
        <w:rPr>
          <w:iCs/>
        </w:rPr>
      </w:pPr>
      <w:r w:rsidRPr="00A80EC1">
        <w:rPr>
          <w:vertAlign w:val="superscript"/>
        </w:rPr>
        <w:t>f</w:t>
      </w:r>
      <w:r w:rsidRPr="00AA55A9">
        <w:t xml:space="preserve"> </w:t>
      </w:r>
      <w:r>
        <w:t xml:space="preserve">12.73=365.25/28*97.56%. The submission’s financial analysis assumed that 2.44% of patients did not receive any dose of mavacamten. The </w:t>
      </w:r>
      <w:r w:rsidR="00523564">
        <w:t xml:space="preserve">November 2022 </w:t>
      </w:r>
      <w:r>
        <w:t>submission stated that 97.56</w:t>
      </w:r>
      <w:r w:rsidRPr="00AA55A9">
        <w:t xml:space="preserve">% of patients in the trial did not </w:t>
      </w:r>
      <w:r>
        <w:t xml:space="preserve">reach 80% of targeted </w:t>
      </w:r>
      <w:proofErr w:type="gramStart"/>
      <w:r>
        <w:t>dose ;</w:t>
      </w:r>
      <w:proofErr w:type="gramEnd"/>
      <w:r>
        <w:t xml:space="preserve"> however, t</w:t>
      </w:r>
      <w:r w:rsidRPr="00AA55A9">
        <w:t xml:space="preserve">he number of </w:t>
      </w:r>
      <w:r>
        <w:t>cumulative doses in the remaining 2.4</w:t>
      </w:r>
      <w:r w:rsidRPr="00AA55A9">
        <w:t>4% trial subjects was not reported.</w:t>
      </w:r>
      <w:r>
        <w:t xml:space="preserve"> </w:t>
      </w:r>
      <w:r w:rsidR="009B51ED" w:rsidRPr="00BF5BC7">
        <w:rPr>
          <w:iCs/>
        </w:rPr>
        <w:t xml:space="preserve">This assumption was unchanged for the resubmission. </w:t>
      </w:r>
    </w:p>
    <w:p w14:paraId="114C7ADD" w14:textId="77777777" w:rsidR="00646F6E" w:rsidRDefault="00646F6E" w:rsidP="0096011D">
      <w:pPr>
        <w:pStyle w:val="FooterTableFigure"/>
        <w:shd w:val="clear" w:color="auto" w:fill="C6D9F1" w:themeFill="text2" w:themeFillTint="33"/>
      </w:pPr>
      <w:r w:rsidRPr="00467A27">
        <w:rPr>
          <w:vertAlign w:val="superscript"/>
        </w:rPr>
        <w:t>g</w:t>
      </w:r>
      <w:r>
        <w:rPr>
          <w:vertAlign w:val="superscript"/>
        </w:rPr>
        <w:t xml:space="preserve"> </w:t>
      </w:r>
      <w:r w:rsidRPr="00467A27">
        <w:t xml:space="preserve">Proportions of patients alive and on treatment at the start of each year </w:t>
      </w:r>
      <w:r>
        <w:t xml:space="preserve">sourced </w:t>
      </w:r>
      <w:r w:rsidRPr="00467A27">
        <w:t xml:space="preserve">from the economic model. </w:t>
      </w:r>
    </w:p>
    <w:p w14:paraId="3E122E7A" w14:textId="77777777" w:rsidR="00646F6E" w:rsidRDefault="00646F6E" w:rsidP="0096011D">
      <w:pPr>
        <w:pStyle w:val="FooterTableFigure"/>
        <w:shd w:val="clear" w:color="auto" w:fill="C6D9F1" w:themeFill="text2" w:themeFillTint="33"/>
      </w:pPr>
      <w:r>
        <w:rPr>
          <w:vertAlign w:val="superscript"/>
        </w:rPr>
        <w:t xml:space="preserve">h </w:t>
      </w:r>
      <w:r>
        <w:t>Proportion of patients on treatment at the start of each year. The submission stated that 33.90% of patients did not achieve a New York Heart Association (NYHA) class improvement at Week 30 in EXPLORER-HCM. It was assumed that these patients would discontinue treatment, and therefore in each year, for new initiating patients, the persistence rate was calculated as 66.1% (100%-33.90%). In Year 2 and beyond, the applied persistence rate was 93.94% (in patients on treatment in the previous treatment year), based on data from the EXPLORER-LTE cohort of the MAVA-LTE study.</w:t>
      </w:r>
    </w:p>
    <w:p w14:paraId="5A8DCF04" w14:textId="77777777" w:rsidR="00646F6E" w:rsidRDefault="00726B1F" w:rsidP="00636080">
      <w:pPr>
        <w:pStyle w:val="FooterTableFigure"/>
      </w:pPr>
      <w:r w:rsidRPr="0096011D">
        <w:rPr>
          <w:vertAlign w:val="superscript"/>
        </w:rPr>
        <w:t>i</w:t>
      </w:r>
      <w:r>
        <w:t xml:space="preserve"> </w:t>
      </w:r>
      <w:proofErr w:type="gramStart"/>
      <w:r w:rsidR="00BA43AE">
        <w:t>Financial</w:t>
      </w:r>
      <w:proofErr w:type="gramEnd"/>
      <w:r w:rsidR="00BA43AE">
        <w:t xml:space="preserve"> estimates </w:t>
      </w:r>
      <w:r w:rsidR="00CA7033">
        <w:t xml:space="preserve">for resubmission </w:t>
      </w:r>
      <w:r w:rsidR="00BA43AE">
        <w:t xml:space="preserve">assumed no </w:t>
      </w:r>
      <w:r w:rsidR="009F366F">
        <w:t xml:space="preserve">patients </w:t>
      </w:r>
      <w:r w:rsidR="00BA43AE">
        <w:t>discontinu</w:t>
      </w:r>
      <w:r w:rsidR="009F366F">
        <w:t xml:space="preserve">e treatment. </w:t>
      </w:r>
    </w:p>
    <w:p w14:paraId="0D4BBE59" w14:textId="77777777" w:rsidR="00117DDB" w:rsidRDefault="00117DDB" w:rsidP="00117DDB">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w:t>
      </w:r>
    </w:p>
    <w:p w14:paraId="2DD21368" w14:textId="4EBE48F8" w:rsidR="00636080" w:rsidRPr="00BF5BC7" w:rsidRDefault="00711A22" w:rsidP="00403FA6">
      <w:pPr>
        <w:pStyle w:val="3-BodyText"/>
        <w:ind w:left="709"/>
        <w:rPr>
          <w:iCs/>
        </w:rPr>
      </w:pPr>
      <w:bookmarkStart w:id="92" w:name="_Hlk107307804"/>
      <w:r>
        <w:t xml:space="preserve">The </w:t>
      </w:r>
      <w:r w:rsidR="00E032E9">
        <w:t xml:space="preserve">DPMQ </w:t>
      </w:r>
      <w:r>
        <w:t xml:space="preserve">per pack of </w:t>
      </w:r>
      <w:r w:rsidR="004066A0">
        <w:t>mavacamten (28 days treatment) was $</w:t>
      </w:r>
      <w:r w:rsidR="00F5190C" w:rsidRPr="00F5190C">
        <w:rPr>
          <w:color w:val="000000"/>
          <w:w w:val="62"/>
          <w:shd w:val="solid" w:color="000000" w:fill="000000"/>
          <w:fitText w:val="479" w:id="-1167926515"/>
          <w14:textFill>
            <w14:solidFill>
              <w14:srgbClr w14:val="000000">
                <w14:alpha w14:val="100000"/>
              </w14:srgbClr>
            </w14:solidFill>
          </w14:textFill>
        </w:rPr>
        <w:t>||</w:t>
      </w:r>
      <w:proofErr w:type="gramStart"/>
      <w:r w:rsidR="00F5190C" w:rsidRPr="00F5190C">
        <w:rPr>
          <w:color w:val="000000"/>
          <w:w w:val="62"/>
          <w:shd w:val="solid" w:color="000000" w:fill="000000"/>
          <w:fitText w:val="479" w:id="-1167926515"/>
          <w14:textFill>
            <w14:solidFill>
              <w14:srgbClr w14:val="000000">
                <w14:alpha w14:val="100000"/>
              </w14:srgbClr>
            </w14:solidFill>
          </w14:textFill>
        </w:rPr>
        <w:t>|  |</w:t>
      </w:r>
      <w:proofErr w:type="gramEnd"/>
      <w:r w:rsidR="00F5190C" w:rsidRPr="00F5190C">
        <w:rPr>
          <w:color w:val="000000"/>
          <w:w w:val="62"/>
          <w:shd w:val="solid" w:color="000000" w:fill="000000"/>
          <w:fitText w:val="479" w:id="-1167926515"/>
          <w14:textFill>
            <w14:solidFill>
              <w14:srgbClr w14:val="000000">
                <w14:alpha w14:val="100000"/>
              </w14:srgbClr>
            </w14:solidFill>
          </w14:textFill>
        </w:rPr>
        <w:t>|</w:t>
      </w:r>
      <w:r w:rsidR="00F5190C" w:rsidRPr="00F5190C">
        <w:rPr>
          <w:color w:val="000000"/>
          <w:spacing w:val="1"/>
          <w:w w:val="62"/>
          <w:shd w:val="solid" w:color="000000" w:fill="000000"/>
          <w:fitText w:val="479" w:id="-1167926515"/>
          <w14:textFill>
            <w14:solidFill>
              <w14:srgbClr w14:val="000000">
                <w14:alpha w14:val="100000"/>
              </w14:srgbClr>
            </w14:solidFill>
          </w14:textFill>
        </w:rPr>
        <w:t>|</w:t>
      </w:r>
      <w:r w:rsidR="006F7930">
        <w:t xml:space="preserve"> (based on the SPA</w:t>
      </w:r>
      <w:r w:rsidR="00477E2C">
        <w:t xml:space="preserve"> proposed</w:t>
      </w:r>
      <w:r w:rsidR="006F7930">
        <w:t>)</w:t>
      </w:r>
      <w:r w:rsidR="00E032E9" w:rsidRPr="00BF5BC7">
        <w:rPr>
          <w:iCs/>
        </w:rPr>
        <w:t xml:space="preserve">. </w:t>
      </w:r>
      <w:r w:rsidR="00B4668F" w:rsidRPr="00BF5BC7">
        <w:rPr>
          <w:iCs/>
        </w:rPr>
        <w:t>Assuming 100% compliance, 13.04</w:t>
      </w:r>
      <w:r w:rsidR="004E3313" w:rsidRPr="00BF5BC7">
        <w:rPr>
          <w:iCs/>
        </w:rPr>
        <w:t xml:space="preserve"> </w:t>
      </w:r>
      <w:r w:rsidR="00134E36" w:rsidRPr="00BF5BC7">
        <w:rPr>
          <w:iCs/>
        </w:rPr>
        <w:t xml:space="preserve">packs per patient per year would </w:t>
      </w:r>
      <w:r w:rsidR="00D37272" w:rsidRPr="00BF5BC7">
        <w:rPr>
          <w:iCs/>
        </w:rPr>
        <w:t xml:space="preserve">cost </w:t>
      </w:r>
      <w:r w:rsidR="004E3313" w:rsidRPr="00BF5BC7">
        <w:rPr>
          <w:iCs/>
        </w:rPr>
        <w:lastRenderedPageBreak/>
        <w:t>$</w:t>
      </w:r>
      <w:proofErr w:type="gramStart"/>
      <w:r w:rsidR="00F5190C" w:rsidRPr="00F84C70">
        <w:rPr>
          <w:iCs/>
          <w:color w:val="000000"/>
          <w:w w:val="15"/>
          <w:shd w:val="solid" w:color="000000" w:fill="000000"/>
          <w:fitText w:val="-20" w:id="-1167926514"/>
          <w14:textFill>
            <w14:solidFill>
              <w14:srgbClr w14:val="000000">
                <w14:alpha w14:val="100000"/>
              </w14:srgbClr>
            </w14:solidFill>
          </w14:textFill>
        </w:rPr>
        <w:t xml:space="preserve">|  </w:t>
      </w:r>
      <w:r w:rsidR="00F5190C" w:rsidRPr="00F84C70">
        <w:rPr>
          <w:iCs/>
          <w:color w:val="000000"/>
          <w:spacing w:val="-69"/>
          <w:w w:val="15"/>
          <w:shd w:val="solid" w:color="000000" w:fill="000000"/>
          <w:fitText w:val="-20" w:id="-1167926514"/>
          <w14:textFill>
            <w14:solidFill>
              <w14:srgbClr w14:val="000000">
                <w14:alpha w14:val="100000"/>
              </w14:srgbClr>
            </w14:solidFill>
          </w14:textFill>
        </w:rPr>
        <w:t>|</w:t>
      </w:r>
      <w:proofErr w:type="gramEnd"/>
      <w:r w:rsidR="004E3313" w:rsidRPr="00BF5BC7">
        <w:rPr>
          <w:iCs/>
        </w:rPr>
        <w:t xml:space="preserve"> per patient per year</w:t>
      </w:r>
      <w:r w:rsidR="00E95CDB" w:rsidRPr="00BF5BC7">
        <w:rPr>
          <w:iCs/>
        </w:rPr>
        <w:t xml:space="preserve">. Treatment is expected </w:t>
      </w:r>
      <w:r w:rsidR="006F7930" w:rsidRPr="00BF5BC7">
        <w:rPr>
          <w:iCs/>
        </w:rPr>
        <w:t xml:space="preserve">to be ongoing for the life of the patient. </w:t>
      </w:r>
      <w:r w:rsidR="00477E2C" w:rsidRPr="00BF5BC7">
        <w:rPr>
          <w:iCs/>
        </w:rPr>
        <w:t>The resubmission proposed</w:t>
      </w:r>
      <w:r w:rsidR="00B06BF4" w:rsidRPr="00BF5BC7">
        <w:rPr>
          <w:iCs/>
        </w:rPr>
        <w:t xml:space="preserve"> an RSA</w:t>
      </w:r>
      <w:r w:rsidR="00477E2C" w:rsidRPr="00BF5BC7">
        <w:rPr>
          <w:iCs/>
        </w:rPr>
        <w:t xml:space="preserve"> to cap the gross cost to the PBS/RPBS</w:t>
      </w:r>
      <w:r w:rsidR="00B06BF4" w:rsidRPr="00BF5BC7">
        <w:rPr>
          <w:iCs/>
        </w:rPr>
        <w:t xml:space="preserve">. </w:t>
      </w:r>
    </w:p>
    <w:p w14:paraId="6F3F43A9" w14:textId="77777777" w:rsidR="00636080" w:rsidRPr="00C9624D" w:rsidRDefault="00636080" w:rsidP="00636080">
      <w:pPr>
        <w:pStyle w:val="4-SubsectionHeading"/>
      </w:pPr>
      <w:bookmarkStart w:id="93" w:name="_Toc22897647"/>
      <w:bookmarkStart w:id="94" w:name="_Toc107927633"/>
      <w:bookmarkStart w:id="95" w:name="_Toc135223333"/>
      <w:bookmarkEnd w:id="92"/>
      <w:r w:rsidRPr="00C9624D">
        <w:t xml:space="preserve">Estimated PBS usage &amp; financial </w:t>
      </w:r>
      <w:proofErr w:type="gramStart"/>
      <w:r w:rsidRPr="00C9624D">
        <w:t>implications</w:t>
      </w:r>
      <w:bookmarkEnd w:id="93"/>
      <w:bookmarkEnd w:id="94"/>
      <w:bookmarkEnd w:id="95"/>
      <w:proofErr w:type="gramEnd"/>
    </w:p>
    <w:p w14:paraId="6913A427" w14:textId="75759ECC" w:rsidR="00636080" w:rsidRPr="003C013B" w:rsidRDefault="00636080" w:rsidP="00636080">
      <w:pPr>
        <w:pStyle w:val="3-BodyText"/>
        <w:rPr>
          <w:color w:val="0066FF"/>
        </w:rPr>
      </w:pPr>
      <w:r>
        <w:t xml:space="preserve">This submission </w:t>
      </w:r>
      <w:r w:rsidR="00E30A40">
        <w:t>was</w:t>
      </w:r>
      <w:r w:rsidRPr="0030419D">
        <w:t xml:space="preserve"> </w:t>
      </w:r>
      <w:r w:rsidR="00BA6365">
        <w:t xml:space="preserve">not </w:t>
      </w:r>
      <w:r>
        <w:t>considered by DUSC</w:t>
      </w:r>
      <w:r w:rsidRPr="00B50DB8">
        <w:rPr>
          <w:color w:val="0070C0"/>
        </w:rPr>
        <w:t>.</w:t>
      </w:r>
      <w:r>
        <w:rPr>
          <w:color w:val="0070C0"/>
        </w:rPr>
        <w:t xml:space="preserve"> </w:t>
      </w:r>
      <w:r w:rsidR="000A0853" w:rsidRPr="007072C9">
        <w:t xml:space="preserve">As for the November </w:t>
      </w:r>
      <w:r w:rsidR="000A0853">
        <w:t>2022</w:t>
      </w:r>
      <w:r w:rsidR="000A0853" w:rsidRPr="007072C9">
        <w:t xml:space="preserve"> submission, the resubmission applied an epidemiological approach to estimate the prevalent patients treated with </w:t>
      </w:r>
      <w:r w:rsidR="00BB38A3">
        <w:t>mavacamten</w:t>
      </w:r>
      <w:r w:rsidR="000A0853" w:rsidRPr="007072C9">
        <w:t xml:space="preserve">. </w:t>
      </w:r>
    </w:p>
    <w:p w14:paraId="318D4C74" w14:textId="3BF1AF33" w:rsidR="003C013B" w:rsidRPr="00BF5BC7" w:rsidRDefault="003C013B" w:rsidP="00E552A0">
      <w:pPr>
        <w:pStyle w:val="3-BodyText"/>
        <w:rPr>
          <w:iCs/>
        </w:rPr>
      </w:pPr>
      <w:r w:rsidRPr="00BF5BC7">
        <w:rPr>
          <w:iCs/>
        </w:rPr>
        <w:t>Prior to the November 2022 PBAC meeting, the DUSC stated that the November 2022 submission had underestimated the costs to Government (</w:t>
      </w:r>
      <w:r w:rsidR="00F55FEF" w:rsidRPr="00BF5BC7">
        <w:rPr>
          <w:iCs/>
        </w:rPr>
        <w:t>para. 6.68, mavacamten, Public Summary Document, November 2022 PBAC meeting</w:t>
      </w:r>
      <w:r w:rsidRPr="00BF5BC7">
        <w:rPr>
          <w:iCs/>
        </w:rPr>
        <w:t xml:space="preserve">). The DUSC advised that the financial model could be simplified to use a prevalent pool with uptake assumptions which would reduce double counting and incorrect assumptions. The </w:t>
      </w:r>
      <w:r w:rsidR="000A06AF">
        <w:rPr>
          <w:iCs/>
        </w:rPr>
        <w:t xml:space="preserve">2022 </w:t>
      </w:r>
      <w:r w:rsidRPr="00BF5BC7">
        <w:rPr>
          <w:iCs/>
        </w:rPr>
        <w:t xml:space="preserve">pre-PBAC response included changes in response to the DUSC advice, including: removal of a persistent population, removal of </w:t>
      </w:r>
      <w:r w:rsidR="00CB3B61" w:rsidRPr="00BF5BC7">
        <w:rPr>
          <w:iCs/>
        </w:rPr>
        <w:t xml:space="preserve">a </w:t>
      </w:r>
      <w:r w:rsidRPr="00BF5BC7">
        <w:rPr>
          <w:iCs/>
        </w:rPr>
        <w:t xml:space="preserve">diagnosis rate to determine eligible patients, exclusion of patients well controlled on BB/CCBs that would be ineligible for mavacamten, and an increase in the proportion of patients with obstructive </w:t>
      </w:r>
      <w:r w:rsidR="00CB3B61" w:rsidRPr="00BF5BC7">
        <w:rPr>
          <w:iCs/>
        </w:rPr>
        <w:t>HCM</w:t>
      </w:r>
      <w:r w:rsidRPr="00BF5BC7">
        <w:rPr>
          <w:iCs/>
        </w:rPr>
        <w:t xml:space="preserve"> from 37.70% (based on Canepa et al. 2020) to 60.94% (based on Maron et al. 2006) (</w:t>
      </w:r>
      <w:r w:rsidR="00F55FEF" w:rsidRPr="00BF5BC7">
        <w:rPr>
          <w:iCs/>
        </w:rPr>
        <w:t>para. 6.69, mavacamten, Public Summary Document, November 2022 PBAC meeting</w:t>
      </w:r>
      <w:r w:rsidRPr="00BF5BC7">
        <w:rPr>
          <w:iCs/>
        </w:rPr>
        <w:t>).</w:t>
      </w:r>
      <w:r w:rsidR="000A06AF">
        <w:rPr>
          <w:iCs/>
        </w:rPr>
        <w:t xml:space="preserve"> </w:t>
      </w:r>
    </w:p>
    <w:p w14:paraId="25C04ED3" w14:textId="1B0AA23C" w:rsidR="00BE1898" w:rsidRDefault="00810A6C" w:rsidP="00E552A0">
      <w:pPr>
        <w:pStyle w:val="3-BodyText"/>
        <w:rPr>
          <w:iCs/>
        </w:rPr>
      </w:pPr>
      <w:r>
        <w:rPr>
          <w:bCs/>
          <w:iCs/>
        </w:rPr>
        <w:t>The resubmission estimated that the net cost to the PBS/RPBS was $</w:t>
      </w:r>
      <w:r w:rsidR="00937772">
        <w:rPr>
          <w:bCs/>
          <w:iCs/>
        </w:rPr>
        <w:t>70 million to &lt; $80</w:t>
      </w:r>
      <w:r>
        <w:rPr>
          <w:bCs/>
          <w:iCs/>
        </w:rPr>
        <w:t xml:space="preserve"> million in </w:t>
      </w:r>
      <w:r w:rsidR="001D233B">
        <w:rPr>
          <w:bCs/>
          <w:iCs/>
        </w:rPr>
        <w:t>Y</w:t>
      </w:r>
      <w:r>
        <w:rPr>
          <w:bCs/>
          <w:iCs/>
        </w:rPr>
        <w:t>ear 1 increasing to $</w:t>
      </w:r>
      <w:r w:rsidR="00937772">
        <w:rPr>
          <w:bCs/>
          <w:iCs/>
        </w:rPr>
        <w:t>70 million to &lt; $80</w:t>
      </w:r>
      <w:r>
        <w:rPr>
          <w:bCs/>
          <w:iCs/>
        </w:rPr>
        <w:t xml:space="preserve"> million in </w:t>
      </w:r>
      <w:r w:rsidR="001D233B">
        <w:rPr>
          <w:bCs/>
          <w:iCs/>
        </w:rPr>
        <w:t>Y</w:t>
      </w:r>
      <w:r>
        <w:rPr>
          <w:bCs/>
          <w:iCs/>
        </w:rPr>
        <w:t>ear 6</w:t>
      </w:r>
      <w:r>
        <w:t xml:space="preserve">, for a total of </w:t>
      </w:r>
      <w:r w:rsidRPr="00DF2500">
        <w:t>$</w:t>
      </w:r>
      <w:r w:rsidR="00937772">
        <w:t>400 million to &lt; $500</w:t>
      </w:r>
      <w:r>
        <w:t> </w:t>
      </w:r>
      <w:r w:rsidRPr="00DF2500">
        <w:t>million</w:t>
      </w:r>
      <w:r>
        <w:t xml:space="preserve"> over 6 years). </w:t>
      </w:r>
      <w:r w:rsidRPr="00BF5BC7">
        <w:rPr>
          <w:iCs/>
        </w:rPr>
        <w:t>This is lower than the costs in the November 2022 pre-PBAC response</w:t>
      </w:r>
      <w:r w:rsidR="00CB3B61" w:rsidRPr="00BF5BC7">
        <w:rPr>
          <w:iCs/>
        </w:rPr>
        <w:t xml:space="preserve"> of $</w:t>
      </w:r>
      <w:r w:rsidR="00937772">
        <w:rPr>
          <w:iCs/>
        </w:rPr>
        <w:t>600 million to &lt; $700</w:t>
      </w:r>
      <w:r w:rsidR="00CB3B61" w:rsidRPr="00BF5BC7">
        <w:rPr>
          <w:iCs/>
        </w:rPr>
        <w:t xml:space="preserve"> million </w:t>
      </w:r>
      <w:r w:rsidRPr="00BF5BC7">
        <w:rPr>
          <w:iCs/>
        </w:rPr>
        <w:t>over 6 years.</w:t>
      </w:r>
      <w:r w:rsidR="000A06AF">
        <w:rPr>
          <w:iCs/>
        </w:rPr>
        <w:t xml:space="preserve"> </w:t>
      </w:r>
      <w:r w:rsidR="000A06AF" w:rsidRPr="00541454">
        <w:t>The ESC noted that</w:t>
      </w:r>
      <w:r w:rsidR="000A06AF">
        <w:rPr>
          <w:iCs/>
        </w:rPr>
        <w:t xml:space="preserve"> </w:t>
      </w:r>
      <w:r w:rsidR="00BE1898" w:rsidRPr="00541454">
        <w:t>fewer patients</w:t>
      </w:r>
      <w:r w:rsidR="00CB5705" w:rsidRPr="00541454">
        <w:t xml:space="preserve"> were estimated to be</w:t>
      </w:r>
      <w:r w:rsidR="00BE1898" w:rsidRPr="00541454">
        <w:t xml:space="preserve"> treated with mavacamten in the resubmission compared with the 2022 pre-PBAC response. As a workbook was not provided with the 2022 pre-PBAC response</w:t>
      </w:r>
      <w:r w:rsidR="000A427E" w:rsidRPr="00541454">
        <w:t xml:space="preserve"> </w:t>
      </w:r>
      <w:r w:rsidR="00BE1898" w:rsidRPr="00541454">
        <w:t>this discrepancy could not be verified.</w:t>
      </w:r>
      <w:r w:rsidRPr="00BF5BC7">
        <w:rPr>
          <w:iCs/>
        </w:rPr>
        <w:t xml:space="preserve"> </w:t>
      </w:r>
    </w:p>
    <w:p w14:paraId="14BAC148" w14:textId="7B28C56E" w:rsidR="00810A6C" w:rsidRPr="00BF5BC7" w:rsidRDefault="00810A6C" w:rsidP="00E552A0">
      <w:pPr>
        <w:pStyle w:val="3-BodyText"/>
        <w:rPr>
          <w:iCs/>
        </w:rPr>
      </w:pPr>
      <w:r w:rsidRPr="002F2A46">
        <w:t xml:space="preserve">The </w:t>
      </w:r>
      <w:r w:rsidR="002F2A46">
        <w:t>submission stated</w:t>
      </w:r>
      <w:r w:rsidR="000A427E">
        <w:t xml:space="preserve"> </w:t>
      </w:r>
      <w:r w:rsidR="002F2A46">
        <w:t xml:space="preserve">that the </w:t>
      </w:r>
      <w:r w:rsidRPr="002F2A46">
        <w:t>financial estimates in the resubmission do not include patients expected to access treatment under the grandfather restriction as the PAP currently has no patients enrolled.</w:t>
      </w:r>
    </w:p>
    <w:p w14:paraId="5B95910A" w14:textId="79D7AD0C" w:rsidR="00810A6C" w:rsidRPr="00C03950" w:rsidRDefault="00C03950" w:rsidP="00E552A0">
      <w:pPr>
        <w:pStyle w:val="3-BodyText"/>
      </w:pPr>
      <w:r>
        <w:t>A</w:t>
      </w:r>
      <w:r w:rsidRPr="00C03950">
        <w:t xml:space="preserve"> summary of the data sources </w:t>
      </w:r>
      <w:proofErr w:type="gramStart"/>
      <w:r w:rsidRPr="00C03950">
        <w:t>used</w:t>
      </w:r>
      <w:proofErr w:type="gramEnd"/>
      <w:r w:rsidRPr="00C03950">
        <w:t xml:space="preserve"> and assumptions made to estimate the usage and cost of the requested PBS listing of </w:t>
      </w:r>
      <w:r>
        <w:t>mavacamten</w:t>
      </w:r>
      <w:r w:rsidRPr="00C03950">
        <w:t>, and the changes relative to the November 202</w:t>
      </w:r>
      <w:r w:rsidR="000A427E">
        <w:t>2</w:t>
      </w:r>
      <w:r w:rsidRPr="00C03950">
        <w:t xml:space="preserve"> submission</w:t>
      </w:r>
      <w:r>
        <w:t xml:space="preserve"> are provided in </w:t>
      </w:r>
      <w:r w:rsidR="006D7649">
        <w:fldChar w:fldCharType="begin"/>
      </w:r>
      <w:r w:rsidR="006D7649">
        <w:instrText xml:space="preserve"> REF _Ref104805262 \h </w:instrText>
      </w:r>
      <w:r w:rsidR="006D7649">
        <w:fldChar w:fldCharType="separate"/>
      </w:r>
      <w:r w:rsidR="00F84C70">
        <w:t xml:space="preserve">Table </w:t>
      </w:r>
      <w:r w:rsidR="00F84C70">
        <w:rPr>
          <w:noProof/>
        </w:rPr>
        <w:t>18</w:t>
      </w:r>
      <w:r w:rsidR="006D7649">
        <w:fldChar w:fldCharType="end"/>
      </w:r>
      <w:r w:rsidRPr="00C03950">
        <w:t>.</w:t>
      </w:r>
    </w:p>
    <w:p w14:paraId="13EA1B15" w14:textId="2AD5DC21" w:rsidR="00636080" w:rsidRDefault="00636080" w:rsidP="00636080">
      <w:pPr>
        <w:pStyle w:val="Caption"/>
        <w:rPr>
          <w:rStyle w:val="CommentReference"/>
          <w:b/>
          <w:szCs w:val="24"/>
        </w:rPr>
      </w:pPr>
      <w:bookmarkStart w:id="96" w:name="_Ref104805262"/>
      <w:r>
        <w:t xml:space="preserve">Table </w:t>
      </w:r>
      <w:fldSimple w:instr=" SEQ Table \* ARABIC ">
        <w:r w:rsidR="00F84C70">
          <w:rPr>
            <w:noProof/>
          </w:rPr>
          <w:t>18</w:t>
        </w:r>
      </w:fldSimple>
      <w:bookmarkEnd w:id="96"/>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619"/>
        <w:gridCol w:w="2635"/>
        <w:gridCol w:w="2635"/>
      </w:tblGrid>
      <w:tr w:rsidR="00A15F2D" w:rsidRPr="00914C77" w14:paraId="0EDCAE4C" w14:textId="77777777" w:rsidTr="009C63B8">
        <w:trPr>
          <w:tblHeader/>
        </w:trPr>
        <w:tc>
          <w:tcPr>
            <w:tcW w:w="1180" w:type="pct"/>
            <w:vAlign w:val="center"/>
          </w:tcPr>
          <w:p w14:paraId="171D9E11" w14:textId="77777777" w:rsidR="00A15F2D" w:rsidRPr="00914C77" w:rsidRDefault="00A15F2D" w:rsidP="00F774FD">
            <w:pPr>
              <w:pStyle w:val="In-tableHeading"/>
              <w:keepNext w:val="0"/>
              <w:jc w:val="center"/>
            </w:pPr>
            <w:r w:rsidRPr="00914C77">
              <w:t>Data</w:t>
            </w:r>
          </w:p>
        </w:tc>
        <w:tc>
          <w:tcPr>
            <w:tcW w:w="898" w:type="pct"/>
            <w:vAlign w:val="center"/>
          </w:tcPr>
          <w:p w14:paraId="6645B6CF" w14:textId="77777777" w:rsidR="00A15F2D" w:rsidRPr="00914C77" w:rsidRDefault="00A15F2D" w:rsidP="00F774FD">
            <w:pPr>
              <w:pStyle w:val="In-tableHeading"/>
              <w:keepNext w:val="0"/>
              <w:jc w:val="center"/>
            </w:pPr>
            <w:r w:rsidRPr="00914C77">
              <w:t>Value</w:t>
            </w:r>
          </w:p>
        </w:tc>
        <w:tc>
          <w:tcPr>
            <w:tcW w:w="1461" w:type="pct"/>
            <w:vAlign w:val="center"/>
          </w:tcPr>
          <w:p w14:paraId="1B830BBA" w14:textId="77777777" w:rsidR="00A15F2D" w:rsidRPr="00914C77" w:rsidRDefault="00A15F2D" w:rsidP="00F774FD">
            <w:pPr>
              <w:pStyle w:val="In-tableHeading"/>
              <w:keepNext w:val="0"/>
              <w:jc w:val="center"/>
            </w:pPr>
            <w:r w:rsidRPr="00914C77">
              <w:t>Source</w:t>
            </w:r>
          </w:p>
        </w:tc>
        <w:tc>
          <w:tcPr>
            <w:tcW w:w="1461" w:type="pct"/>
            <w:vAlign w:val="center"/>
          </w:tcPr>
          <w:p w14:paraId="0D65A0F6" w14:textId="77777777" w:rsidR="00A15F2D" w:rsidRPr="00914C77" w:rsidRDefault="00A15F2D" w:rsidP="00F774FD">
            <w:pPr>
              <w:pStyle w:val="In-tableHeading"/>
              <w:keepNext w:val="0"/>
              <w:jc w:val="center"/>
            </w:pPr>
            <w:r w:rsidRPr="00914C77">
              <w:t>Comment</w:t>
            </w:r>
          </w:p>
        </w:tc>
      </w:tr>
      <w:tr w:rsidR="00A15F2D" w14:paraId="7378CE2F" w14:textId="77777777" w:rsidTr="009C63B8">
        <w:tc>
          <w:tcPr>
            <w:tcW w:w="5000" w:type="pct"/>
            <w:gridSpan w:val="4"/>
            <w:vAlign w:val="center"/>
          </w:tcPr>
          <w:p w14:paraId="4317648A" w14:textId="77777777" w:rsidR="00A15F2D" w:rsidRPr="00914C77" w:rsidRDefault="00A15F2D" w:rsidP="00F774FD">
            <w:pPr>
              <w:pStyle w:val="In-tableHeading"/>
              <w:keepNext w:val="0"/>
            </w:pPr>
            <w:r w:rsidRPr="00914C77">
              <w:t>Eligible population</w:t>
            </w:r>
          </w:p>
        </w:tc>
      </w:tr>
      <w:tr w:rsidR="00A15F2D" w:rsidRPr="00BF5BC7" w14:paraId="61A2201F" w14:textId="77777777" w:rsidTr="009C63B8">
        <w:tc>
          <w:tcPr>
            <w:tcW w:w="1180" w:type="pct"/>
            <w:shd w:val="clear" w:color="auto" w:fill="C6D9F1" w:themeFill="text2" w:themeFillTint="33"/>
            <w:vAlign w:val="center"/>
          </w:tcPr>
          <w:p w14:paraId="7C8AC8EC" w14:textId="77777777" w:rsidR="00A15F2D" w:rsidRPr="00BF5BC7" w:rsidRDefault="00A15F2D" w:rsidP="00F774FD">
            <w:pPr>
              <w:pStyle w:val="TableText0"/>
              <w:keepNext w:val="0"/>
            </w:pPr>
            <w:r w:rsidRPr="00BF5BC7">
              <w:t>Prevalent HCM population</w:t>
            </w:r>
          </w:p>
        </w:tc>
        <w:tc>
          <w:tcPr>
            <w:tcW w:w="898" w:type="pct"/>
            <w:shd w:val="clear" w:color="auto" w:fill="C6D9F1" w:themeFill="text2" w:themeFillTint="33"/>
            <w:vAlign w:val="center"/>
          </w:tcPr>
          <w:p w14:paraId="734AFCA5" w14:textId="77777777" w:rsidR="00A15F2D" w:rsidRPr="00BF5BC7" w:rsidRDefault="00A15F2D" w:rsidP="00F774FD">
            <w:pPr>
              <w:pStyle w:val="TableText0"/>
              <w:keepNext w:val="0"/>
            </w:pPr>
            <w:r w:rsidRPr="00BF5BC7">
              <w:t>1 in 350 persons</w:t>
            </w:r>
          </w:p>
          <w:p w14:paraId="1ECB29F9" w14:textId="77777777" w:rsidR="00A15F2D" w:rsidRPr="00BF5BC7" w:rsidRDefault="00A15F2D" w:rsidP="00F774FD">
            <w:pPr>
              <w:pStyle w:val="TableText0"/>
              <w:keepNext w:val="0"/>
            </w:pPr>
            <w:r w:rsidRPr="00BF5BC7">
              <w:t>Increasing from 60,236 in Year 1 to 64,898 in Year 6</w:t>
            </w:r>
          </w:p>
        </w:tc>
        <w:tc>
          <w:tcPr>
            <w:tcW w:w="1461" w:type="pct"/>
            <w:shd w:val="clear" w:color="auto" w:fill="C6D9F1" w:themeFill="text2" w:themeFillTint="33"/>
            <w:vAlign w:val="center"/>
          </w:tcPr>
          <w:p w14:paraId="7315FBD0" w14:textId="77777777" w:rsidR="00A15F2D" w:rsidRPr="00BF5BC7" w:rsidRDefault="00A15F2D" w:rsidP="00F774FD">
            <w:pPr>
              <w:pStyle w:val="TableText0"/>
              <w:keepNext w:val="0"/>
            </w:pPr>
            <w:r w:rsidRPr="00BF5BC7">
              <w:t>Midpoint of 1 case per 200-500 persons based on Maron et.al, 1995 and Semsarian et.al. 2015 was applied to ABS population &gt; 18 years</w:t>
            </w:r>
          </w:p>
        </w:tc>
        <w:tc>
          <w:tcPr>
            <w:tcW w:w="1461" w:type="pct"/>
            <w:shd w:val="clear" w:color="auto" w:fill="C6D9F1" w:themeFill="text2" w:themeFillTint="33"/>
            <w:vAlign w:val="center"/>
          </w:tcPr>
          <w:p w14:paraId="2D6A49E8" w14:textId="77777777" w:rsidR="00A15F2D" w:rsidRPr="00BF5BC7" w:rsidRDefault="00A15F2D" w:rsidP="00F774FD">
            <w:pPr>
              <w:pStyle w:val="TableText0"/>
              <w:keepNext w:val="0"/>
            </w:pPr>
            <w:r w:rsidRPr="00BF5BC7">
              <w:t xml:space="preserve">Unchanged from the November 2022 submission. </w:t>
            </w:r>
          </w:p>
        </w:tc>
      </w:tr>
      <w:tr w:rsidR="00A15F2D" w:rsidRPr="00BF5BC7" w14:paraId="290EA019" w14:textId="77777777" w:rsidTr="009C63B8">
        <w:tc>
          <w:tcPr>
            <w:tcW w:w="1180" w:type="pct"/>
            <w:vAlign w:val="center"/>
          </w:tcPr>
          <w:p w14:paraId="23B7331C" w14:textId="77777777" w:rsidR="00A15F2D" w:rsidRPr="00BF5BC7" w:rsidRDefault="00A15F2D" w:rsidP="00F774FD">
            <w:pPr>
              <w:pStyle w:val="TableText0"/>
              <w:keepNext w:val="0"/>
            </w:pPr>
            <w:r w:rsidRPr="00BF5BC7">
              <w:t>Proportion of patients with obstructive HCM</w:t>
            </w:r>
          </w:p>
        </w:tc>
        <w:tc>
          <w:tcPr>
            <w:tcW w:w="898" w:type="pct"/>
            <w:vAlign w:val="center"/>
          </w:tcPr>
          <w:p w14:paraId="46307796" w14:textId="77777777" w:rsidR="00A15F2D" w:rsidRPr="00BF5BC7" w:rsidRDefault="00A15F2D" w:rsidP="00F774FD">
            <w:pPr>
              <w:pStyle w:val="TableText0"/>
              <w:keepNext w:val="0"/>
            </w:pPr>
            <w:r w:rsidRPr="00BF5BC7">
              <w:t xml:space="preserve">60.94% </w:t>
            </w:r>
          </w:p>
        </w:tc>
        <w:tc>
          <w:tcPr>
            <w:tcW w:w="1461" w:type="pct"/>
            <w:vAlign w:val="center"/>
          </w:tcPr>
          <w:p w14:paraId="4C689B18" w14:textId="77777777" w:rsidR="00A15F2D" w:rsidRPr="00BF5BC7" w:rsidRDefault="00A15F2D" w:rsidP="00F774FD">
            <w:pPr>
              <w:pStyle w:val="TableText0"/>
              <w:keepNext w:val="0"/>
            </w:pPr>
            <w:r w:rsidRPr="00BF5BC7">
              <w:t>Base case: 60.94% (Maron et al. 2006)</w:t>
            </w:r>
          </w:p>
          <w:p w14:paraId="6412CD3F" w14:textId="77777777" w:rsidR="00A15F2D" w:rsidRPr="00BF5BC7" w:rsidRDefault="00A15F2D" w:rsidP="00F774FD">
            <w:pPr>
              <w:pStyle w:val="TableText0"/>
              <w:keepNext w:val="0"/>
            </w:pPr>
            <w:r w:rsidRPr="00BF5BC7">
              <w:t>November 2022: 37.70%, (Canepa et.al. 2020)</w:t>
            </w:r>
          </w:p>
        </w:tc>
        <w:tc>
          <w:tcPr>
            <w:tcW w:w="1461" w:type="pct"/>
            <w:vAlign w:val="center"/>
          </w:tcPr>
          <w:p w14:paraId="4058C872" w14:textId="12F29B0E" w:rsidR="00A15F2D" w:rsidRPr="00BF5BC7" w:rsidRDefault="00996A32" w:rsidP="00F774FD">
            <w:pPr>
              <w:pStyle w:val="TableText0"/>
              <w:keepNext w:val="0"/>
            </w:pPr>
            <w:r w:rsidRPr="00BF5BC7">
              <w:t>The r</w:t>
            </w:r>
            <w:r w:rsidR="00A15F2D" w:rsidRPr="00BF5BC7">
              <w:t>esubmission</w:t>
            </w:r>
            <w:r w:rsidRPr="00BF5BC7">
              <w:t>’s</w:t>
            </w:r>
            <w:r w:rsidR="00A15F2D" w:rsidRPr="00BF5BC7">
              <w:t xml:space="preserve"> base case using Maron et al. 2006 was consistent with </w:t>
            </w:r>
            <w:r w:rsidRPr="00BF5BC7">
              <w:t xml:space="preserve">the </w:t>
            </w:r>
            <w:r w:rsidR="00A15F2D" w:rsidRPr="00BF5BC7">
              <w:t>pre-PBAC response to DUSC (</w:t>
            </w:r>
            <w:r w:rsidR="00F55FEF" w:rsidRPr="00BF5BC7">
              <w:rPr>
                <w:iCs/>
              </w:rPr>
              <w:t xml:space="preserve">para. 6.69, mavacamten, Public Summary </w:t>
            </w:r>
            <w:r w:rsidR="00F55FEF" w:rsidRPr="00BF5BC7">
              <w:rPr>
                <w:iCs/>
              </w:rPr>
              <w:lastRenderedPageBreak/>
              <w:t>Document, November 2022 PBAC meeting</w:t>
            </w:r>
            <w:r w:rsidR="00A15F2D" w:rsidRPr="00BF5BC7">
              <w:t>).</w:t>
            </w:r>
          </w:p>
        </w:tc>
      </w:tr>
      <w:tr w:rsidR="00A15F2D" w:rsidRPr="00BF5BC7" w14:paraId="45428F24" w14:textId="77777777" w:rsidTr="009C63B8">
        <w:tc>
          <w:tcPr>
            <w:tcW w:w="1180" w:type="pct"/>
            <w:shd w:val="clear" w:color="auto" w:fill="C6D9F1" w:themeFill="text2" w:themeFillTint="33"/>
            <w:vAlign w:val="center"/>
          </w:tcPr>
          <w:p w14:paraId="31209B07" w14:textId="77777777" w:rsidR="00A15F2D" w:rsidRPr="00BF5BC7" w:rsidRDefault="00A15F2D" w:rsidP="00F774FD">
            <w:pPr>
              <w:pStyle w:val="TableText0"/>
              <w:keepNext w:val="0"/>
            </w:pPr>
            <w:r w:rsidRPr="00BF5BC7">
              <w:lastRenderedPageBreak/>
              <w:t xml:space="preserve">Proportion of obstructive HCM who </w:t>
            </w:r>
            <w:proofErr w:type="gramStart"/>
            <w:r w:rsidRPr="00BF5BC7">
              <w:t>are NYHA Class II or III</w:t>
            </w:r>
            <w:proofErr w:type="gramEnd"/>
          </w:p>
        </w:tc>
        <w:tc>
          <w:tcPr>
            <w:tcW w:w="898" w:type="pct"/>
            <w:shd w:val="clear" w:color="auto" w:fill="C6D9F1" w:themeFill="text2" w:themeFillTint="33"/>
            <w:vAlign w:val="center"/>
          </w:tcPr>
          <w:p w14:paraId="4AE81B02" w14:textId="77777777" w:rsidR="00A15F2D" w:rsidRPr="00BF5BC7" w:rsidRDefault="00A15F2D" w:rsidP="00F774FD">
            <w:pPr>
              <w:pStyle w:val="TableText0"/>
              <w:keepNext w:val="0"/>
            </w:pPr>
            <w:r w:rsidRPr="00BF5BC7">
              <w:t>49.54%</w:t>
            </w:r>
          </w:p>
        </w:tc>
        <w:tc>
          <w:tcPr>
            <w:tcW w:w="1461" w:type="pct"/>
            <w:shd w:val="clear" w:color="auto" w:fill="C6D9F1" w:themeFill="text2" w:themeFillTint="33"/>
            <w:vAlign w:val="center"/>
          </w:tcPr>
          <w:p w14:paraId="4560EFCC" w14:textId="77777777" w:rsidR="00A15F2D" w:rsidRPr="00BF5BC7" w:rsidRDefault="00A15F2D" w:rsidP="00F774FD">
            <w:pPr>
              <w:pStyle w:val="TableText0"/>
              <w:keepNext w:val="0"/>
            </w:pPr>
            <w:r w:rsidRPr="00BF5BC7">
              <w:t>Canepa et.al. 2020</w:t>
            </w:r>
          </w:p>
        </w:tc>
        <w:tc>
          <w:tcPr>
            <w:tcW w:w="1461" w:type="pct"/>
            <w:shd w:val="clear" w:color="auto" w:fill="C6D9F1" w:themeFill="text2" w:themeFillTint="33"/>
            <w:vAlign w:val="center"/>
          </w:tcPr>
          <w:p w14:paraId="32DC374F" w14:textId="77777777" w:rsidR="00A15F2D" w:rsidRPr="00BF5BC7" w:rsidRDefault="00A15F2D" w:rsidP="00F774FD">
            <w:pPr>
              <w:pStyle w:val="TableText0"/>
            </w:pPr>
            <w:r w:rsidRPr="00BF5BC7">
              <w:t xml:space="preserve">Unchanged from the November 2022 submission. </w:t>
            </w:r>
          </w:p>
        </w:tc>
      </w:tr>
      <w:tr w:rsidR="00A15F2D" w:rsidRPr="00BF5BC7" w14:paraId="64750E38" w14:textId="77777777" w:rsidTr="009C63B8">
        <w:tc>
          <w:tcPr>
            <w:tcW w:w="1180" w:type="pct"/>
            <w:shd w:val="clear" w:color="auto" w:fill="C6D9F1" w:themeFill="text2" w:themeFillTint="33"/>
          </w:tcPr>
          <w:p w14:paraId="257A2FD2" w14:textId="2C5F13DE" w:rsidR="00A15F2D" w:rsidRPr="00BF5BC7" w:rsidRDefault="00A15F2D" w:rsidP="00F774FD">
            <w:pPr>
              <w:pStyle w:val="TableText0"/>
              <w:keepNext w:val="0"/>
            </w:pPr>
            <w:r w:rsidRPr="00BF5BC7">
              <w:t>Proportion of obstructive HCM patients with LVEF ≥</w:t>
            </w:r>
            <w:r w:rsidR="004D3083">
              <w:t xml:space="preserve"> </w:t>
            </w:r>
            <w:r w:rsidRPr="00BF5BC7">
              <w:t>55</w:t>
            </w:r>
          </w:p>
        </w:tc>
        <w:tc>
          <w:tcPr>
            <w:tcW w:w="898" w:type="pct"/>
            <w:shd w:val="clear" w:color="auto" w:fill="C6D9F1" w:themeFill="text2" w:themeFillTint="33"/>
            <w:vAlign w:val="center"/>
          </w:tcPr>
          <w:p w14:paraId="5B8959AA" w14:textId="77777777" w:rsidR="00A15F2D" w:rsidRPr="00BF5BC7" w:rsidRDefault="00A15F2D" w:rsidP="00F774FD">
            <w:pPr>
              <w:pStyle w:val="TableText0"/>
              <w:keepNext w:val="0"/>
            </w:pPr>
            <w:r w:rsidRPr="00BF5BC7">
              <w:t>88.92%</w:t>
            </w:r>
          </w:p>
        </w:tc>
        <w:tc>
          <w:tcPr>
            <w:tcW w:w="1461" w:type="pct"/>
            <w:shd w:val="clear" w:color="auto" w:fill="C6D9F1" w:themeFill="text2" w:themeFillTint="33"/>
            <w:vAlign w:val="center"/>
          </w:tcPr>
          <w:p w14:paraId="3F41A873" w14:textId="77777777" w:rsidR="00A15F2D" w:rsidRPr="00BF5BC7" w:rsidRDefault="00A15F2D" w:rsidP="00F774FD">
            <w:pPr>
              <w:pStyle w:val="TableText0"/>
              <w:keepNext w:val="0"/>
            </w:pPr>
            <w:r w:rsidRPr="00BF5BC7">
              <w:t>Canepa et.al. 2020</w:t>
            </w:r>
          </w:p>
        </w:tc>
        <w:tc>
          <w:tcPr>
            <w:tcW w:w="1461" w:type="pct"/>
            <w:shd w:val="clear" w:color="auto" w:fill="C6D9F1" w:themeFill="text2" w:themeFillTint="33"/>
            <w:vAlign w:val="center"/>
          </w:tcPr>
          <w:p w14:paraId="54E80783" w14:textId="77777777" w:rsidR="00A15F2D" w:rsidRPr="00BF5BC7" w:rsidRDefault="00A15F2D" w:rsidP="00F774FD">
            <w:pPr>
              <w:pStyle w:val="TableText0"/>
              <w:keepNext w:val="0"/>
            </w:pPr>
            <w:r w:rsidRPr="00BF5BC7">
              <w:t xml:space="preserve">Unchanged from the November 2022 submission. </w:t>
            </w:r>
          </w:p>
        </w:tc>
      </w:tr>
      <w:tr w:rsidR="00A15F2D" w:rsidRPr="00BF5BC7" w14:paraId="373A6DC4" w14:textId="77777777" w:rsidTr="009C63B8">
        <w:tc>
          <w:tcPr>
            <w:tcW w:w="1180" w:type="pct"/>
          </w:tcPr>
          <w:p w14:paraId="79AF6E2E" w14:textId="77777777" w:rsidR="00A15F2D" w:rsidRPr="00BF5BC7" w:rsidRDefault="00A15F2D" w:rsidP="00F774FD">
            <w:pPr>
              <w:pStyle w:val="TableText0"/>
              <w:keepNext w:val="0"/>
            </w:pPr>
            <w:r w:rsidRPr="00BF5BC7">
              <w:t>Proportion of patients not well controlled on BB/CCB</w:t>
            </w:r>
          </w:p>
        </w:tc>
        <w:tc>
          <w:tcPr>
            <w:tcW w:w="898" w:type="pct"/>
            <w:vAlign w:val="center"/>
          </w:tcPr>
          <w:p w14:paraId="5A22D3DE" w14:textId="77777777" w:rsidR="00A15F2D" w:rsidRPr="00BF5BC7" w:rsidRDefault="00A15F2D" w:rsidP="00F774FD">
            <w:pPr>
              <w:pStyle w:val="TableText0"/>
              <w:keepNext w:val="0"/>
            </w:pPr>
            <w:r w:rsidRPr="00BF5BC7">
              <w:t>44.29%</w:t>
            </w:r>
          </w:p>
        </w:tc>
        <w:tc>
          <w:tcPr>
            <w:tcW w:w="1461" w:type="pct"/>
            <w:vAlign w:val="center"/>
          </w:tcPr>
          <w:p w14:paraId="0526E0EA" w14:textId="77777777" w:rsidR="00A15F2D" w:rsidRPr="00BF5BC7" w:rsidRDefault="00A15F2D" w:rsidP="00F774FD">
            <w:pPr>
              <w:pStyle w:val="TableText0"/>
              <w:keepNext w:val="0"/>
            </w:pPr>
            <w:r w:rsidRPr="00BF5BC7">
              <w:t xml:space="preserve">Advisory Board August 2021. </w:t>
            </w:r>
          </w:p>
          <w:p w14:paraId="3F8F2EC0" w14:textId="77777777" w:rsidR="00A15F2D" w:rsidRPr="00BF5BC7" w:rsidRDefault="00A15F2D" w:rsidP="00F774FD">
            <w:pPr>
              <w:pStyle w:val="TableText0"/>
              <w:keepNext w:val="0"/>
            </w:pPr>
            <w:r w:rsidRPr="00BF5BC7">
              <w:t xml:space="preserve">Sensitivity analysis: </w:t>
            </w:r>
          </w:p>
          <w:p w14:paraId="73014900" w14:textId="77777777" w:rsidR="00A15F2D" w:rsidRPr="00BF5BC7" w:rsidRDefault="00A15F2D" w:rsidP="00EE280A">
            <w:pPr>
              <w:pStyle w:val="TableText0"/>
              <w:keepNext w:val="0"/>
              <w:numPr>
                <w:ilvl w:val="0"/>
                <w:numId w:val="11"/>
              </w:numPr>
              <w:ind w:left="324" w:hanging="253"/>
            </w:pPr>
            <w:r w:rsidRPr="00BF5BC7">
              <w:t xml:space="preserve">34.29% </w:t>
            </w:r>
          </w:p>
          <w:p w14:paraId="135A6942" w14:textId="77777777" w:rsidR="00A15F2D" w:rsidRPr="00BF5BC7" w:rsidRDefault="00A15F2D" w:rsidP="00EE280A">
            <w:pPr>
              <w:pStyle w:val="TableText0"/>
              <w:keepNext w:val="0"/>
              <w:numPr>
                <w:ilvl w:val="0"/>
                <w:numId w:val="11"/>
              </w:numPr>
              <w:ind w:left="324" w:hanging="253"/>
            </w:pPr>
            <w:r w:rsidRPr="00BF5BC7">
              <w:t>54.29%</w:t>
            </w:r>
          </w:p>
          <w:p w14:paraId="0E84BDF4" w14:textId="77777777" w:rsidR="00A15F2D" w:rsidRPr="00BF5BC7" w:rsidRDefault="00A15F2D" w:rsidP="00F774FD">
            <w:pPr>
              <w:pStyle w:val="TableText0"/>
              <w:keepNext w:val="0"/>
            </w:pPr>
            <w:r w:rsidRPr="00BF5BC7">
              <w:t xml:space="preserve">Adler et al., 2017; Sherrid et al., 2013, Spoladore et al., 2020. </w:t>
            </w:r>
          </w:p>
        </w:tc>
        <w:tc>
          <w:tcPr>
            <w:tcW w:w="1461" w:type="pct"/>
            <w:vAlign w:val="center"/>
          </w:tcPr>
          <w:p w14:paraId="1577FD3B" w14:textId="003322D5" w:rsidR="00A15F2D" w:rsidRPr="00BF5BC7" w:rsidRDefault="00A15F2D" w:rsidP="00F774FD">
            <w:pPr>
              <w:pStyle w:val="TableText0"/>
              <w:keepNext w:val="0"/>
            </w:pPr>
            <w:r w:rsidRPr="00BF5BC7">
              <w:t>Assumption was included in the Nov</w:t>
            </w:r>
            <w:r w:rsidR="00996A32" w:rsidRPr="00BF5BC7">
              <w:t>ember 20</w:t>
            </w:r>
            <w:r w:rsidRPr="00BF5BC7">
              <w:t>22 pre-PBAC response (</w:t>
            </w:r>
            <w:r w:rsidR="00F55FEF" w:rsidRPr="00BF5BC7">
              <w:rPr>
                <w:iCs/>
              </w:rPr>
              <w:t>para. 6.69, mavacamten, Public Summary Document, November 2022 PBAC meeting</w:t>
            </w:r>
            <w:r w:rsidRPr="00BF5BC7">
              <w:t xml:space="preserve">). </w:t>
            </w:r>
          </w:p>
        </w:tc>
      </w:tr>
      <w:tr w:rsidR="00A15F2D" w:rsidRPr="00BF5BC7" w14:paraId="14419CB8" w14:textId="77777777" w:rsidTr="009C63B8">
        <w:tc>
          <w:tcPr>
            <w:tcW w:w="1180" w:type="pct"/>
            <w:shd w:val="clear" w:color="auto" w:fill="C6D9F1" w:themeFill="text2" w:themeFillTint="33"/>
          </w:tcPr>
          <w:p w14:paraId="5791CDEC" w14:textId="77777777" w:rsidR="00A15F2D" w:rsidRPr="00BF5BC7" w:rsidRDefault="00A15F2D" w:rsidP="00F774FD">
            <w:pPr>
              <w:pStyle w:val="TableText0"/>
              <w:keepNext w:val="0"/>
            </w:pPr>
            <w:r w:rsidRPr="00BF5BC7">
              <w:t>Proportion electing treatment (uptake rate)</w:t>
            </w:r>
          </w:p>
        </w:tc>
        <w:tc>
          <w:tcPr>
            <w:tcW w:w="898" w:type="pct"/>
            <w:shd w:val="clear" w:color="auto" w:fill="C6D9F1" w:themeFill="text2" w:themeFillTint="33"/>
            <w:vAlign w:val="center"/>
          </w:tcPr>
          <w:p w14:paraId="0F95A8C9" w14:textId="77777777" w:rsidR="00A15F2D" w:rsidRPr="00BF5BC7" w:rsidRDefault="00A15F2D" w:rsidP="00F774FD">
            <w:pPr>
              <w:pStyle w:val="TableText0"/>
              <w:keepNext w:val="0"/>
              <w:rPr>
                <w:iCs/>
              </w:rPr>
            </w:pPr>
            <w:r w:rsidRPr="00BF5BC7">
              <w:rPr>
                <w:iCs/>
              </w:rPr>
              <w:t>Yr 1: 61.11%</w:t>
            </w:r>
          </w:p>
          <w:p w14:paraId="7B78D685" w14:textId="77777777" w:rsidR="00A15F2D" w:rsidRPr="00BF5BC7" w:rsidRDefault="00A15F2D" w:rsidP="00F774FD">
            <w:pPr>
              <w:pStyle w:val="TableText0"/>
              <w:keepNext w:val="0"/>
              <w:rPr>
                <w:iCs/>
              </w:rPr>
            </w:pPr>
            <w:r w:rsidRPr="00BF5BC7">
              <w:rPr>
                <w:iCs/>
              </w:rPr>
              <w:t>Yr 2: 66.11%</w:t>
            </w:r>
          </w:p>
          <w:p w14:paraId="65CAB2A9" w14:textId="77777777" w:rsidR="00A15F2D" w:rsidRPr="00BF5BC7" w:rsidRDefault="00A15F2D" w:rsidP="00F774FD">
            <w:pPr>
              <w:pStyle w:val="TableText0"/>
              <w:keepNext w:val="0"/>
            </w:pPr>
            <w:r w:rsidRPr="00BF5BC7">
              <w:t>Yr 3+: 71.11%</w:t>
            </w:r>
          </w:p>
        </w:tc>
        <w:tc>
          <w:tcPr>
            <w:tcW w:w="1461" w:type="pct"/>
            <w:shd w:val="clear" w:color="auto" w:fill="C6D9F1" w:themeFill="text2" w:themeFillTint="33"/>
            <w:vAlign w:val="center"/>
          </w:tcPr>
          <w:p w14:paraId="2C34F176" w14:textId="77777777" w:rsidR="00A15F2D" w:rsidRPr="00BF5BC7" w:rsidRDefault="00A15F2D" w:rsidP="00F774FD">
            <w:pPr>
              <w:pStyle w:val="TableText0"/>
              <w:keepNext w:val="0"/>
            </w:pPr>
            <w:r w:rsidRPr="00BF5BC7">
              <w:t>Assumption based on a sponsor advisory board (nine cardiologists).</w:t>
            </w:r>
          </w:p>
        </w:tc>
        <w:tc>
          <w:tcPr>
            <w:tcW w:w="1461" w:type="pct"/>
            <w:shd w:val="clear" w:color="auto" w:fill="C6D9F1" w:themeFill="text2" w:themeFillTint="33"/>
            <w:vAlign w:val="center"/>
          </w:tcPr>
          <w:p w14:paraId="061FFD35" w14:textId="77777777" w:rsidR="00A15F2D" w:rsidRPr="00BF5BC7" w:rsidRDefault="00A15F2D" w:rsidP="00F774FD">
            <w:pPr>
              <w:pStyle w:val="TableText0"/>
              <w:keepNext w:val="0"/>
            </w:pPr>
            <w:r w:rsidRPr="00BF5BC7">
              <w:t>The assumption</w:t>
            </w:r>
            <w:r w:rsidRPr="00BF5BC7">
              <w:rPr>
                <w:bCs w:val="0"/>
              </w:rPr>
              <w:t xml:space="preserve"> </w:t>
            </w:r>
            <w:r w:rsidRPr="00BF5BC7">
              <w:t>is uncertain with respect to likely uptake and therefore the impact on the resulting estimates of use.</w:t>
            </w:r>
          </w:p>
        </w:tc>
      </w:tr>
      <w:tr w:rsidR="00A15F2D" w14:paraId="2F779DD5" w14:textId="77777777" w:rsidTr="009C63B8">
        <w:tc>
          <w:tcPr>
            <w:tcW w:w="5000" w:type="pct"/>
            <w:gridSpan w:val="4"/>
            <w:vAlign w:val="center"/>
          </w:tcPr>
          <w:p w14:paraId="3425F6BE" w14:textId="77777777" w:rsidR="00A15F2D" w:rsidRPr="00914C77" w:rsidRDefault="00A15F2D" w:rsidP="00F774FD">
            <w:pPr>
              <w:pStyle w:val="TableText0"/>
              <w:keepNext w:val="0"/>
              <w:rPr>
                <w:b/>
              </w:rPr>
            </w:pPr>
            <w:r w:rsidRPr="00914C77">
              <w:rPr>
                <w:b/>
              </w:rPr>
              <w:t>Treatment utilisation</w:t>
            </w:r>
          </w:p>
        </w:tc>
      </w:tr>
      <w:tr w:rsidR="00A15F2D" w:rsidRPr="00BF5BC7" w14:paraId="6E713698" w14:textId="77777777" w:rsidTr="009C63B8">
        <w:tc>
          <w:tcPr>
            <w:tcW w:w="1180" w:type="pct"/>
            <w:shd w:val="clear" w:color="auto" w:fill="C6D9F1" w:themeFill="text2" w:themeFillTint="33"/>
            <w:vAlign w:val="center"/>
          </w:tcPr>
          <w:p w14:paraId="1AEEC0CF" w14:textId="77777777" w:rsidR="00A15F2D" w:rsidRPr="00BF5BC7" w:rsidRDefault="00A15F2D" w:rsidP="00F774FD">
            <w:pPr>
              <w:pStyle w:val="TableText0"/>
              <w:keepNext w:val="0"/>
            </w:pPr>
            <w:r w:rsidRPr="00BF5BC7">
              <w:t>Compliance</w:t>
            </w:r>
          </w:p>
        </w:tc>
        <w:tc>
          <w:tcPr>
            <w:tcW w:w="898" w:type="pct"/>
            <w:shd w:val="clear" w:color="auto" w:fill="C6D9F1" w:themeFill="text2" w:themeFillTint="33"/>
            <w:vAlign w:val="center"/>
          </w:tcPr>
          <w:p w14:paraId="5467832A" w14:textId="77777777" w:rsidR="00A15F2D" w:rsidRPr="00BF5BC7" w:rsidRDefault="00A15F2D" w:rsidP="00F774FD">
            <w:pPr>
              <w:pStyle w:val="TableText0"/>
              <w:keepNext w:val="0"/>
            </w:pPr>
            <w:r w:rsidRPr="00BF5BC7">
              <w:t>97.56%</w:t>
            </w:r>
          </w:p>
        </w:tc>
        <w:tc>
          <w:tcPr>
            <w:tcW w:w="1461" w:type="pct"/>
            <w:shd w:val="clear" w:color="auto" w:fill="C6D9F1" w:themeFill="text2" w:themeFillTint="33"/>
            <w:vAlign w:val="center"/>
          </w:tcPr>
          <w:p w14:paraId="221FC46B" w14:textId="77777777" w:rsidR="00A15F2D" w:rsidRPr="00BF5BC7" w:rsidRDefault="00A15F2D" w:rsidP="00F774FD">
            <w:pPr>
              <w:pStyle w:val="TableText0"/>
              <w:keepNext w:val="0"/>
            </w:pPr>
            <w:r w:rsidRPr="00BF5BC7">
              <w:t xml:space="preserve">EXPLORER-HCM </w:t>
            </w:r>
          </w:p>
          <w:p w14:paraId="37BEEE66" w14:textId="77777777" w:rsidR="00A15F2D" w:rsidRPr="00BF5BC7" w:rsidRDefault="00A15F2D" w:rsidP="00F774FD">
            <w:pPr>
              <w:pStyle w:val="TableText0"/>
              <w:keepNext w:val="0"/>
            </w:pPr>
            <w:r w:rsidRPr="00BF5BC7">
              <w:t>The three patients (out of 123) in the mavacamten arm with an overall compliance &lt;80% were considered as ‘not compliant’.</w:t>
            </w:r>
          </w:p>
        </w:tc>
        <w:tc>
          <w:tcPr>
            <w:tcW w:w="1461" w:type="pct"/>
            <w:shd w:val="clear" w:color="auto" w:fill="C6D9F1" w:themeFill="text2" w:themeFillTint="33"/>
            <w:vAlign w:val="center"/>
          </w:tcPr>
          <w:p w14:paraId="32CC9B5E" w14:textId="77777777" w:rsidR="00A15F2D" w:rsidRPr="00BF5BC7" w:rsidRDefault="00A15F2D" w:rsidP="00F774FD">
            <w:pPr>
              <w:pStyle w:val="TableText0"/>
              <w:keepNext w:val="0"/>
              <w:rPr>
                <w:iCs/>
              </w:rPr>
            </w:pPr>
            <w:r w:rsidRPr="00BF5BC7">
              <w:rPr>
                <w:iCs/>
              </w:rPr>
              <w:t xml:space="preserve">Not reasonable, as it assumes 2.44% of patients did not receive any mavacamten dose. </w:t>
            </w:r>
          </w:p>
        </w:tc>
      </w:tr>
      <w:tr w:rsidR="00A15F2D" w:rsidRPr="00BF5BC7" w14:paraId="01AE5C65" w14:textId="77777777" w:rsidTr="009C63B8">
        <w:tc>
          <w:tcPr>
            <w:tcW w:w="1180" w:type="pct"/>
            <w:shd w:val="clear" w:color="auto" w:fill="C6D9F1" w:themeFill="text2" w:themeFillTint="33"/>
            <w:vAlign w:val="center"/>
          </w:tcPr>
          <w:p w14:paraId="08485012" w14:textId="77777777" w:rsidR="00A15F2D" w:rsidRPr="00BF5BC7" w:rsidRDefault="00A15F2D" w:rsidP="00F774FD">
            <w:pPr>
              <w:pStyle w:val="TableText0"/>
              <w:keepNext w:val="0"/>
            </w:pPr>
            <w:r w:rsidRPr="00BF5BC7">
              <w:t>Utilisation across mavacamten strengths</w:t>
            </w:r>
          </w:p>
          <w:p w14:paraId="593476EA" w14:textId="77777777" w:rsidR="00A15F2D" w:rsidRPr="00BF5BC7" w:rsidRDefault="00A15F2D" w:rsidP="00F774FD">
            <w:pPr>
              <w:pStyle w:val="TableText0"/>
              <w:keepNext w:val="0"/>
            </w:pPr>
            <w:r w:rsidRPr="00BF5BC7">
              <w:t>(2.5 mg, 5 mg, 10 mg, and 15 mg)</w:t>
            </w:r>
          </w:p>
        </w:tc>
        <w:tc>
          <w:tcPr>
            <w:tcW w:w="898" w:type="pct"/>
            <w:shd w:val="clear" w:color="auto" w:fill="C6D9F1" w:themeFill="text2" w:themeFillTint="33"/>
            <w:vAlign w:val="center"/>
          </w:tcPr>
          <w:p w14:paraId="4CC2C793" w14:textId="77777777" w:rsidR="00A15F2D" w:rsidRPr="00BF5BC7" w:rsidRDefault="00A15F2D" w:rsidP="00F774FD">
            <w:pPr>
              <w:pStyle w:val="TableText0"/>
              <w:keepNext w:val="0"/>
            </w:pPr>
            <w:r w:rsidRPr="00BF5BC7">
              <w:t>5%:50%:34%:11%</w:t>
            </w:r>
          </w:p>
        </w:tc>
        <w:tc>
          <w:tcPr>
            <w:tcW w:w="1461" w:type="pct"/>
            <w:shd w:val="clear" w:color="auto" w:fill="C6D9F1" w:themeFill="text2" w:themeFillTint="33"/>
            <w:vAlign w:val="center"/>
          </w:tcPr>
          <w:p w14:paraId="676F20B3" w14:textId="77777777" w:rsidR="00A15F2D" w:rsidRPr="00BF5BC7" w:rsidRDefault="00A15F2D" w:rsidP="00F774FD">
            <w:pPr>
              <w:pStyle w:val="TableText0"/>
              <w:keepNext w:val="0"/>
            </w:pPr>
            <w:r w:rsidRPr="00BF5BC7">
              <w:t>EXPLORER-HCM: Dose levels assumed as per Week 26 dosing, acknowledging anticipated ongoing therapy. Missing and 0 mg doses excluded.</w:t>
            </w:r>
          </w:p>
        </w:tc>
        <w:tc>
          <w:tcPr>
            <w:tcW w:w="1461" w:type="pct"/>
            <w:shd w:val="clear" w:color="auto" w:fill="C6D9F1" w:themeFill="text2" w:themeFillTint="33"/>
            <w:vAlign w:val="center"/>
          </w:tcPr>
          <w:p w14:paraId="2D466C1D" w14:textId="77777777" w:rsidR="00A15F2D" w:rsidRPr="00BF5BC7" w:rsidRDefault="00A15F2D" w:rsidP="00F774FD">
            <w:pPr>
              <w:pStyle w:val="TableText0"/>
              <w:keepNext w:val="0"/>
            </w:pPr>
            <w:r w:rsidRPr="00BF5BC7">
              <w:t xml:space="preserve">Given the proposed flat pricing, the change in the distribution of strengths has no effect on the results. </w:t>
            </w:r>
          </w:p>
        </w:tc>
      </w:tr>
      <w:tr w:rsidR="00A15F2D" w14:paraId="46E2D07E" w14:textId="77777777" w:rsidTr="009C63B8">
        <w:tc>
          <w:tcPr>
            <w:tcW w:w="5000" w:type="pct"/>
            <w:gridSpan w:val="4"/>
            <w:vAlign w:val="center"/>
          </w:tcPr>
          <w:p w14:paraId="191B4996" w14:textId="77777777" w:rsidR="00A15F2D" w:rsidRPr="00494DD5" w:rsidRDefault="00A15F2D" w:rsidP="00F774FD">
            <w:pPr>
              <w:pStyle w:val="TableText0"/>
              <w:keepNext w:val="0"/>
              <w:rPr>
                <w:b/>
              </w:rPr>
            </w:pPr>
            <w:r w:rsidRPr="00494DD5">
              <w:rPr>
                <w:b/>
              </w:rPr>
              <w:t>Costs</w:t>
            </w:r>
          </w:p>
        </w:tc>
      </w:tr>
      <w:tr w:rsidR="00A15F2D" w:rsidRPr="00BF5BC7" w14:paraId="77124725" w14:textId="77777777" w:rsidTr="009C63B8">
        <w:trPr>
          <w:trHeight w:val="625"/>
        </w:trPr>
        <w:tc>
          <w:tcPr>
            <w:tcW w:w="1180" w:type="pct"/>
            <w:vMerge w:val="restart"/>
            <w:vAlign w:val="center"/>
          </w:tcPr>
          <w:p w14:paraId="066549D1" w14:textId="77777777" w:rsidR="00A15F2D" w:rsidRPr="00BF5BC7" w:rsidRDefault="00A15F2D" w:rsidP="00F774FD">
            <w:pPr>
              <w:pStyle w:val="TableText0"/>
              <w:keepNext w:val="0"/>
            </w:pPr>
            <w:r w:rsidRPr="00BF5BC7">
              <w:t>Mavacamten</w:t>
            </w:r>
          </w:p>
          <w:p w14:paraId="76CD9ACF" w14:textId="77777777" w:rsidR="00A15F2D" w:rsidRPr="00BF5BC7" w:rsidRDefault="00A15F2D" w:rsidP="00F774FD">
            <w:pPr>
              <w:pStyle w:val="TableText0"/>
              <w:keepNext w:val="0"/>
            </w:pPr>
            <w:r w:rsidRPr="00BF5BC7">
              <w:t>(28 capsules per pack)</w:t>
            </w:r>
          </w:p>
        </w:tc>
        <w:tc>
          <w:tcPr>
            <w:tcW w:w="898" w:type="pct"/>
            <w:shd w:val="clear" w:color="auto" w:fill="C6D9F1" w:themeFill="text2" w:themeFillTint="33"/>
            <w:vAlign w:val="center"/>
          </w:tcPr>
          <w:p w14:paraId="48B8E6C4" w14:textId="77777777" w:rsidR="00A15F2D" w:rsidRPr="00BF5BC7" w:rsidRDefault="00A15F2D" w:rsidP="00F774FD">
            <w:pPr>
              <w:pStyle w:val="TableText0"/>
              <w:keepNext w:val="0"/>
            </w:pPr>
            <w:r w:rsidRPr="00BF5BC7">
              <w:t>$2,321.98</w:t>
            </w:r>
          </w:p>
        </w:tc>
        <w:tc>
          <w:tcPr>
            <w:tcW w:w="1461" w:type="pct"/>
            <w:shd w:val="clear" w:color="auto" w:fill="C6D9F1" w:themeFill="text2" w:themeFillTint="33"/>
            <w:vAlign w:val="center"/>
          </w:tcPr>
          <w:p w14:paraId="7879D8DF" w14:textId="77777777" w:rsidR="00A15F2D" w:rsidRPr="00BF5BC7" w:rsidRDefault="00A15F2D" w:rsidP="00F774FD">
            <w:pPr>
              <w:pStyle w:val="TableText0"/>
              <w:keepNext w:val="0"/>
            </w:pPr>
            <w:r w:rsidRPr="00BF5BC7">
              <w:t xml:space="preserve">Requested published </w:t>
            </w:r>
            <w:proofErr w:type="gramStart"/>
            <w:r w:rsidRPr="00BF5BC7">
              <w:t>DPMQ</w:t>
            </w:r>
            <w:proofErr w:type="gramEnd"/>
          </w:p>
          <w:p w14:paraId="7581E3E3" w14:textId="77777777" w:rsidR="00A15F2D" w:rsidRPr="00BF5BC7" w:rsidRDefault="00A15F2D" w:rsidP="00F774FD">
            <w:pPr>
              <w:pStyle w:val="TableText0"/>
              <w:keepNext w:val="0"/>
            </w:pPr>
            <w:r w:rsidRPr="00BF5BC7">
              <w:t>(AEMP: $2,160.70)</w:t>
            </w:r>
          </w:p>
        </w:tc>
        <w:tc>
          <w:tcPr>
            <w:tcW w:w="1461" w:type="pct"/>
            <w:vMerge w:val="restart"/>
            <w:shd w:val="clear" w:color="auto" w:fill="C6D9F1" w:themeFill="text2" w:themeFillTint="33"/>
            <w:vAlign w:val="center"/>
          </w:tcPr>
          <w:p w14:paraId="1310657E" w14:textId="77777777" w:rsidR="00A15F2D" w:rsidRPr="00BF5BC7" w:rsidRDefault="00A15F2D" w:rsidP="00F774FD">
            <w:pPr>
              <w:pStyle w:val="TableText0"/>
              <w:keepNext w:val="0"/>
            </w:pPr>
            <w:r w:rsidRPr="00BF5BC7">
              <w:t>A flat price is proposed for all strengths (2.5 mg, 5 mg, 10 mg, and 15 mg) of mavacamten.</w:t>
            </w:r>
          </w:p>
        </w:tc>
      </w:tr>
      <w:tr w:rsidR="00A15F2D" w:rsidRPr="00BF5BC7" w14:paraId="6FC1C19C" w14:textId="77777777" w:rsidTr="009C63B8">
        <w:trPr>
          <w:trHeight w:val="625"/>
        </w:trPr>
        <w:tc>
          <w:tcPr>
            <w:tcW w:w="1180" w:type="pct"/>
            <w:vMerge/>
            <w:vAlign w:val="center"/>
          </w:tcPr>
          <w:p w14:paraId="1340555F" w14:textId="77777777" w:rsidR="00A15F2D" w:rsidRPr="00BF5BC7" w:rsidRDefault="00A15F2D" w:rsidP="00F774FD">
            <w:pPr>
              <w:pStyle w:val="TableText0"/>
              <w:keepNext w:val="0"/>
            </w:pPr>
          </w:p>
        </w:tc>
        <w:tc>
          <w:tcPr>
            <w:tcW w:w="898" w:type="pct"/>
            <w:vAlign w:val="center"/>
          </w:tcPr>
          <w:p w14:paraId="2617EBF7" w14:textId="0AF139FD" w:rsidR="00A15F2D" w:rsidRPr="00BF5BC7" w:rsidRDefault="00A15F2D" w:rsidP="00F774FD">
            <w:pPr>
              <w:pStyle w:val="TableText0"/>
              <w:keepNext w:val="0"/>
              <w:rPr>
                <w:vertAlign w:val="superscript"/>
              </w:rPr>
            </w:pPr>
            <w:r w:rsidRPr="00BF5BC7">
              <w:t>$</w:t>
            </w:r>
            <w:r w:rsidR="00F5190C" w:rsidRPr="00F5190C">
              <w:rPr>
                <w:color w:val="000000"/>
                <w:spacing w:val="53"/>
                <w:shd w:val="solid" w:color="000000" w:fill="000000"/>
                <w:fitText w:val="332" w:id="-1167926513"/>
                <w14:textFill>
                  <w14:solidFill>
                    <w14:srgbClr w14:val="000000">
                      <w14:alpha w14:val="100000"/>
                    </w14:srgbClr>
                  </w14:solidFill>
                </w14:textFill>
              </w:rPr>
              <w:t>|||</w:t>
            </w:r>
            <w:r w:rsidR="00F5190C" w:rsidRPr="00F5190C">
              <w:rPr>
                <w:color w:val="000000"/>
                <w:spacing w:val="3"/>
                <w:shd w:val="solid" w:color="000000" w:fill="000000"/>
                <w:fitText w:val="332" w:id="-1167926513"/>
                <w14:textFill>
                  <w14:solidFill>
                    <w14:srgbClr w14:val="000000">
                      <w14:alpha w14:val="100000"/>
                    </w14:srgbClr>
                  </w14:solidFill>
                </w14:textFill>
              </w:rPr>
              <w:t>|</w:t>
            </w:r>
          </w:p>
        </w:tc>
        <w:tc>
          <w:tcPr>
            <w:tcW w:w="1461" w:type="pct"/>
            <w:vAlign w:val="center"/>
          </w:tcPr>
          <w:p w14:paraId="7EC41D05" w14:textId="0B1DC2D2" w:rsidR="00A15F2D" w:rsidRPr="00BF5BC7" w:rsidRDefault="00A15F2D" w:rsidP="00F774FD">
            <w:pPr>
              <w:pStyle w:val="TableText0"/>
              <w:keepNext w:val="0"/>
            </w:pPr>
            <w:r w:rsidRPr="00BF5BC7">
              <w:t>Requested effective DPMQ (AEMP: $</w:t>
            </w:r>
            <w:r w:rsidR="00F5190C" w:rsidRPr="00F5190C">
              <w:rPr>
                <w:color w:val="000000"/>
                <w:spacing w:val="54"/>
                <w:shd w:val="solid" w:color="000000" w:fill="000000"/>
                <w:fitText w:val="333" w:id="-1167926512"/>
                <w14:textFill>
                  <w14:solidFill>
                    <w14:srgbClr w14:val="000000">
                      <w14:alpha w14:val="100000"/>
                    </w14:srgbClr>
                  </w14:solidFill>
                </w14:textFill>
              </w:rPr>
              <w:t>|||</w:t>
            </w:r>
            <w:r w:rsidR="00F5190C" w:rsidRPr="00F5190C">
              <w:rPr>
                <w:color w:val="000000"/>
                <w:spacing w:val="1"/>
                <w:shd w:val="solid" w:color="000000" w:fill="000000"/>
                <w:fitText w:val="333" w:id="-1167926512"/>
                <w14:textFill>
                  <w14:solidFill>
                    <w14:srgbClr w14:val="000000">
                      <w14:alpha w14:val="100000"/>
                    </w14:srgbClr>
                  </w14:solidFill>
                </w14:textFill>
              </w:rPr>
              <w:t>|</w:t>
            </w:r>
            <w:r w:rsidRPr="00BF5BC7">
              <w:t>)</w:t>
            </w:r>
            <w:r w:rsidRPr="00BF5BC7">
              <w:br/>
              <w:t>Price reduced from Nov 22 submission (AEMP $</w:t>
            </w:r>
            <w:r w:rsidR="00F5190C" w:rsidRPr="00F5190C">
              <w:rPr>
                <w:color w:val="000000"/>
                <w:spacing w:val="53"/>
                <w:shd w:val="solid" w:color="000000" w:fill="000000"/>
                <w:fitText w:val="332" w:id="-1167926528"/>
                <w14:textFill>
                  <w14:solidFill>
                    <w14:srgbClr w14:val="000000">
                      <w14:alpha w14:val="100000"/>
                    </w14:srgbClr>
                  </w14:solidFill>
                </w14:textFill>
              </w:rPr>
              <w:t>|||</w:t>
            </w:r>
            <w:r w:rsidR="00F5190C" w:rsidRPr="00F5190C">
              <w:rPr>
                <w:color w:val="000000"/>
                <w:spacing w:val="3"/>
                <w:shd w:val="solid" w:color="000000" w:fill="000000"/>
                <w:fitText w:val="332" w:id="-1167926528"/>
                <w14:textFill>
                  <w14:solidFill>
                    <w14:srgbClr w14:val="000000">
                      <w14:alpha w14:val="100000"/>
                    </w14:srgbClr>
                  </w14:solidFill>
                </w14:textFill>
              </w:rPr>
              <w:t>|</w:t>
            </w:r>
            <w:r w:rsidRPr="00BF5BC7">
              <w:t>)</w:t>
            </w:r>
          </w:p>
        </w:tc>
        <w:tc>
          <w:tcPr>
            <w:tcW w:w="1461" w:type="pct"/>
            <w:vMerge/>
            <w:shd w:val="clear" w:color="auto" w:fill="C6D9F1" w:themeFill="text2" w:themeFillTint="33"/>
            <w:vAlign w:val="center"/>
          </w:tcPr>
          <w:p w14:paraId="449A5528" w14:textId="77777777" w:rsidR="00A15F2D" w:rsidRPr="00BF5BC7" w:rsidRDefault="00A15F2D" w:rsidP="00F774FD">
            <w:pPr>
              <w:pStyle w:val="TableText0"/>
              <w:keepNext w:val="0"/>
            </w:pPr>
          </w:p>
        </w:tc>
      </w:tr>
      <w:tr w:rsidR="00A15F2D" w14:paraId="64ED33CA" w14:textId="77777777" w:rsidTr="009C63B8">
        <w:tc>
          <w:tcPr>
            <w:tcW w:w="1180" w:type="pct"/>
            <w:shd w:val="clear" w:color="auto" w:fill="C6D9F1" w:themeFill="text2" w:themeFillTint="33"/>
            <w:vAlign w:val="center"/>
          </w:tcPr>
          <w:p w14:paraId="772D74F4" w14:textId="77777777" w:rsidR="00A15F2D" w:rsidRDefault="00A15F2D" w:rsidP="00F774FD">
            <w:pPr>
              <w:pStyle w:val="TableText0"/>
              <w:keepNext w:val="0"/>
            </w:pPr>
            <w:r>
              <w:t>Patient copayment</w:t>
            </w:r>
          </w:p>
        </w:tc>
        <w:tc>
          <w:tcPr>
            <w:tcW w:w="898" w:type="pct"/>
            <w:shd w:val="clear" w:color="auto" w:fill="auto"/>
            <w:vAlign w:val="center"/>
          </w:tcPr>
          <w:p w14:paraId="25ECBB70" w14:textId="77777777" w:rsidR="00A15F2D" w:rsidRDefault="00A15F2D" w:rsidP="00F774FD">
            <w:pPr>
              <w:pStyle w:val="TableText0"/>
              <w:keepNext w:val="0"/>
            </w:pPr>
            <w:r>
              <w:t>PBS: $10.76</w:t>
            </w:r>
          </w:p>
          <w:p w14:paraId="05DF88D7" w14:textId="77777777" w:rsidR="00A15F2D" w:rsidRDefault="00A15F2D" w:rsidP="00F774FD">
            <w:pPr>
              <w:pStyle w:val="TableText0"/>
              <w:keepNext w:val="0"/>
            </w:pPr>
            <w:r>
              <w:t>RPBS: $3.91</w:t>
            </w:r>
          </w:p>
        </w:tc>
        <w:tc>
          <w:tcPr>
            <w:tcW w:w="1461" w:type="pct"/>
            <w:vMerge w:val="restart"/>
            <w:shd w:val="clear" w:color="auto" w:fill="C6D9F1" w:themeFill="text2" w:themeFillTint="33"/>
            <w:vAlign w:val="center"/>
          </w:tcPr>
          <w:p w14:paraId="6B9148B7" w14:textId="77777777" w:rsidR="00A15F2D" w:rsidRDefault="00A15F2D" w:rsidP="00F774FD">
            <w:pPr>
              <w:pStyle w:val="TableText0"/>
              <w:keepNext w:val="0"/>
            </w:pPr>
            <w:r>
              <w:t>PBS statistics for items 11122J, 11123K and 11131W in 2021 (January to December)</w:t>
            </w:r>
          </w:p>
        </w:tc>
        <w:tc>
          <w:tcPr>
            <w:tcW w:w="1461" w:type="pct"/>
            <w:vMerge w:val="restart"/>
            <w:shd w:val="clear" w:color="auto" w:fill="C6D9F1" w:themeFill="text2" w:themeFillTint="33"/>
            <w:vAlign w:val="center"/>
          </w:tcPr>
          <w:p w14:paraId="3F9F7F8E" w14:textId="77777777" w:rsidR="00A15F2D" w:rsidRPr="009248E7" w:rsidRDefault="00A15F2D" w:rsidP="00F774FD">
            <w:pPr>
              <w:pStyle w:val="TableText0"/>
              <w:keepNext w:val="0"/>
              <w:rPr>
                <w:i/>
                <w:iCs/>
              </w:rPr>
            </w:pPr>
            <w:r w:rsidRPr="00BF5BC7">
              <w:t>Utilisation data from PBS was reasonable</w:t>
            </w:r>
            <w:r>
              <w:t xml:space="preserve">. </w:t>
            </w:r>
          </w:p>
        </w:tc>
      </w:tr>
      <w:tr w:rsidR="00A15F2D" w14:paraId="740D4FC9" w14:textId="77777777" w:rsidTr="009C63B8">
        <w:tc>
          <w:tcPr>
            <w:tcW w:w="1180" w:type="pct"/>
            <w:tcBorders>
              <w:bottom w:val="single" w:sz="4" w:space="0" w:color="auto"/>
            </w:tcBorders>
            <w:shd w:val="clear" w:color="auto" w:fill="C6D9F1" w:themeFill="text2" w:themeFillTint="33"/>
            <w:vAlign w:val="center"/>
          </w:tcPr>
          <w:p w14:paraId="7AE8B7FA" w14:textId="77777777" w:rsidR="00A15F2D" w:rsidRDefault="00A15F2D" w:rsidP="00F774FD">
            <w:pPr>
              <w:pStyle w:val="TableText0"/>
              <w:keepNext w:val="0"/>
            </w:pPr>
            <w:r>
              <w:t>Public/Private split</w:t>
            </w:r>
          </w:p>
        </w:tc>
        <w:tc>
          <w:tcPr>
            <w:tcW w:w="898" w:type="pct"/>
            <w:tcBorders>
              <w:bottom w:val="single" w:sz="4" w:space="0" w:color="auto"/>
            </w:tcBorders>
            <w:shd w:val="clear" w:color="auto" w:fill="auto"/>
            <w:vAlign w:val="center"/>
          </w:tcPr>
          <w:p w14:paraId="4CE6EBBA" w14:textId="77777777" w:rsidR="00A15F2D" w:rsidRDefault="00A15F2D" w:rsidP="00F774FD">
            <w:pPr>
              <w:pStyle w:val="TableText0"/>
              <w:keepNext w:val="0"/>
            </w:pPr>
            <w:r>
              <w:t>Sacubitril/valsartan</w:t>
            </w:r>
          </w:p>
          <w:p w14:paraId="51EE2CCA" w14:textId="77777777" w:rsidR="00A15F2D" w:rsidRDefault="00A15F2D" w:rsidP="00F774FD">
            <w:pPr>
              <w:pStyle w:val="TableText0"/>
              <w:keepNext w:val="0"/>
            </w:pPr>
            <w:r>
              <w:t>97.46%:2.54%</w:t>
            </w:r>
          </w:p>
          <w:p w14:paraId="393922A4" w14:textId="77777777" w:rsidR="00A15F2D" w:rsidRDefault="00A15F2D" w:rsidP="00F774FD">
            <w:pPr>
              <w:pStyle w:val="TableText0"/>
              <w:keepNext w:val="0"/>
            </w:pPr>
            <w:proofErr w:type="gramStart"/>
            <w:r>
              <w:t>PBS:RPBS</w:t>
            </w:r>
            <w:proofErr w:type="gramEnd"/>
          </w:p>
        </w:tc>
        <w:tc>
          <w:tcPr>
            <w:tcW w:w="1461" w:type="pct"/>
            <w:vMerge/>
            <w:tcBorders>
              <w:bottom w:val="single" w:sz="4" w:space="0" w:color="auto"/>
            </w:tcBorders>
            <w:shd w:val="clear" w:color="auto" w:fill="C6D9F1" w:themeFill="text2" w:themeFillTint="33"/>
            <w:vAlign w:val="center"/>
          </w:tcPr>
          <w:p w14:paraId="5FF2BE93" w14:textId="77777777" w:rsidR="00A15F2D" w:rsidRDefault="00A15F2D" w:rsidP="00F774FD">
            <w:pPr>
              <w:pStyle w:val="TableText0"/>
              <w:keepNext w:val="0"/>
            </w:pPr>
          </w:p>
        </w:tc>
        <w:tc>
          <w:tcPr>
            <w:tcW w:w="1461" w:type="pct"/>
            <w:vMerge/>
            <w:shd w:val="clear" w:color="auto" w:fill="C6D9F1" w:themeFill="text2" w:themeFillTint="33"/>
            <w:vAlign w:val="center"/>
          </w:tcPr>
          <w:p w14:paraId="7E85F4CD" w14:textId="77777777" w:rsidR="00A15F2D" w:rsidRDefault="00A15F2D" w:rsidP="00F774FD">
            <w:pPr>
              <w:pStyle w:val="TableText0"/>
              <w:keepNext w:val="0"/>
            </w:pPr>
          </w:p>
        </w:tc>
      </w:tr>
      <w:tr w:rsidR="00A15F2D" w14:paraId="6D9800D4" w14:textId="77777777" w:rsidTr="009C63B8">
        <w:tc>
          <w:tcPr>
            <w:tcW w:w="1180" w:type="pct"/>
            <w:tcBorders>
              <w:bottom w:val="single" w:sz="4" w:space="0" w:color="auto"/>
              <w:right w:val="nil"/>
            </w:tcBorders>
            <w:vAlign w:val="center"/>
          </w:tcPr>
          <w:p w14:paraId="3DBAC0D7" w14:textId="77777777" w:rsidR="00A15F2D" w:rsidRPr="00BA62DE" w:rsidRDefault="00A15F2D" w:rsidP="00F774FD">
            <w:pPr>
              <w:pStyle w:val="TableText0"/>
              <w:keepNext w:val="0"/>
              <w:rPr>
                <w:b/>
              </w:rPr>
            </w:pPr>
            <w:r w:rsidRPr="00BA62DE">
              <w:rPr>
                <w:b/>
              </w:rPr>
              <w:t>MBS costs</w:t>
            </w:r>
          </w:p>
        </w:tc>
        <w:tc>
          <w:tcPr>
            <w:tcW w:w="898" w:type="pct"/>
            <w:tcBorders>
              <w:left w:val="nil"/>
              <w:bottom w:val="single" w:sz="4" w:space="0" w:color="auto"/>
              <w:right w:val="nil"/>
            </w:tcBorders>
            <w:vAlign w:val="center"/>
          </w:tcPr>
          <w:p w14:paraId="4084C475" w14:textId="77777777" w:rsidR="00A15F2D" w:rsidRDefault="00A15F2D" w:rsidP="00F774FD">
            <w:pPr>
              <w:pStyle w:val="TableText0"/>
              <w:keepNext w:val="0"/>
            </w:pPr>
          </w:p>
        </w:tc>
        <w:tc>
          <w:tcPr>
            <w:tcW w:w="1461" w:type="pct"/>
            <w:tcBorders>
              <w:left w:val="nil"/>
              <w:bottom w:val="single" w:sz="4" w:space="0" w:color="auto"/>
              <w:right w:val="nil"/>
            </w:tcBorders>
            <w:vAlign w:val="center"/>
          </w:tcPr>
          <w:p w14:paraId="407199DD" w14:textId="77777777" w:rsidR="00A15F2D" w:rsidRDefault="00A15F2D" w:rsidP="00F774FD">
            <w:pPr>
              <w:pStyle w:val="TableText0"/>
              <w:keepNext w:val="0"/>
            </w:pPr>
          </w:p>
        </w:tc>
        <w:tc>
          <w:tcPr>
            <w:tcW w:w="1461" w:type="pct"/>
            <w:tcBorders>
              <w:left w:val="nil"/>
              <w:bottom w:val="single" w:sz="4" w:space="0" w:color="auto"/>
            </w:tcBorders>
            <w:vAlign w:val="center"/>
          </w:tcPr>
          <w:p w14:paraId="61289990" w14:textId="77777777" w:rsidR="00A15F2D" w:rsidRDefault="00A15F2D" w:rsidP="00F774FD">
            <w:pPr>
              <w:pStyle w:val="TableText0"/>
              <w:keepNext w:val="0"/>
            </w:pPr>
          </w:p>
        </w:tc>
      </w:tr>
      <w:tr w:rsidR="00A15F2D" w:rsidRPr="00BF5BC7" w14:paraId="2E1A241B" w14:textId="77777777" w:rsidTr="009C63B8">
        <w:tc>
          <w:tcPr>
            <w:tcW w:w="1180" w:type="pct"/>
            <w:tcBorders>
              <w:bottom w:val="single" w:sz="4" w:space="0" w:color="auto"/>
            </w:tcBorders>
            <w:shd w:val="clear" w:color="auto" w:fill="C6D9F1" w:themeFill="text2" w:themeFillTint="33"/>
            <w:vAlign w:val="center"/>
          </w:tcPr>
          <w:p w14:paraId="7B64A4D8" w14:textId="77777777" w:rsidR="00A15F2D" w:rsidRPr="00BF5BC7" w:rsidRDefault="00A15F2D" w:rsidP="00F774FD">
            <w:pPr>
              <w:pStyle w:val="TableText0"/>
              <w:keepNext w:val="0"/>
            </w:pPr>
            <w:r w:rsidRPr="00BF5BC7">
              <w:t>Transthoracic echocardiogram (TTE)</w:t>
            </w:r>
          </w:p>
        </w:tc>
        <w:tc>
          <w:tcPr>
            <w:tcW w:w="898" w:type="pct"/>
            <w:tcBorders>
              <w:bottom w:val="single" w:sz="4" w:space="0" w:color="auto"/>
            </w:tcBorders>
            <w:shd w:val="clear" w:color="auto" w:fill="auto"/>
            <w:vAlign w:val="center"/>
          </w:tcPr>
          <w:p w14:paraId="5F14FEF5" w14:textId="77777777" w:rsidR="00A15F2D" w:rsidRPr="00BF5BC7" w:rsidRDefault="00A15F2D" w:rsidP="00F774FD">
            <w:pPr>
              <w:pStyle w:val="TableText0"/>
              <w:keepNext w:val="0"/>
            </w:pPr>
            <w:r w:rsidRPr="00BF5BC7">
              <w:t>$240.05</w:t>
            </w:r>
          </w:p>
        </w:tc>
        <w:tc>
          <w:tcPr>
            <w:tcW w:w="1461" w:type="pct"/>
            <w:tcBorders>
              <w:bottom w:val="single" w:sz="4" w:space="0" w:color="auto"/>
            </w:tcBorders>
            <w:shd w:val="clear" w:color="auto" w:fill="C6D9F1" w:themeFill="text2" w:themeFillTint="33"/>
            <w:vAlign w:val="center"/>
          </w:tcPr>
          <w:p w14:paraId="4385ED06" w14:textId="77777777" w:rsidR="00A15F2D" w:rsidRPr="00BF5BC7" w:rsidRDefault="00A15F2D" w:rsidP="00F774FD">
            <w:pPr>
              <w:pStyle w:val="TableText0"/>
              <w:keepNext w:val="0"/>
            </w:pPr>
            <w:r w:rsidRPr="00BF5BC7">
              <w:t>Fee for MBS items 55126 and 55134</w:t>
            </w:r>
          </w:p>
        </w:tc>
        <w:tc>
          <w:tcPr>
            <w:tcW w:w="1461" w:type="pct"/>
            <w:tcBorders>
              <w:bottom w:val="single" w:sz="4" w:space="0" w:color="auto"/>
            </w:tcBorders>
            <w:shd w:val="clear" w:color="auto" w:fill="C6D9F1" w:themeFill="text2" w:themeFillTint="33"/>
            <w:vAlign w:val="center"/>
          </w:tcPr>
          <w:p w14:paraId="03E2C7DD" w14:textId="77777777" w:rsidR="00A15F2D" w:rsidRPr="00BF5BC7" w:rsidRDefault="00A15F2D" w:rsidP="00F774FD">
            <w:pPr>
              <w:pStyle w:val="TableText0"/>
              <w:keepNext w:val="0"/>
            </w:pPr>
            <w:r w:rsidRPr="00BF5BC7">
              <w:rPr>
                <w:rFonts w:cs="Tahoma"/>
              </w:rPr>
              <w:t>A total of 6 TTE in Year 1 and 4.5 each year thereafter (12 weekly) was reasonable.</w:t>
            </w:r>
          </w:p>
        </w:tc>
      </w:tr>
    </w:tbl>
    <w:p w14:paraId="3BE7E9D7" w14:textId="77777777" w:rsidR="00CD4BAE" w:rsidRPr="001E75C1" w:rsidRDefault="00CD4BAE" w:rsidP="00CD4BAE">
      <w:pPr>
        <w:pStyle w:val="FooterTableFigure"/>
      </w:pPr>
      <w:r w:rsidRPr="001E75C1">
        <w:t xml:space="preserve">Source: Tables 116-124, p231-7 of the November 2022 submission; Table 66 p113 of the resubmission. </w:t>
      </w:r>
    </w:p>
    <w:p w14:paraId="4B02A244" w14:textId="77777777" w:rsidR="00367E57" w:rsidRDefault="00367E57" w:rsidP="00367E57">
      <w:pPr>
        <w:pStyle w:val="FooterTableFigure"/>
      </w:pPr>
      <w:r>
        <w:t>ABS = Australian Bureau of Statistics;</w:t>
      </w:r>
      <w:r w:rsidRPr="0032418F">
        <w:t xml:space="preserve"> AEMP =approved ex-manufacturer price;</w:t>
      </w:r>
      <w:r>
        <w:t xml:space="preserve"> </w:t>
      </w:r>
      <w:r w:rsidRPr="00796E22">
        <w:t>BB = beta-blocker; CCB = calcium channel blockers; DPMQ = dispensed price for maximum quantity;</w:t>
      </w:r>
      <w:r>
        <w:t xml:space="preserve"> </w:t>
      </w:r>
      <w:bookmarkStart w:id="97" w:name="_Hlk132562916"/>
      <w:r>
        <w:t>DUSC = Drug Utilisation Sub Committee;</w:t>
      </w:r>
      <w:r w:rsidRPr="00796E22">
        <w:rPr>
          <w:rFonts w:eastAsia="Calibri" w:cs="Times New Roman"/>
          <w:sz w:val="16"/>
          <w:szCs w:val="16"/>
        </w:rPr>
        <w:t xml:space="preserve"> </w:t>
      </w:r>
      <w:bookmarkEnd w:id="97"/>
      <w:r w:rsidRPr="00796E22">
        <w:rPr>
          <w:rFonts w:eastAsia="Calibri" w:cs="Times New Roman"/>
          <w:sz w:val="16"/>
          <w:szCs w:val="16"/>
        </w:rPr>
        <w:t xml:space="preserve">HCM = hypertrophic cardiomyopathy; </w:t>
      </w:r>
      <w:bookmarkStart w:id="98" w:name="_Hlk132563206"/>
      <w:r w:rsidRPr="00796E22">
        <w:rPr>
          <w:rFonts w:eastAsia="Calibri"/>
        </w:rPr>
        <w:t>LVEF = left ventricular ejection fraction;</w:t>
      </w:r>
      <w:bookmarkEnd w:id="98"/>
      <w:r w:rsidRPr="00796E22">
        <w:rPr>
          <w:rFonts w:eastAsia="Calibri"/>
        </w:rPr>
        <w:t xml:space="preserve"> </w:t>
      </w:r>
      <w:r w:rsidRPr="0032418F">
        <w:rPr>
          <w:rFonts w:eastAsia="Calibri"/>
        </w:rPr>
        <w:t>MBS = Medicare Benefits Schedule;</w:t>
      </w:r>
      <w:r>
        <w:rPr>
          <w:rFonts w:eastAsia="Calibri"/>
        </w:rPr>
        <w:t xml:space="preserve"> </w:t>
      </w:r>
      <w:r w:rsidRPr="00796E22">
        <w:rPr>
          <w:rFonts w:eastAsia="Calibri"/>
        </w:rPr>
        <w:t xml:space="preserve">NYHA = New York Heart Association; </w:t>
      </w:r>
      <w:r w:rsidRPr="0032418F">
        <w:rPr>
          <w:rFonts w:eastAsia="Calibri"/>
        </w:rPr>
        <w:t xml:space="preserve">PBAC = Pharmaceutical Benefits Advisory Committee; </w:t>
      </w:r>
      <w:r w:rsidRPr="00796E22">
        <w:rPr>
          <w:rFonts w:eastAsia="Calibri"/>
        </w:rPr>
        <w:t>PBS = Pharmaceutical Benefits Scheme;</w:t>
      </w:r>
      <w:r>
        <w:rPr>
          <w:rFonts w:eastAsia="Calibri"/>
        </w:rPr>
        <w:t xml:space="preserve"> </w:t>
      </w:r>
      <w:r w:rsidRPr="00796E22">
        <w:rPr>
          <w:rFonts w:eastAsia="Calibri"/>
        </w:rPr>
        <w:t xml:space="preserve">RPBS = Repatriation Pharmaceutical Benefits Scheme; </w:t>
      </w:r>
      <w:r w:rsidRPr="00796E22">
        <w:t>TTE = transthoracic echocardiogram</w:t>
      </w:r>
      <w:r>
        <w:t xml:space="preserve">. </w:t>
      </w:r>
    </w:p>
    <w:p w14:paraId="3F17D748" w14:textId="77777777" w:rsidR="00636080" w:rsidRPr="0034458B" w:rsidRDefault="00CD4BAE" w:rsidP="0034458B">
      <w:pPr>
        <w:pStyle w:val="FooterTableFigure"/>
      </w:pPr>
      <w:r w:rsidRPr="00394D79">
        <w:rPr>
          <w:iCs/>
          <w:shd w:val="clear" w:color="auto" w:fill="C6D9F1" w:themeFill="text2" w:themeFillTint="33"/>
        </w:rPr>
        <w:t xml:space="preserve">Blue </w:t>
      </w:r>
      <w:r w:rsidRPr="00394D79">
        <w:rPr>
          <w:iCs/>
        </w:rPr>
        <w:t>shading represents information previously considered by the PBAC</w:t>
      </w:r>
      <w:r>
        <w:rPr>
          <w:iCs/>
        </w:rPr>
        <w:t xml:space="preserve">. </w:t>
      </w:r>
    </w:p>
    <w:p w14:paraId="10AAB110" w14:textId="59153661" w:rsidR="00B31268" w:rsidRPr="0034458B" w:rsidRDefault="00187AC0" w:rsidP="00187AC0">
      <w:pPr>
        <w:pStyle w:val="3-BodyText"/>
      </w:pPr>
      <w:r w:rsidRPr="0034458B">
        <w:lastRenderedPageBreak/>
        <w:t xml:space="preserve">The estimated use and financial impacts of listing mavacamten are provided in </w:t>
      </w:r>
      <w:r w:rsidRPr="0034458B">
        <w:fldChar w:fldCharType="begin"/>
      </w:r>
      <w:r w:rsidRPr="0034458B">
        <w:instrText xml:space="preserve"> REF _Ref104805295 \h </w:instrText>
      </w:r>
      <w:r w:rsidRPr="0034458B">
        <w:fldChar w:fldCharType="separate"/>
      </w:r>
      <w:r w:rsidR="00F84C70" w:rsidRPr="0034458B">
        <w:t xml:space="preserve">Table </w:t>
      </w:r>
      <w:r w:rsidR="00F84C70">
        <w:rPr>
          <w:noProof/>
        </w:rPr>
        <w:t>19</w:t>
      </w:r>
      <w:r w:rsidRPr="0034458B">
        <w:fldChar w:fldCharType="end"/>
      </w:r>
      <w:r w:rsidRPr="0034458B">
        <w:t xml:space="preserve">. </w:t>
      </w:r>
    </w:p>
    <w:p w14:paraId="7F57665C" w14:textId="108A1617" w:rsidR="00636080" w:rsidRPr="0034458B" w:rsidRDefault="00636080" w:rsidP="00636080">
      <w:pPr>
        <w:pStyle w:val="Caption"/>
      </w:pPr>
      <w:bookmarkStart w:id="99" w:name="_Ref104805295"/>
      <w:r w:rsidRPr="0034458B">
        <w:t xml:space="preserve">Table </w:t>
      </w:r>
      <w:fldSimple w:instr=" SEQ Table \* ARABIC ">
        <w:r w:rsidR="00F84C70">
          <w:rPr>
            <w:noProof/>
          </w:rPr>
          <w:t>19</w:t>
        </w:r>
      </w:fldSimple>
      <w:bookmarkEnd w:id="99"/>
      <w:r w:rsidRPr="0034458B">
        <w:t>:</w:t>
      </w:r>
      <w:r w:rsidRPr="0034458B">
        <w:rPr>
          <w:rStyle w:val="CommentReference"/>
          <w:b/>
          <w:szCs w:val="24"/>
        </w:rPr>
        <w:t xml:space="preserve"> Estimated use and financial implications</w:t>
      </w:r>
    </w:p>
    <w:tbl>
      <w:tblPr>
        <w:tblW w:w="5325" w:type="pc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2276"/>
        <w:gridCol w:w="1198"/>
        <w:gridCol w:w="1216"/>
        <w:gridCol w:w="1252"/>
        <w:gridCol w:w="56"/>
        <w:gridCol w:w="1198"/>
        <w:gridCol w:w="1185"/>
        <w:gridCol w:w="15"/>
        <w:gridCol w:w="1166"/>
        <w:gridCol w:w="35"/>
        <w:gridCol w:w="6"/>
      </w:tblGrid>
      <w:tr w:rsidR="0039419D" w:rsidRPr="0067643B" w14:paraId="5B7C2EEA" w14:textId="77777777" w:rsidTr="0039419D">
        <w:trPr>
          <w:gridAfter w:val="2"/>
          <w:wAfter w:w="21" w:type="pct"/>
          <w:tblHeader/>
        </w:trPr>
        <w:tc>
          <w:tcPr>
            <w:tcW w:w="1185" w:type="pct"/>
            <w:tcBorders>
              <w:top w:val="single" w:sz="4" w:space="0" w:color="auto"/>
              <w:bottom w:val="single" w:sz="4" w:space="0" w:color="auto"/>
              <w:right w:val="single" w:sz="4" w:space="0" w:color="auto"/>
            </w:tcBorders>
            <w:shd w:val="clear" w:color="auto" w:fill="auto"/>
            <w:vAlign w:val="center"/>
          </w:tcPr>
          <w:p w14:paraId="56FED66D" w14:textId="77777777" w:rsidR="00636080" w:rsidRPr="0067643B" w:rsidRDefault="00636080" w:rsidP="00EC704C">
            <w:pPr>
              <w:pStyle w:val="In-tableHeading"/>
              <w:keepNext w:val="0"/>
              <w:jc w:val="center"/>
              <w:rPr>
                <w:szCs w:val="20"/>
              </w:rPr>
            </w:pPr>
          </w:p>
        </w:tc>
        <w:tc>
          <w:tcPr>
            <w:tcW w:w="624" w:type="pct"/>
            <w:tcBorders>
              <w:left w:val="single" w:sz="4" w:space="0" w:color="auto"/>
              <w:bottom w:val="single" w:sz="4" w:space="0" w:color="auto"/>
              <w:right w:val="single" w:sz="4" w:space="0" w:color="auto"/>
            </w:tcBorders>
            <w:shd w:val="clear" w:color="auto" w:fill="auto"/>
            <w:vAlign w:val="center"/>
          </w:tcPr>
          <w:p w14:paraId="0974E8F2" w14:textId="77777777" w:rsidR="00636080" w:rsidRPr="0067643B" w:rsidRDefault="00636080" w:rsidP="00EC704C">
            <w:pPr>
              <w:pStyle w:val="In-tableHeading"/>
              <w:keepNext w:val="0"/>
              <w:jc w:val="center"/>
              <w:rPr>
                <w:szCs w:val="20"/>
              </w:rPr>
            </w:pPr>
            <w:r w:rsidRPr="0067643B">
              <w:rPr>
                <w:szCs w:val="20"/>
              </w:rPr>
              <w:t>Year 1</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65193B1E" w14:textId="77777777" w:rsidR="00636080" w:rsidRPr="0067643B" w:rsidRDefault="00636080" w:rsidP="00EC704C">
            <w:pPr>
              <w:pStyle w:val="In-tableHeading"/>
              <w:keepNext w:val="0"/>
              <w:jc w:val="center"/>
              <w:rPr>
                <w:szCs w:val="20"/>
              </w:rPr>
            </w:pPr>
            <w:r w:rsidRPr="0067643B">
              <w:rPr>
                <w:szCs w:val="20"/>
              </w:rPr>
              <w:t>Year 2</w:t>
            </w:r>
          </w:p>
        </w:tc>
        <w:tc>
          <w:tcPr>
            <w:tcW w:w="652" w:type="pct"/>
            <w:tcBorders>
              <w:left w:val="single" w:sz="4" w:space="0" w:color="auto"/>
              <w:bottom w:val="single" w:sz="4" w:space="0" w:color="auto"/>
              <w:right w:val="single" w:sz="4" w:space="0" w:color="auto"/>
            </w:tcBorders>
            <w:shd w:val="clear" w:color="auto" w:fill="auto"/>
            <w:vAlign w:val="center"/>
          </w:tcPr>
          <w:p w14:paraId="13FDD860" w14:textId="77777777" w:rsidR="00636080" w:rsidRPr="0067643B" w:rsidRDefault="00636080" w:rsidP="00EC704C">
            <w:pPr>
              <w:pStyle w:val="In-tableHeading"/>
              <w:keepNext w:val="0"/>
              <w:jc w:val="center"/>
              <w:rPr>
                <w:szCs w:val="20"/>
              </w:rPr>
            </w:pPr>
            <w:r w:rsidRPr="0067643B">
              <w:rPr>
                <w:szCs w:val="20"/>
              </w:rPr>
              <w:t>Year 3</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292A0" w14:textId="77777777" w:rsidR="00636080" w:rsidRPr="0067643B" w:rsidRDefault="00636080" w:rsidP="00EC704C">
            <w:pPr>
              <w:pStyle w:val="In-tableHeading"/>
              <w:keepNext w:val="0"/>
              <w:jc w:val="center"/>
              <w:rPr>
                <w:szCs w:val="20"/>
              </w:rPr>
            </w:pPr>
            <w:r w:rsidRPr="0067643B">
              <w:rPr>
                <w:szCs w:val="20"/>
              </w:rPr>
              <w:t>Year 4</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3C9FBCFF" w14:textId="77777777" w:rsidR="00636080" w:rsidRPr="0067643B" w:rsidRDefault="00636080" w:rsidP="00EC704C">
            <w:pPr>
              <w:pStyle w:val="In-tableHeading"/>
              <w:keepNext w:val="0"/>
              <w:jc w:val="center"/>
              <w:rPr>
                <w:szCs w:val="20"/>
              </w:rPr>
            </w:pPr>
            <w:r w:rsidRPr="0067643B">
              <w:rPr>
                <w:szCs w:val="20"/>
              </w:rPr>
              <w:t>Year 5</w:t>
            </w:r>
          </w:p>
        </w:tc>
        <w:tc>
          <w:tcPr>
            <w:tcW w:w="615" w:type="pct"/>
            <w:gridSpan w:val="2"/>
            <w:tcBorders>
              <w:left w:val="single" w:sz="4" w:space="0" w:color="auto"/>
              <w:bottom w:val="single" w:sz="4" w:space="0" w:color="auto"/>
            </w:tcBorders>
          </w:tcPr>
          <w:p w14:paraId="5722574E" w14:textId="77777777" w:rsidR="00636080" w:rsidRPr="0067643B" w:rsidRDefault="00636080" w:rsidP="00EC704C">
            <w:pPr>
              <w:pStyle w:val="In-tableHeading"/>
              <w:keepNext w:val="0"/>
              <w:jc w:val="center"/>
              <w:rPr>
                <w:szCs w:val="20"/>
              </w:rPr>
            </w:pPr>
            <w:r w:rsidRPr="0067643B">
              <w:rPr>
                <w:szCs w:val="20"/>
              </w:rPr>
              <w:t>Year 6</w:t>
            </w:r>
          </w:p>
        </w:tc>
      </w:tr>
      <w:tr w:rsidR="00636080" w:rsidRPr="0067643B" w14:paraId="6F14BBFD" w14:textId="77777777" w:rsidTr="0039419D">
        <w:tc>
          <w:tcPr>
            <w:tcW w:w="5000" w:type="pct"/>
            <w:gridSpan w:val="11"/>
            <w:tcBorders>
              <w:top w:val="single" w:sz="4" w:space="0" w:color="auto"/>
              <w:bottom w:val="single" w:sz="4" w:space="0" w:color="auto"/>
            </w:tcBorders>
            <w:shd w:val="clear" w:color="auto" w:fill="auto"/>
            <w:vAlign w:val="center"/>
          </w:tcPr>
          <w:p w14:paraId="4620B035" w14:textId="77777777" w:rsidR="00636080" w:rsidRPr="0067643B" w:rsidRDefault="00636080" w:rsidP="00EC704C">
            <w:pPr>
              <w:pStyle w:val="In-tableHeading"/>
              <w:keepNext w:val="0"/>
              <w:rPr>
                <w:bCs/>
                <w:color w:val="000000"/>
                <w:szCs w:val="20"/>
              </w:rPr>
            </w:pPr>
            <w:r w:rsidRPr="0067643B">
              <w:rPr>
                <w:bCs/>
                <w:color w:val="000000"/>
                <w:szCs w:val="20"/>
              </w:rPr>
              <w:t>Estimated extent of use</w:t>
            </w:r>
          </w:p>
        </w:tc>
      </w:tr>
      <w:tr w:rsidR="0039419D" w:rsidRPr="0067643B" w14:paraId="593F6CB3" w14:textId="77777777" w:rsidTr="0039419D">
        <w:trPr>
          <w:gridAfter w:val="2"/>
          <w:wAfter w:w="21" w:type="pct"/>
        </w:trPr>
        <w:tc>
          <w:tcPr>
            <w:tcW w:w="1185" w:type="pct"/>
            <w:tcBorders>
              <w:top w:val="single" w:sz="4" w:space="0" w:color="auto"/>
              <w:bottom w:val="nil"/>
              <w:right w:val="nil"/>
            </w:tcBorders>
            <w:shd w:val="clear" w:color="auto" w:fill="auto"/>
            <w:vAlign w:val="center"/>
          </w:tcPr>
          <w:p w14:paraId="097CD7D8" w14:textId="77777777" w:rsidR="00636080" w:rsidRPr="0067643B" w:rsidRDefault="00636080" w:rsidP="00EC704C">
            <w:pPr>
              <w:pStyle w:val="TableText0"/>
              <w:keepNext w:val="0"/>
              <w:rPr>
                <w:rFonts w:ascii="Times" w:hAnsi="Times"/>
                <w:szCs w:val="20"/>
              </w:rPr>
            </w:pPr>
            <w:r w:rsidRPr="0067643B">
              <w:rPr>
                <w:szCs w:val="20"/>
              </w:rPr>
              <w:t>Number of patients treated</w:t>
            </w:r>
          </w:p>
        </w:tc>
        <w:tc>
          <w:tcPr>
            <w:tcW w:w="624" w:type="pct"/>
            <w:tcBorders>
              <w:top w:val="single" w:sz="4" w:space="0" w:color="auto"/>
              <w:left w:val="nil"/>
              <w:bottom w:val="nil"/>
              <w:right w:val="nil"/>
            </w:tcBorders>
            <w:shd w:val="clear" w:color="auto" w:fill="auto"/>
            <w:vAlign w:val="center"/>
          </w:tcPr>
          <w:p w14:paraId="1571218F" w14:textId="77777777" w:rsidR="00636080" w:rsidRPr="0067643B" w:rsidRDefault="00636080" w:rsidP="00EC704C">
            <w:pPr>
              <w:pStyle w:val="TableText0"/>
              <w:keepNext w:val="0"/>
              <w:jc w:val="center"/>
              <w:rPr>
                <w:color w:val="000000"/>
                <w:szCs w:val="20"/>
              </w:rPr>
            </w:pPr>
          </w:p>
        </w:tc>
        <w:tc>
          <w:tcPr>
            <w:tcW w:w="633" w:type="pct"/>
            <w:tcBorders>
              <w:top w:val="single" w:sz="4" w:space="0" w:color="auto"/>
              <w:left w:val="nil"/>
              <w:bottom w:val="nil"/>
              <w:right w:val="nil"/>
            </w:tcBorders>
            <w:shd w:val="clear" w:color="auto" w:fill="auto"/>
            <w:vAlign w:val="center"/>
          </w:tcPr>
          <w:p w14:paraId="3021253F" w14:textId="77777777" w:rsidR="00636080" w:rsidRPr="0067643B" w:rsidRDefault="00636080" w:rsidP="00EC704C">
            <w:pPr>
              <w:pStyle w:val="TableText0"/>
              <w:keepNext w:val="0"/>
              <w:jc w:val="center"/>
              <w:rPr>
                <w:color w:val="000000"/>
                <w:szCs w:val="20"/>
              </w:rPr>
            </w:pPr>
          </w:p>
        </w:tc>
        <w:tc>
          <w:tcPr>
            <w:tcW w:w="652" w:type="pct"/>
            <w:tcBorders>
              <w:top w:val="single" w:sz="4" w:space="0" w:color="auto"/>
              <w:left w:val="nil"/>
              <w:bottom w:val="nil"/>
              <w:right w:val="nil"/>
            </w:tcBorders>
            <w:shd w:val="clear" w:color="auto" w:fill="auto"/>
            <w:vAlign w:val="center"/>
          </w:tcPr>
          <w:p w14:paraId="029EA181" w14:textId="77777777" w:rsidR="00636080" w:rsidRPr="0067643B" w:rsidRDefault="00636080" w:rsidP="00EC704C">
            <w:pPr>
              <w:pStyle w:val="TableText0"/>
              <w:keepNext w:val="0"/>
              <w:jc w:val="center"/>
              <w:rPr>
                <w:color w:val="000000"/>
                <w:szCs w:val="20"/>
              </w:rPr>
            </w:pPr>
          </w:p>
        </w:tc>
        <w:tc>
          <w:tcPr>
            <w:tcW w:w="653" w:type="pct"/>
            <w:gridSpan w:val="2"/>
            <w:tcBorders>
              <w:top w:val="single" w:sz="4" w:space="0" w:color="auto"/>
              <w:left w:val="nil"/>
              <w:bottom w:val="nil"/>
              <w:right w:val="nil"/>
            </w:tcBorders>
            <w:shd w:val="clear" w:color="auto" w:fill="auto"/>
            <w:vAlign w:val="center"/>
          </w:tcPr>
          <w:p w14:paraId="1AA68D82" w14:textId="77777777" w:rsidR="00636080" w:rsidRPr="0067643B" w:rsidRDefault="00636080" w:rsidP="00EC704C">
            <w:pPr>
              <w:pStyle w:val="TableText0"/>
              <w:keepNext w:val="0"/>
              <w:jc w:val="center"/>
              <w:rPr>
                <w:color w:val="000000"/>
                <w:szCs w:val="20"/>
              </w:rPr>
            </w:pPr>
          </w:p>
        </w:tc>
        <w:tc>
          <w:tcPr>
            <w:tcW w:w="617" w:type="pct"/>
            <w:tcBorders>
              <w:top w:val="single" w:sz="4" w:space="0" w:color="auto"/>
              <w:left w:val="nil"/>
              <w:bottom w:val="nil"/>
              <w:right w:val="nil"/>
            </w:tcBorders>
            <w:shd w:val="clear" w:color="auto" w:fill="auto"/>
            <w:vAlign w:val="center"/>
          </w:tcPr>
          <w:p w14:paraId="028F7E30" w14:textId="77777777" w:rsidR="00636080" w:rsidRPr="0067643B" w:rsidRDefault="00636080" w:rsidP="00EC704C">
            <w:pPr>
              <w:pStyle w:val="TableText0"/>
              <w:keepNext w:val="0"/>
              <w:jc w:val="center"/>
              <w:rPr>
                <w:color w:val="000000"/>
                <w:szCs w:val="20"/>
              </w:rPr>
            </w:pPr>
          </w:p>
        </w:tc>
        <w:tc>
          <w:tcPr>
            <w:tcW w:w="615" w:type="pct"/>
            <w:gridSpan w:val="2"/>
            <w:tcBorders>
              <w:top w:val="single" w:sz="4" w:space="0" w:color="auto"/>
              <w:left w:val="nil"/>
              <w:bottom w:val="nil"/>
            </w:tcBorders>
          </w:tcPr>
          <w:p w14:paraId="55E8A644" w14:textId="77777777" w:rsidR="00636080" w:rsidRPr="0067643B" w:rsidRDefault="00636080" w:rsidP="00EC704C">
            <w:pPr>
              <w:pStyle w:val="TableText0"/>
              <w:keepNext w:val="0"/>
              <w:jc w:val="center"/>
              <w:rPr>
                <w:color w:val="000000"/>
                <w:szCs w:val="20"/>
              </w:rPr>
            </w:pPr>
          </w:p>
        </w:tc>
      </w:tr>
      <w:tr w:rsidR="0039419D" w:rsidRPr="00541454" w14:paraId="057AB29E"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4851CF30" w14:textId="18793108" w:rsidR="0067643B" w:rsidRPr="00541454" w:rsidRDefault="0067643B" w:rsidP="0067643B">
            <w:pPr>
              <w:pStyle w:val="TableText0"/>
              <w:keepNext w:val="0"/>
              <w:ind w:left="257"/>
              <w:rPr>
                <w:iCs/>
                <w:szCs w:val="20"/>
              </w:rPr>
            </w:pPr>
            <w:r w:rsidRPr="00541454">
              <w:rPr>
                <w:iCs/>
                <w:szCs w:val="20"/>
              </w:rPr>
              <w:t xml:space="preserve">PSCR </w:t>
            </w:r>
            <w:r w:rsidR="00134982" w:rsidRPr="00541454">
              <w:rPr>
                <w:iCs/>
                <w:szCs w:val="20"/>
              </w:rPr>
              <w:t>(</w:t>
            </w:r>
            <w:r w:rsidRPr="00541454">
              <w:rPr>
                <w:iCs/>
                <w:szCs w:val="20"/>
              </w:rPr>
              <w:t>resubmission</w:t>
            </w:r>
            <w:r w:rsidR="00134982" w:rsidRPr="00541454">
              <w:rPr>
                <w:iCs/>
                <w:szCs w:val="20"/>
              </w:rPr>
              <w:t>)</w:t>
            </w:r>
          </w:p>
        </w:tc>
        <w:tc>
          <w:tcPr>
            <w:tcW w:w="624" w:type="pct"/>
            <w:tcBorders>
              <w:top w:val="nil"/>
              <w:left w:val="single" w:sz="4" w:space="0" w:color="auto"/>
              <w:bottom w:val="nil"/>
              <w:right w:val="single" w:sz="4" w:space="0" w:color="auto"/>
            </w:tcBorders>
            <w:shd w:val="clear" w:color="auto" w:fill="auto"/>
          </w:tcPr>
          <w:p w14:paraId="05863165" w14:textId="4571C3D9" w:rsidR="0067643B" w:rsidRPr="00937772" w:rsidRDefault="00F5190C" w:rsidP="0067643B">
            <w:pPr>
              <w:pStyle w:val="TableText0"/>
              <w:keepNext w:val="0"/>
              <w:jc w:val="center"/>
              <w:rPr>
                <w:iCs/>
                <w:szCs w:val="20"/>
                <w:highlight w:val="darkGray"/>
              </w:rPr>
            </w:pPr>
            <w:r w:rsidRPr="00F84C70">
              <w:rPr>
                <w:rFonts w:hint="eastAsia"/>
                <w:iCs/>
                <w:color w:val="000000"/>
                <w:w w:val="15"/>
                <w:szCs w:val="20"/>
                <w:shd w:val="solid" w:color="000000" w:fill="000000"/>
                <w:fitText w:val="11" w:id="-1167926527"/>
                <w14:textFill>
                  <w14:solidFill>
                    <w14:srgbClr w14:val="000000">
                      <w14:alpha w14:val="100000"/>
                    </w14:srgbClr>
                  </w14:solidFill>
                </w14:textFill>
              </w:rPr>
              <w:t xml:space="preserve">　</w:t>
            </w:r>
            <w:r w:rsidRPr="00F84C70">
              <w:rPr>
                <w:iCs/>
                <w:color w:val="000000"/>
                <w:w w:val="15"/>
                <w:szCs w:val="20"/>
                <w:shd w:val="solid" w:color="000000" w:fill="000000"/>
                <w:fitText w:val="11" w:id="-1167926527"/>
                <w14:textFill>
                  <w14:solidFill>
                    <w14:srgbClr w14:val="000000">
                      <w14:alpha w14:val="100000"/>
                    </w14:srgbClr>
                  </w14:solidFill>
                </w14:textFill>
              </w:rPr>
              <w:t>|</w:t>
            </w:r>
            <w:r w:rsidRPr="00F84C70">
              <w:rPr>
                <w:rFonts w:hint="eastAsia"/>
                <w:iCs/>
                <w:color w:val="000000"/>
                <w:spacing w:val="-54"/>
                <w:w w:val="15"/>
                <w:szCs w:val="20"/>
                <w:shd w:val="solid" w:color="000000" w:fill="000000"/>
                <w:fitText w:val="11" w:id="-1167926527"/>
                <w14:textFill>
                  <w14:solidFill>
                    <w14:srgbClr w14:val="000000">
                      <w14:alpha w14:val="100000"/>
                    </w14:srgbClr>
                  </w14:solidFill>
                </w14:textFill>
              </w:rPr>
              <w:t xml:space="preserve">　</w:t>
            </w:r>
            <w:r w:rsidR="00937772">
              <w:rPr>
                <w:iCs/>
                <w:vertAlign w:val="superscript"/>
              </w:rPr>
              <w:t>1</w:t>
            </w:r>
          </w:p>
        </w:tc>
        <w:tc>
          <w:tcPr>
            <w:tcW w:w="633" w:type="pct"/>
            <w:tcBorders>
              <w:top w:val="nil"/>
              <w:left w:val="single" w:sz="4" w:space="0" w:color="auto"/>
              <w:bottom w:val="nil"/>
              <w:right w:val="single" w:sz="4" w:space="0" w:color="auto"/>
            </w:tcBorders>
            <w:shd w:val="clear" w:color="auto" w:fill="auto"/>
          </w:tcPr>
          <w:p w14:paraId="082191B6" w14:textId="1530A6F1" w:rsidR="0067643B" w:rsidRPr="00937772" w:rsidRDefault="00F5190C" w:rsidP="0067643B">
            <w:pPr>
              <w:pStyle w:val="TableText0"/>
              <w:keepNext w:val="0"/>
              <w:jc w:val="center"/>
              <w:rPr>
                <w:iCs/>
                <w:szCs w:val="20"/>
                <w:highlight w:val="darkGray"/>
              </w:rPr>
            </w:pPr>
            <w:r w:rsidRPr="00F5190C">
              <w:rPr>
                <w:iCs/>
                <w:color w:val="000000"/>
                <w:szCs w:val="20"/>
                <w:shd w:val="solid" w:color="000000" w:fill="000000"/>
                <w14:textFill>
                  <w14:solidFill>
                    <w14:srgbClr w14:val="000000">
                      <w14:alpha w14:val="100000"/>
                    </w14:srgbClr>
                  </w14:solidFill>
                </w14:textFill>
              </w:rPr>
              <w:t>|</w:t>
            </w:r>
            <w:r w:rsidR="00937772">
              <w:rPr>
                <w:iCs/>
                <w:vertAlign w:val="superscript"/>
              </w:rPr>
              <w:t>1</w:t>
            </w:r>
          </w:p>
        </w:tc>
        <w:tc>
          <w:tcPr>
            <w:tcW w:w="652" w:type="pct"/>
            <w:tcBorders>
              <w:top w:val="nil"/>
              <w:left w:val="single" w:sz="4" w:space="0" w:color="auto"/>
              <w:bottom w:val="nil"/>
              <w:right w:val="single" w:sz="4" w:space="0" w:color="auto"/>
            </w:tcBorders>
            <w:shd w:val="clear" w:color="auto" w:fill="auto"/>
          </w:tcPr>
          <w:p w14:paraId="0ADFB86E" w14:textId="1EDCCEB5" w:rsidR="0067643B" w:rsidRPr="00937772" w:rsidRDefault="00F5190C" w:rsidP="0067643B">
            <w:pPr>
              <w:pStyle w:val="TableText0"/>
              <w:keepNext w:val="0"/>
              <w:jc w:val="center"/>
              <w:rPr>
                <w:iCs/>
                <w:szCs w:val="20"/>
                <w:highlight w:val="darkGray"/>
              </w:rPr>
            </w:pPr>
            <w:r w:rsidRPr="00F5190C">
              <w:rPr>
                <w:iCs/>
                <w:color w:val="000000"/>
                <w:szCs w:val="20"/>
                <w:shd w:val="solid" w:color="000000" w:fill="000000"/>
                <w14:textFill>
                  <w14:solidFill>
                    <w14:srgbClr w14:val="000000">
                      <w14:alpha w14:val="100000"/>
                    </w14:srgbClr>
                  </w14:solidFill>
                </w14:textFill>
              </w:rPr>
              <w:t>|</w:t>
            </w:r>
            <w:r w:rsidR="00937772">
              <w:rPr>
                <w:iCs/>
                <w:vertAlign w:val="superscript"/>
              </w:rPr>
              <w:t>1</w:t>
            </w:r>
          </w:p>
        </w:tc>
        <w:tc>
          <w:tcPr>
            <w:tcW w:w="653" w:type="pct"/>
            <w:gridSpan w:val="2"/>
            <w:tcBorders>
              <w:top w:val="nil"/>
              <w:left w:val="single" w:sz="4" w:space="0" w:color="auto"/>
              <w:bottom w:val="nil"/>
              <w:right w:val="single" w:sz="4" w:space="0" w:color="auto"/>
            </w:tcBorders>
            <w:shd w:val="clear" w:color="auto" w:fill="auto"/>
          </w:tcPr>
          <w:p w14:paraId="43B3081C" w14:textId="718568A6" w:rsidR="0067643B" w:rsidRPr="00937772" w:rsidRDefault="00F5190C" w:rsidP="0067643B">
            <w:pPr>
              <w:pStyle w:val="TableText0"/>
              <w:keepNext w:val="0"/>
              <w:jc w:val="center"/>
              <w:rPr>
                <w:iCs/>
                <w:szCs w:val="20"/>
                <w:highlight w:val="darkGray"/>
              </w:rPr>
            </w:pPr>
            <w:r w:rsidRPr="00F5190C">
              <w:rPr>
                <w:iCs/>
                <w:color w:val="000000"/>
                <w:szCs w:val="20"/>
                <w:shd w:val="solid" w:color="000000" w:fill="000000"/>
                <w14:textFill>
                  <w14:solidFill>
                    <w14:srgbClr w14:val="000000">
                      <w14:alpha w14:val="100000"/>
                    </w14:srgbClr>
                  </w14:solidFill>
                </w14:textFill>
              </w:rPr>
              <w:t>|</w:t>
            </w:r>
            <w:r w:rsidR="00937772">
              <w:rPr>
                <w:iCs/>
                <w:vertAlign w:val="superscript"/>
              </w:rPr>
              <w:t>1</w:t>
            </w:r>
          </w:p>
        </w:tc>
        <w:tc>
          <w:tcPr>
            <w:tcW w:w="617" w:type="pct"/>
            <w:tcBorders>
              <w:top w:val="nil"/>
              <w:left w:val="single" w:sz="4" w:space="0" w:color="auto"/>
              <w:bottom w:val="nil"/>
              <w:right w:val="single" w:sz="4" w:space="0" w:color="auto"/>
            </w:tcBorders>
            <w:shd w:val="clear" w:color="auto" w:fill="auto"/>
          </w:tcPr>
          <w:p w14:paraId="464B0432" w14:textId="7D6C545E" w:rsidR="0067643B" w:rsidRPr="00937772" w:rsidRDefault="00F5190C" w:rsidP="0067643B">
            <w:pPr>
              <w:pStyle w:val="TableText0"/>
              <w:keepNext w:val="0"/>
              <w:jc w:val="center"/>
              <w:rPr>
                <w:iCs/>
                <w:szCs w:val="20"/>
                <w:highlight w:val="darkGray"/>
              </w:rPr>
            </w:pPr>
            <w:r w:rsidRPr="00F84C70">
              <w:rPr>
                <w:rFonts w:hint="eastAsia"/>
                <w:iCs/>
                <w:color w:val="000000"/>
                <w:w w:val="15"/>
                <w:szCs w:val="20"/>
                <w:shd w:val="solid" w:color="000000" w:fill="000000"/>
                <w:fitText w:val="11" w:id="-1167926526"/>
                <w14:textFill>
                  <w14:solidFill>
                    <w14:srgbClr w14:val="000000">
                      <w14:alpha w14:val="100000"/>
                    </w14:srgbClr>
                  </w14:solidFill>
                </w14:textFill>
              </w:rPr>
              <w:t xml:space="preserve">　</w:t>
            </w:r>
            <w:r w:rsidRPr="00F84C70">
              <w:rPr>
                <w:iCs/>
                <w:color w:val="000000"/>
                <w:w w:val="15"/>
                <w:szCs w:val="20"/>
                <w:shd w:val="solid" w:color="000000" w:fill="000000"/>
                <w:fitText w:val="11" w:id="-1167926526"/>
                <w14:textFill>
                  <w14:solidFill>
                    <w14:srgbClr w14:val="000000">
                      <w14:alpha w14:val="100000"/>
                    </w14:srgbClr>
                  </w14:solidFill>
                </w14:textFill>
              </w:rPr>
              <w:t>|</w:t>
            </w:r>
            <w:r w:rsidRPr="00F84C70">
              <w:rPr>
                <w:rFonts w:hint="eastAsia"/>
                <w:iCs/>
                <w:color w:val="000000"/>
                <w:spacing w:val="-54"/>
                <w:w w:val="15"/>
                <w:szCs w:val="20"/>
                <w:shd w:val="solid" w:color="000000" w:fill="000000"/>
                <w:fitText w:val="11" w:id="-1167926526"/>
                <w14:textFill>
                  <w14:solidFill>
                    <w14:srgbClr w14:val="000000">
                      <w14:alpha w14:val="100000"/>
                    </w14:srgbClr>
                  </w14:solidFill>
                </w14:textFill>
              </w:rPr>
              <w:t xml:space="preserve">　</w:t>
            </w:r>
            <w:r w:rsidR="00C44B1A">
              <w:rPr>
                <w:iCs/>
                <w:vertAlign w:val="superscript"/>
              </w:rPr>
              <w:t>1</w:t>
            </w:r>
          </w:p>
        </w:tc>
        <w:tc>
          <w:tcPr>
            <w:tcW w:w="615" w:type="pct"/>
            <w:gridSpan w:val="2"/>
            <w:tcBorders>
              <w:top w:val="nil"/>
              <w:left w:val="single" w:sz="4" w:space="0" w:color="auto"/>
              <w:bottom w:val="nil"/>
            </w:tcBorders>
          </w:tcPr>
          <w:p w14:paraId="46ECCCD4" w14:textId="5C65EAB7" w:rsidR="0067643B" w:rsidRPr="00937772" w:rsidRDefault="00F5190C" w:rsidP="0067643B">
            <w:pPr>
              <w:pStyle w:val="TableText0"/>
              <w:keepNext w:val="0"/>
              <w:jc w:val="center"/>
              <w:rPr>
                <w:iCs/>
                <w:szCs w:val="20"/>
                <w:highlight w:val="darkGray"/>
              </w:rPr>
            </w:pPr>
            <w:r w:rsidRPr="00F84C70">
              <w:rPr>
                <w:rFonts w:hint="eastAsia"/>
                <w:iCs/>
                <w:color w:val="000000"/>
                <w:w w:val="15"/>
                <w:szCs w:val="20"/>
                <w:shd w:val="solid" w:color="000000" w:fill="000000"/>
                <w:fitText w:val="23" w:id="-1167926525"/>
                <w14:textFill>
                  <w14:solidFill>
                    <w14:srgbClr w14:val="000000">
                      <w14:alpha w14:val="100000"/>
                    </w14:srgbClr>
                  </w14:solidFill>
                </w14:textFill>
              </w:rPr>
              <w:t xml:space="preserve">　</w:t>
            </w:r>
            <w:r w:rsidRPr="00F84C70">
              <w:rPr>
                <w:iCs/>
                <w:color w:val="000000"/>
                <w:w w:val="15"/>
                <w:szCs w:val="20"/>
                <w:shd w:val="solid" w:color="000000" w:fill="000000"/>
                <w:fitText w:val="23" w:id="-1167926525"/>
                <w14:textFill>
                  <w14:solidFill>
                    <w14:srgbClr w14:val="000000">
                      <w14:alpha w14:val="100000"/>
                    </w14:srgbClr>
                  </w14:solidFill>
                </w14:textFill>
              </w:rPr>
              <w:t>|</w:t>
            </w:r>
            <w:r w:rsidRPr="00F84C70">
              <w:rPr>
                <w:rFonts w:hint="eastAsia"/>
                <w:iCs/>
                <w:color w:val="000000"/>
                <w:spacing w:val="-42"/>
                <w:w w:val="15"/>
                <w:szCs w:val="20"/>
                <w:shd w:val="solid" w:color="000000" w:fill="000000"/>
                <w:fitText w:val="23" w:id="-1167926525"/>
                <w14:textFill>
                  <w14:solidFill>
                    <w14:srgbClr w14:val="000000">
                      <w14:alpha w14:val="100000"/>
                    </w14:srgbClr>
                  </w14:solidFill>
                </w14:textFill>
              </w:rPr>
              <w:t xml:space="preserve">　</w:t>
            </w:r>
            <w:r w:rsidR="00C44B1A">
              <w:rPr>
                <w:iCs/>
                <w:vertAlign w:val="superscript"/>
              </w:rPr>
              <w:t>1</w:t>
            </w:r>
          </w:p>
        </w:tc>
      </w:tr>
      <w:tr w:rsidR="0039419D" w:rsidRPr="0067643B" w14:paraId="04BF9581"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7139F261" w14:textId="77777777" w:rsidR="00952C81" w:rsidRPr="0067643B" w:rsidRDefault="00952C81" w:rsidP="00952C81">
            <w:pPr>
              <w:pStyle w:val="TableText0"/>
              <w:keepNext w:val="0"/>
              <w:ind w:left="257"/>
              <w:rPr>
                <w:szCs w:val="20"/>
              </w:rPr>
            </w:pPr>
            <w:r w:rsidRPr="0067643B">
              <w:rPr>
                <w:szCs w:val="20"/>
              </w:rPr>
              <w:t>Resubmission</w:t>
            </w:r>
          </w:p>
        </w:tc>
        <w:tc>
          <w:tcPr>
            <w:tcW w:w="624" w:type="pct"/>
            <w:tcBorders>
              <w:top w:val="nil"/>
              <w:left w:val="single" w:sz="4" w:space="0" w:color="auto"/>
              <w:bottom w:val="nil"/>
              <w:right w:val="single" w:sz="4" w:space="0" w:color="auto"/>
            </w:tcBorders>
            <w:shd w:val="clear" w:color="auto" w:fill="auto"/>
            <w:vAlign w:val="center"/>
          </w:tcPr>
          <w:p w14:paraId="57146DE5" w14:textId="6F207497" w:rsidR="00952C81" w:rsidRPr="00937772" w:rsidRDefault="00F5190C" w:rsidP="00952C81">
            <w:pPr>
              <w:pStyle w:val="TableText0"/>
              <w:keepNext w:val="0"/>
              <w:jc w:val="center"/>
              <w:rPr>
                <w:color w:val="000000"/>
                <w:szCs w:val="20"/>
                <w:highlight w:val="darkGray"/>
              </w:rPr>
            </w:pPr>
            <w:r w:rsidRPr="00F84C70">
              <w:rPr>
                <w:rFonts w:hint="eastAsia"/>
                <w:color w:val="000000"/>
                <w:w w:val="15"/>
                <w:szCs w:val="20"/>
                <w:shd w:val="solid" w:color="000000" w:fill="000000"/>
                <w:fitText w:val="11" w:id="-1167926524"/>
                <w14:textFill>
                  <w14:solidFill>
                    <w14:srgbClr w14:val="000000">
                      <w14:alpha w14:val="100000"/>
                    </w14:srgbClr>
                  </w14:solidFill>
                </w14:textFill>
              </w:rPr>
              <w:t xml:space="preserve">　</w:t>
            </w:r>
            <w:r w:rsidRPr="00F84C70">
              <w:rPr>
                <w:color w:val="000000"/>
                <w:w w:val="15"/>
                <w:szCs w:val="20"/>
                <w:shd w:val="solid" w:color="000000" w:fill="000000"/>
                <w:fitText w:val="11" w:id="-1167926524"/>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4"/>
                <w14:textFill>
                  <w14:solidFill>
                    <w14:srgbClr w14:val="000000">
                      <w14:alpha w14:val="100000"/>
                    </w14:srgbClr>
                  </w14:solidFill>
                </w14:textFill>
              </w:rPr>
              <w:t xml:space="preserve">　</w:t>
            </w:r>
            <w:r w:rsidR="00937772">
              <w:rPr>
                <w:iCs/>
                <w:vertAlign w:val="superscript"/>
              </w:rPr>
              <w:t>1</w:t>
            </w:r>
          </w:p>
        </w:tc>
        <w:tc>
          <w:tcPr>
            <w:tcW w:w="633" w:type="pct"/>
            <w:tcBorders>
              <w:top w:val="nil"/>
              <w:left w:val="single" w:sz="4" w:space="0" w:color="auto"/>
              <w:bottom w:val="nil"/>
              <w:right w:val="single" w:sz="4" w:space="0" w:color="auto"/>
            </w:tcBorders>
            <w:shd w:val="clear" w:color="auto" w:fill="auto"/>
            <w:vAlign w:val="center"/>
          </w:tcPr>
          <w:p w14:paraId="45C8D15E" w14:textId="5BE5ABB5" w:rsidR="00952C81" w:rsidRPr="00937772" w:rsidRDefault="00F5190C" w:rsidP="00952C81">
            <w:pPr>
              <w:pStyle w:val="TableText0"/>
              <w:keepNext w:val="0"/>
              <w:jc w:val="center"/>
              <w:rPr>
                <w:color w:val="000000"/>
                <w:szCs w:val="20"/>
                <w:highlight w:val="darkGray"/>
              </w:rPr>
            </w:pPr>
            <w:r w:rsidRPr="00F5190C">
              <w:rPr>
                <w:color w:val="000000"/>
                <w:szCs w:val="20"/>
                <w:shd w:val="solid" w:color="000000" w:fill="000000"/>
                <w14:textFill>
                  <w14:solidFill>
                    <w14:srgbClr w14:val="000000">
                      <w14:alpha w14:val="100000"/>
                    </w14:srgbClr>
                  </w14:solidFill>
                </w14:textFill>
              </w:rPr>
              <w:t>|</w:t>
            </w:r>
            <w:r w:rsidR="00937772">
              <w:rPr>
                <w:iCs/>
                <w:vertAlign w:val="superscript"/>
              </w:rPr>
              <w:t>1</w:t>
            </w:r>
          </w:p>
        </w:tc>
        <w:tc>
          <w:tcPr>
            <w:tcW w:w="652" w:type="pct"/>
            <w:tcBorders>
              <w:top w:val="nil"/>
              <w:left w:val="single" w:sz="4" w:space="0" w:color="auto"/>
              <w:bottom w:val="nil"/>
              <w:right w:val="single" w:sz="4" w:space="0" w:color="auto"/>
            </w:tcBorders>
            <w:shd w:val="clear" w:color="auto" w:fill="auto"/>
            <w:vAlign w:val="center"/>
          </w:tcPr>
          <w:p w14:paraId="4414E18F" w14:textId="69F61EA9" w:rsidR="00952C81" w:rsidRPr="00937772" w:rsidRDefault="00F5190C" w:rsidP="00952C81">
            <w:pPr>
              <w:pStyle w:val="TableText0"/>
              <w:keepNext w:val="0"/>
              <w:jc w:val="center"/>
              <w:rPr>
                <w:color w:val="000000"/>
                <w:szCs w:val="20"/>
                <w:highlight w:val="darkGray"/>
              </w:rPr>
            </w:pPr>
            <w:r w:rsidRPr="00F5190C">
              <w:rPr>
                <w:color w:val="000000"/>
                <w:szCs w:val="20"/>
                <w:shd w:val="solid" w:color="000000" w:fill="000000"/>
                <w14:textFill>
                  <w14:solidFill>
                    <w14:srgbClr w14:val="000000">
                      <w14:alpha w14:val="100000"/>
                    </w14:srgbClr>
                  </w14:solidFill>
                </w14:textFill>
              </w:rPr>
              <w:t>|</w:t>
            </w:r>
            <w:r w:rsidR="00937772">
              <w:rPr>
                <w:iCs/>
                <w:vertAlign w:val="superscript"/>
              </w:rPr>
              <w:t>1</w:t>
            </w:r>
          </w:p>
        </w:tc>
        <w:tc>
          <w:tcPr>
            <w:tcW w:w="653" w:type="pct"/>
            <w:gridSpan w:val="2"/>
            <w:tcBorders>
              <w:top w:val="nil"/>
              <w:left w:val="single" w:sz="4" w:space="0" w:color="auto"/>
              <w:bottom w:val="nil"/>
              <w:right w:val="single" w:sz="4" w:space="0" w:color="auto"/>
            </w:tcBorders>
            <w:shd w:val="clear" w:color="auto" w:fill="auto"/>
            <w:vAlign w:val="center"/>
          </w:tcPr>
          <w:p w14:paraId="701DFFB1" w14:textId="7A14088A" w:rsidR="00952C81" w:rsidRPr="00937772" w:rsidRDefault="00F5190C" w:rsidP="00952C81">
            <w:pPr>
              <w:pStyle w:val="TableText0"/>
              <w:keepNext w:val="0"/>
              <w:jc w:val="center"/>
              <w:rPr>
                <w:color w:val="000000"/>
                <w:szCs w:val="20"/>
                <w:highlight w:val="darkGray"/>
              </w:rPr>
            </w:pPr>
            <w:r w:rsidRPr="00F5190C">
              <w:rPr>
                <w:color w:val="000000"/>
                <w:szCs w:val="20"/>
                <w:shd w:val="solid" w:color="000000" w:fill="000000"/>
                <w14:textFill>
                  <w14:solidFill>
                    <w14:srgbClr w14:val="000000">
                      <w14:alpha w14:val="100000"/>
                    </w14:srgbClr>
                  </w14:solidFill>
                </w14:textFill>
              </w:rPr>
              <w:t>|</w:t>
            </w:r>
            <w:r w:rsidR="00937772">
              <w:rPr>
                <w:iCs/>
                <w:vertAlign w:val="superscript"/>
              </w:rPr>
              <w:t>1</w:t>
            </w:r>
          </w:p>
        </w:tc>
        <w:tc>
          <w:tcPr>
            <w:tcW w:w="617" w:type="pct"/>
            <w:tcBorders>
              <w:top w:val="nil"/>
              <w:left w:val="single" w:sz="4" w:space="0" w:color="auto"/>
              <w:bottom w:val="nil"/>
              <w:right w:val="single" w:sz="4" w:space="0" w:color="auto"/>
            </w:tcBorders>
            <w:shd w:val="clear" w:color="auto" w:fill="auto"/>
            <w:vAlign w:val="center"/>
          </w:tcPr>
          <w:p w14:paraId="49E713D9" w14:textId="3CFD15B6" w:rsidR="00952C81" w:rsidRPr="00937772" w:rsidRDefault="00F5190C" w:rsidP="00952C81">
            <w:pPr>
              <w:pStyle w:val="TableText0"/>
              <w:keepNext w:val="0"/>
              <w:jc w:val="center"/>
              <w:rPr>
                <w:color w:val="000000"/>
                <w:szCs w:val="20"/>
                <w:highlight w:val="darkGray"/>
              </w:rPr>
            </w:pPr>
            <w:r w:rsidRPr="00F84C70">
              <w:rPr>
                <w:rFonts w:hint="eastAsia"/>
                <w:color w:val="000000"/>
                <w:w w:val="15"/>
                <w:szCs w:val="20"/>
                <w:shd w:val="solid" w:color="000000" w:fill="000000"/>
                <w:fitText w:val="11" w:id="-1167926523"/>
                <w14:textFill>
                  <w14:solidFill>
                    <w14:srgbClr w14:val="000000">
                      <w14:alpha w14:val="100000"/>
                    </w14:srgbClr>
                  </w14:solidFill>
                </w14:textFill>
              </w:rPr>
              <w:t xml:space="preserve">　</w:t>
            </w:r>
            <w:r w:rsidRPr="00F84C70">
              <w:rPr>
                <w:color w:val="000000"/>
                <w:w w:val="15"/>
                <w:szCs w:val="20"/>
                <w:shd w:val="solid" w:color="000000" w:fill="000000"/>
                <w:fitText w:val="11" w:id="-1167926523"/>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3"/>
                <w14:textFill>
                  <w14:solidFill>
                    <w14:srgbClr w14:val="000000">
                      <w14:alpha w14:val="100000"/>
                    </w14:srgbClr>
                  </w14:solidFill>
                </w14:textFill>
              </w:rPr>
              <w:t xml:space="preserve">　</w:t>
            </w:r>
            <w:r w:rsidR="00C44B1A">
              <w:rPr>
                <w:iCs/>
                <w:vertAlign w:val="superscript"/>
              </w:rPr>
              <w:t>1</w:t>
            </w:r>
          </w:p>
        </w:tc>
        <w:tc>
          <w:tcPr>
            <w:tcW w:w="615" w:type="pct"/>
            <w:gridSpan w:val="2"/>
            <w:tcBorders>
              <w:top w:val="nil"/>
              <w:left w:val="single" w:sz="4" w:space="0" w:color="auto"/>
              <w:bottom w:val="nil"/>
            </w:tcBorders>
            <w:vAlign w:val="center"/>
          </w:tcPr>
          <w:p w14:paraId="40F1510F" w14:textId="0BCCE2A8" w:rsidR="00952C81" w:rsidRPr="00937772" w:rsidRDefault="00F5190C" w:rsidP="00952C81">
            <w:pPr>
              <w:pStyle w:val="TableText0"/>
              <w:keepNext w:val="0"/>
              <w:jc w:val="center"/>
              <w:rPr>
                <w:color w:val="000000"/>
                <w:szCs w:val="20"/>
                <w:highlight w:val="darkGray"/>
              </w:rPr>
            </w:pPr>
            <w:r w:rsidRPr="00F84C70">
              <w:rPr>
                <w:rFonts w:hint="eastAsia"/>
                <w:color w:val="000000"/>
                <w:w w:val="15"/>
                <w:szCs w:val="20"/>
                <w:shd w:val="solid" w:color="000000" w:fill="000000"/>
                <w:fitText w:val="23" w:id="-1167926522"/>
                <w14:textFill>
                  <w14:solidFill>
                    <w14:srgbClr w14:val="000000">
                      <w14:alpha w14:val="100000"/>
                    </w14:srgbClr>
                  </w14:solidFill>
                </w14:textFill>
              </w:rPr>
              <w:t xml:space="preserve">　</w:t>
            </w:r>
            <w:r w:rsidRPr="00F84C70">
              <w:rPr>
                <w:color w:val="000000"/>
                <w:w w:val="15"/>
                <w:szCs w:val="20"/>
                <w:shd w:val="solid" w:color="000000" w:fill="000000"/>
                <w:fitText w:val="23" w:id="-1167926522"/>
                <w14:textFill>
                  <w14:solidFill>
                    <w14:srgbClr w14:val="000000">
                      <w14:alpha w14:val="100000"/>
                    </w14:srgbClr>
                  </w14:solidFill>
                </w14:textFill>
              </w:rPr>
              <w:t>|</w:t>
            </w:r>
            <w:r w:rsidRPr="00F84C70">
              <w:rPr>
                <w:rFonts w:hint="eastAsia"/>
                <w:color w:val="000000"/>
                <w:spacing w:val="-42"/>
                <w:w w:val="15"/>
                <w:szCs w:val="20"/>
                <w:shd w:val="solid" w:color="000000" w:fill="000000"/>
                <w:fitText w:val="23" w:id="-1167926522"/>
                <w14:textFill>
                  <w14:solidFill>
                    <w14:srgbClr w14:val="000000">
                      <w14:alpha w14:val="100000"/>
                    </w14:srgbClr>
                  </w14:solidFill>
                </w14:textFill>
              </w:rPr>
              <w:t xml:space="preserve">　</w:t>
            </w:r>
            <w:r w:rsidR="00C44B1A">
              <w:rPr>
                <w:iCs/>
                <w:vertAlign w:val="superscript"/>
              </w:rPr>
              <w:t>1</w:t>
            </w:r>
          </w:p>
        </w:tc>
      </w:tr>
      <w:tr w:rsidR="0039419D" w:rsidRPr="0067643B" w14:paraId="7B30E1EB" w14:textId="77777777" w:rsidTr="0039419D">
        <w:trPr>
          <w:gridAfter w:val="2"/>
          <w:wAfter w:w="21" w:type="pct"/>
        </w:trPr>
        <w:tc>
          <w:tcPr>
            <w:tcW w:w="1185" w:type="pct"/>
            <w:tcBorders>
              <w:top w:val="nil"/>
              <w:bottom w:val="single" w:sz="4" w:space="0" w:color="auto"/>
              <w:right w:val="single" w:sz="4" w:space="0" w:color="auto"/>
            </w:tcBorders>
            <w:shd w:val="clear" w:color="auto" w:fill="C6D9F1" w:themeFill="text2" w:themeFillTint="33"/>
            <w:vAlign w:val="center"/>
          </w:tcPr>
          <w:p w14:paraId="44D71C4D" w14:textId="44CC0871" w:rsidR="0030419D" w:rsidRPr="0067643B" w:rsidRDefault="0030419D" w:rsidP="00F774FD">
            <w:pPr>
              <w:pStyle w:val="TableText0"/>
              <w:keepNext w:val="0"/>
              <w:ind w:left="257"/>
              <w:rPr>
                <w:szCs w:val="20"/>
              </w:rPr>
            </w:pPr>
            <w:r w:rsidRPr="0067643B">
              <w:rPr>
                <w:szCs w:val="20"/>
              </w:rPr>
              <w:t xml:space="preserve">November 2022 </w:t>
            </w:r>
            <w:r w:rsidR="00325E62" w:rsidRPr="0067643B">
              <w:rPr>
                <w:szCs w:val="20"/>
              </w:rPr>
              <w:t>pre-</w:t>
            </w:r>
            <w:r w:rsidR="00F27C16" w:rsidRPr="0067643B">
              <w:rPr>
                <w:szCs w:val="20"/>
              </w:rPr>
              <w:t xml:space="preserve">PBAC response </w:t>
            </w:r>
          </w:p>
        </w:tc>
        <w:tc>
          <w:tcPr>
            <w:tcW w:w="624"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0B6596C9" w14:textId="485B71FE" w:rsidR="0030419D" w:rsidRPr="00937772" w:rsidRDefault="00F5190C" w:rsidP="00F774FD">
            <w:pPr>
              <w:pStyle w:val="TableText0"/>
              <w:keepNext w:val="0"/>
              <w:jc w:val="center"/>
              <w:rPr>
                <w:szCs w:val="20"/>
                <w:highlight w:val="darkGray"/>
              </w:rPr>
            </w:pPr>
            <w:r w:rsidRPr="00F5190C">
              <w:rPr>
                <w:rFonts w:hint="eastAsia"/>
                <w:color w:val="000000"/>
                <w:w w:val="15"/>
                <w:szCs w:val="20"/>
                <w:shd w:val="solid" w:color="000000" w:fill="000000"/>
                <w:fitText w:val="33" w:id="-1167926521"/>
                <w14:textFill>
                  <w14:solidFill>
                    <w14:srgbClr w14:val="000000">
                      <w14:alpha w14:val="100000"/>
                    </w14:srgbClr>
                  </w14:solidFill>
                </w14:textFill>
              </w:rPr>
              <w:t xml:space="preserve">　</w:t>
            </w:r>
            <w:proofErr w:type="gramStart"/>
            <w:r w:rsidRPr="00F5190C">
              <w:rPr>
                <w:color w:val="000000"/>
                <w:w w:val="15"/>
                <w:szCs w:val="20"/>
                <w:shd w:val="solid" w:color="000000" w:fill="000000"/>
                <w:fitText w:val="33" w:id="-1167926521"/>
                <w14:textFill>
                  <w14:solidFill>
                    <w14:srgbClr w14:val="000000">
                      <w14:alpha w14:val="100000"/>
                    </w14:srgbClr>
                  </w14:solidFill>
                </w14:textFill>
              </w:rPr>
              <w:t>|</w:t>
            </w:r>
            <w:r w:rsidRPr="00F5190C">
              <w:rPr>
                <w:rFonts w:hint="eastAsia"/>
                <w:color w:val="000000"/>
                <w:spacing w:val="-32"/>
                <w:w w:val="15"/>
                <w:szCs w:val="20"/>
                <w:shd w:val="solid" w:color="000000" w:fill="000000"/>
                <w:fitText w:val="33" w:id="-1167926521"/>
                <w14:textFill>
                  <w14:solidFill>
                    <w14:srgbClr w14:val="000000">
                      <w14:alpha w14:val="100000"/>
                    </w14:srgbClr>
                  </w14:solidFill>
                </w14:textFill>
              </w:rPr>
              <w:t xml:space="preserve">　</w:t>
            </w:r>
            <w:r w:rsidR="00B63528" w:rsidRPr="00B63528">
              <w:rPr>
                <w:szCs w:val="20"/>
              </w:rPr>
              <w:t xml:space="preserve"> </w:t>
            </w:r>
            <w:r w:rsidR="00937772">
              <w:rPr>
                <w:iCs/>
                <w:vertAlign w:val="superscript"/>
              </w:rPr>
              <w:t>1</w:t>
            </w:r>
            <w:proofErr w:type="gramEnd"/>
          </w:p>
        </w:tc>
        <w:tc>
          <w:tcPr>
            <w:tcW w:w="633"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53564435" w14:textId="578F03CC" w:rsidR="0030419D" w:rsidRPr="00937772" w:rsidRDefault="00F5190C" w:rsidP="00F774FD">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44028">
              <w:rPr>
                <w:iCs/>
                <w:vertAlign w:val="superscript"/>
              </w:rPr>
              <w:t>2</w:t>
            </w:r>
          </w:p>
        </w:tc>
        <w:tc>
          <w:tcPr>
            <w:tcW w:w="652"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2F837F05" w14:textId="56A1F660" w:rsidR="0030419D" w:rsidRPr="00937772" w:rsidRDefault="00F5190C" w:rsidP="00F774FD">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44028">
              <w:rPr>
                <w:iCs/>
                <w:vertAlign w:val="superscript"/>
              </w:rPr>
              <w:t>2</w:t>
            </w:r>
          </w:p>
        </w:tc>
        <w:tc>
          <w:tcPr>
            <w:tcW w:w="653" w:type="pct"/>
            <w:gridSpan w:val="2"/>
            <w:tcBorders>
              <w:top w:val="nil"/>
              <w:left w:val="single" w:sz="4" w:space="0" w:color="auto"/>
              <w:bottom w:val="dashSmallGap" w:sz="4" w:space="0" w:color="auto"/>
              <w:right w:val="single" w:sz="4" w:space="0" w:color="auto"/>
            </w:tcBorders>
            <w:shd w:val="clear" w:color="auto" w:fill="C6D9F1" w:themeFill="text2" w:themeFillTint="33"/>
            <w:vAlign w:val="center"/>
          </w:tcPr>
          <w:p w14:paraId="62ACAD85" w14:textId="799BE8A6" w:rsidR="0030419D" w:rsidRPr="00937772" w:rsidRDefault="00F5190C" w:rsidP="00F774FD">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44028">
              <w:rPr>
                <w:iCs/>
                <w:vertAlign w:val="superscript"/>
              </w:rPr>
              <w:t>2</w:t>
            </w:r>
            <w:r w:rsidR="00B63528" w:rsidRPr="00B63528">
              <w:rPr>
                <w:szCs w:val="20"/>
              </w:rPr>
              <w:t xml:space="preserve"> </w:t>
            </w:r>
          </w:p>
        </w:tc>
        <w:tc>
          <w:tcPr>
            <w:tcW w:w="617"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1589A4D4" w14:textId="1D773FA4" w:rsidR="0030419D" w:rsidRPr="00937772" w:rsidRDefault="00F5190C" w:rsidP="00F774FD">
            <w:pPr>
              <w:pStyle w:val="TableText0"/>
              <w:keepNext w:val="0"/>
              <w:jc w:val="center"/>
              <w:rPr>
                <w:szCs w:val="20"/>
                <w:highlight w:val="darkGray"/>
              </w:rPr>
            </w:pPr>
            <w:r w:rsidRPr="00F84C70">
              <w:rPr>
                <w:rFonts w:hint="eastAsia"/>
                <w:color w:val="000000"/>
                <w:w w:val="15"/>
                <w:szCs w:val="20"/>
                <w:shd w:val="solid" w:color="000000" w:fill="000000"/>
                <w:fitText w:val="11" w:id="-1167926520"/>
                <w14:textFill>
                  <w14:solidFill>
                    <w14:srgbClr w14:val="000000">
                      <w14:alpha w14:val="100000"/>
                    </w14:srgbClr>
                  </w14:solidFill>
                </w14:textFill>
              </w:rPr>
              <w:t xml:space="preserve">　</w:t>
            </w:r>
            <w:r w:rsidRPr="00F84C70">
              <w:rPr>
                <w:color w:val="000000"/>
                <w:w w:val="15"/>
                <w:szCs w:val="20"/>
                <w:shd w:val="solid" w:color="000000" w:fill="000000"/>
                <w:fitText w:val="11" w:id="-1167926520"/>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0"/>
                <w14:textFill>
                  <w14:solidFill>
                    <w14:srgbClr w14:val="000000">
                      <w14:alpha w14:val="100000"/>
                    </w14:srgbClr>
                  </w14:solidFill>
                </w14:textFill>
              </w:rPr>
              <w:t xml:space="preserve">　</w:t>
            </w:r>
            <w:r w:rsidR="00344028">
              <w:rPr>
                <w:iCs/>
                <w:vertAlign w:val="superscript"/>
              </w:rPr>
              <w:t>2</w:t>
            </w:r>
            <w:r w:rsidR="00B63528" w:rsidRPr="00B63528">
              <w:rPr>
                <w:szCs w:val="20"/>
              </w:rPr>
              <w:t xml:space="preserve"> </w:t>
            </w:r>
          </w:p>
        </w:tc>
        <w:tc>
          <w:tcPr>
            <w:tcW w:w="615" w:type="pct"/>
            <w:gridSpan w:val="2"/>
            <w:tcBorders>
              <w:top w:val="nil"/>
              <w:left w:val="single" w:sz="4" w:space="0" w:color="auto"/>
              <w:bottom w:val="dashSmallGap" w:sz="4" w:space="0" w:color="auto"/>
            </w:tcBorders>
            <w:shd w:val="clear" w:color="auto" w:fill="C6D9F1" w:themeFill="text2" w:themeFillTint="33"/>
            <w:vAlign w:val="center"/>
          </w:tcPr>
          <w:p w14:paraId="5C8526DD" w14:textId="510A3039" w:rsidR="0030419D" w:rsidRPr="00937772" w:rsidRDefault="00F5190C" w:rsidP="00F774FD">
            <w:pPr>
              <w:pStyle w:val="TableText0"/>
              <w:keepNext w:val="0"/>
              <w:jc w:val="center"/>
              <w:rPr>
                <w:szCs w:val="20"/>
                <w:highlight w:val="darkGray"/>
              </w:rPr>
            </w:pPr>
            <w:r w:rsidRPr="00F84C70">
              <w:rPr>
                <w:rFonts w:hint="eastAsia"/>
                <w:color w:val="000000"/>
                <w:w w:val="15"/>
                <w:szCs w:val="20"/>
                <w:shd w:val="solid" w:color="000000" w:fill="000000"/>
                <w:fitText w:val="23" w:id="-1167926519"/>
                <w14:textFill>
                  <w14:solidFill>
                    <w14:srgbClr w14:val="000000">
                      <w14:alpha w14:val="100000"/>
                    </w14:srgbClr>
                  </w14:solidFill>
                </w14:textFill>
              </w:rPr>
              <w:t xml:space="preserve">　</w:t>
            </w:r>
            <w:r w:rsidRPr="00F84C70">
              <w:rPr>
                <w:color w:val="000000"/>
                <w:w w:val="15"/>
                <w:szCs w:val="20"/>
                <w:shd w:val="solid" w:color="000000" w:fill="000000"/>
                <w:fitText w:val="23" w:id="-1167926519"/>
                <w14:textFill>
                  <w14:solidFill>
                    <w14:srgbClr w14:val="000000">
                      <w14:alpha w14:val="100000"/>
                    </w14:srgbClr>
                  </w14:solidFill>
                </w14:textFill>
              </w:rPr>
              <w:t>|</w:t>
            </w:r>
            <w:r w:rsidRPr="00F84C70">
              <w:rPr>
                <w:rFonts w:hint="eastAsia"/>
                <w:color w:val="000000"/>
                <w:spacing w:val="-42"/>
                <w:w w:val="15"/>
                <w:szCs w:val="20"/>
                <w:shd w:val="solid" w:color="000000" w:fill="000000"/>
                <w:fitText w:val="23" w:id="-1167926519"/>
                <w14:textFill>
                  <w14:solidFill>
                    <w14:srgbClr w14:val="000000">
                      <w14:alpha w14:val="100000"/>
                    </w14:srgbClr>
                  </w14:solidFill>
                </w14:textFill>
              </w:rPr>
              <w:t xml:space="preserve">　</w:t>
            </w:r>
            <w:r w:rsidR="00344028">
              <w:rPr>
                <w:iCs/>
                <w:vertAlign w:val="superscript"/>
              </w:rPr>
              <w:t>2</w:t>
            </w:r>
            <w:r w:rsidR="00B63528" w:rsidRPr="00B63528">
              <w:rPr>
                <w:szCs w:val="20"/>
              </w:rPr>
              <w:t xml:space="preserve"> </w:t>
            </w:r>
          </w:p>
        </w:tc>
      </w:tr>
      <w:tr w:rsidR="0039419D" w:rsidRPr="0067643B" w14:paraId="1D0A35A5" w14:textId="77777777" w:rsidTr="0039419D">
        <w:trPr>
          <w:gridAfter w:val="2"/>
          <w:wAfter w:w="21" w:type="pct"/>
        </w:trPr>
        <w:tc>
          <w:tcPr>
            <w:tcW w:w="1185" w:type="pct"/>
            <w:tcBorders>
              <w:top w:val="dashSmallGap" w:sz="4" w:space="0" w:color="auto"/>
              <w:bottom w:val="nil"/>
              <w:right w:val="single" w:sz="4" w:space="0" w:color="auto"/>
            </w:tcBorders>
            <w:shd w:val="clear" w:color="auto" w:fill="C6D9F1" w:themeFill="text2" w:themeFillTint="33"/>
            <w:vAlign w:val="center"/>
          </w:tcPr>
          <w:p w14:paraId="1D57FB52" w14:textId="77777777" w:rsidR="00952C81" w:rsidRPr="0067643B" w:rsidRDefault="00952C81" w:rsidP="00952C81">
            <w:pPr>
              <w:pStyle w:val="TableText0"/>
              <w:keepNext w:val="0"/>
              <w:ind w:left="257"/>
              <w:rPr>
                <w:szCs w:val="20"/>
              </w:rPr>
            </w:pPr>
            <w:r w:rsidRPr="0067643B">
              <w:rPr>
                <w:szCs w:val="20"/>
              </w:rPr>
              <w:t>November 2022 submission</w:t>
            </w:r>
          </w:p>
        </w:tc>
        <w:tc>
          <w:tcPr>
            <w:tcW w:w="624" w:type="pct"/>
            <w:tcBorders>
              <w:top w:val="dashSmallGap" w:sz="4" w:space="0" w:color="auto"/>
              <w:left w:val="single" w:sz="4" w:space="0" w:color="auto"/>
              <w:bottom w:val="nil"/>
              <w:right w:val="single" w:sz="4" w:space="0" w:color="auto"/>
            </w:tcBorders>
            <w:shd w:val="clear" w:color="auto" w:fill="C6D9F1" w:themeFill="text2" w:themeFillTint="33"/>
          </w:tcPr>
          <w:p w14:paraId="53513182" w14:textId="7FE46A1D" w:rsidR="00952C81" w:rsidRPr="00937772" w:rsidRDefault="00F5190C" w:rsidP="00952C81">
            <w:pPr>
              <w:pStyle w:val="TableText0"/>
              <w:keepNext w:val="0"/>
              <w:jc w:val="center"/>
              <w:rPr>
                <w:szCs w:val="20"/>
                <w:highlight w:val="darkGray"/>
              </w:rPr>
            </w:pPr>
            <w:r w:rsidRPr="00F5190C">
              <w:rPr>
                <w:rFonts w:hint="eastAsia"/>
                <w:color w:val="000000"/>
                <w:w w:val="15"/>
                <w:szCs w:val="20"/>
                <w:shd w:val="solid" w:color="000000" w:fill="000000"/>
                <w:fitText w:val="33" w:id="-1167926518"/>
                <w14:textFill>
                  <w14:solidFill>
                    <w14:srgbClr w14:val="000000">
                      <w14:alpha w14:val="100000"/>
                    </w14:srgbClr>
                  </w14:solidFill>
                </w14:textFill>
              </w:rPr>
              <w:t xml:space="preserve">　</w:t>
            </w:r>
            <w:proofErr w:type="gramStart"/>
            <w:r w:rsidRPr="00F5190C">
              <w:rPr>
                <w:color w:val="000000"/>
                <w:w w:val="15"/>
                <w:szCs w:val="20"/>
                <w:shd w:val="solid" w:color="000000" w:fill="000000"/>
                <w:fitText w:val="33" w:id="-1167926518"/>
                <w14:textFill>
                  <w14:solidFill>
                    <w14:srgbClr w14:val="000000">
                      <w14:alpha w14:val="100000"/>
                    </w14:srgbClr>
                  </w14:solidFill>
                </w14:textFill>
              </w:rPr>
              <w:t>|</w:t>
            </w:r>
            <w:r w:rsidRPr="00F5190C">
              <w:rPr>
                <w:rFonts w:hint="eastAsia"/>
                <w:color w:val="000000"/>
                <w:spacing w:val="-32"/>
                <w:w w:val="15"/>
                <w:szCs w:val="20"/>
                <w:shd w:val="solid" w:color="000000" w:fill="000000"/>
                <w:fitText w:val="33" w:id="-1167926518"/>
                <w14:textFill>
                  <w14:solidFill>
                    <w14:srgbClr w14:val="000000">
                      <w14:alpha w14:val="100000"/>
                    </w14:srgbClr>
                  </w14:solidFill>
                </w14:textFill>
              </w:rPr>
              <w:t xml:space="preserve">　</w:t>
            </w:r>
            <w:r w:rsidR="00B63528" w:rsidRPr="00B63528">
              <w:rPr>
                <w:szCs w:val="20"/>
              </w:rPr>
              <w:t xml:space="preserve"> </w:t>
            </w:r>
            <w:r w:rsidR="00937772">
              <w:rPr>
                <w:iCs/>
                <w:vertAlign w:val="superscript"/>
              </w:rPr>
              <w:t>1</w:t>
            </w:r>
            <w:proofErr w:type="gramEnd"/>
          </w:p>
        </w:tc>
        <w:tc>
          <w:tcPr>
            <w:tcW w:w="633" w:type="pct"/>
            <w:tcBorders>
              <w:top w:val="dashSmallGap" w:sz="4" w:space="0" w:color="auto"/>
              <w:left w:val="single" w:sz="4" w:space="0" w:color="auto"/>
              <w:bottom w:val="nil"/>
              <w:right w:val="single" w:sz="4" w:space="0" w:color="auto"/>
            </w:tcBorders>
            <w:shd w:val="clear" w:color="auto" w:fill="C6D9F1" w:themeFill="text2" w:themeFillTint="33"/>
          </w:tcPr>
          <w:p w14:paraId="6CE53552" w14:textId="3A5D8E0C" w:rsidR="00952C81" w:rsidRPr="00937772" w:rsidRDefault="00F5190C" w:rsidP="00952C81">
            <w:pPr>
              <w:pStyle w:val="TableText0"/>
              <w:keepNext w:val="0"/>
              <w:jc w:val="center"/>
              <w:rPr>
                <w:szCs w:val="20"/>
                <w:highlight w:val="darkGray"/>
              </w:rPr>
            </w:pPr>
            <w:r w:rsidRPr="00F84C70">
              <w:rPr>
                <w:rFonts w:hint="eastAsia"/>
                <w:color w:val="000000"/>
                <w:w w:val="15"/>
                <w:szCs w:val="20"/>
                <w:shd w:val="solid" w:color="000000" w:fill="000000"/>
                <w:fitText w:val="11" w:id="-1167926517"/>
                <w14:textFill>
                  <w14:solidFill>
                    <w14:srgbClr w14:val="000000">
                      <w14:alpha w14:val="100000"/>
                    </w14:srgbClr>
                  </w14:solidFill>
                </w14:textFill>
              </w:rPr>
              <w:t xml:space="preserve">　</w:t>
            </w:r>
            <w:proofErr w:type="gramStart"/>
            <w:r w:rsidRPr="00F84C70">
              <w:rPr>
                <w:color w:val="000000"/>
                <w:w w:val="15"/>
                <w:szCs w:val="20"/>
                <w:shd w:val="solid" w:color="000000" w:fill="000000"/>
                <w:fitText w:val="11" w:id="-1167926517"/>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17"/>
                <w14:textFill>
                  <w14:solidFill>
                    <w14:srgbClr w14:val="000000">
                      <w14:alpha w14:val="100000"/>
                    </w14:srgbClr>
                  </w14:solidFill>
                </w14:textFill>
              </w:rPr>
              <w:t xml:space="preserve">　</w:t>
            </w:r>
            <w:r w:rsidR="00B63528" w:rsidRPr="00B63528">
              <w:rPr>
                <w:szCs w:val="20"/>
              </w:rPr>
              <w:t xml:space="preserve"> </w:t>
            </w:r>
            <w:r w:rsidR="00937772">
              <w:rPr>
                <w:iCs/>
                <w:vertAlign w:val="superscript"/>
              </w:rPr>
              <w:t>1</w:t>
            </w:r>
            <w:proofErr w:type="gramEnd"/>
          </w:p>
        </w:tc>
        <w:tc>
          <w:tcPr>
            <w:tcW w:w="652" w:type="pct"/>
            <w:tcBorders>
              <w:top w:val="dashSmallGap" w:sz="4" w:space="0" w:color="auto"/>
              <w:left w:val="single" w:sz="4" w:space="0" w:color="auto"/>
              <w:bottom w:val="nil"/>
              <w:right w:val="single" w:sz="4" w:space="0" w:color="auto"/>
            </w:tcBorders>
            <w:shd w:val="clear" w:color="auto" w:fill="C6D9F1" w:themeFill="text2" w:themeFillTint="33"/>
          </w:tcPr>
          <w:p w14:paraId="303B769D" w14:textId="07B8FD24" w:rsidR="00952C81" w:rsidRPr="00937772" w:rsidRDefault="00F5190C" w:rsidP="00952C81">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B63528" w:rsidRPr="00B63528">
              <w:rPr>
                <w:szCs w:val="20"/>
              </w:rPr>
              <w:t xml:space="preserve"> </w:t>
            </w:r>
            <w:r w:rsidR="00937772">
              <w:rPr>
                <w:iCs/>
                <w:vertAlign w:val="superscript"/>
              </w:rPr>
              <w:t>1</w:t>
            </w:r>
          </w:p>
        </w:tc>
        <w:tc>
          <w:tcPr>
            <w:tcW w:w="653" w:type="pct"/>
            <w:gridSpan w:val="2"/>
            <w:tcBorders>
              <w:top w:val="dashSmallGap" w:sz="4" w:space="0" w:color="auto"/>
              <w:left w:val="single" w:sz="4" w:space="0" w:color="auto"/>
              <w:bottom w:val="nil"/>
              <w:right w:val="single" w:sz="4" w:space="0" w:color="auto"/>
            </w:tcBorders>
            <w:shd w:val="clear" w:color="auto" w:fill="C6D9F1" w:themeFill="text2" w:themeFillTint="33"/>
          </w:tcPr>
          <w:p w14:paraId="74422732" w14:textId="5C00B5C6" w:rsidR="00952C81" w:rsidRPr="00937772" w:rsidRDefault="00F5190C" w:rsidP="00952C81">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B63528" w:rsidRPr="00B63528">
              <w:rPr>
                <w:szCs w:val="20"/>
              </w:rPr>
              <w:t xml:space="preserve"> </w:t>
            </w:r>
            <w:r w:rsidR="00937772">
              <w:rPr>
                <w:iCs/>
                <w:vertAlign w:val="superscript"/>
              </w:rPr>
              <w:t>1</w:t>
            </w:r>
          </w:p>
        </w:tc>
        <w:tc>
          <w:tcPr>
            <w:tcW w:w="617" w:type="pct"/>
            <w:tcBorders>
              <w:top w:val="dashSmallGap" w:sz="4" w:space="0" w:color="auto"/>
              <w:left w:val="single" w:sz="4" w:space="0" w:color="auto"/>
              <w:bottom w:val="nil"/>
              <w:right w:val="single" w:sz="4" w:space="0" w:color="auto"/>
            </w:tcBorders>
            <w:shd w:val="clear" w:color="auto" w:fill="C6D9F1" w:themeFill="text2" w:themeFillTint="33"/>
          </w:tcPr>
          <w:p w14:paraId="28E691EA" w14:textId="11047BFD" w:rsidR="00952C81" w:rsidRPr="00937772" w:rsidRDefault="00F5190C" w:rsidP="00952C81">
            <w:pPr>
              <w:pStyle w:val="TableText0"/>
              <w:keepNext w:val="0"/>
              <w:jc w:val="center"/>
              <w:rPr>
                <w:szCs w:val="20"/>
                <w:highlight w:val="darkGray"/>
              </w:rPr>
            </w:pPr>
            <w:r w:rsidRPr="00F84C70">
              <w:rPr>
                <w:rFonts w:hint="eastAsia"/>
                <w:color w:val="000000"/>
                <w:w w:val="15"/>
                <w:szCs w:val="20"/>
                <w:shd w:val="solid" w:color="000000" w:fill="000000"/>
                <w:fitText w:val="11" w:id="-1167926516"/>
                <w14:textFill>
                  <w14:solidFill>
                    <w14:srgbClr w14:val="000000">
                      <w14:alpha w14:val="100000"/>
                    </w14:srgbClr>
                  </w14:solidFill>
                </w14:textFill>
              </w:rPr>
              <w:t xml:space="preserve">　</w:t>
            </w:r>
            <w:r w:rsidRPr="00F84C70">
              <w:rPr>
                <w:color w:val="000000"/>
                <w:w w:val="15"/>
                <w:szCs w:val="20"/>
                <w:shd w:val="solid" w:color="000000" w:fill="000000"/>
                <w:fitText w:val="11" w:id="-1167926516"/>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16"/>
                <w14:textFill>
                  <w14:solidFill>
                    <w14:srgbClr w14:val="000000">
                      <w14:alpha w14:val="100000"/>
                    </w14:srgbClr>
                  </w14:solidFill>
                </w14:textFill>
              </w:rPr>
              <w:t xml:space="preserve">　</w:t>
            </w:r>
            <w:r w:rsidR="00C44B1A">
              <w:rPr>
                <w:iCs/>
                <w:vertAlign w:val="superscript"/>
              </w:rPr>
              <w:t>1</w:t>
            </w:r>
          </w:p>
        </w:tc>
        <w:tc>
          <w:tcPr>
            <w:tcW w:w="615" w:type="pct"/>
            <w:gridSpan w:val="2"/>
            <w:tcBorders>
              <w:top w:val="dashSmallGap" w:sz="4" w:space="0" w:color="auto"/>
              <w:left w:val="single" w:sz="4" w:space="0" w:color="auto"/>
              <w:bottom w:val="nil"/>
            </w:tcBorders>
            <w:shd w:val="clear" w:color="auto" w:fill="C6D9F1" w:themeFill="text2" w:themeFillTint="33"/>
          </w:tcPr>
          <w:p w14:paraId="30789573" w14:textId="34109942" w:rsidR="00952C81" w:rsidRPr="00937772" w:rsidRDefault="00F5190C" w:rsidP="00952C81">
            <w:pPr>
              <w:pStyle w:val="TableText0"/>
              <w:keepNext w:val="0"/>
              <w:jc w:val="center"/>
              <w:rPr>
                <w:szCs w:val="20"/>
                <w:highlight w:val="darkGray"/>
              </w:rPr>
            </w:pPr>
            <w:r w:rsidRPr="00F84C70">
              <w:rPr>
                <w:rFonts w:hint="eastAsia"/>
                <w:color w:val="000000"/>
                <w:w w:val="15"/>
                <w:szCs w:val="20"/>
                <w:shd w:val="solid" w:color="000000" w:fill="000000"/>
                <w:fitText w:val="23" w:id="-1167926515"/>
                <w14:textFill>
                  <w14:solidFill>
                    <w14:srgbClr w14:val="000000">
                      <w14:alpha w14:val="100000"/>
                    </w14:srgbClr>
                  </w14:solidFill>
                </w14:textFill>
              </w:rPr>
              <w:t xml:space="preserve">　</w:t>
            </w:r>
            <w:r w:rsidRPr="00F84C70">
              <w:rPr>
                <w:color w:val="000000"/>
                <w:w w:val="15"/>
                <w:szCs w:val="20"/>
                <w:shd w:val="solid" w:color="000000" w:fill="000000"/>
                <w:fitText w:val="23" w:id="-1167926515"/>
                <w14:textFill>
                  <w14:solidFill>
                    <w14:srgbClr w14:val="000000">
                      <w14:alpha w14:val="100000"/>
                    </w14:srgbClr>
                  </w14:solidFill>
                </w14:textFill>
              </w:rPr>
              <w:t>|</w:t>
            </w:r>
            <w:r w:rsidRPr="00F84C70">
              <w:rPr>
                <w:rFonts w:hint="eastAsia"/>
                <w:color w:val="000000"/>
                <w:spacing w:val="-42"/>
                <w:w w:val="15"/>
                <w:szCs w:val="20"/>
                <w:shd w:val="solid" w:color="000000" w:fill="000000"/>
                <w:fitText w:val="23" w:id="-1167926515"/>
                <w14:textFill>
                  <w14:solidFill>
                    <w14:srgbClr w14:val="000000">
                      <w14:alpha w14:val="100000"/>
                    </w14:srgbClr>
                  </w14:solidFill>
                </w14:textFill>
              </w:rPr>
              <w:t xml:space="preserve">　</w:t>
            </w:r>
            <w:r w:rsidR="00A82BEA">
              <w:rPr>
                <w:iCs/>
                <w:vertAlign w:val="superscript"/>
              </w:rPr>
              <w:t>2</w:t>
            </w:r>
            <w:r w:rsidR="00B63528" w:rsidRPr="00B63528">
              <w:rPr>
                <w:szCs w:val="20"/>
              </w:rPr>
              <w:t xml:space="preserve"> </w:t>
            </w:r>
          </w:p>
        </w:tc>
      </w:tr>
      <w:tr w:rsidR="0039419D" w:rsidRPr="0067643B" w14:paraId="31C2C26C" w14:textId="77777777" w:rsidTr="0039419D">
        <w:trPr>
          <w:gridAfter w:val="2"/>
          <w:wAfter w:w="21" w:type="pct"/>
        </w:trPr>
        <w:tc>
          <w:tcPr>
            <w:tcW w:w="1185" w:type="pct"/>
            <w:tcBorders>
              <w:top w:val="single" w:sz="4" w:space="0" w:color="auto"/>
              <w:bottom w:val="nil"/>
              <w:right w:val="nil"/>
            </w:tcBorders>
            <w:shd w:val="clear" w:color="auto" w:fill="auto"/>
            <w:vAlign w:val="center"/>
          </w:tcPr>
          <w:p w14:paraId="2BB8BEC1" w14:textId="77777777" w:rsidR="00636080" w:rsidRPr="0067643B" w:rsidRDefault="00636080" w:rsidP="00EC704C">
            <w:pPr>
              <w:pStyle w:val="TableText0"/>
              <w:keepNext w:val="0"/>
              <w:rPr>
                <w:rFonts w:ascii="Times" w:hAnsi="Times"/>
                <w:szCs w:val="20"/>
              </w:rPr>
            </w:pPr>
            <w:r w:rsidRPr="0067643B">
              <w:rPr>
                <w:szCs w:val="20"/>
              </w:rPr>
              <w:t xml:space="preserve">Number of </w:t>
            </w:r>
            <w:r w:rsidR="001A35FC" w:rsidRPr="0067643B">
              <w:rPr>
                <w:szCs w:val="20"/>
              </w:rPr>
              <w:t>packs per year</w:t>
            </w:r>
            <w:r w:rsidRPr="0067643B">
              <w:rPr>
                <w:szCs w:val="20"/>
                <w:vertAlign w:val="superscript"/>
              </w:rPr>
              <w:t>a</w:t>
            </w:r>
          </w:p>
        </w:tc>
        <w:tc>
          <w:tcPr>
            <w:tcW w:w="624" w:type="pct"/>
            <w:tcBorders>
              <w:top w:val="single" w:sz="4" w:space="0" w:color="auto"/>
              <w:left w:val="nil"/>
              <w:bottom w:val="nil"/>
              <w:right w:val="nil"/>
            </w:tcBorders>
            <w:shd w:val="clear" w:color="auto" w:fill="auto"/>
            <w:vAlign w:val="center"/>
          </w:tcPr>
          <w:p w14:paraId="697AB459" w14:textId="77777777" w:rsidR="00636080" w:rsidRPr="0067643B" w:rsidRDefault="00636080" w:rsidP="00EC704C">
            <w:pPr>
              <w:pStyle w:val="TableText0"/>
              <w:keepNext w:val="0"/>
              <w:jc w:val="center"/>
              <w:rPr>
                <w:color w:val="000000"/>
                <w:szCs w:val="20"/>
              </w:rPr>
            </w:pPr>
          </w:p>
        </w:tc>
        <w:tc>
          <w:tcPr>
            <w:tcW w:w="633" w:type="pct"/>
            <w:tcBorders>
              <w:top w:val="single" w:sz="4" w:space="0" w:color="auto"/>
              <w:left w:val="nil"/>
              <w:bottom w:val="nil"/>
              <w:right w:val="nil"/>
            </w:tcBorders>
            <w:shd w:val="clear" w:color="auto" w:fill="auto"/>
            <w:vAlign w:val="center"/>
          </w:tcPr>
          <w:p w14:paraId="2365AA0D" w14:textId="77777777" w:rsidR="00636080" w:rsidRPr="0067643B" w:rsidRDefault="00636080" w:rsidP="00EC704C">
            <w:pPr>
              <w:pStyle w:val="TableText0"/>
              <w:keepNext w:val="0"/>
              <w:jc w:val="center"/>
              <w:rPr>
                <w:color w:val="000000"/>
                <w:szCs w:val="20"/>
              </w:rPr>
            </w:pPr>
          </w:p>
        </w:tc>
        <w:tc>
          <w:tcPr>
            <w:tcW w:w="652" w:type="pct"/>
            <w:tcBorders>
              <w:top w:val="single" w:sz="4" w:space="0" w:color="auto"/>
              <w:left w:val="nil"/>
              <w:bottom w:val="nil"/>
              <w:right w:val="nil"/>
            </w:tcBorders>
            <w:shd w:val="clear" w:color="auto" w:fill="auto"/>
            <w:vAlign w:val="center"/>
          </w:tcPr>
          <w:p w14:paraId="0E3987E5" w14:textId="77777777" w:rsidR="00636080" w:rsidRPr="0067643B" w:rsidRDefault="00636080" w:rsidP="00EC704C">
            <w:pPr>
              <w:pStyle w:val="TableText0"/>
              <w:keepNext w:val="0"/>
              <w:jc w:val="center"/>
              <w:rPr>
                <w:color w:val="000000"/>
                <w:szCs w:val="20"/>
              </w:rPr>
            </w:pPr>
          </w:p>
        </w:tc>
        <w:tc>
          <w:tcPr>
            <w:tcW w:w="653" w:type="pct"/>
            <w:gridSpan w:val="2"/>
            <w:tcBorders>
              <w:top w:val="single" w:sz="4" w:space="0" w:color="auto"/>
              <w:left w:val="nil"/>
              <w:bottom w:val="nil"/>
              <w:right w:val="nil"/>
            </w:tcBorders>
            <w:shd w:val="clear" w:color="auto" w:fill="auto"/>
            <w:vAlign w:val="center"/>
          </w:tcPr>
          <w:p w14:paraId="501F277E" w14:textId="77777777" w:rsidR="00636080" w:rsidRPr="0067643B" w:rsidRDefault="00636080" w:rsidP="00EC704C">
            <w:pPr>
              <w:pStyle w:val="TableText0"/>
              <w:keepNext w:val="0"/>
              <w:jc w:val="center"/>
              <w:rPr>
                <w:color w:val="000000"/>
                <w:szCs w:val="20"/>
              </w:rPr>
            </w:pPr>
          </w:p>
        </w:tc>
        <w:tc>
          <w:tcPr>
            <w:tcW w:w="617" w:type="pct"/>
            <w:tcBorders>
              <w:top w:val="single" w:sz="4" w:space="0" w:color="auto"/>
              <w:left w:val="nil"/>
              <w:bottom w:val="nil"/>
              <w:right w:val="nil"/>
            </w:tcBorders>
            <w:shd w:val="clear" w:color="auto" w:fill="auto"/>
            <w:vAlign w:val="center"/>
          </w:tcPr>
          <w:p w14:paraId="563AFBAB" w14:textId="77777777" w:rsidR="00636080" w:rsidRPr="0067643B" w:rsidRDefault="00636080" w:rsidP="00EC704C">
            <w:pPr>
              <w:pStyle w:val="TableText0"/>
              <w:keepNext w:val="0"/>
              <w:jc w:val="center"/>
              <w:rPr>
                <w:color w:val="000000"/>
                <w:szCs w:val="20"/>
              </w:rPr>
            </w:pPr>
          </w:p>
        </w:tc>
        <w:tc>
          <w:tcPr>
            <w:tcW w:w="615" w:type="pct"/>
            <w:gridSpan w:val="2"/>
            <w:tcBorders>
              <w:top w:val="single" w:sz="4" w:space="0" w:color="auto"/>
              <w:left w:val="nil"/>
              <w:bottom w:val="nil"/>
            </w:tcBorders>
          </w:tcPr>
          <w:p w14:paraId="2FD5A25E" w14:textId="77777777" w:rsidR="00636080" w:rsidRPr="0067643B" w:rsidRDefault="00636080" w:rsidP="00EC704C">
            <w:pPr>
              <w:pStyle w:val="TableText0"/>
              <w:keepNext w:val="0"/>
              <w:jc w:val="center"/>
              <w:rPr>
                <w:color w:val="000000"/>
                <w:szCs w:val="20"/>
              </w:rPr>
            </w:pPr>
          </w:p>
        </w:tc>
      </w:tr>
      <w:tr w:rsidR="0039419D" w:rsidRPr="00541454" w14:paraId="383F760E" w14:textId="77777777" w:rsidTr="0039419D">
        <w:trPr>
          <w:gridAfter w:val="2"/>
          <w:wAfter w:w="21" w:type="pct"/>
        </w:trPr>
        <w:tc>
          <w:tcPr>
            <w:tcW w:w="1185" w:type="pct"/>
            <w:tcBorders>
              <w:top w:val="dashSmallGap" w:sz="4" w:space="0" w:color="auto"/>
              <w:bottom w:val="nil"/>
              <w:right w:val="single" w:sz="4" w:space="0" w:color="auto"/>
            </w:tcBorders>
            <w:shd w:val="clear" w:color="auto" w:fill="auto"/>
            <w:vAlign w:val="center"/>
          </w:tcPr>
          <w:p w14:paraId="30FE903D" w14:textId="5FB0E335" w:rsidR="0067643B" w:rsidRPr="00541454" w:rsidRDefault="0067643B" w:rsidP="0067643B">
            <w:pPr>
              <w:pStyle w:val="TableText0"/>
              <w:keepNext w:val="0"/>
              <w:ind w:left="257"/>
              <w:rPr>
                <w:iCs/>
                <w:szCs w:val="20"/>
              </w:rPr>
            </w:pPr>
            <w:r w:rsidRPr="00541454">
              <w:rPr>
                <w:iCs/>
                <w:szCs w:val="20"/>
              </w:rPr>
              <w:t xml:space="preserve">PSCR </w:t>
            </w:r>
            <w:r w:rsidR="00134982" w:rsidRPr="00541454">
              <w:rPr>
                <w:iCs/>
                <w:szCs w:val="20"/>
              </w:rPr>
              <w:t>(</w:t>
            </w:r>
            <w:r w:rsidRPr="00541454">
              <w:rPr>
                <w:iCs/>
                <w:szCs w:val="20"/>
              </w:rPr>
              <w:t>resubmission</w:t>
            </w:r>
            <w:r w:rsidR="00134982" w:rsidRPr="00541454">
              <w:rPr>
                <w:iCs/>
                <w:szCs w:val="20"/>
              </w:rPr>
              <w:t>)</w:t>
            </w:r>
          </w:p>
        </w:tc>
        <w:tc>
          <w:tcPr>
            <w:tcW w:w="624" w:type="pct"/>
            <w:tcBorders>
              <w:top w:val="dashSmallGap" w:sz="4" w:space="0" w:color="auto"/>
              <w:left w:val="single" w:sz="4" w:space="0" w:color="auto"/>
              <w:bottom w:val="nil"/>
              <w:right w:val="single" w:sz="4" w:space="0" w:color="auto"/>
            </w:tcBorders>
            <w:shd w:val="clear" w:color="auto" w:fill="auto"/>
          </w:tcPr>
          <w:p w14:paraId="30F04635" w14:textId="1269C293" w:rsidR="0067643B" w:rsidRPr="00937772" w:rsidRDefault="00F5190C" w:rsidP="0067643B">
            <w:pPr>
              <w:pStyle w:val="TableText0"/>
              <w:keepNext w:val="0"/>
              <w:jc w:val="center"/>
              <w:rPr>
                <w:iCs/>
                <w:szCs w:val="20"/>
                <w:highlight w:val="darkGray"/>
              </w:rPr>
            </w:pPr>
            <w:r w:rsidRPr="00F84C70">
              <w:rPr>
                <w:rFonts w:hint="eastAsia"/>
                <w:iCs/>
                <w:color w:val="000000"/>
                <w:w w:val="15"/>
                <w:szCs w:val="20"/>
                <w:shd w:val="solid" w:color="000000" w:fill="000000"/>
                <w:fitText w:val="11" w:id="-1167926514"/>
                <w14:textFill>
                  <w14:solidFill>
                    <w14:srgbClr w14:val="000000">
                      <w14:alpha w14:val="100000"/>
                    </w14:srgbClr>
                  </w14:solidFill>
                </w14:textFill>
              </w:rPr>
              <w:t xml:space="preserve">　</w:t>
            </w:r>
            <w:r w:rsidRPr="00F84C70">
              <w:rPr>
                <w:iCs/>
                <w:color w:val="000000"/>
                <w:w w:val="15"/>
                <w:szCs w:val="20"/>
                <w:shd w:val="solid" w:color="000000" w:fill="000000"/>
                <w:fitText w:val="11" w:id="-1167926514"/>
                <w14:textFill>
                  <w14:solidFill>
                    <w14:srgbClr w14:val="000000">
                      <w14:alpha w14:val="100000"/>
                    </w14:srgbClr>
                  </w14:solidFill>
                </w14:textFill>
              </w:rPr>
              <w:t>|</w:t>
            </w:r>
            <w:r w:rsidRPr="00F84C70">
              <w:rPr>
                <w:rFonts w:hint="eastAsia"/>
                <w:iCs/>
                <w:color w:val="000000"/>
                <w:spacing w:val="-54"/>
                <w:w w:val="15"/>
                <w:szCs w:val="20"/>
                <w:shd w:val="solid" w:color="000000" w:fill="000000"/>
                <w:fitText w:val="11" w:id="-1167926514"/>
                <w14:textFill>
                  <w14:solidFill>
                    <w14:srgbClr w14:val="000000">
                      <w14:alpha w14:val="100000"/>
                    </w14:srgbClr>
                  </w14:solidFill>
                </w14:textFill>
              </w:rPr>
              <w:t xml:space="preserve">　</w:t>
            </w:r>
            <w:r w:rsidR="00A82BEA">
              <w:rPr>
                <w:iCs/>
                <w:vertAlign w:val="superscript"/>
              </w:rPr>
              <w:t>3</w:t>
            </w:r>
            <w:r w:rsidR="00B63528" w:rsidRPr="00B63528">
              <w:rPr>
                <w:iCs/>
                <w:szCs w:val="20"/>
              </w:rPr>
              <w:t xml:space="preserve"> </w:t>
            </w:r>
          </w:p>
        </w:tc>
        <w:tc>
          <w:tcPr>
            <w:tcW w:w="633" w:type="pct"/>
            <w:tcBorders>
              <w:top w:val="dashSmallGap" w:sz="4" w:space="0" w:color="auto"/>
              <w:left w:val="single" w:sz="4" w:space="0" w:color="auto"/>
              <w:bottom w:val="nil"/>
              <w:right w:val="single" w:sz="4" w:space="0" w:color="auto"/>
            </w:tcBorders>
            <w:shd w:val="clear" w:color="auto" w:fill="auto"/>
          </w:tcPr>
          <w:p w14:paraId="0CC23520" w14:textId="4726F78A" w:rsidR="0067643B" w:rsidRPr="00937772" w:rsidRDefault="00F5190C" w:rsidP="0067643B">
            <w:pPr>
              <w:pStyle w:val="TableText0"/>
              <w:keepNext w:val="0"/>
              <w:jc w:val="center"/>
              <w:rPr>
                <w:iCs/>
                <w:szCs w:val="20"/>
                <w:highlight w:val="darkGray"/>
              </w:rPr>
            </w:pPr>
            <w:r w:rsidRPr="00F5190C">
              <w:rPr>
                <w:iCs/>
                <w:color w:val="000000"/>
                <w:szCs w:val="20"/>
                <w:shd w:val="solid" w:color="000000" w:fill="000000"/>
                <w14:textFill>
                  <w14:solidFill>
                    <w14:srgbClr w14:val="000000">
                      <w14:alpha w14:val="100000"/>
                    </w14:srgbClr>
                  </w14:solidFill>
                </w14:textFill>
              </w:rPr>
              <w:t>|</w:t>
            </w:r>
            <w:r w:rsidR="0039419D">
              <w:rPr>
                <w:iCs/>
                <w:vertAlign w:val="superscript"/>
              </w:rPr>
              <w:t>4</w:t>
            </w:r>
            <w:r w:rsidR="00B63528" w:rsidRPr="00B63528">
              <w:rPr>
                <w:iCs/>
                <w:szCs w:val="20"/>
              </w:rPr>
              <w:t xml:space="preserve"> </w:t>
            </w:r>
          </w:p>
        </w:tc>
        <w:tc>
          <w:tcPr>
            <w:tcW w:w="652" w:type="pct"/>
            <w:tcBorders>
              <w:top w:val="dashSmallGap" w:sz="4" w:space="0" w:color="auto"/>
              <w:left w:val="single" w:sz="4" w:space="0" w:color="auto"/>
              <w:bottom w:val="nil"/>
              <w:right w:val="single" w:sz="4" w:space="0" w:color="auto"/>
            </w:tcBorders>
            <w:shd w:val="clear" w:color="auto" w:fill="auto"/>
          </w:tcPr>
          <w:p w14:paraId="117CC63F" w14:textId="71EBCB5C" w:rsidR="0067643B" w:rsidRPr="00937772" w:rsidRDefault="00F5190C" w:rsidP="0067643B">
            <w:pPr>
              <w:pStyle w:val="TableText0"/>
              <w:keepNext w:val="0"/>
              <w:jc w:val="center"/>
              <w:rPr>
                <w:iCs/>
                <w:szCs w:val="20"/>
                <w:highlight w:val="darkGray"/>
              </w:rPr>
            </w:pPr>
            <w:r w:rsidRPr="00F5190C">
              <w:rPr>
                <w:iCs/>
                <w:color w:val="000000"/>
                <w:szCs w:val="20"/>
                <w:shd w:val="solid" w:color="000000" w:fill="000000"/>
                <w14:textFill>
                  <w14:solidFill>
                    <w14:srgbClr w14:val="000000">
                      <w14:alpha w14:val="100000"/>
                    </w14:srgbClr>
                  </w14:solidFill>
                </w14:textFill>
              </w:rPr>
              <w:t>|</w:t>
            </w:r>
            <w:r w:rsidR="0039419D">
              <w:rPr>
                <w:iCs/>
                <w:vertAlign w:val="superscript"/>
              </w:rPr>
              <w:t>4</w:t>
            </w:r>
            <w:r w:rsidR="00B63528" w:rsidRPr="00B63528">
              <w:rPr>
                <w:iCs/>
                <w:szCs w:val="20"/>
              </w:rPr>
              <w:t xml:space="preserve"> </w:t>
            </w:r>
          </w:p>
        </w:tc>
        <w:tc>
          <w:tcPr>
            <w:tcW w:w="653" w:type="pct"/>
            <w:gridSpan w:val="2"/>
            <w:tcBorders>
              <w:top w:val="dashSmallGap" w:sz="4" w:space="0" w:color="auto"/>
              <w:left w:val="single" w:sz="4" w:space="0" w:color="auto"/>
              <w:bottom w:val="nil"/>
              <w:right w:val="single" w:sz="4" w:space="0" w:color="auto"/>
            </w:tcBorders>
            <w:shd w:val="clear" w:color="auto" w:fill="auto"/>
          </w:tcPr>
          <w:p w14:paraId="7ACE2C82" w14:textId="21FF5F28" w:rsidR="0067643B" w:rsidRPr="00937772" w:rsidRDefault="00F5190C" w:rsidP="0067643B">
            <w:pPr>
              <w:pStyle w:val="TableText0"/>
              <w:keepNext w:val="0"/>
              <w:jc w:val="center"/>
              <w:rPr>
                <w:iCs/>
                <w:szCs w:val="20"/>
                <w:highlight w:val="darkGray"/>
              </w:rPr>
            </w:pPr>
            <w:r w:rsidRPr="00F5190C">
              <w:rPr>
                <w:iCs/>
                <w:color w:val="000000"/>
                <w:szCs w:val="20"/>
                <w:shd w:val="solid" w:color="000000" w:fill="000000"/>
                <w14:textFill>
                  <w14:solidFill>
                    <w14:srgbClr w14:val="000000">
                      <w14:alpha w14:val="100000"/>
                    </w14:srgbClr>
                  </w14:solidFill>
                </w14:textFill>
              </w:rPr>
              <w:t>|</w:t>
            </w:r>
            <w:r w:rsidR="0039419D">
              <w:rPr>
                <w:iCs/>
                <w:vertAlign w:val="superscript"/>
              </w:rPr>
              <w:t>4</w:t>
            </w:r>
            <w:r w:rsidR="00B63528" w:rsidRPr="00B63528">
              <w:rPr>
                <w:iCs/>
                <w:szCs w:val="20"/>
              </w:rPr>
              <w:t xml:space="preserve"> </w:t>
            </w:r>
          </w:p>
        </w:tc>
        <w:tc>
          <w:tcPr>
            <w:tcW w:w="617" w:type="pct"/>
            <w:tcBorders>
              <w:top w:val="dashSmallGap" w:sz="4" w:space="0" w:color="auto"/>
              <w:left w:val="single" w:sz="4" w:space="0" w:color="auto"/>
              <w:bottom w:val="nil"/>
              <w:right w:val="single" w:sz="4" w:space="0" w:color="auto"/>
            </w:tcBorders>
            <w:shd w:val="clear" w:color="auto" w:fill="auto"/>
          </w:tcPr>
          <w:p w14:paraId="528E7E52" w14:textId="095F3FA9" w:rsidR="0067643B" w:rsidRPr="00937772" w:rsidRDefault="00F5190C" w:rsidP="0067643B">
            <w:pPr>
              <w:pStyle w:val="TableText0"/>
              <w:keepNext w:val="0"/>
              <w:jc w:val="center"/>
              <w:rPr>
                <w:iCs/>
                <w:szCs w:val="20"/>
                <w:highlight w:val="darkGray"/>
              </w:rPr>
            </w:pPr>
            <w:r w:rsidRPr="00F84C70">
              <w:rPr>
                <w:rFonts w:hint="eastAsia"/>
                <w:iCs/>
                <w:color w:val="000000"/>
                <w:w w:val="15"/>
                <w:szCs w:val="20"/>
                <w:shd w:val="solid" w:color="000000" w:fill="000000"/>
                <w:fitText w:val="11" w:id="-1167926513"/>
                <w14:textFill>
                  <w14:solidFill>
                    <w14:srgbClr w14:val="000000">
                      <w14:alpha w14:val="100000"/>
                    </w14:srgbClr>
                  </w14:solidFill>
                </w14:textFill>
              </w:rPr>
              <w:t xml:space="preserve">　</w:t>
            </w:r>
            <w:r w:rsidRPr="00F84C70">
              <w:rPr>
                <w:iCs/>
                <w:color w:val="000000"/>
                <w:w w:val="15"/>
                <w:szCs w:val="20"/>
                <w:shd w:val="solid" w:color="000000" w:fill="000000"/>
                <w:fitText w:val="11" w:id="-1167926513"/>
                <w14:textFill>
                  <w14:solidFill>
                    <w14:srgbClr w14:val="000000">
                      <w14:alpha w14:val="100000"/>
                    </w14:srgbClr>
                  </w14:solidFill>
                </w14:textFill>
              </w:rPr>
              <w:t>|</w:t>
            </w:r>
            <w:r w:rsidRPr="00F84C70">
              <w:rPr>
                <w:rFonts w:hint="eastAsia"/>
                <w:iCs/>
                <w:color w:val="000000"/>
                <w:spacing w:val="-54"/>
                <w:w w:val="15"/>
                <w:szCs w:val="20"/>
                <w:shd w:val="solid" w:color="000000" w:fill="000000"/>
                <w:fitText w:val="11" w:id="-1167926513"/>
                <w14:textFill>
                  <w14:solidFill>
                    <w14:srgbClr w14:val="000000">
                      <w14:alpha w14:val="100000"/>
                    </w14:srgbClr>
                  </w14:solidFill>
                </w14:textFill>
              </w:rPr>
              <w:t xml:space="preserve">　</w:t>
            </w:r>
            <w:r w:rsidR="0039419D">
              <w:rPr>
                <w:iCs/>
                <w:vertAlign w:val="superscript"/>
              </w:rPr>
              <w:t>4</w:t>
            </w:r>
            <w:r w:rsidR="00B63528" w:rsidRPr="00B63528">
              <w:rPr>
                <w:iCs/>
                <w:szCs w:val="20"/>
              </w:rPr>
              <w:t xml:space="preserve"> </w:t>
            </w:r>
          </w:p>
        </w:tc>
        <w:tc>
          <w:tcPr>
            <w:tcW w:w="615" w:type="pct"/>
            <w:gridSpan w:val="2"/>
            <w:tcBorders>
              <w:top w:val="dashSmallGap" w:sz="4" w:space="0" w:color="auto"/>
              <w:left w:val="single" w:sz="4" w:space="0" w:color="auto"/>
              <w:bottom w:val="nil"/>
            </w:tcBorders>
          </w:tcPr>
          <w:p w14:paraId="3F90FCCF" w14:textId="2AACFEF0" w:rsidR="0067643B" w:rsidRPr="00937772" w:rsidRDefault="00F5190C" w:rsidP="0067643B">
            <w:pPr>
              <w:pStyle w:val="TableText0"/>
              <w:keepNext w:val="0"/>
              <w:jc w:val="center"/>
              <w:rPr>
                <w:iCs/>
                <w:szCs w:val="20"/>
                <w:highlight w:val="darkGray"/>
              </w:rPr>
            </w:pPr>
            <w:r w:rsidRPr="00F84C70">
              <w:rPr>
                <w:rFonts w:hint="eastAsia"/>
                <w:iCs/>
                <w:color w:val="000000"/>
                <w:w w:val="15"/>
                <w:szCs w:val="20"/>
                <w:shd w:val="solid" w:color="000000" w:fill="000000"/>
                <w:fitText w:val="23" w:id="-1167926512"/>
                <w14:textFill>
                  <w14:solidFill>
                    <w14:srgbClr w14:val="000000">
                      <w14:alpha w14:val="100000"/>
                    </w14:srgbClr>
                  </w14:solidFill>
                </w14:textFill>
              </w:rPr>
              <w:t xml:space="preserve">　</w:t>
            </w:r>
            <w:r w:rsidRPr="00F84C70">
              <w:rPr>
                <w:iCs/>
                <w:color w:val="000000"/>
                <w:w w:val="15"/>
                <w:szCs w:val="20"/>
                <w:shd w:val="solid" w:color="000000" w:fill="000000"/>
                <w:fitText w:val="23" w:id="-1167926512"/>
                <w14:textFill>
                  <w14:solidFill>
                    <w14:srgbClr w14:val="000000">
                      <w14:alpha w14:val="100000"/>
                    </w14:srgbClr>
                  </w14:solidFill>
                </w14:textFill>
              </w:rPr>
              <w:t>|</w:t>
            </w:r>
            <w:r w:rsidRPr="00F84C70">
              <w:rPr>
                <w:rFonts w:hint="eastAsia"/>
                <w:iCs/>
                <w:color w:val="000000"/>
                <w:spacing w:val="-42"/>
                <w:w w:val="15"/>
                <w:szCs w:val="20"/>
                <w:shd w:val="solid" w:color="000000" w:fill="000000"/>
                <w:fitText w:val="23" w:id="-1167926512"/>
                <w14:textFill>
                  <w14:solidFill>
                    <w14:srgbClr w14:val="000000">
                      <w14:alpha w14:val="100000"/>
                    </w14:srgbClr>
                  </w14:solidFill>
                </w14:textFill>
              </w:rPr>
              <w:t xml:space="preserve">　</w:t>
            </w:r>
            <w:r w:rsidR="0039419D">
              <w:rPr>
                <w:vertAlign w:val="superscript"/>
              </w:rPr>
              <w:t>7</w:t>
            </w:r>
          </w:p>
        </w:tc>
      </w:tr>
      <w:tr w:rsidR="0039419D" w:rsidRPr="0067643B" w14:paraId="4190E4B8" w14:textId="77777777" w:rsidTr="0039419D">
        <w:trPr>
          <w:gridAfter w:val="2"/>
          <w:wAfter w:w="21" w:type="pct"/>
        </w:trPr>
        <w:tc>
          <w:tcPr>
            <w:tcW w:w="1185" w:type="pct"/>
            <w:tcBorders>
              <w:top w:val="dashSmallGap" w:sz="4" w:space="0" w:color="auto"/>
              <w:bottom w:val="nil"/>
              <w:right w:val="single" w:sz="4" w:space="0" w:color="auto"/>
            </w:tcBorders>
            <w:shd w:val="clear" w:color="auto" w:fill="auto"/>
            <w:vAlign w:val="center"/>
          </w:tcPr>
          <w:p w14:paraId="17A96DA6" w14:textId="77777777" w:rsidR="0067643B" w:rsidRPr="0067643B" w:rsidRDefault="0067643B" w:rsidP="0067643B">
            <w:pPr>
              <w:pStyle w:val="TableText0"/>
              <w:keepNext w:val="0"/>
              <w:ind w:left="257"/>
              <w:rPr>
                <w:szCs w:val="20"/>
              </w:rPr>
            </w:pPr>
            <w:r w:rsidRPr="0067643B">
              <w:rPr>
                <w:szCs w:val="20"/>
              </w:rPr>
              <w:t>Resubmission</w:t>
            </w:r>
          </w:p>
        </w:tc>
        <w:tc>
          <w:tcPr>
            <w:tcW w:w="624" w:type="pct"/>
            <w:tcBorders>
              <w:top w:val="dashSmallGap" w:sz="4" w:space="0" w:color="auto"/>
              <w:left w:val="single" w:sz="4" w:space="0" w:color="auto"/>
              <w:bottom w:val="nil"/>
              <w:right w:val="single" w:sz="4" w:space="0" w:color="auto"/>
            </w:tcBorders>
            <w:shd w:val="clear" w:color="auto" w:fill="auto"/>
            <w:vAlign w:val="center"/>
          </w:tcPr>
          <w:p w14:paraId="59E0268F" w14:textId="71AEAC91" w:rsidR="0067643B" w:rsidRPr="00937772" w:rsidRDefault="00F5190C" w:rsidP="0067643B">
            <w:pPr>
              <w:pStyle w:val="TableText0"/>
              <w:keepNext w:val="0"/>
              <w:jc w:val="center"/>
              <w:rPr>
                <w:color w:val="000000"/>
                <w:szCs w:val="20"/>
                <w:highlight w:val="darkGray"/>
              </w:rPr>
            </w:pPr>
            <w:r w:rsidRPr="00F84C70">
              <w:rPr>
                <w:rFonts w:hint="eastAsia"/>
                <w:color w:val="000000"/>
                <w:w w:val="15"/>
                <w:szCs w:val="20"/>
                <w:shd w:val="solid" w:color="000000" w:fill="000000"/>
                <w:fitText w:val="11" w:id="-1167926528"/>
                <w14:textFill>
                  <w14:solidFill>
                    <w14:srgbClr w14:val="000000">
                      <w14:alpha w14:val="100000"/>
                    </w14:srgbClr>
                  </w14:solidFill>
                </w14:textFill>
              </w:rPr>
              <w:t xml:space="preserve">　</w:t>
            </w:r>
            <w:r w:rsidRPr="00F84C70">
              <w:rPr>
                <w:color w:val="000000"/>
                <w:w w:val="15"/>
                <w:szCs w:val="20"/>
                <w:shd w:val="solid" w:color="000000" w:fill="000000"/>
                <w:fitText w:val="11" w:id="-1167926528"/>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8"/>
                <w14:textFill>
                  <w14:solidFill>
                    <w14:srgbClr w14:val="000000">
                      <w14:alpha w14:val="100000"/>
                    </w14:srgbClr>
                  </w14:solidFill>
                </w14:textFill>
              </w:rPr>
              <w:t xml:space="preserve">　</w:t>
            </w:r>
            <w:r w:rsidR="00A82BEA">
              <w:rPr>
                <w:iCs/>
                <w:vertAlign w:val="superscript"/>
              </w:rPr>
              <w:t>3</w:t>
            </w:r>
          </w:p>
        </w:tc>
        <w:tc>
          <w:tcPr>
            <w:tcW w:w="633" w:type="pct"/>
            <w:tcBorders>
              <w:top w:val="dashSmallGap" w:sz="4" w:space="0" w:color="auto"/>
              <w:left w:val="single" w:sz="4" w:space="0" w:color="auto"/>
              <w:bottom w:val="nil"/>
              <w:right w:val="single" w:sz="4" w:space="0" w:color="auto"/>
            </w:tcBorders>
            <w:shd w:val="clear" w:color="auto" w:fill="auto"/>
            <w:vAlign w:val="center"/>
          </w:tcPr>
          <w:p w14:paraId="07343111" w14:textId="3BEBEB05" w:rsidR="0067643B" w:rsidRPr="00937772" w:rsidRDefault="00F5190C" w:rsidP="0067643B">
            <w:pPr>
              <w:pStyle w:val="TableText0"/>
              <w:keepNext w:val="0"/>
              <w:jc w:val="center"/>
              <w:rPr>
                <w:color w:val="000000"/>
                <w:szCs w:val="20"/>
                <w:highlight w:val="darkGray"/>
              </w:rPr>
            </w:pPr>
            <w:r w:rsidRPr="00F5190C">
              <w:rPr>
                <w:color w:val="000000"/>
                <w:szCs w:val="20"/>
                <w:shd w:val="solid" w:color="000000" w:fill="000000"/>
                <w14:textFill>
                  <w14:solidFill>
                    <w14:srgbClr w14:val="000000">
                      <w14:alpha w14:val="100000"/>
                    </w14:srgbClr>
                  </w14:solidFill>
                </w14:textFill>
              </w:rPr>
              <w:t>|</w:t>
            </w:r>
            <w:r w:rsidR="00A82BEA">
              <w:rPr>
                <w:iCs/>
                <w:vertAlign w:val="superscript"/>
              </w:rPr>
              <w:t>3</w:t>
            </w:r>
          </w:p>
        </w:tc>
        <w:tc>
          <w:tcPr>
            <w:tcW w:w="652" w:type="pct"/>
            <w:tcBorders>
              <w:top w:val="dashSmallGap" w:sz="4" w:space="0" w:color="auto"/>
              <w:left w:val="single" w:sz="4" w:space="0" w:color="auto"/>
              <w:bottom w:val="nil"/>
              <w:right w:val="single" w:sz="4" w:space="0" w:color="auto"/>
            </w:tcBorders>
            <w:shd w:val="clear" w:color="auto" w:fill="auto"/>
            <w:vAlign w:val="center"/>
          </w:tcPr>
          <w:p w14:paraId="784B08FA" w14:textId="6424F7D2" w:rsidR="0067643B" w:rsidRPr="00937772" w:rsidRDefault="00F5190C" w:rsidP="0067643B">
            <w:pPr>
              <w:pStyle w:val="TableText0"/>
              <w:keepNext w:val="0"/>
              <w:jc w:val="center"/>
              <w:rPr>
                <w:color w:val="000000"/>
                <w:szCs w:val="20"/>
                <w:highlight w:val="darkGray"/>
              </w:rPr>
            </w:pPr>
            <w:r w:rsidRPr="00F5190C">
              <w:rPr>
                <w:color w:val="000000"/>
                <w:szCs w:val="20"/>
                <w:shd w:val="solid" w:color="000000" w:fill="000000"/>
                <w14:textFill>
                  <w14:solidFill>
                    <w14:srgbClr w14:val="000000">
                      <w14:alpha w14:val="100000"/>
                    </w14:srgbClr>
                  </w14:solidFill>
                </w14:textFill>
              </w:rPr>
              <w:t>|</w:t>
            </w:r>
            <w:r w:rsidR="00A82BEA">
              <w:rPr>
                <w:iCs/>
                <w:vertAlign w:val="superscript"/>
              </w:rPr>
              <w:t>3</w:t>
            </w:r>
          </w:p>
        </w:tc>
        <w:tc>
          <w:tcPr>
            <w:tcW w:w="653" w:type="pct"/>
            <w:gridSpan w:val="2"/>
            <w:tcBorders>
              <w:top w:val="dashSmallGap" w:sz="4" w:space="0" w:color="auto"/>
              <w:left w:val="single" w:sz="4" w:space="0" w:color="auto"/>
              <w:bottom w:val="nil"/>
              <w:right w:val="single" w:sz="4" w:space="0" w:color="auto"/>
            </w:tcBorders>
            <w:shd w:val="clear" w:color="auto" w:fill="auto"/>
            <w:vAlign w:val="center"/>
          </w:tcPr>
          <w:p w14:paraId="71A45AAD" w14:textId="26EE381F" w:rsidR="0067643B" w:rsidRPr="00937772" w:rsidRDefault="00F5190C" w:rsidP="0067643B">
            <w:pPr>
              <w:pStyle w:val="TableText0"/>
              <w:keepNext w:val="0"/>
              <w:jc w:val="center"/>
              <w:rPr>
                <w:color w:val="000000"/>
                <w:szCs w:val="20"/>
                <w:highlight w:val="darkGray"/>
              </w:rPr>
            </w:pPr>
            <w:r w:rsidRPr="00F5190C">
              <w:rPr>
                <w:color w:val="000000"/>
                <w:szCs w:val="20"/>
                <w:shd w:val="solid" w:color="000000" w:fill="000000"/>
                <w14:textFill>
                  <w14:solidFill>
                    <w14:srgbClr w14:val="000000">
                      <w14:alpha w14:val="100000"/>
                    </w14:srgbClr>
                  </w14:solidFill>
                </w14:textFill>
              </w:rPr>
              <w:t>|</w:t>
            </w:r>
            <w:r w:rsidR="00A82BEA">
              <w:rPr>
                <w:iCs/>
                <w:vertAlign w:val="superscript"/>
              </w:rPr>
              <w:t>3</w:t>
            </w:r>
          </w:p>
        </w:tc>
        <w:tc>
          <w:tcPr>
            <w:tcW w:w="617" w:type="pct"/>
            <w:tcBorders>
              <w:top w:val="dashSmallGap" w:sz="4" w:space="0" w:color="auto"/>
              <w:left w:val="single" w:sz="4" w:space="0" w:color="auto"/>
              <w:bottom w:val="nil"/>
              <w:right w:val="single" w:sz="4" w:space="0" w:color="auto"/>
            </w:tcBorders>
            <w:shd w:val="clear" w:color="auto" w:fill="auto"/>
            <w:vAlign w:val="center"/>
          </w:tcPr>
          <w:p w14:paraId="4937826D" w14:textId="2DD86126" w:rsidR="0067643B" w:rsidRPr="00937772" w:rsidRDefault="00F5190C" w:rsidP="0067643B">
            <w:pPr>
              <w:pStyle w:val="TableText0"/>
              <w:keepNext w:val="0"/>
              <w:jc w:val="center"/>
              <w:rPr>
                <w:color w:val="000000"/>
                <w:szCs w:val="20"/>
                <w:highlight w:val="darkGray"/>
              </w:rPr>
            </w:pPr>
            <w:r w:rsidRPr="00F84C70">
              <w:rPr>
                <w:rFonts w:hint="eastAsia"/>
                <w:color w:val="000000"/>
                <w:w w:val="15"/>
                <w:szCs w:val="20"/>
                <w:shd w:val="solid" w:color="000000" w:fill="000000"/>
                <w:fitText w:val="11" w:id="-1167926527"/>
                <w14:textFill>
                  <w14:solidFill>
                    <w14:srgbClr w14:val="000000">
                      <w14:alpha w14:val="100000"/>
                    </w14:srgbClr>
                  </w14:solidFill>
                </w14:textFill>
              </w:rPr>
              <w:t xml:space="preserve">　</w:t>
            </w:r>
            <w:r w:rsidRPr="00F84C70">
              <w:rPr>
                <w:color w:val="000000"/>
                <w:w w:val="15"/>
                <w:szCs w:val="20"/>
                <w:shd w:val="solid" w:color="000000" w:fill="000000"/>
                <w:fitText w:val="11" w:id="-1167926527"/>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7"/>
                <w14:textFill>
                  <w14:solidFill>
                    <w14:srgbClr w14:val="000000">
                      <w14:alpha w14:val="100000"/>
                    </w14:srgbClr>
                  </w14:solidFill>
                </w14:textFill>
              </w:rPr>
              <w:t xml:space="preserve">　</w:t>
            </w:r>
            <w:r w:rsidR="00A82BEA">
              <w:rPr>
                <w:iCs/>
                <w:vertAlign w:val="superscript"/>
              </w:rPr>
              <w:t>3</w:t>
            </w:r>
          </w:p>
        </w:tc>
        <w:tc>
          <w:tcPr>
            <w:tcW w:w="615" w:type="pct"/>
            <w:gridSpan w:val="2"/>
            <w:tcBorders>
              <w:top w:val="dashSmallGap" w:sz="4" w:space="0" w:color="auto"/>
              <w:left w:val="single" w:sz="4" w:space="0" w:color="auto"/>
              <w:bottom w:val="nil"/>
            </w:tcBorders>
            <w:vAlign w:val="center"/>
          </w:tcPr>
          <w:p w14:paraId="719378DF" w14:textId="0B5EDE43" w:rsidR="0067643B" w:rsidRPr="00937772" w:rsidRDefault="00F5190C" w:rsidP="0067643B">
            <w:pPr>
              <w:pStyle w:val="TableText0"/>
              <w:keepNext w:val="0"/>
              <w:jc w:val="center"/>
              <w:rPr>
                <w:color w:val="000000"/>
                <w:szCs w:val="20"/>
                <w:highlight w:val="darkGray"/>
              </w:rPr>
            </w:pPr>
            <w:r w:rsidRPr="00F84C70">
              <w:rPr>
                <w:rFonts w:hint="eastAsia"/>
                <w:color w:val="000000"/>
                <w:w w:val="15"/>
                <w:szCs w:val="20"/>
                <w:shd w:val="solid" w:color="000000" w:fill="000000"/>
                <w:fitText w:val="23" w:id="-1167926526"/>
                <w14:textFill>
                  <w14:solidFill>
                    <w14:srgbClr w14:val="000000">
                      <w14:alpha w14:val="100000"/>
                    </w14:srgbClr>
                  </w14:solidFill>
                </w14:textFill>
              </w:rPr>
              <w:t xml:space="preserve">　</w:t>
            </w:r>
            <w:r w:rsidRPr="00F84C70">
              <w:rPr>
                <w:color w:val="000000"/>
                <w:w w:val="15"/>
                <w:szCs w:val="20"/>
                <w:shd w:val="solid" w:color="000000" w:fill="000000"/>
                <w:fitText w:val="23" w:id="-1167926526"/>
                <w14:textFill>
                  <w14:solidFill>
                    <w14:srgbClr w14:val="000000">
                      <w14:alpha w14:val="100000"/>
                    </w14:srgbClr>
                  </w14:solidFill>
                </w14:textFill>
              </w:rPr>
              <w:t>|</w:t>
            </w:r>
            <w:r w:rsidRPr="00F84C70">
              <w:rPr>
                <w:rFonts w:hint="eastAsia"/>
                <w:color w:val="000000"/>
                <w:spacing w:val="-42"/>
                <w:w w:val="15"/>
                <w:szCs w:val="20"/>
                <w:shd w:val="solid" w:color="000000" w:fill="000000"/>
                <w:fitText w:val="23" w:id="-1167926526"/>
                <w14:textFill>
                  <w14:solidFill>
                    <w14:srgbClr w14:val="000000">
                      <w14:alpha w14:val="100000"/>
                    </w14:srgbClr>
                  </w14:solidFill>
                </w14:textFill>
              </w:rPr>
              <w:t xml:space="preserve">　</w:t>
            </w:r>
            <w:r w:rsidR="0039419D">
              <w:rPr>
                <w:iCs/>
                <w:vertAlign w:val="superscript"/>
              </w:rPr>
              <w:t>5</w:t>
            </w:r>
          </w:p>
        </w:tc>
      </w:tr>
      <w:tr w:rsidR="0039419D" w:rsidRPr="0067643B" w14:paraId="09C960FC" w14:textId="77777777" w:rsidTr="0039419D">
        <w:trPr>
          <w:gridAfter w:val="2"/>
          <w:wAfter w:w="21" w:type="pct"/>
        </w:trPr>
        <w:tc>
          <w:tcPr>
            <w:tcW w:w="1185" w:type="pct"/>
            <w:tcBorders>
              <w:top w:val="nil"/>
              <w:bottom w:val="nil"/>
              <w:right w:val="single" w:sz="4" w:space="0" w:color="auto"/>
            </w:tcBorders>
            <w:shd w:val="clear" w:color="auto" w:fill="C6D9F1" w:themeFill="text2" w:themeFillTint="33"/>
            <w:vAlign w:val="center"/>
          </w:tcPr>
          <w:p w14:paraId="0DEEBC12" w14:textId="6B9D39C2" w:rsidR="0067643B" w:rsidRPr="0067643B" w:rsidRDefault="0067643B" w:rsidP="0067643B">
            <w:pPr>
              <w:pStyle w:val="TableText0"/>
              <w:keepNext w:val="0"/>
              <w:ind w:left="257"/>
              <w:rPr>
                <w:szCs w:val="20"/>
              </w:rPr>
            </w:pPr>
            <w:r w:rsidRPr="0067643B">
              <w:rPr>
                <w:szCs w:val="20"/>
              </w:rPr>
              <w:t>November 2022 Pre-PBAC response</w:t>
            </w:r>
          </w:p>
        </w:tc>
        <w:tc>
          <w:tcPr>
            <w:tcW w:w="624" w:type="pct"/>
            <w:tcBorders>
              <w:top w:val="nil"/>
              <w:left w:val="single" w:sz="4" w:space="0" w:color="auto"/>
              <w:bottom w:val="nil"/>
              <w:right w:val="single" w:sz="4" w:space="0" w:color="auto"/>
            </w:tcBorders>
            <w:shd w:val="clear" w:color="auto" w:fill="C6D9F1" w:themeFill="text2" w:themeFillTint="33"/>
            <w:vAlign w:val="center"/>
          </w:tcPr>
          <w:p w14:paraId="1AB1AD4C" w14:textId="022D9F01" w:rsidR="0067643B" w:rsidRPr="00937772" w:rsidRDefault="00F5190C" w:rsidP="0067643B">
            <w:pPr>
              <w:pStyle w:val="TableText0"/>
              <w:keepNext w:val="0"/>
              <w:jc w:val="center"/>
              <w:rPr>
                <w:szCs w:val="20"/>
                <w:highlight w:val="darkGray"/>
              </w:rPr>
            </w:pPr>
            <w:r w:rsidRPr="00F84C70">
              <w:rPr>
                <w:rFonts w:hint="eastAsia"/>
                <w:color w:val="000000"/>
                <w:w w:val="15"/>
                <w:szCs w:val="20"/>
                <w:shd w:val="solid" w:color="000000" w:fill="000000"/>
                <w:fitText w:val="11" w:id="-1167926525"/>
                <w14:textFill>
                  <w14:solidFill>
                    <w14:srgbClr w14:val="000000">
                      <w14:alpha w14:val="100000"/>
                    </w14:srgbClr>
                  </w14:solidFill>
                </w14:textFill>
              </w:rPr>
              <w:t xml:space="preserve">　</w:t>
            </w:r>
            <w:r w:rsidRPr="00F84C70">
              <w:rPr>
                <w:color w:val="000000"/>
                <w:w w:val="15"/>
                <w:szCs w:val="20"/>
                <w:shd w:val="solid" w:color="000000" w:fill="000000"/>
                <w:fitText w:val="11" w:id="-1167926525"/>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5"/>
                <w14:textFill>
                  <w14:solidFill>
                    <w14:srgbClr w14:val="000000">
                      <w14:alpha w14:val="100000"/>
                    </w14:srgbClr>
                  </w14:solidFill>
                </w14:textFill>
              </w:rPr>
              <w:t xml:space="preserve">　</w:t>
            </w:r>
            <w:r w:rsidR="0039419D">
              <w:rPr>
                <w:iCs/>
                <w:vertAlign w:val="superscript"/>
              </w:rPr>
              <w:t>5</w:t>
            </w:r>
            <w:r w:rsidR="00B63528" w:rsidRPr="00B63528">
              <w:rPr>
                <w:szCs w:val="20"/>
              </w:rPr>
              <w:t xml:space="preserve"> </w:t>
            </w:r>
          </w:p>
        </w:tc>
        <w:tc>
          <w:tcPr>
            <w:tcW w:w="633" w:type="pct"/>
            <w:tcBorders>
              <w:top w:val="nil"/>
              <w:left w:val="single" w:sz="4" w:space="0" w:color="auto"/>
              <w:bottom w:val="nil"/>
              <w:right w:val="single" w:sz="4" w:space="0" w:color="auto"/>
            </w:tcBorders>
            <w:shd w:val="clear" w:color="auto" w:fill="C6D9F1" w:themeFill="text2" w:themeFillTint="33"/>
            <w:vAlign w:val="center"/>
          </w:tcPr>
          <w:p w14:paraId="2D51FD46" w14:textId="781F45EB" w:rsidR="0067643B" w:rsidRPr="00937772" w:rsidRDefault="00F5190C" w:rsidP="0067643B">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9419D">
              <w:rPr>
                <w:iCs/>
                <w:vertAlign w:val="superscript"/>
              </w:rPr>
              <w:t>5</w:t>
            </w:r>
            <w:r w:rsidR="00B63528" w:rsidRPr="00B63528">
              <w:rPr>
                <w:szCs w:val="20"/>
              </w:rPr>
              <w:t xml:space="preserve"> </w:t>
            </w:r>
          </w:p>
        </w:tc>
        <w:tc>
          <w:tcPr>
            <w:tcW w:w="652" w:type="pct"/>
            <w:tcBorders>
              <w:top w:val="nil"/>
              <w:left w:val="single" w:sz="4" w:space="0" w:color="auto"/>
              <w:bottom w:val="nil"/>
              <w:right w:val="single" w:sz="4" w:space="0" w:color="auto"/>
            </w:tcBorders>
            <w:shd w:val="clear" w:color="auto" w:fill="C6D9F1" w:themeFill="text2" w:themeFillTint="33"/>
            <w:vAlign w:val="center"/>
          </w:tcPr>
          <w:p w14:paraId="3D6E36E7" w14:textId="172F7EA6" w:rsidR="0067643B" w:rsidRPr="00937772" w:rsidRDefault="00F5190C" w:rsidP="0067643B">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9419D">
              <w:rPr>
                <w:vertAlign w:val="superscript"/>
              </w:rPr>
              <w:t>6</w:t>
            </w:r>
            <w:r w:rsidR="00B63528" w:rsidRPr="00B63528">
              <w:rPr>
                <w:szCs w:val="20"/>
              </w:rPr>
              <w:t xml:space="preserve"> </w:t>
            </w:r>
          </w:p>
        </w:tc>
        <w:tc>
          <w:tcPr>
            <w:tcW w:w="653" w:type="pct"/>
            <w:gridSpan w:val="2"/>
            <w:tcBorders>
              <w:top w:val="nil"/>
              <w:left w:val="single" w:sz="4" w:space="0" w:color="auto"/>
              <w:bottom w:val="nil"/>
              <w:right w:val="single" w:sz="4" w:space="0" w:color="auto"/>
            </w:tcBorders>
            <w:shd w:val="clear" w:color="auto" w:fill="C6D9F1" w:themeFill="text2" w:themeFillTint="33"/>
            <w:vAlign w:val="center"/>
          </w:tcPr>
          <w:p w14:paraId="483D18E7" w14:textId="1997A1A0" w:rsidR="0067643B" w:rsidRPr="00937772" w:rsidRDefault="00F5190C" w:rsidP="0067643B">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9419D">
              <w:rPr>
                <w:vertAlign w:val="superscript"/>
              </w:rPr>
              <w:t>6</w:t>
            </w:r>
            <w:r w:rsidR="00B63528" w:rsidRPr="00B63528">
              <w:rPr>
                <w:szCs w:val="20"/>
              </w:rPr>
              <w:t xml:space="preserve"> </w:t>
            </w:r>
          </w:p>
        </w:tc>
        <w:tc>
          <w:tcPr>
            <w:tcW w:w="617" w:type="pct"/>
            <w:tcBorders>
              <w:top w:val="nil"/>
              <w:left w:val="single" w:sz="4" w:space="0" w:color="auto"/>
              <w:bottom w:val="nil"/>
              <w:right w:val="single" w:sz="4" w:space="0" w:color="auto"/>
            </w:tcBorders>
            <w:shd w:val="clear" w:color="auto" w:fill="C6D9F1" w:themeFill="text2" w:themeFillTint="33"/>
            <w:vAlign w:val="center"/>
          </w:tcPr>
          <w:p w14:paraId="6AF13FB7" w14:textId="274481A2" w:rsidR="0067643B" w:rsidRPr="00937772" w:rsidRDefault="00F5190C" w:rsidP="0067643B">
            <w:pPr>
              <w:pStyle w:val="TableText0"/>
              <w:keepNext w:val="0"/>
              <w:jc w:val="center"/>
              <w:rPr>
                <w:szCs w:val="20"/>
                <w:highlight w:val="darkGray"/>
              </w:rPr>
            </w:pPr>
            <w:r w:rsidRPr="00F84C70">
              <w:rPr>
                <w:rFonts w:hint="eastAsia"/>
                <w:color w:val="000000"/>
                <w:w w:val="15"/>
                <w:szCs w:val="20"/>
                <w:shd w:val="solid" w:color="000000" w:fill="000000"/>
                <w:fitText w:val="11" w:id="-1167926524"/>
                <w14:textFill>
                  <w14:solidFill>
                    <w14:srgbClr w14:val="000000">
                      <w14:alpha w14:val="100000"/>
                    </w14:srgbClr>
                  </w14:solidFill>
                </w14:textFill>
              </w:rPr>
              <w:t xml:space="preserve">　</w:t>
            </w:r>
            <w:r w:rsidRPr="00F84C70">
              <w:rPr>
                <w:color w:val="000000"/>
                <w:w w:val="15"/>
                <w:szCs w:val="20"/>
                <w:shd w:val="solid" w:color="000000" w:fill="000000"/>
                <w:fitText w:val="11" w:id="-1167926524"/>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4"/>
                <w14:textFill>
                  <w14:solidFill>
                    <w14:srgbClr w14:val="000000">
                      <w14:alpha w14:val="100000"/>
                    </w14:srgbClr>
                  </w14:solidFill>
                </w14:textFill>
              </w:rPr>
              <w:t xml:space="preserve">　</w:t>
            </w:r>
            <w:r w:rsidR="0039419D">
              <w:rPr>
                <w:vertAlign w:val="superscript"/>
              </w:rPr>
              <w:t>6</w:t>
            </w:r>
            <w:r w:rsidR="00B63528" w:rsidRPr="00B63528">
              <w:rPr>
                <w:szCs w:val="20"/>
              </w:rPr>
              <w:t xml:space="preserve"> </w:t>
            </w:r>
          </w:p>
        </w:tc>
        <w:tc>
          <w:tcPr>
            <w:tcW w:w="615" w:type="pct"/>
            <w:gridSpan w:val="2"/>
            <w:tcBorders>
              <w:top w:val="nil"/>
              <w:left w:val="single" w:sz="4" w:space="0" w:color="auto"/>
              <w:bottom w:val="nil"/>
            </w:tcBorders>
            <w:shd w:val="clear" w:color="auto" w:fill="C6D9F1" w:themeFill="text2" w:themeFillTint="33"/>
            <w:vAlign w:val="center"/>
          </w:tcPr>
          <w:p w14:paraId="44263B9A" w14:textId="2BF7083A" w:rsidR="0067643B" w:rsidRPr="00937772" w:rsidRDefault="00F5190C" w:rsidP="0067643B">
            <w:pPr>
              <w:pStyle w:val="TableText0"/>
              <w:keepNext w:val="0"/>
              <w:jc w:val="center"/>
              <w:rPr>
                <w:szCs w:val="20"/>
                <w:highlight w:val="darkGray"/>
              </w:rPr>
            </w:pPr>
            <w:r w:rsidRPr="00F84C70">
              <w:rPr>
                <w:rFonts w:hint="eastAsia"/>
                <w:color w:val="000000"/>
                <w:w w:val="15"/>
                <w:szCs w:val="20"/>
                <w:shd w:val="solid" w:color="000000" w:fill="000000"/>
                <w:fitText w:val="23" w:id="-1167926523"/>
                <w14:textFill>
                  <w14:solidFill>
                    <w14:srgbClr w14:val="000000">
                      <w14:alpha w14:val="100000"/>
                    </w14:srgbClr>
                  </w14:solidFill>
                </w14:textFill>
              </w:rPr>
              <w:t xml:space="preserve">　</w:t>
            </w:r>
            <w:r w:rsidRPr="00F84C70">
              <w:rPr>
                <w:color w:val="000000"/>
                <w:w w:val="15"/>
                <w:szCs w:val="20"/>
                <w:shd w:val="solid" w:color="000000" w:fill="000000"/>
                <w:fitText w:val="23" w:id="-1167926523"/>
                <w14:textFill>
                  <w14:solidFill>
                    <w14:srgbClr w14:val="000000">
                      <w14:alpha w14:val="100000"/>
                    </w14:srgbClr>
                  </w14:solidFill>
                </w14:textFill>
              </w:rPr>
              <w:t>|</w:t>
            </w:r>
            <w:r w:rsidRPr="00F84C70">
              <w:rPr>
                <w:rFonts w:hint="eastAsia"/>
                <w:color w:val="000000"/>
                <w:spacing w:val="-42"/>
                <w:w w:val="15"/>
                <w:szCs w:val="20"/>
                <w:shd w:val="solid" w:color="000000" w:fill="000000"/>
                <w:fitText w:val="23" w:id="-1167926523"/>
                <w14:textFill>
                  <w14:solidFill>
                    <w14:srgbClr w14:val="000000">
                      <w14:alpha w14:val="100000"/>
                    </w14:srgbClr>
                  </w14:solidFill>
                </w14:textFill>
              </w:rPr>
              <w:t xml:space="preserve">　</w:t>
            </w:r>
            <w:r w:rsidR="0039419D">
              <w:rPr>
                <w:vertAlign w:val="superscript"/>
              </w:rPr>
              <w:t>6</w:t>
            </w:r>
            <w:r w:rsidR="00B63528" w:rsidRPr="00B63528">
              <w:rPr>
                <w:szCs w:val="20"/>
              </w:rPr>
              <w:t xml:space="preserve"> </w:t>
            </w:r>
          </w:p>
        </w:tc>
      </w:tr>
      <w:tr w:rsidR="0039419D" w:rsidRPr="0067643B" w14:paraId="48A9F311" w14:textId="77777777" w:rsidTr="0039419D">
        <w:trPr>
          <w:gridAfter w:val="2"/>
          <w:wAfter w:w="21" w:type="pct"/>
        </w:trPr>
        <w:tc>
          <w:tcPr>
            <w:tcW w:w="1185" w:type="pct"/>
            <w:tcBorders>
              <w:top w:val="nil"/>
              <w:bottom w:val="nil"/>
              <w:right w:val="single" w:sz="4" w:space="0" w:color="auto"/>
            </w:tcBorders>
            <w:shd w:val="clear" w:color="auto" w:fill="C6D9F1" w:themeFill="text2" w:themeFillTint="33"/>
            <w:vAlign w:val="center"/>
          </w:tcPr>
          <w:p w14:paraId="5ABDB59B" w14:textId="4EE016A1" w:rsidR="0067643B" w:rsidRPr="0067643B" w:rsidRDefault="0067643B" w:rsidP="0067643B">
            <w:pPr>
              <w:pStyle w:val="TableText0"/>
              <w:keepNext w:val="0"/>
              <w:ind w:left="257"/>
              <w:rPr>
                <w:szCs w:val="20"/>
              </w:rPr>
            </w:pPr>
            <w:r w:rsidRPr="0067643B">
              <w:rPr>
                <w:szCs w:val="20"/>
              </w:rPr>
              <w:t>November 2022 submission</w:t>
            </w:r>
          </w:p>
        </w:tc>
        <w:tc>
          <w:tcPr>
            <w:tcW w:w="624" w:type="pct"/>
            <w:tcBorders>
              <w:top w:val="nil"/>
              <w:left w:val="single" w:sz="4" w:space="0" w:color="auto"/>
              <w:bottom w:val="nil"/>
              <w:right w:val="single" w:sz="4" w:space="0" w:color="auto"/>
            </w:tcBorders>
            <w:shd w:val="clear" w:color="auto" w:fill="C6D9F1" w:themeFill="text2" w:themeFillTint="33"/>
          </w:tcPr>
          <w:p w14:paraId="3AECDD04" w14:textId="016BAB97" w:rsidR="0067643B" w:rsidRPr="00937772" w:rsidRDefault="00F5190C" w:rsidP="0067643B">
            <w:pPr>
              <w:pStyle w:val="TableText0"/>
              <w:keepNext w:val="0"/>
              <w:jc w:val="center"/>
              <w:rPr>
                <w:szCs w:val="20"/>
                <w:highlight w:val="darkGray"/>
              </w:rPr>
            </w:pPr>
            <w:r w:rsidRPr="00F84C70">
              <w:rPr>
                <w:rFonts w:hint="eastAsia"/>
                <w:color w:val="000000"/>
                <w:w w:val="15"/>
                <w:szCs w:val="20"/>
                <w:shd w:val="solid" w:color="000000" w:fill="000000"/>
                <w:fitText w:val="11" w:id="-1167926522"/>
                <w14:textFill>
                  <w14:solidFill>
                    <w14:srgbClr w14:val="000000">
                      <w14:alpha w14:val="100000"/>
                    </w14:srgbClr>
                  </w14:solidFill>
                </w14:textFill>
              </w:rPr>
              <w:t xml:space="preserve">　</w:t>
            </w:r>
            <w:r w:rsidRPr="00F84C70">
              <w:rPr>
                <w:color w:val="000000"/>
                <w:w w:val="15"/>
                <w:szCs w:val="20"/>
                <w:shd w:val="solid" w:color="000000" w:fill="000000"/>
                <w:fitText w:val="11" w:id="-1167926522"/>
                <w14:textFill>
                  <w14:solidFill>
                    <w14:srgbClr w14:val="000000">
                      <w14:alpha w14:val="100000"/>
                    </w14:srgbClr>
                  </w14:solidFill>
                </w14:textFill>
              </w:rPr>
              <w:t>|</w:t>
            </w:r>
            <w:r w:rsidRPr="00F84C70">
              <w:rPr>
                <w:rFonts w:hint="eastAsia"/>
                <w:color w:val="000000"/>
                <w:spacing w:val="-54"/>
                <w:w w:val="15"/>
                <w:szCs w:val="20"/>
                <w:shd w:val="solid" w:color="000000" w:fill="000000"/>
                <w:fitText w:val="11" w:id="-1167926522"/>
                <w14:textFill>
                  <w14:solidFill>
                    <w14:srgbClr w14:val="000000">
                      <w14:alpha w14:val="100000"/>
                    </w14:srgbClr>
                  </w14:solidFill>
                </w14:textFill>
              </w:rPr>
              <w:t xml:space="preserve">　</w:t>
            </w:r>
            <w:r w:rsidR="00A82BEA">
              <w:rPr>
                <w:iCs/>
                <w:vertAlign w:val="superscript"/>
              </w:rPr>
              <w:t>2</w:t>
            </w:r>
            <w:r w:rsidR="00B63528" w:rsidRPr="00B63528">
              <w:rPr>
                <w:szCs w:val="20"/>
              </w:rPr>
              <w:t xml:space="preserve"> </w:t>
            </w:r>
          </w:p>
        </w:tc>
        <w:tc>
          <w:tcPr>
            <w:tcW w:w="633" w:type="pct"/>
            <w:tcBorders>
              <w:top w:val="nil"/>
              <w:left w:val="single" w:sz="4" w:space="0" w:color="auto"/>
              <w:bottom w:val="nil"/>
              <w:right w:val="single" w:sz="4" w:space="0" w:color="auto"/>
            </w:tcBorders>
            <w:shd w:val="clear" w:color="auto" w:fill="C6D9F1" w:themeFill="text2" w:themeFillTint="33"/>
          </w:tcPr>
          <w:p w14:paraId="2BE7B6E6" w14:textId="1AC274AB" w:rsidR="0067643B" w:rsidRPr="00937772" w:rsidRDefault="00F5190C" w:rsidP="0067643B">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9419D">
              <w:rPr>
                <w:vertAlign w:val="superscript"/>
              </w:rPr>
              <w:t>8</w:t>
            </w:r>
            <w:r w:rsidR="00B63528" w:rsidRPr="00B63528">
              <w:rPr>
                <w:szCs w:val="20"/>
              </w:rPr>
              <w:t xml:space="preserve"> </w:t>
            </w:r>
          </w:p>
        </w:tc>
        <w:tc>
          <w:tcPr>
            <w:tcW w:w="652" w:type="pct"/>
            <w:tcBorders>
              <w:top w:val="nil"/>
              <w:left w:val="single" w:sz="4" w:space="0" w:color="auto"/>
              <w:bottom w:val="nil"/>
              <w:right w:val="single" w:sz="4" w:space="0" w:color="auto"/>
            </w:tcBorders>
            <w:shd w:val="clear" w:color="auto" w:fill="C6D9F1" w:themeFill="text2" w:themeFillTint="33"/>
          </w:tcPr>
          <w:p w14:paraId="7360643A" w14:textId="79816FAA" w:rsidR="0067643B" w:rsidRPr="00937772" w:rsidRDefault="00F5190C" w:rsidP="0067643B">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9419D">
              <w:rPr>
                <w:vertAlign w:val="superscript"/>
              </w:rPr>
              <w:t>9</w:t>
            </w:r>
            <w:r w:rsidR="00B63528" w:rsidRPr="00B63528">
              <w:rPr>
                <w:szCs w:val="20"/>
              </w:rPr>
              <w:t xml:space="preserve"> </w:t>
            </w:r>
          </w:p>
        </w:tc>
        <w:tc>
          <w:tcPr>
            <w:tcW w:w="653" w:type="pct"/>
            <w:gridSpan w:val="2"/>
            <w:tcBorders>
              <w:top w:val="nil"/>
              <w:left w:val="single" w:sz="4" w:space="0" w:color="auto"/>
              <w:bottom w:val="nil"/>
              <w:right w:val="single" w:sz="4" w:space="0" w:color="auto"/>
            </w:tcBorders>
            <w:shd w:val="clear" w:color="auto" w:fill="C6D9F1" w:themeFill="text2" w:themeFillTint="33"/>
          </w:tcPr>
          <w:p w14:paraId="53F1FAA2" w14:textId="513C028A" w:rsidR="0067643B" w:rsidRPr="00937772" w:rsidRDefault="00F5190C" w:rsidP="0067643B">
            <w:pPr>
              <w:pStyle w:val="TableText0"/>
              <w:keepNext w:val="0"/>
              <w:jc w:val="center"/>
              <w:rPr>
                <w:szCs w:val="20"/>
                <w:highlight w:val="darkGray"/>
              </w:rPr>
            </w:pPr>
            <w:r w:rsidRPr="00F5190C">
              <w:rPr>
                <w:color w:val="000000"/>
                <w:szCs w:val="20"/>
                <w:shd w:val="solid" w:color="000000" w:fill="000000"/>
                <w14:textFill>
                  <w14:solidFill>
                    <w14:srgbClr w14:val="000000">
                      <w14:alpha w14:val="100000"/>
                    </w14:srgbClr>
                  </w14:solidFill>
                </w14:textFill>
              </w:rPr>
              <w:t>|</w:t>
            </w:r>
            <w:r w:rsidR="0039419D">
              <w:rPr>
                <w:vertAlign w:val="superscript"/>
              </w:rPr>
              <w:t>7</w:t>
            </w:r>
            <w:r w:rsidR="00B63528" w:rsidRPr="00B63528">
              <w:rPr>
                <w:szCs w:val="20"/>
              </w:rPr>
              <w:t xml:space="preserve"> </w:t>
            </w:r>
          </w:p>
        </w:tc>
        <w:tc>
          <w:tcPr>
            <w:tcW w:w="617" w:type="pct"/>
            <w:tcBorders>
              <w:top w:val="nil"/>
              <w:left w:val="single" w:sz="4" w:space="0" w:color="auto"/>
              <w:bottom w:val="nil"/>
              <w:right w:val="single" w:sz="4" w:space="0" w:color="auto"/>
            </w:tcBorders>
            <w:shd w:val="clear" w:color="auto" w:fill="C6D9F1" w:themeFill="text2" w:themeFillTint="33"/>
          </w:tcPr>
          <w:p w14:paraId="0528F28B" w14:textId="32F76D94" w:rsidR="0067643B" w:rsidRPr="00937772" w:rsidRDefault="00F5190C" w:rsidP="0067643B">
            <w:pPr>
              <w:pStyle w:val="TableText0"/>
              <w:keepNext w:val="0"/>
              <w:jc w:val="center"/>
              <w:rPr>
                <w:szCs w:val="20"/>
                <w:highlight w:val="darkGray"/>
              </w:rPr>
            </w:pPr>
            <w:r w:rsidRPr="00F5190C">
              <w:rPr>
                <w:rFonts w:hint="eastAsia"/>
                <w:color w:val="000000"/>
                <w:w w:val="15"/>
                <w:szCs w:val="20"/>
                <w:shd w:val="solid" w:color="000000" w:fill="000000"/>
                <w:fitText w:val="44" w:id="-1167926521"/>
                <w14:textFill>
                  <w14:solidFill>
                    <w14:srgbClr w14:val="000000">
                      <w14:alpha w14:val="100000"/>
                    </w14:srgbClr>
                  </w14:solidFill>
                </w14:textFill>
              </w:rPr>
              <w:t xml:space="preserve">　</w:t>
            </w:r>
            <w:proofErr w:type="gramStart"/>
            <w:r w:rsidRPr="00F5190C">
              <w:rPr>
                <w:color w:val="000000"/>
                <w:w w:val="15"/>
                <w:szCs w:val="20"/>
                <w:shd w:val="solid" w:color="000000" w:fill="000000"/>
                <w:fitText w:val="44" w:id="-1167926521"/>
                <w14:textFill>
                  <w14:solidFill>
                    <w14:srgbClr w14:val="000000">
                      <w14:alpha w14:val="100000"/>
                    </w14:srgbClr>
                  </w14:solidFill>
                </w14:textFill>
              </w:rPr>
              <w:t>|</w:t>
            </w:r>
            <w:r w:rsidRPr="00F5190C">
              <w:rPr>
                <w:rFonts w:hint="eastAsia"/>
                <w:color w:val="000000"/>
                <w:spacing w:val="-21"/>
                <w:w w:val="15"/>
                <w:szCs w:val="20"/>
                <w:shd w:val="solid" w:color="000000" w:fill="000000"/>
                <w:fitText w:val="44" w:id="-1167926521"/>
                <w14:textFill>
                  <w14:solidFill>
                    <w14:srgbClr w14:val="000000">
                      <w14:alpha w14:val="100000"/>
                    </w14:srgbClr>
                  </w14:solidFill>
                </w14:textFill>
              </w:rPr>
              <w:t xml:space="preserve">　</w:t>
            </w:r>
            <w:r w:rsidR="00B63528" w:rsidRPr="00B63528">
              <w:rPr>
                <w:szCs w:val="20"/>
              </w:rPr>
              <w:t xml:space="preserve"> </w:t>
            </w:r>
            <w:r w:rsidR="00A82BEA">
              <w:rPr>
                <w:iCs/>
                <w:vertAlign w:val="superscript"/>
              </w:rPr>
              <w:t>3</w:t>
            </w:r>
            <w:proofErr w:type="gramEnd"/>
          </w:p>
        </w:tc>
        <w:tc>
          <w:tcPr>
            <w:tcW w:w="615" w:type="pct"/>
            <w:gridSpan w:val="2"/>
            <w:tcBorders>
              <w:top w:val="nil"/>
              <w:left w:val="single" w:sz="4" w:space="0" w:color="auto"/>
              <w:bottom w:val="nil"/>
            </w:tcBorders>
            <w:shd w:val="clear" w:color="auto" w:fill="C6D9F1" w:themeFill="text2" w:themeFillTint="33"/>
          </w:tcPr>
          <w:p w14:paraId="0EED823C" w14:textId="6B09CB76" w:rsidR="0067643B" w:rsidRPr="00937772" w:rsidRDefault="00F5190C" w:rsidP="0067643B">
            <w:pPr>
              <w:pStyle w:val="TableText0"/>
              <w:keepNext w:val="0"/>
              <w:jc w:val="center"/>
              <w:rPr>
                <w:szCs w:val="20"/>
                <w:highlight w:val="darkGray"/>
              </w:rPr>
            </w:pPr>
            <w:r w:rsidRPr="00F84C70">
              <w:rPr>
                <w:rFonts w:hint="eastAsia"/>
                <w:color w:val="000000"/>
                <w:w w:val="15"/>
                <w:szCs w:val="20"/>
                <w:shd w:val="solid" w:color="000000" w:fill="000000"/>
                <w:fitText w:val="23" w:id="-1167926520"/>
                <w14:textFill>
                  <w14:solidFill>
                    <w14:srgbClr w14:val="000000">
                      <w14:alpha w14:val="100000"/>
                    </w14:srgbClr>
                  </w14:solidFill>
                </w14:textFill>
              </w:rPr>
              <w:t xml:space="preserve">　</w:t>
            </w:r>
            <w:r w:rsidRPr="00F84C70">
              <w:rPr>
                <w:color w:val="000000"/>
                <w:w w:val="15"/>
                <w:szCs w:val="20"/>
                <w:shd w:val="solid" w:color="000000" w:fill="000000"/>
                <w:fitText w:val="23" w:id="-1167926520"/>
                <w14:textFill>
                  <w14:solidFill>
                    <w14:srgbClr w14:val="000000">
                      <w14:alpha w14:val="100000"/>
                    </w14:srgbClr>
                  </w14:solidFill>
                </w14:textFill>
              </w:rPr>
              <w:t>|</w:t>
            </w:r>
            <w:r w:rsidRPr="00F84C70">
              <w:rPr>
                <w:rFonts w:hint="eastAsia"/>
                <w:color w:val="000000"/>
                <w:spacing w:val="-42"/>
                <w:w w:val="15"/>
                <w:szCs w:val="20"/>
                <w:shd w:val="solid" w:color="000000" w:fill="000000"/>
                <w:fitText w:val="23" w:id="-1167926520"/>
                <w14:textFill>
                  <w14:solidFill>
                    <w14:srgbClr w14:val="000000">
                      <w14:alpha w14:val="100000"/>
                    </w14:srgbClr>
                  </w14:solidFill>
                </w14:textFill>
              </w:rPr>
              <w:t xml:space="preserve">　</w:t>
            </w:r>
            <w:r w:rsidR="0039419D">
              <w:rPr>
                <w:vertAlign w:val="superscript"/>
              </w:rPr>
              <w:t>6</w:t>
            </w:r>
            <w:r w:rsidR="00B63528" w:rsidRPr="00B63528">
              <w:rPr>
                <w:szCs w:val="20"/>
              </w:rPr>
              <w:t xml:space="preserve"> </w:t>
            </w:r>
          </w:p>
        </w:tc>
      </w:tr>
      <w:tr w:rsidR="0067643B" w:rsidRPr="0067643B" w14:paraId="61B4FC9E" w14:textId="77777777" w:rsidTr="0039419D">
        <w:tc>
          <w:tcPr>
            <w:tcW w:w="5000" w:type="pct"/>
            <w:gridSpan w:val="11"/>
            <w:tcBorders>
              <w:top w:val="single" w:sz="4" w:space="0" w:color="auto"/>
              <w:bottom w:val="single" w:sz="4" w:space="0" w:color="auto"/>
            </w:tcBorders>
            <w:shd w:val="clear" w:color="auto" w:fill="auto"/>
            <w:vAlign w:val="center"/>
          </w:tcPr>
          <w:p w14:paraId="2EE6A782" w14:textId="77777777" w:rsidR="0067643B" w:rsidRPr="0067643B" w:rsidRDefault="0067643B" w:rsidP="0067643B">
            <w:pPr>
              <w:pStyle w:val="In-tableHeading"/>
              <w:keepNext w:val="0"/>
              <w:rPr>
                <w:szCs w:val="20"/>
              </w:rPr>
            </w:pPr>
            <w:r w:rsidRPr="0067643B">
              <w:rPr>
                <w:szCs w:val="20"/>
              </w:rPr>
              <w:t>Estimated financial implications of mavacamten</w:t>
            </w:r>
          </w:p>
        </w:tc>
      </w:tr>
      <w:tr w:rsidR="0067643B" w:rsidRPr="0067643B" w14:paraId="3F062040" w14:textId="77777777" w:rsidTr="0039419D">
        <w:tc>
          <w:tcPr>
            <w:tcW w:w="5000" w:type="pct"/>
            <w:gridSpan w:val="11"/>
            <w:tcBorders>
              <w:top w:val="single" w:sz="4" w:space="0" w:color="auto"/>
              <w:bottom w:val="nil"/>
            </w:tcBorders>
            <w:shd w:val="clear" w:color="auto" w:fill="auto"/>
            <w:vAlign w:val="center"/>
          </w:tcPr>
          <w:p w14:paraId="774C23CB" w14:textId="77777777" w:rsidR="0067643B" w:rsidRPr="0067643B" w:rsidRDefault="0067643B" w:rsidP="0067643B">
            <w:pPr>
              <w:pStyle w:val="TableText0"/>
              <w:keepNext w:val="0"/>
              <w:rPr>
                <w:szCs w:val="20"/>
              </w:rPr>
            </w:pPr>
            <w:r w:rsidRPr="0067643B">
              <w:rPr>
                <w:szCs w:val="20"/>
              </w:rPr>
              <w:t>Cost to PBS/RPBS less co-payments</w:t>
            </w:r>
          </w:p>
        </w:tc>
      </w:tr>
      <w:tr w:rsidR="0039419D" w:rsidRPr="00541454" w14:paraId="6135A13C"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304F8D69" w14:textId="57676C0A" w:rsidR="0067643B" w:rsidRPr="00541454" w:rsidRDefault="0067643B" w:rsidP="0067643B">
            <w:pPr>
              <w:pStyle w:val="TableText0"/>
              <w:keepNext w:val="0"/>
              <w:ind w:left="257"/>
              <w:rPr>
                <w:iCs/>
                <w:szCs w:val="20"/>
              </w:rPr>
            </w:pPr>
            <w:r w:rsidRPr="00541454">
              <w:rPr>
                <w:iCs/>
                <w:szCs w:val="20"/>
              </w:rPr>
              <w:t xml:space="preserve">PSCR </w:t>
            </w:r>
            <w:r w:rsidR="00134982" w:rsidRPr="00541454">
              <w:rPr>
                <w:iCs/>
                <w:szCs w:val="20"/>
              </w:rPr>
              <w:t>(</w:t>
            </w:r>
            <w:r w:rsidRPr="00541454">
              <w:rPr>
                <w:iCs/>
                <w:szCs w:val="20"/>
              </w:rPr>
              <w:t>resubmission</w:t>
            </w:r>
            <w:r w:rsidR="00134982" w:rsidRPr="00541454">
              <w:rPr>
                <w:iCs/>
                <w:szCs w:val="20"/>
              </w:rPr>
              <w:t>)</w:t>
            </w:r>
          </w:p>
        </w:tc>
        <w:tc>
          <w:tcPr>
            <w:tcW w:w="624" w:type="pct"/>
            <w:tcBorders>
              <w:left w:val="single" w:sz="4" w:space="0" w:color="auto"/>
              <w:bottom w:val="nil"/>
              <w:right w:val="single" w:sz="4" w:space="0" w:color="auto"/>
            </w:tcBorders>
            <w:shd w:val="clear" w:color="auto" w:fill="auto"/>
          </w:tcPr>
          <w:p w14:paraId="76F0C8FC" w14:textId="7E7B6CDD"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20"/>
                <w:szCs w:val="20"/>
                <w:shd w:val="solid" w:color="000000" w:fill="000000"/>
                <w:fitText w:val="89" w:id="-1167926519"/>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519"/>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519"/>
                <w14:textFill>
                  <w14:solidFill>
                    <w14:srgbClr w14:val="000000">
                      <w14:alpha w14:val="100000"/>
                    </w14:srgbClr>
                  </w14:solidFill>
                </w14:textFill>
              </w:rPr>
              <w:t xml:space="preserve">　</w:t>
            </w:r>
            <w:r w:rsidR="0039419D">
              <w:rPr>
                <w:vertAlign w:val="superscript"/>
              </w:rPr>
              <w:t>10</w:t>
            </w:r>
          </w:p>
        </w:tc>
        <w:tc>
          <w:tcPr>
            <w:tcW w:w="633" w:type="pct"/>
            <w:tcBorders>
              <w:top w:val="nil"/>
              <w:left w:val="single" w:sz="4" w:space="0" w:color="auto"/>
              <w:bottom w:val="nil"/>
              <w:right w:val="single" w:sz="4" w:space="0" w:color="auto"/>
            </w:tcBorders>
            <w:shd w:val="clear" w:color="auto" w:fill="auto"/>
          </w:tcPr>
          <w:p w14:paraId="0E5B7591" w14:textId="3B552E0A"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518"/>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518"/>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518"/>
                <w14:textFill>
                  <w14:solidFill>
                    <w14:srgbClr w14:val="000000">
                      <w14:alpha w14:val="100000"/>
                    </w14:srgbClr>
                  </w14:solidFill>
                </w14:textFill>
              </w:rPr>
              <w:t xml:space="preserve">　</w:t>
            </w:r>
            <w:r w:rsidR="0039419D">
              <w:rPr>
                <w:vertAlign w:val="superscript"/>
              </w:rPr>
              <w:t>10</w:t>
            </w:r>
          </w:p>
        </w:tc>
        <w:tc>
          <w:tcPr>
            <w:tcW w:w="652" w:type="pct"/>
            <w:tcBorders>
              <w:left w:val="single" w:sz="4" w:space="0" w:color="auto"/>
              <w:bottom w:val="nil"/>
              <w:right w:val="single" w:sz="4" w:space="0" w:color="auto"/>
            </w:tcBorders>
            <w:shd w:val="clear" w:color="auto" w:fill="auto"/>
          </w:tcPr>
          <w:p w14:paraId="65BA05A1" w14:textId="4CEF8DA4"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44" w:id="-1167926517"/>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517"/>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517"/>
                <w14:textFill>
                  <w14:solidFill>
                    <w14:srgbClr w14:val="000000">
                      <w14:alpha w14:val="100000"/>
                    </w14:srgbClr>
                  </w14:solidFill>
                </w14:textFill>
              </w:rPr>
              <w:t xml:space="preserve">　</w:t>
            </w:r>
            <w:r w:rsidR="0039419D">
              <w:rPr>
                <w:vertAlign w:val="superscript"/>
              </w:rPr>
              <w:t>11</w:t>
            </w:r>
          </w:p>
        </w:tc>
        <w:tc>
          <w:tcPr>
            <w:tcW w:w="653" w:type="pct"/>
            <w:gridSpan w:val="2"/>
            <w:tcBorders>
              <w:top w:val="nil"/>
              <w:left w:val="single" w:sz="4" w:space="0" w:color="auto"/>
              <w:bottom w:val="nil"/>
              <w:right w:val="single" w:sz="4" w:space="0" w:color="auto"/>
            </w:tcBorders>
            <w:shd w:val="clear" w:color="auto" w:fill="auto"/>
          </w:tcPr>
          <w:p w14:paraId="2C76D60B" w14:textId="3CACA26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55" w:id="-1167926516"/>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516"/>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516"/>
                <w14:textFill>
                  <w14:solidFill>
                    <w14:srgbClr w14:val="000000">
                      <w14:alpha w14:val="100000"/>
                    </w14:srgbClr>
                  </w14:solidFill>
                </w14:textFill>
              </w:rPr>
              <w:t xml:space="preserve">　</w:t>
            </w:r>
            <w:r w:rsidR="0039419D">
              <w:rPr>
                <w:vertAlign w:val="superscript"/>
              </w:rPr>
              <w:t>11</w:t>
            </w:r>
          </w:p>
        </w:tc>
        <w:tc>
          <w:tcPr>
            <w:tcW w:w="617" w:type="pct"/>
            <w:tcBorders>
              <w:top w:val="nil"/>
              <w:left w:val="single" w:sz="4" w:space="0" w:color="auto"/>
              <w:bottom w:val="nil"/>
              <w:right w:val="single" w:sz="4" w:space="0" w:color="auto"/>
            </w:tcBorders>
            <w:shd w:val="clear" w:color="auto" w:fill="auto"/>
          </w:tcPr>
          <w:p w14:paraId="65FE34B1" w14:textId="65A087F5"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8" w:id="-1167926515"/>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515"/>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515"/>
                <w14:textFill>
                  <w14:solidFill>
                    <w14:srgbClr w14:val="000000">
                      <w14:alpha w14:val="100000"/>
                    </w14:srgbClr>
                  </w14:solidFill>
                </w14:textFill>
              </w:rPr>
              <w:t xml:space="preserve">　</w:t>
            </w:r>
            <w:r w:rsidR="0039419D">
              <w:rPr>
                <w:vertAlign w:val="superscript"/>
              </w:rPr>
              <w:t>11</w:t>
            </w:r>
          </w:p>
        </w:tc>
        <w:tc>
          <w:tcPr>
            <w:tcW w:w="615" w:type="pct"/>
            <w:gridSpan w:val="2"/>
            <w:tcBorders>
              <w:left w:val="single" w:sz="4" w:space="0" w:color="auto"/>
              <w:bottom w:val="nil"/>
            </w:tcBorders>
          </w:tcPr>
          <w:p w14:paraId="64385C31" w14:textId="62D36F07"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514"/>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514"/>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514"/>
                <w14:textFill>
                  <w14:solidFill>
                    <w14:srgbClr w14:val="000000">
                      <w14:alpha w14:val="100000"/>
                    </w14:srgbClr>
                  </w14:solidFill>
                </w14:textFill>
              </w:rPr>
              <w:t xml:space="preserve">　</w:t>
            </w:r>
            <w:r w:rsidR="0039419D">
              <w:rPr>
                <w:vertAlign w:val="superscript"/>
              </w:rPr>
              <w:t>12</w:t>
            </w:r>
          </w:p>
        </w:tc>
      </w:tr>
      <w:tr w:rsidR="0039419D" w:rsidRPr="0067643B" w14:paraId="2FDE2373"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69101AAD" w14:textId="77777777" w:rsidR="0067643B" w:rsidRPr="0067643B" w:rsidRDefault="0067643B" w:rsidP="0067643B">
            <w:pPr>
              <w:pStyle w:val="TableText0"/>
              <w:keepNext w:val="0"/>
              <w:ind w:left="257"/>
              <w:rPr>
                <w:szCs w:val="20"/>
              </w:rPr>
            </w:pPr>
            <w:r w:rsidRPr="0067643B">
              <w:rPr>
                <w:szCs w:val="20"/>
              </w:rPr>
              <w:t>Resubmission</w:t>
            </w:r>
          </w:p>
        </w:tc>
        <w:tc>
          <w:tcPr>
            <w:tcW w:w="624" w:type="pct"/>
            <w:tcBorders>
              <w:left w:val="single" w:sz="4" w:space="0" w:color="auto"/>
              <w:bottom w:val="nil"/>
              <w:right w:val="single" w:sz="4" w:space="0" w:color="auto"/>
            </w:tcBorders>
            <w:shd w:val="clear" w:color="auto" w:fill="auto"/>
            <w:vAlign w:val="center"/>
          </w:tcPr>
          <w:p w14:paraId="29DC607A" w14:textId="7E460738"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513"/>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513"/>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513"/>
                <w14:textFill>
                  <w14:solidFill>
                    <w14:srgbClr w14:val="000000">
                      <w14:alpha w14:val="100000"/>
                    </w14:srgbClr>
                  </w14:solidFill>
                </w14:textFill>
              </w:rPr>
              <w:t xml:space="preserve">　</w:t>
            </w:r>
            <w:r w:rsidR="0039419D">
              <w:rPr>
                <w:vertAlign w:val="superscript"/>
              </w:rPr>
              <w:t>13</w:t>
            </w:r>
          </w:p>
        </w:tc>
        <w:tc>
          <w:tcPr>
            <w:tcW w:w="633" w:type="pct"/>
            <w:tcBorders>
              <w:top w:val="nil"/>
              <w:left w:val="single" w:sz="4" w:space="0" w:color="auto"/>
              <w:bottom w:val="nil"/>
              <w:right w:val="single" w:sz="4" w:space="0" w:color="auto"/>
            </w:tcBorders>
            <w:shd w:val="clear" w:color="auto" w:fill="auto"/>
            <w:vAlign w:val="center"/>
          </w:tcPr>
          <w:p w14:paraId="066DE4F1" w14:textId="0A138797"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512"/>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512"/>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512"/>
                <w14:textFill>
                  <w14:solidFill>
                    <w14:srgbClr w14:val="000000">
                      <w14:alpha w14:val="100000"/>
                    </w14:srgbClr>
                  </w14:solidFill>
                </w14:textFill>
              </w:rPr>
              <w:t xml:space="preserve">　</w:t>
            </w:r>
            <w:r w:rsidR="0039419D">
              <w:rPr>
                <w:vertAlign w:val="superscript"/>
              </w:rPr>
              <w:t>13</w:t>
            </w:r>
          </w:p>
        </w:tc>
        <w:tc>
          <w:tcPr>
            <w:tcW w:w="652" w:type="pct"/>
            <w:tcBorders>
              <w:left w:val="single" w:sz="4" w:space="0" w:color="auto"/>
              <w:bottom w:val="nil"/>
              <w:right w:val="single" w:sz="4" w:space="0" w:color="auto"/>
            </w:tcBorders>
            <w:shd w:val="clear" w:color="auto" w:fill="auto"/>
            <w:vAlign w:val="center"/>
          </w:tcPr>
          <w:p w14:paraId="40F4A301" w14:textId="52D09D76"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44" w:id="-1167926528"/>
                <w14:textFill>
                  <w14:solidFill>
                    <w14:srgbClr w14:val="000000">
                      <w14:alpha w14:val="100000"/>
                    </w14:srgbClr>
                  </w14:solidFill>
                </w14:textFill>
              </w:rPr>
              <w:t xml:space="preserve">　</w:t>
            </w:r>
            <w:r w:rsidR="00F5190C" w:rsidRPr="00F5190C">
              <w:rPr>
                <w:color w:val="000000"/>
                <w:w w:val="15"/>
                <w:szCs w:val="20"/>
                <w:shd w:val="solid" w:color="000000" w:fill="000000"/>
                <w:fitText w:val="44" w:id="-1167926528"/>
                <w14:textFill>
                  <w14:solidFill>
                    <w14:srgbClr w14:val="000000">
                      <w14:alpha w14:val="100000"/>
                    </w14:srgbClr>
                  </w14:solidFill>
                </w14:textFill>
              </w:rPr>
              <w:t>|</w:t>
            </w:r>
            <w:r w:rsidR="00F5190C" w:rsidRPr="00F5190C">
              <w:rPr>
                <w:rFonts w:hint="eastAsia"/>
                <w:color w:val="000000"/>
                <w:spacing w:val="-21"/>
                <w:w w:val="15"/>
                <w:szCs w:val="20"/>
                <w:shd w:val="solid" w:color="000000" w:fill="000000"/>
                <w:fitText w:val="44" w:id="-1167926528"/>
                <w14:textFill>
                  <w14:solidFill>
                    <w14:srgbClr w14:val="000000">
                      <w14:alpha w14:val="100000"/>
                    </w14:srgbClr>
                  </w14:solidFill>
                </w14:textFill>
              </w:rPr>
              <w:t xml:space="preserve">　</w:t>
            </w:r>
            <w:r w:rsidR="0039419D">
              <w:rPr>
                <w:vertAlign w:val="superscript"/>
              </w:rPr>
              <w:t>13</w:t>
            </w:r>
          </w:p>
        </w:tc>
        <w:tc>
          <w:tcPr>
            <w:tcW w:w="653" w:type="pct"/>
            <w:gridSpan w:val="2"/>
            <w:tcBorders>
              <w:top w:val="nil"/>
              <w:left w:val="single" w:sz="4" w:space="0" w:color="auto"/>
              <w:bottom w:val="nil"/>
              <w:right w:val="single" w:sz="4" w:space="0" w:color="auto"/>
            </w:tcBorders>
            <w:shd w:val="clear" w:color="auto" w:fill="auto"/>
            <w:vAlign w:val="center"/>
          </w:tcPr>
          <w:p w14:paraId="041E32B6" w14:textId="10D15FF4"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55" w:id="-1167926527"/>
                <w14:textFill>
                  <w14:solidFill>
                    <w14:srgbClr w14:val="000000">
                      <w14:alpha w14:val="100000"/>
                    </w14:srgbClr>
                  </w14:solidFill>
                </w14:textFill>
              </w:rPr>
              <w:t xml:space="preserve">　</w:t>
            </w:r>
            <w:r w:rsidR="00F5190C" w:rsidRPr="00F5190C">
              <w:rPr>
                <w:color w:val="000000"/>
                <w:w w:val="15"/>
                <w:szCs w:val="20"/>
                <w:shd w:val="solid" w:color="000000" w:fill="000000"/>
                <w:fitText w:val="55" w:id="-1167926527"/>
                <w14:textFill>
                  <w14:solidFill>
                    <w14:srgbClr w14:val="000000">
                      <w14:alpha w14:val="100000"/>
                    </w14:srgbClr>
                  </w14:solidFill>
                </w14:textFill>
              </w:rPr>
              <w:t>|</w:t>
            </w:r>
            <w:r w:rsidR="00F5190C" w:rsidRPr="00F5190C">
              <w:rPr>
                <w:rFonts w:hint="eastAsia"/>
                <w:color w:val="000000"/>
                <w:spacing w:val="-10"/>
                <w:w w:val="15"/>
                <w:szCs w:val="20"/>
                <w:shd w:val="solid" w:color="000000" w:fill="000000"/>
                <w:fitText w:val="55" w:id="-1167926527"/>
                <w14:textFill>
                  <w14:solidFill>
                    <w14:srgbClr w14:val="000000">
                      <w14:alpha w14:val="100000"/>
                    </w14:srgbClr>
                  </w14:solidFill>
                </w14:textFill>
              </w:rPr>
              <w:t xml:space="preserve">　</w:t>
            </w:r>
            <w:r w:rsidR="0039419D">
              <w:rPr>
                <w:vertAlign w:val="superscript"/>
              </w:rPr>
              <w:t>13</w:t>
            </w:r>
          </w:p>
        </w:tc>
        <w:tc>
          <w:tcPr>
            <w:tcW w:w="617" w:type="pct"/>
            <w:tcBorders>
              <w:top w:val="nil"/>
              <w:left w:val="single" w:sz="4" w:space="0" w:color="auto"/>
              <w:bottom w:val="nil"/>
              <w:right w:val="single" w:sz="4" w:space="0" w:color="auto"/>
            </w:tcBorders>
            <w:shd w:val="clear" w:color="auto" w:fill="auto"/>
            <w:vAlign w:val="center"/>
          </w:tcPr>
          <w:p w14:paraId="158C1F53" w14:textId="596AD4D8"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8" w:id="-1167926272"/>
                <w14:textFill>
                  <w14:solidFill>
                    <w14:srgbClr w14:val="000000">
                      <w14:alpha w14:val="100000"/>
                    </w14:srgbClr>
                  </w14:solidFill>
                </w14:textFill>
              </w:rPr>
              <w:t xml:space="preserve">　</w:t>
            </w:r>
            <w:r w:rsidR="00F5190C" w:rsidRPr="00F5190C">
              <w:rPr>
                <w:color w:val="000000"/>
                <w:w w:val="17"/>
                <w:szCs w:val="20"/>
                <w:shd w:val="solid" w:color="000000" w:fill="000000"/>
                <w:fitText w:val="78" w:id="-1167926272"/>
                <w14:textFill>
                  <w14:solidFill>
                    <w14:srgbClr w14:val="000000">
                      <w14:alpha w14:val="100000"/>
                    </w14:srgbClr>
                  </w14:solidFill>
                </w14:textFill>
              </w:rPr>
              <w:t>|</w:t>
            </w:r>
            <w:r w:rsidR="00F5190C" w:rsidRPr="00F5190C">
              <w:rPr>
                <w:rFonts w:hint="eastAsia"/>
                <w:color w:val="000000"/>
                <w:spacing w:val="5"/>
                <w:w w:val="17"/>
                <w:szCs w:val="20"/>
                <w:shd w:val="solid" w:color="000000" w:fill="000000"/>
                <w:fitText w:val="78" w:id="-1167926272"/>
                <w14:textFill>
                  <w14:solidFill>
                    <w14:srgbClr w14:val="000000">
                      <w14:alpha w14:val="100000"/>
                    </w14:srgbClr>
                  </w14:solidFill>
                </w14:textFill>
              </w:rPr>
              <w:t xml:space="preserve">　</w:t>
            </w:r>
            <w:r w:rsidR="0039419D">
              <w:rPr>
                <w:vertAlign w:val="superscript"/>
              </w:rPr>
              <w:t>13</w:t>
            </w:r>
          </w:p>
        </w:tc>
        <w:tc>
          <w:tcPr>
            <w:tcW w:w="615" w:type="pct"/>
            <w:gridSpan w:val="2"/>
            <w:tcBorders>
              <w:left w:val="single" w:sz="4" w:space="0" w:color="auto"/>
              <w:bottom w:val="nil"/>
            </w:tcBorders>
            <w:vAlign w:val="center"/>
          </w:tcPr>
          <w:p w14:paraId="3B9A7743" w14:textId="29B74D1C"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71"/>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71"/>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71"/>
                <w14:textFill>
                  <w14:solidFill>
                    <w14:srgbClr w14:val="000000">
                      <w14:alpha w14:val="100000"/>
                    </w14:srgbClr>
                  </w14:solidFill>
                </w14:textFill>
              </w:rPr>
              <w:t xml:space="preserve">　</w:t>
            </w:r>
            <w:r w:rsidR="0039419D">
              <w:rPr>
                <w:vertAlign w:val="superscript"/>
              </w:rPr>
              <w:t>13</w:t>
            </w:r>
          </w:p>
        </w:tc>
      </w:tr>
      <w:tr w:rsidR="0039419D" w:rsidRPr="0067643B" w14:paraId="5984E0A4" w14:textId="77777777" w:rsidTr="0039419D">
        <w:trPr>
          <w:gridAfter w:val="1"/>
          <w:wAfter w:w="3" w:type="pct"/>
        </w:trPr>
        <w:tc>
          <w:tcPr>
            <w:tcW w:w="1185" w:type="pct"/>
            <w:tcBorders>
              <w:top w:val="nil"/>
              <w:bottom w:val="dashSmallGap" w:sz="4" w:space="0" w:color="auto"/>
              <w:right w:val="single" w:sz="4" w:space="0" w:color="auto"/>
            </w:tcBorders>
            <w:shd w:val="clear" w:color="auto" w:fill="C6D9F1" w:themeFill="text2" w:themeFillTint="33"/>
            <w:vAlign w:val="center"/>
          </w:tcPr>
          <w:p w14:paraId="7802D202" w14:textId="651EAF38" w:rsidR="0067643B" w:rsidRPr="0067643B" w:rsidRDefault="0067643B" w:rsidP="0067643B">
            <w:pPr>
              <w:pStyle w:val="TableText0"/>
              <w:keepNext w:val="0"/>
              <w:ind w:left="257"/>
              <w:rPr>
                <w:szCs w:val="20"/>
              </w:rPr>
            </w:pPr>
            <w:r w:rsidRPr="0067643B">
              <w:rPr>
                <w:szCs w:val="20"/>
              </w:rPr>
              <w:t>November 2022 Pre-PBAC response</w:t>
            </w:r>
          </w:p>
        </w:tc>
        <w:tc>
          <w:tcPr>
            <w:tcW w:w="624"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1F3F91C3" w14:textId="3B4179A6"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270"/>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270"/>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270"/>
                <w14:textFill>
                  <w14:solidFill>
                    <w14:srgbClr w14:val="000000">
                      <w14:alpha w14:val="100000"/>
                    </w14:srgbClr>
                  </w14:solidFill>
                </w14:textFill>
              </w:rPr>
              <w:t xml:space="preserve">　</w:t>
            </w:r>
            <w:r w:rsidR="0039419D">
              <w:rPr>
                <w:vertAlign w:val="superscript"/>
              </w:rPr>
              <w:t>14</w:t>
            </w:r>
          </w:p>
        </w:tc>
        <w:tc>
          <w:tcPr>
            <w:tcW w:w="633"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64C7A334" w14:textId="32CBD849"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69"/>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69"/>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69"/>
                <w14:textFill>
                  <w14:solidFill>
                    <w14:srgbClr w14:val="000000">
                      <w14:alpha w14:val="100000"/>
                    </w14:srgbClr>
                  </w14:solidFill>
                </w14:textFill>
              </w:rPr>
              <w:t xml:space="preserve">　</w:t>
            </w:r>
            <w:r w:rsidR="0039419D">
              <w:rPr>
                <w:vertAlign w:val="superscript"/>
              </w:rPr>
              <w:t>15</w:t>
            </w:r>
          </w:p>
        </w:tc>
        <w:tc>
          <w:tcPr>
            <w:tcW w:w="681" w:type="pct"/>
            <w:gridSpan w:val="2"/>
            <w:tcBorders>
              <w:top w:val="nil"/>
              <w:left w:val="single" w:sz="4" w:space="0" w:color="auto"/>
              <w:bottom w:val="dashSmallGap" w:sz="4" w:space="0" w:color="auto"/>
              <w:right w:val="single" w:sz="4" w:space="0" w:color="auto"/>
            </w:tcBorders>
            <w:shd w:val="clear" w:color="auto" w:fill="C6D9F1" w:themeFill="text2" w:themeFillTint="33"/>
            <w:vAlign w:val="center"/>
          </w:tcPr>
          <w:p w14:paraId="59CCF906" w14:textId="2125A6F1"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33" w:id="-1167926268"/>
                <w14:textFill>
                  <w14:solidFill>
                    <w14:srgbClr w14:val="000000">
                      <w14:alpha w14:val="100000"/>
                    </w14:srgbClr>
                  </w14:solidFill>
                </w14:textFill>
              </w:rPr>
              <w:t xml:space="preserve">　</w:t>
            </w:r>
            <w:r w:rsidR="00F5190C" w:rsidRPr="00F5190C">
              <w:rPr>
                <w:color w:val="000000"/>
                <w:w w:val="15"/>
                <w:szCs w:val="20"/>
                <w:shd w:val="solid" w:color="000000" w:fill="000000"/>
                <w:fitText w:val="33" w:id="-1167926268"/>
                <w14:textFill>
                  <w14:solidFill>
                    <w14:srgbClr w14:val="000000">
                      <w14:alpha w14:val="100000"/>
                    </w14:srgbClr>
                  </w14:solidFill>
                </w14:textFill>
              </w:rPr>
              <w:t>|</w:t>
            </w:r>
            <w:r w:rsidR="00F5190C" w:rsidRPr="00F5190C">
              <w:rPr>
                <w:rFonts w:hint="eastAsia"/>
                <w:color w:val="000000"/>
                <w:spacing w:val="-32"/>
                <w:w w:val="15"/>
                <w:szCs w:val="20"/>
                <w:shd w:val="solid" w:color="000000" w:fill="000000"/>
                <w:fitText w:val="33" w:id="-1167926268"/>
                <w14:textFill>
                  <w14:solidFill>
                    <w14:srgbClr w14:val="000000">
                      <w14:alpha w14:val="100000"/>
                    </w14:srgbClr>
                  </w14:solidFill>
                </w14:textFill>
              </w:rPr>
              <w:t xml:space="preserve">　</w:t>
            </w:r>
            <w:r w:rsidR="0039419D">
              <w:rPr>
                <w:vertAlign w:val="superscript"/>
              </w:rPr>
              <w:t>15</w:t>
            </w:r>
          </w:p>
        </w:tc>
        <w:tc>
          <w:tcPr>
            <w:tcW w:w="624"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277A540A" w14:textId="11D7FD8E"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267"/>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267"/>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267"/>
                <w14:textFill>
                  <w14:solidFill>
                    <w14:srgbClr w14:val="000000">
                      <w14:alpha w14:val="100000"/>
                    </w14:srgbClr>
                  </w14:solidFill>
                </w14:textFill>
              </w:rPr>
              <w:t xml:space="preserve">　</w:t>
            </w:r>
            <w:r w:rsidR="0039419D">
              <w:rPr>
                <w:vertAlign w:val="superscript"/>
              </w:rPr>
              <w:t>15</w:t>
            </w:r>
          </w:p>
        </w:tc>
        <w:tc>
          <w:tcPr>
            <w:tcW w:w="625" w:type="pct"/>
            <w:gridSpan w:val="2"/>
            <w:tcBorders>
              <w:top w:val="nil"/>
              <w:left w:val="single" w:sz="4" w:space="0" w:color="auto"/>
              <w:bottom w:val="dashSmallGap" w:sz="4" w:space="0" w:color="auto"/>
              <w:right w:val="single" w:sz="4" w:space="0" w:color="auto"/>
            </w:tcBorders>
            <w:shd w:val="clear" w:color="auto" w:fill="C6D9F1" w:themeFill="text2" w:themeFillTint="33"/>
            <w:vAlign w:val="center"/>
          </w:tcPr>
          <w:p w14:paraId="1AF6DCF3" w14:textId="58FA3B56"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8" w:id="-1167926266"/>
                <w14:textFill>
                  <w14:solidFill>
                    <w14:srgbClr w14:val="000000">
                      <w14:alpha w14:val="100000"/>
                    </w14:srgbClr>
                  </w14:solidFill>
                </w14:textFill>
              </w:rPr>
              <w:t xml:space="preserve">　</w:t>
            </w:r>
            <w:r w:rsidR="00F5190C" w:rsidRPr="00F5190C">
              <w:rPr>
                <w:color w:val="000000"/>
                <w:w w:val="17"/>
                <w:szCs w:val="20"/>
                <w:shd w:val="solid" w:color="000000" w:fill="000000"/>
                <w:fitText w:val="78" w:id="-1167926266"/>
                <w14:textFill>
                  <w14:solidFill>
                    <w14:srgbClr w14:val="000000">
                      <w14:alpha w14:val="100000"/>
                    </w14:srgbClr>
                  </w14:solidFill>
                </w14:textFill>
              </w:rPr>
              <w:t>|</w:t>
            </w:r>
            <w:r w:rsidR="00F5190C" w:rsidRPr="00F5190C">
              <w:rPr>
                <w:rFonts w:hint="eastAsia"/>
                <w:color w:val="000000"/>
                <w:spacing w:val="5"/>
                <w:w w:val="17"/>
                <w:szCs w:val="20"/>
                <w:shd w:val="solid" w:color="000000" w:fill="000000"/>
                <w:fitText w:val="78" w:id="-1167926266"/>
                <w14:textFill>
                  <w14:solidFill>
                    <w14:srgbClr w14:val="000000">
                      <w14:alpha w14:val="100000"/>
                    </w14:srgbClr>
                  </w14:solidFill>
                </w14:textFill>
              </w:rPr>
              <w:t xml:space="preserve">　</w:t>
            </w:r>
            <w:r w:rsidR="0039419D">
              <w:rPr>
                <w:vertAlign w:val="superscript"/>
              </w:rPr>
              <w:t>15</w:t>
            </w:r>
          </w:p>
        </w:tc>
        <w:tc>
          <w:tcPr>
            <w:tcW w:w="625" w:type="pct"/>
            <w:gridSpan w:val="2"/>
            <w:tcBorders>
              <w:top w:val="nil"/>
              <w:left w:val="single" w:sz="4" w:space="0" w:color="auto"/>
              <w:bottom w:val="dashSmallGap" w:sz="4" w:space="0" w:color="auto"/>
            </w:tcBorders>
            <w:shd w:val="clear" w:color="auto" w:fill="C6D9F1" w:themeFill="text2" w:themeFillTint="33"/>
            <w:vAlign w:val="center"/>
          </w:tcPr>
          <w:p w14:paraId="0B871D8A" w14:textId="2A9BB68A"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65"/>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65"/>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65"/>
                <w14:textFill>
                  <w14:solidFill>
                    <w14:srgbClr w14:val="000000">
                      <w14:alpha w14:val="100000"/>
                    </w14:srgbClr>
                  </w14:solidFill>
                </w14:textFill>
              </w:rPr>
              <w:t xml:space="preserve">　</w:t>
            </w:r>
            <w:r w:rsidR="0039419D">
              <w:rPr>
                <w:vertAlign w:val="superscript"/>
              </w:rPr>
              <w:t>15</w:t>
            </w:r>
          </w:p>
        </w:tc>
      </w:tr>
      <w:tr w:rsidR="0039419D" w:rsidRPr="0067643B" w14:paraId="2EB67498" w14:textId="77777777" w:rsidTr="0039419D">
        <w:trPr>
          <w:gridAfter w:val="2"/>
          <w:wAfter w:w="21" w:type="pct"/>
        </w:trPr>
        <w:tc>
          <w:tcPr>
            <w:tcW w:w="1185" w:type="pct"/>
            <w:tcBorders>
              <w:top w:val="dashSmallGap" w:sz="4" w:space="0" w:color="auto"/>
              <w:bottom w:val="nil"/>
              <w:right w:val="single" w:sz="4" w:space="0" w:color="auto"/>
            </w:tcBorders>
            <w:shd w:val="clear" w:color="auto" w:fill="C6D9F1" w:themeFill="text2" w:themeFillTint="33"/>
            <w:vAlign w:val="center"/>
          </w:tcPr>
          <w:p w14:paraId="59AAE58B" w14:textId="77777777" w:rsidR="0067643B" w:rsidRPr="0067643B" w:rsidRDefault="0067643B" w:rsidP="0067643B">
            <w:pPr>
              <w:pStyle w:val="TableText0"/>
              <w:keepNext w:val="0"/>
              <w:ind w:left="257"/>
              <w:rPr>
                <w:szCs w:val="20"/>
              </w:rPr>
            </w:pPr>
            <w:r w:rsidRPr="0067643B">
              <w:rPr>
                <w:szCs w:val="20"/>
              </w:rPr>
              <w:t>November 2022 submission</w:t>
            </w:r>
          </w:p>
        </w:tc>
        <w:tc>
          <w:tcPr>
            <w:tcW w:w="624" w:type="pct"/>
            <w:tcBorders>
              <w:top w:val="dashSmallGap" w:sz="4" w:space="0" w:color="auto"/>
              <w:left w:val="single" w:sz="4" w:space="0" w:color="auto"/>
              <w:bottom w:val="nil"/>
              <w:right w:val="single" w:sz="4" w:space="0" w:color="auto"/>
            </w:tcBorders>
            <w:shd w:val="clear" w:color="auto" w:fill="C6D9F1" w:themeFill="text2" w:themeFillTint="33"/>
          </w:tcPr>
          <w:p w14:paraId="0C34E9E7" w14:textId="14A86E23"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20"/>
                <w:szCs w:val="20"/>
                <w:shd w:val="solid" w:color="000000" w:fill="000000"/>
                <w:fitText w:val="89" w:id="-1167926264"/>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264"/>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264"/>
                <w14:textFill>
                  <w14:solidFill>
                    <w14:srgbClr w14:val="000000">
                      <w14:alpha w14:val="100000"/>
                    </w14:srgbClr>
                  </w14:solidFill>
                </w14:textFill>
              </w:rPr>
              <w:t xml:space="preserve">　</w:t>
            </w:r>
            <w:r w:rsidR="0039419D">
              <w:rPr>
                <w:vertAlign w:val="superscript"/>
              </w:rPr>
              <w:t>18</w:t>
            </w:r>
          </w:p>
        </w:tc>
        <w:tc>
          <w:tcPr>
            <w:tcW w:w="633" w:type="pct"/>
            <w:tcBorders>
              <w:top w:val="dashSmallGap" w:sz="4" w:space="0" w:color="auto"/>
              <w:left w:val="single" w:sz="4" w:space="0" w:color="auto"/>
              <w:bottom w:val="nil"/>
              <w:right w:val="single" w:sz="4" w:space="0" w:color="auto"/>
            </w:tcBorders>
            <w:shd w:val="clear" w:color="auto" w:fill="C6D9F1" w:themeFill="text2" w:themeFillTint="33"/>
          </w:tcPr>
          <w:p w14:paraId="64FE05AD" w14:textId="69837352"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263"/>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63"/>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63"/>
                <w14:textFill>
                  <w14:solidFill>
                    <w14:srgbClr w14:val="000000">
                      <w14:alpha w14:val="100000"/>
                    </w14:srgbClr>
                  </w14:solidFill>
                </w14:textFill>
              </w:rPr>
              <w:t xml:space="preserve">　</w:t>
            </w:r>
            <w:r w:rsidR="0039419D">
              <w:rPr>
                <w:vertAlign w:val="superscript"/>
              </w:rPr>
              <w:t>17</w:t>
            </w:r>
          </w:p>
        </w:tc>
        <w:tc>
          <w:tcPr>
            <w:tcW w:w="652" w:type="pct"/>
            <w:tcBorders>
              <w:top w:val="dashSmallGap" w:sz="4" w:space="0" w:color="auto"/>
              <w:left w:val="single" w:sz="4" w:space="0" w:color="auto"/>
              <w:bottom w:val="nil"/>
              <w:right w:val="single" w:sz="4" w:space="0" w:color="auto"/>
            </w:tcBorders>
            <w:shd w:val="clear" w:color="auto" w:fill="C6D9F1" w:themeFill="text2" w:themeFillTint="33"/>
          </w:tcPr>
          <w:p w14:paraId="002CB7FC" w14:textId="1A16A01D"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44" w:id="-1167926262"/>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262"/>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262"/>
                <w14:textFill>
                  <w14:solidFill>
                    <w14:srgbClr w14:val="000000">
                      <w14:alpha w14:val="100000"/>
                    </w14:srgbClr>
                  </w14:solidFill>
                </w14:textFill>
              </w:rPr>
              <w:t xml:space="preserve">　</w:t>
            </w:r>
            <w:r w:rsidR="0039419D">
              <w:rPr>
                <w:vertAlign w:val="superscript"/>
              </w:rPr>
              <w:t>12</w:t>
            </w:r>
          </w:p>
        </w:tc>
        <w:tc>
          <w:tcPr>
            <w:tcW w:w="653" w:type="pct"/>
            <w:gridSpan w:val="2"/>
            <w:tcBorders>
              <w:top w:val="dashSmallGap" w:sz="4" w:space="0" w:color="auto"/>
              <w:left w:val="single" w:sz="4" w:space="0" w:color="auto"/>
              <w:bottom w:val="nil"/>
              <w:right w:val="single" w:sz="4" w:space="0" w:color="auto"/>
            </w:tcBorders>
            <w:shd w:val="clear" w:color="auto" w:fill="C6D9F1" w:themeFill="text2" w:themeFillTint="33"/>
          </w:tcPr>
          <w:p w14:paraId="4E9AF4DF" w14:textId="4C9BFB72"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55" w:id="-1167926261"/>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261"/>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261"/>
                <w14:textFill>
                  <w14:solidFill>
                    <w14:srgbClr w14:val="000000">
                      <w14:alpha w14:val="100000"/>
                    </w14:srgbClr>
                  </w14:solidFill>
                </w14:textFill>
              </w:rPr>
              <w:t xml:space="preserve">　</w:t>
            </w:r>
            <w:r w:rsidR="0039419D">
              <w:rPr>
                <w:vertAlign w:val="superscript"/>
              </w:rPr>
              <w:t>10</w:t>
            </w:r>
          </w:p>
        </w:tc>
        <w:tc>
          <w:tcPr>
            <w:tcW w:w="617" w:type="pct"/>
            <w:tcBorders>
              <w:top w:val="dashSmallGap" w:sz="4" w:space="0" w:color="auto"/>
              <w:left w:val="single" w:sz="4" w:space="0" w:color="auto"/>
              <w:bottom w:val="nil"/>
              <w:right w:val="single" w:sz="4" w:space="0" w:color="auto"/>
            </w:tcBorders>
            <w:shd w:val="clear" w:color="auto" w:fill="C6D9F1" w:themeFill="text2" w:themeFillTint="33"/>
          </w:tcPr>
          <w:p w14:paraId="29B0DCF1" w14:textId="442BC8F4"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8" w:id="-1167926260"/>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260"/>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260"/>
                <w14:textFill>
                  <w14:solidFill>
                    <w14:srgbClr w14:val="000000">
                      <w14:alpha w14:val="100000"/>
                    </w14:srgbClr>
                  </w14:solidFill>
                </w14:textFill>
              </w:rPr>
              <w:t xml:space="preserve">　</w:t>
            </w:r>
            <w:r w:rsidR="0039419D">
              <w:rPr>
                <w:vertAlign w:val="superscript"/>
              </w:rPr>
              <w:t>16</w:t>
            </w:r>
          </w:p>
        </w:tc>
        <w:tc>
          <w:tcPr>
            <w:tcW w:w="615" w:type="pct"/>
            <w:gridSpan w:val="2"/>
            <w:tcBorders>
              <w:top w:val="dashSmallGap" w:sz="4" w:space="0" w:color="auto"/>
              <w:left w:val="single" w:sz="4" w:space="0" w:color="auto"/>
              <w:bottom w:val="nil"/>
            </w:tcBorders>
            <w:shd w:val="clear" w:color="auto" w:fill="C6D9F1" w:themeFill="text2" w:themeFillTint="33"/>
          </w:tcPr>
          <w:p w14:paraId="0118C7D2" w14:textId="365C4C3C"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259"/>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59"/>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59"/>
                <w14:textFill>
                  <w14:solidFill>
                    <w14:srgbClr w14:val="000000">
                      <w14:alpha w14:val="100000"/>
                    </w14:srgbClr>
                  </w14:solidFill>
                </w14:textFill>
              </w:rPr>
              <w:t xml:space="preserve">　</w:t>
            </w:r>
            <w:r w:rsidR="0039419D">
              <w:rPr>
                <w:vertAlign w:val="superscript"/>
              </w:rPr>
              <w:t>15</w:t>
            </w:r>
          </w:p>
        </w:tc>
      </w:tr>
      <w:tr w:rsidR="0067643B" w:rsidRPr="0067643B" w14:paraId="2B088D70" w14:textId="77777777" w:rsidTr="0039419D">
        <w:tc>
          <w:tcPr>
            <w:tcW w:w="5000" w:type="pct"/>
            <w:gridSpan w:val="11"/>
            <w:tcBorders>
              <w:top w:val="single" w:sz="4" w:space="0" w:color="auto"/>
              <w:bottom w:val="single" w:sz="4" w:space="0" w:color="auto"/>
            </w:tcBorders>
            <w:shd w:val="clear" w:color="auto" w:fill="auto"/>
            <w:vAlign w:val="center"/>
          </w:tcPr>
          <w:p w14:paraId="28A3B2A1" w14:textId="77777777" w:rsidR="0067643B" w:rsidRPr="0067643B" w:rsidRDefault="0067643B" w:rsidP="0067643B">
            <w:pPr>
              <w:pStyle w:val="In-tableHeading"/>
              <w:keepNext w:val="0"/>
              <w:rPr>
                <w:szCs w:val="20"/>
              </w:rPr>
            </w:pPr>
            <w:r w:rsidRPr="0067643B">
              <w:rPr>
                <w:szCs w:val="20"/>
              </w:rPr>
              <w:t>Net financial implications</w:t>
            </w:r>
          </w:p>
        </w:tc>
      </w:tr>
      <w:tr w:rsidR="0039419D" w:rsidRPr="0067643B" w14:paraId="3F37D35A" w14:textId="77777777" w:rsidTr="0039419D">
        <w:trPr>
          <w:gridAfter w:val="2"/>
          <w:wAfter w:w="21" w:type="pct"/>
        </w:trPr>
        <w:tc>
          <w:tcPr>
            <w:tcW w:w="1185" w:type="pct"/>
            <w:tcBorders>
              <w:top w:val="single" w:sz="4" w:space="0" w:color="auto"/>
              <w:bottom w:val="nil"/>
              <w:right w:val="nil"/>
            </w:tcBorders>
            <w:shd w:val="clear" w:color="auto" w:fill="auto"/>
            <w:vAlign w:val="center"/>
          </w:tcPr>
          <w:p w14:paraId="0226D3B3" w14:textId="77777777" w:rsidR="0067643B" w:rsidRPr="0067643B" w:rsidRDefault="0067643B" w:rsidP="0067643B">
            <w:pPr>
              <w:pStyle w:val="TableText0"/>
              <w:keepNext w:val="0"/>
              <w:rPr>
                <w:szCs w:val="20"/>
              </w:rPr>
            </w:pPr>
            <w:r w:rsidRPr="0067643B">
              <w:rPr>
                <w:szCs w:val="20"/>
              </w:rPr>
              <w:t>Net cost to PBS/RPBS</w:t>
            </w:r>
          </w:p>
        </w:tc>
        <w:tc>
          <w:tcPr>
            <w:tcW w:w="624" w:type="pct"/>
            <w:tcBorders>
              <w:top w:val="single" w:sz="4" w:space="0" w:color="auto"/>
              <w:left w:val="nil"/>
              <w:bottom w:val="nil"/>
              <w:right w:val="nil"/>
            </w:tcBorders>
            <w:shd w:val="clear" w:color="auto" w:fill="auto"/>
            <w:vAlign w:val="center"/>
          </w:tcPr>
          <w:p w14:paraId="2694393B" w14:textId="77777777" w:rsidR="0067643B" w:rsidRPr="0067643B" w:rsidRDefault="0067643B" w:rsidP="0067643B">
            <w:pPr>
              <w:pStyle w:val="TableText0"/>
              <w:keepNext w:val="0"/>
              <w:jc w:val="center"/>
              <w:rPr>
                <w:szCs w:val="20"/>
              </w:rPr>
            </w:pPr>
          </w:p>
        </w:tc>
        <w:tc>
          <w:tcPr>
            <w:tcW w:w="633" w:type="pct"/>
            <w:tcBorders>
              <w:top w:val="single" w:sz="4" w:space="0" w:color="auto"/>
              <w:left w:val="nil"/>
              <w:bottom w:val="nil"/>
              <w:right w:val="nil"/>
            </w:tcBorders>
            <w:shd w:val="clear" w:color="auto" w:fill="auto"/>
            <w:vAlign w:val="center"/>
          </w:tcPr>
          <w:p w14:paraId="1F645B4D" w14:textId="77777777" w:rsidR="0067643B" w:rsidRPr="0067643B" w:rsidRDefault="0067643B" w:rsidP="0067643B">
            <w:pPr>
              <w:pStyle w:val="TableText0"/>
              <w:keepNext w:val="0"/>
              <w:jc w:val="center"/>
              <w:rPr>
                <w:szCs w:val="20"/>
              </w:rPr>
            </w:pPr>
          </w:p>
        </w:tc>
        <w:tc>
          <w:tcPr>
            <w:tcW w:w="652" w:type="pct"/>
            <w:tcBorders>
              <w:top w:val="single" w:sz="4" w:space="0" w:color="auto"/>
              <w:left w:val="nil"/>
              <w:bottom w:val="nil"/>
              <w:right w:val="nil"/>
            </w:tcBorders>
            <w:shd w:val="clear" w:color="auto" w:fill="auto"/>
            <w:vAlign w:val="center"/>
          </w:tcPr>
          <w:p w14:paraId="680F570C" w14:textId="77777777" w:rsidR="0067643B" w:rsidRPr="0067643B" w:rsidRDefault="0067643B" w:rsidP="0067643B">
            <w:pPr>
              <w:pStyle w:val="TableText0"/>
              <w:keepNext w:val="0"/>
              <w:jc w:val="center"/>
              <w:rPr>
                <w:szCs w:val="20"/>
              </w:rPr>
            </w:pPr>
          </w:p>
        </w:tc>
        <w:tc>
          <w:tcPr>
            <w:tcW w:w="653" w:type="pct"/>
            <w:gridSpan w:val="2"/>
            <w:tcBorders>
              <w:top w:val="single" w:sz="4" w:space="0" w:color="auto"/>
              <w:left w:val="nil"/>
              <w:bottom w:val="nil"/>
              <w:right w:val="nil"/>
            </w:tcBorders>
            <w:shd w:val="clear" w:color="auto" w:fill="auto"/>
            <w:vAlign w:val="center"/>
          </w:tcPr>
          <w:p w14:paraId="2F8B6727" w14:textId="77777777" w:rsidR="0067643B" w:rsidRPr="0067643B" w:rsidRDefault="0067643B" w:rsidP="0067643B">
            <w:pPr>
              <w:pStyle w:val="TableText0"/>
              <w:keepNext w:val="0"/>
              <w:jc w:val="center"/>
              <w:rPr>
                <w:szCs w:val="20"/>
              </w:rPr>
            </w:pPr>
          </w:p>
        </w:tc>
        <w:tc>
          <w:tcPr>
            <w:tcW w:w="617" w:type="pct"/>
            <w:tcBorders>
              <w:top w:val="single" w:sz="4" w:space="0" w:color="auto"/>
              <w:left w:val="nil"/>
              <w:bottom w:val="nil"/>
              <w:right w:val="nil"/>
            </w:tcBorders>
            <w:shd w:val="clear" w:color="auto" w:fill="auto"/>
            <w:vAlign w:val="center"/>
          </w:tcPr>
          <w:p w14:paraId="120101A9" w14:textId="77777777" w:rsidR="0067643B" w:rsidRPr="0067643B" w:rsidRDefault="0067643B" w:rsidP="0067643B">
            <w:pPr>
              <w:pStyle w:val="TableText0"/>
              <w:keepNext w:val="0"/>
              <w:jc w:val="center"/>
              <w:rPr>
                <w:szCs w:val="20"/>
              </w:rPr>
            </w:pPr>
          </w:p>
        </w:tc>
        <w:tc>
          <w:tcPr>
            <w:tcW w:w="615" w:type="pct"/>
            <w:gridSpan w:val="2"/>
            <w:tcBorders>
              <w:top w:val="single" w:sz="4" w:space="0" w:color="auto"/>
              <w:left w:val="nil"/>
              <w:bottom w:val="nil"/>
            </w:tcBorders>
          </w:tcPr>
          <w:p w14:paraId="4BA9769A" w14:textId="77777777" w:rsidR="0067643B" w:rsidRPr="0067643B" w:rsidRDefault="0067643B" w:rsidP="0067643B">
            <w:pPr>
              <w:pStyle w:val="TableText0"/>
              <w:keepNext w:val="0"/>
              <w:jc w:val="center"/>
              <w:rPr>
                <w:szCs w:val="20"/>
              </w:rPr>
            </w:pPr>
          </w:p>
        </w:tc>
      </w:tr>
      <w:tr w:rsidR="0039419D" w:rsidRPr="00541454" w14:paraId="52EDE5D2"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273C0050" w14:textId="6058585F" w:rsidR="0067643B" w:rsidRPr="00541454" w:rsidRDefault="0067643B" w:rsidP="0067643B">
            <w:pPr>
              <w:pStyle w:val="TableText0"/>
              <w:keepNext w:val="0"/>
              <w:ind w:left="257"/>
              <w:rPr>
                <w:iCs/>
                <w:szCs w:val="20"/>
              </w:rPr>
            </w:pPr>
            <w:r w:rsidRPr="00541454">
              <w:rPr>
                <w:iCs/>
                <w:szCs w:val="20"/>
              </w:rPr>
              <w:t xml:space="preserve">PSCR </w:t>
            </w:r>
            <w:r w:rsidR="00134982" w:rsidRPr="00541454">
              <w:rPr>
                <w:iCs/>
                <w:szCs w:val="20"/>
              </w:rPr>
              <w:t>(</w:t>
            </w:r>
            <w:r w:rsidRPr="00541454">
              <w:rPr>
                <w:iCs/>
                <w:szCs w:val="20"/>
              </w:rPr>
              <w:t>resubmission</w:t>
            </w:r>
            <w:r w:rsidR="00134982" w:rsidRPr="00541454">
              <w:rPr>
                <w:iCs/>
                <w:szCs w:val="20"/>
              </w:rPr>
              <w:t>)</w:t>
            </w:r>
          </w:p>
        </w:tc>
        <w:tc>
          <w:tcPr>
            <w:tcW w:w="624" w:type="pct"/>
            <w:tcBorders>
              <w:top w:val="nil"/>
              <w:left w:val="single" w:sz="4" w:space="0" w:color="auto"/>
              <w:bottom w:val="nil"/>
              <w:right w:val="single" w:sz="4" w:space="0" w:color="auto"/>
            </w:tcBorders>
            <w:shd w:val="clear" w:color="auto" w:fill="auto"/>
          </w:tcPr>
          <w:p w14:paraId="43E4CFA2" w14:textId="3920DB6F"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20"/>
                <w:szCs w:val="20"/>
                <w:shd w:val="solid" w:color="000000" w:fill="000000"/>
                <w:fitText w:val="89" w:id="-1167926258"/>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258"/>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258"/>
                <w14:textFill>
                  <w14:solidFill>
                    <w14:srgbClr w14:val="000000">
                      <w14:alpha w14:val="100000"/>
                    </w14:srgbClr>
                  </w14:solidFill>
                </w14:textFill>
              </w:rPr>
              <w:t xml:space="preserve">　</w:t>
            </w:r>
            <w:r w:rsidR="0039419D">
              <w:rPr>
                <w:vertAlign w:val="superscript"/>
              </w:rPr>
              <w:t>10</w:t>
            </w:r>
          </w:p>
        </w:tc>
        <w:tc>
          <w:tcPr>
            <w:tcW w:w="633" w:type="pct"/>
            <w:tcBorders>
              <w:top w:val="nil"/>
              <w:left w:val="single" w:sz="4" w:space="0" w:color="auto"/>
              <w:bottom w:val="nil"/>
              <w:right w:val="single" w:sz="4" w:space="0" w:color="auto"/>
            </w:tcBorders>
            <w:shd w:val="clear" w:color="auto" w:fill="auto"/>
          </w:tcPr>
          <w:p w14:paraId="3BFE5A23" w14:textId="37391469"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257"/>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57"/>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57"/>
                <w14:textFill>
                  <w14:solidFill>
                    <w14:srgbClr w14:val="000000">
                      <w14:alpha w14:val="100000"/>
                    </w14:srgbClr>
                  </w14:solidFill>
                </w14:textFill>
              </w:rPr>
              <w:t xml:space="preserve">　</w:t>
            </w:r>
            <w:r w:rsidR="0039419D">
              <w:rPr>
                <w:vertAlign w:val="superscript"/>
              </w:rPr>
              <w:t>10</w:t>
            </w:r>
          </w:p>
        </w:tc>
        <w:tc>
          <w:tcPr>
            <w:tcW w:w="652" w:type="pct"/>
            <w:tcBorders>
              <w:top w:val="nil"/>
              <w:left w:val="single" w:sz="4" w:space="0" w:color="auto"/>
              <w:bottom w:val="nil"/>
              <w:right w:val="single" w:sz="4" w:space="0" w:color="auto"/>
            </w:tcBorders>
            <w:shd w:val="clear" w:color="auto" w:fill="auto"/>
          </w:tcPr>
          <w:p w14:paraId="27D4B3DA" w14:textId="43C46B6D"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44" w:id="-1167926256"/>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256"/>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256"/>
                <w14:textFill>
                  <w14:solidFill>
                    <w14:srgbClr w14:val="000000">
                      <w14:alpha w14:val="100000"/>
                    </w14:srgbClr>
                  </w14:solidFill>
                </w14:textFill>
              </w:rPr>
              <w:t xml:space="preserve">　</w:t>
            </w:r>
            <w:r w:rsidR="0039419D">
              <w:rPr>
                <w:vertAlign w:val="superscript"/>
              </w:rPr>
              <w:t>11</w:t>
            </w:r>
          </w:p>
        </w:tc>
        <w:tc>
          <w:tcPr>
            <w:tcW w:w="653" w:type="pct"/>
            <w:gridSpan w:val="2"/>
            <w:tcBorders>
              <w:top w:val="nil"/>
              <w:left w:val="single" w:sz="4" w:space="0" w:color="auto"/>
              <w:bottom w:val="nil"/>
              <w:right w:val="single" w:sz="4" w:space="0" w:color="auto"/>
            </w:tcBorders>
            <w:shd w:val="clear" w:color="auto" w:fill="auto"/>
          </w:tcPr>
          <w:p w14:paraId="26048272" w14:textId="6EF81CFF"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55" w:id="-1167926272"/>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272"/>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272"/>
                <w14:textFill>
                  <w14:solidFill>
                    <w14:srgbClr w14:val="000000">
                      <w14:alpha w14:val="100000"/>
                    </w14:srgbClr>
                  </w14:solidFill>
                </w14:textFill>
              </w:rPr>
              <w:t xml:space="preserve">　</w:t>
            </w:r>
            <w:r w:rsidR="0039419D">
              <w:rPr>
                <w:vertAlign w:val="superscript"/>
              </w:rPr>
              <w:t>11</w:t>
            </w:r>
          </w:p>
        </w:tc>
        <w:tc>
          <w:tcPr>
            <w:tcW w:w="617" w:type="pct"/>
            <w:tcBorders>
              <w:top w:val="nil"/>
              <w:left w:val="single" w:sz="4" w:space="0" w:color="auto"/>
              <w:bottom w:val="nil"/>
              <w:right w:val="single" w:sz="4" w:space="0" w:color="auto"/>
            </w:tcBorders>
            <w:shd w:val="clear" w:color="auto" w:fill="auto"/>
          </w:tcPr>
          <w:p w14:paraId="160D177F" w14:textId="7EA1DACF"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8" w:id="-1167926271"/>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271"/>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271"/>
                <w14:textFill>
                  <w14:solidFill>
                    <w14:srgbClr w14:val="000000">
                      <w14:alpha w14:val="100000"/>
                    </w14:srgbClr>
                  </w14:solidFill>
                </w14:textFill>
              </w:rPr>
              <w:t xml:space="preserve">　</w:t>
            </w:r>
            <w:r w:rsidR="0039419D">
              <w:rPr>
                <w:vertAlign w:val="superscript"/>
              </w:rPr>
              <w:t>11</w:t>
            </w:r>
          </w:p>
        </w:tc>
        <w:tc>
          <w:tcPr>
            <w:tcW w:w="615" w:type="pct"/>
            <w:gridSpan w:val="2"/>
            <w:tcBorders>
              <w:top w:val="nil"/>
              <w:left w:val="single" w:sz="4" w:space="0" w:color="auto"/>
              <w:bottom w:val="nil"/>
            </w:tcBorders>
          </w:tcPr>
          <w:p w14:paraId="0F4B32F0" w14:textId="77C9E000"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270"/>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70"/>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70"/>
                <w14:textFill>
                  <w14:solidFill>
                    <w14:srgbClr w14:val="000000">
                      <w14:alpha w14:val="100000"/>
                    </w14:srgbClr>
                  </w14:solidFill>
                </w14:textFill>
              </w:rPr>
              <w:t xml:space="preserve">　</w:t>
            </w:r>
            <w:r w:rsidR="0039419D">
              <w:rPr>
                <w:vertAlign w:val="superscript"/>
              </w:rPr>
              <w:t>12</w:t>
            </w:r>
          </w:p>
        </w:tc>
      </w:tr>
      <w:tr w:rsidR="0039419D" w:rsidRPr="00541454" w14:paraId="64F16D4E"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0C654887" w14:textId="3C318AAC" w:rsidR="0067643B" w:rsidRPr="00541454" w:rsidRDefault="0067643B" w:rsidP="0067643B">
            <w:pPr>
              <w:pStyle w:val="TableText0"/>
              <w:keepNext w:val="0"/>
              <w:ind w:left="257"/>
              <w:rPr>
                <w:iCs/>
                <w:szCs w:val="20"/>
              </w:rPr>
            </w:pPr>
            <w:r w:rsidRPr="00541454">
              <w:rPr>
                <w:szCs w:val="20"/>
              </w:rPr>
              <w:t xml:space="preserve">PSCR </w:t>
            </w:r>
            <w:r w:rsidR="00134982" w:rsidRPr="00541454">
              <w:rPr>
                <w:szCs w:val="20"/>
              </w:rPr>
              <w:t xml:space="preserve">(resubmission) </w:t>
            </w:r>
            <w:r w:rsidRPr="00541454">
              <w:rPr>
                <w:szCs w:val="20"/>
              </w:rPr>
              <w:t xml:space="preserve">with removal of price inflation factor for initiation scripts and formula for annual discontinuation </w:t>
            </w:r>
            <w:proofErr w:type="gramStart"/>
            <w:r w:rsidRPr="00541454">
              <w:rPr>
                <w:szCs w:val="20"/>
              </w:rPr>
              <w:t>applied</w:t>
            </w:r>
            <w:r w:rsidR="00342669" w:rsidRPr="00541454">
              <w:rPr>
                <w:szCs w:val="20"/>
                <w:vertAlign w:val="superscript"/>
              </w:rPr>
              <w:t>b,c</w:t>
            </w:r>
            <w:proofErr w:type="gramEnd"/>
          </w:p>
        </w:tc>
        <w:tc>
          <w:tcPr>
            <w:tcW w:w="624" w:type="pct"/>
            <w:tcBorders>
              <w:top w:val="nil"/>
              <w:left w:val="single" w:sz="4" w:space="0" w:color="auto"/>
              <w:bottom w:val="nil"/>
              <w:right w:val="single" w:sz="4" w:space="0" w:color="auto"/>
            </w:tcBorders>
            <w:shd w:val="clear" w:color="auto" w:fill="auto"/>
            <w:vAlign w:val="center"/>
          </w:tcPr>
          <w:p w14:paraId="249C140C" w14:textId="29BDBBD3"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20"/>
                <w:szCs w:val="20"/>
                <w:shd w:val="solid" w:color="000000" w:fill="000000"/>
                <w:fitText w:val="89" w:id="-1167926269"/>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269"/>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269"/>
                <w14:textFill>
                  <w14:solidFill>
                    <w14:srgbClr w14:val="000000">
                      <w14:alpha w14:val="100000"/>
                    </w14:srgbClr>
                  </w14:solidFill>
                </w14:textFill>
              </w:rPr>
              <w:t xml:space="preserve">　</w:t>
            </w:r>
            <w:r w:rsidR="0039419D">
              <w:rPr>
                <w:vertAlign w:val="superscript"/>
              </w:rPr>
              <w:t>10</w:t>
            </w:r>
          </w:p>
        </w:tc>
        <w:tc>
          <w:tcPr>
            <w:tcW w:w="633" w:type="pct"/>
            <w:tcBorders>
              <w:top w:val="nil"/>
              <w:left w:val="single" w:sz="4" w:space="0" w:color="auto"/>
              <w:bottom w:val="nil"/>
              <w:right w:val="single" w:sz="4" w:space="0" w:color="auto"/>
            </w:tcBorders>
            <w:shd w:val="clear" w:color="auto" w:fill="auto"/>
            <w:vAlign w:val="center"/>
          </w:tcPr>
          <w:p w14:paraId="12B9E242" w14:textId="6D4E98D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268"/>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68"/>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68"/>
                <w14:textFill>
                  <w14:solidFill>
                    <w14:srgbClr w14:val="000000">
                      <w14:alpha w14:val="100000"/>
                    </w14:srgbClr>
                  </w14:solidFill>
                </w14:textFill>
              </w:rPr>
              <w:t xml:space="preserve">　</w:t>
            </w:r>
            <w:r w:rsidR="0039419D">
              <w:rPr>
                <w:vertAlign w:val="superscript"/>
              </w:rPr>
              <w:t>10</w:t>
            </w:r>
          </w:p>
        </w:tc>
        <w:tc>
          <w:tcPr>
            <w:tcW w:w="652" w:type="pct"/>
            <w:tcBorders>
              <w:top w:val="nil"/>
              <w:left w:val="single" w:sz="4" w:space="0" w:color="auto"/>
              <w:bottom w:val="nil"/>
              <w:right w:val="single" w:sz="4" w:space="0" w:color="auto"/>
            </w:tcBorders>
            <w:shd w:val="clear" w:color="auto" w:fill="auto"/>
            <w:vAlign w:val="center"/>
          </w:tcPr>
          <w:p w14:paraId="0029C5E9" w14:textId="54DABBF0"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44" w:id="-1167926267"/>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267"/>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267"/>
                <w14:textFill>
                  <w14:solidFill>
                    <w14:srgbClr w14:val="000000">
                      <w14:alpha w14:val="100000"/>
                    </w14:srgbClr>
                  </w14:solidFill>
                </w14:textFill>
              </w:rPr>
              <w:t xml:space="preserve">　</w:t>
            </w:r>
            <w:r w:rsidR="0039419D">
              <w:rPr>
                <w:vertAlign w:val="superscript"/>
              </w:rPr>
              <w:t>11</w:t>
            </w:r>
          </w:p>
        </w:tc>
        <w:tc>
          <w:tcPr>
            <w:tcW w:w="653" w:type="pct"/>
            <w:gridSpan w:val="2"/>
            <w:tcBorders>
              <w:top w:val="nil"/>
              <w:left w:val="single" w:sz="4" w:space="0" w:color="auto"/>
              <w:bottom w:val="nil"/>
              <w:right w:val="single" w:sz="4" w:space="0" w:color="auto"/>
            </w:tcBorders>
            <w:shd w:val="clear" w:color="auto" w:fill="auto"/>
            <w:vAlign w:val="center"/>
          </w:tcPr>
          <w:p w14:paraId="5D9A3D81" w14:textId="5DCCAF98"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55" w:id="-1167926266"/>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266"/>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266"/>
                <w14:textFill>
                  <w14:solidFill>
                    <w14:srgbClr w14:val="000000">
                      <w14:alpha w14:val="100000"/>
                    </w14:srgbClr>
                  </w14:solidFill>
                </w14:textFill>
              </w:rPr>
              <w:t xml:space="preserve">　</w:t>
            </w:r>
            <w:r w:rsidR="0039419D">
              <w:rPr>
                <w:vertAlign w:val="superscript"/>
              </w:rPr>
              <w:t>11</w:t>
            </w:r>
          </w:p>
        </w:tc>
        <w:tc>
          <w:tcPr>
            <w:tcW w:w="617" w:type="pct"/>
            <w:tcBorders>
              <w:top w:val="nil"/>
              <w:left w:val="single" w:sz="4" w:space="0" w:color="auto"/>
              <w:bottom w:val="nil"/>
              <w:right w:val="single" w:sz="4" w:space="0" w:color="auto"/>
            </w:tcBorders>
            <w:shd w:val="clear" w:color="auto" w:fill="auto"/>
            <w:vAlign w:val="center"/>
          </w:tcPr>
          <w:p w14:paraId="0136711C" w14:textId="437A2EC3"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8" w:id="-1167926265"/>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265"/>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265"/>
                <w14:textFill>
                  <w14:solidFill>
                    <w14:srgbClr w14:val="000000">
                      <w14:alpha w14:val="100000"/>
                    </w14:srgbClr>
                  </w14:solidFill>
                </w14:textFill>
              </w:rPr>
              <w:t xml:space="preserve">　</w:t>
            </w:r>
            <w:r w:rsidR="0039419D">
              <w:rPr>
                <w:vertAlign w:val="superscript"/>
              </w:rPr>
              <w:t>11</w:t>
            </w:r>
          </w:p>
        </w:tc>
        <w:tc>
          <w:tcPr>
            <w:tcW w:w="615" w:type="pct"/>
            <w:gridSpan w:val="2"/>
            <w:tcBorders>
              <w:top w:val="nil"/>
              <w:left w:val="single" w:sz="4" w:space="0" w:color="auto"/>
              <w:bottom w:val="nil"/>
            </w:tcBorders>
            <w:vAlign w:val="center"/>
          </w:tcPr>
          <w:p w14:paraId="209DE89C" w14:textId="24BCE41E"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264"/>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64"/>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64"/>
                <w14:textFill>
                  <w14:solidFill>
                    <w14:srgbClr w14:val="000000">
                      <w14:alpha w14:val="100000"/>
                    </w14:srgbClr>
                  </w14:solidFill>
                </w14:textFill>
              </w:rPr>
              <w:t xml:space="preserve">　</w:t>
            </w:r>
            <w:r w:rsidR="0039419D">
              <w:rPr>
                <w:vertAlign w:val="superscript"/>
              </w:rPr>
              <w:t>12</w:t>
            </w:r>
          </w:p>
        </w:tc>
      </w:tr>
      <w:tr w:rsidR="0039419D" w:rsidRPr="0067643B" w14:paraId="14108796"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5BB402A1" w14:textId="77777777" w:rsidR="0067643B" w:rsidRPr="0067643B" w:rsidRDefault="0067643B" w:rsidP="0067643B">
            <w:pPr>
              <w:pStyle w:val="TableText0"/>
              <w:keepNext w:val="0"/>
              <w:ind w:left="257"/>
              <w:rPr>
                <w:szCs w:val="20"/>
              </w:rPr>
            </w:pPr>
            <w:r w:rsidRPr="0067643B">
              <w:rPr>
                <w:szCs w:val="20"/>
              </w:rPr>
              <w:t>Resubmission</w:t>
            </w:r>
          </w:p>
        </w:tc>
        <w:tc>
          <w:tcPr>
            <w:tcW w:w="624" w:type="pct"/>
            <w:tcBorders>
              <w:top w:val="nil"/>
              <w:left w:val="single" w:sz="4" w:space="0" w:color="auto"/>
              <w:bottom w:val="nil"/>
              <w:right w:val="single" w:sz="4" w:space="0" w:color="auto"/>
            </w:tcBorders>
            <w:shd w:val="clear" w:color="auto" w:fill="auto"/>
            <w:vAlign w:val="center"/>
          </w:tcPr>
          <w:p w14:paraId="23D5B9A6" w14:textId="43777065"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263"/>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263"/>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263"/>
                <w14:textFill>
                  <w14:solidFill>
                    <w14:srgbClr w14:val="000000">
                      <w14:alpha w14:val="100000"/>
                    </w14:srgbClr>
                  </w14:solidFill>
                </w14:textFill>
              </w:rPr>
              <w:t xml:space="preserve">　</w:t>
            </w:r>
            <w:r w:rsidR="0039419D">
              <w:rPr>
                <w:vertAlign w:val="superscript"/>
              </w:rPr>
              <w:t>13</w:t>
            </w:r>
          </w:p>
        </w:tc>
        <w:tc>
          <w:tcPr>
            <w:tcW w:w="633" w:type="pct"/>
            <w:tcBorders>
              <w:top w:val="nil"/>
              <w:left w:val="single" w:sz="4" w:space="0" w:color="auto"/>
              <w:bottom w:val="nil"/>
              <w:right w:val="single" w:sz="4" w:space="0" w:color="auto"/>
            </w:tcBorders>
            <w:shd w:val="clear" w:color="auto" w:fill="auto"/>
            <w:vAlign w:val="center"/>
          </w:tcPr>
          <w:p w14:paraId="593FE301" w14:textId="7EC32BBC"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62"/>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62"/>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62"/>
                <w14:textFill>
                  <w14:solidFill>
                    <w14:srgbClr w14:val="000000">
                      <w14:alpha w14:val="100000"/>
                    </w14:srgbClr>
                  </w14:solidFill>
                </w14:textFill>
              </w:rPr>
              <w:t xml:space="preserve">　</w:t>
            </w:r>
            <w:r w:rsidR="0039419D">
              <w:rPr>
                <w:vertAlign w:val="superscript"/>
              </w:rPr>
              <w:t>13</w:t>
            </w:r>
          </w:p>
        </w:tc>
        <w:tc>
          <w:tcPr>
            <w:tcW w:w="652" w:type="pct"/>
            <w:tcBorders>
              <w:top w:val="nil"/>
              <w:left w:val="single" w:sz="4" w:space="0" w:color="auto"/>
              <w:bottom w:val="nil"/>
              <w:right w:val="single" w:sz="4" w:space="0" w:color="auto"/>
            </w:tcBorders>
            <w:shd w:val="clear" w:color="auto" w:fill="auto"/>
            <w:vAlign w:val="center"/>
          </w:tcPr>
          <w:p w14:paraId="02F48511" w14:textId="2E6FD070"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44" w:id="-1167926261"/>
                <w14:textFill>
                  <w14:solidFill>
                    <w14:srgbClr w14:val="000000">
                      <w14:alpha w14:val="100000"/>
                    </w14:srgbClr>
                  </w14:solidFill>
                </w14:textFill>
              </w:rPr>
              <w:t xml:space="preserve">　</w:t>
            </w:r>
            <w:r w:rsidR="00F5190C" w:rsidRPr="00F5190C">
              <w:rPr>
                <w:color w:val="000000"/>
                <w:w w:val="15"/>
                <w:szCs w:val="20"/>
                <w:shd w:val="solid" w:color="000000" w:fill="000000"/>
                <w:fitText w:val="44" w:id="-1167926261"/>
                <w14:textFill>
                  <w14:solidFill>
                    <w14:srgbClr w14:val="000000">
                      <w14:alpha w14:val="100000"/>
                    </w14:srgbClr>
                  </w14:solidFill>
                </w14:textFill>
              </w:rPr>
              <w:t>|</w:t>
            </w:r>
            <w:r w:rsidR="00F5190C" w:rsidRPr="00F5190C">
              <w:rPr>
                <w:rFonts w:hint="eastAsia"/>
                <w:color w:val="000000"/>
                <w:spacing w:val="-21"/>
                <w:w w:val="15"/>
                <w:szCs w:val="20"/>
                <w:shd w:val="solid" w:color="000000" w:fill="000000"/>
                <w:fitText w:val="44" w:id="-1167926261"/>
                <w14:textFill>
                  <w14:solidFill>
                    <w14:srgbClr w14:val="000000">
                      <w14:alpha w14:val="100000"/>
                    </w14:srgbClr>
                  </w14:solidFill>
                </w14:textFill>
              </w:rPr>
              <w:t xml:space="preserve">　</w:t>
            </w:r>
            <w:r w:rsidR="0039419D">
              <w:rPr>
                <w:vertAlign w:val="superscript"/>
              </w:rPr>
              <w:t>13</w:t>
            </w:r>
          </w:p>
        </w:tc>
        <w:tc>
          <w:tcPr>
            <w:tcW w:w="653" w:type="pct"/>
            <w:gridSpan w:val="2"/>
            <w:tcBorders>
              <w:top w:val="nil"/>
              <w:left w:val="single" w:sz="4" w:space="0" w:color="auto"/>
              <w:bottom w:val="nil"/>
              <w:right w:val="single" w:sz="4" w:space="0" w:color="auto"/>
            </w:tcBorders>
            <w:shd w:val="clear" w:color="auto" w:fill="auto"/>
            <w:vAlign w:val="center"/>
          </w:tcPr>
          <w:p w14:paraId="79A19FA2" w14:textId="5C3F938F"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55" w:id="-1167926260"/>
                <w14:textFill>
                  <w14:solidFill>
                    <w14:srgbClr w14:val="000000">
                      <w14:alpha w14:val="100000"/>
                    </w14:srgbClr>
                  </w14:solidFill>
                </w14:textFill>
              </w:rPr>
              <w:t xml:space="preserve">　</w:t>
            </w:r>
            <w:r w:rsidR="00F5190C" w:rsidRPr="00F5190C">
              <w:rPr>
                <w:color w:val="000000"/>
                <w:w w:val="15"/>
                <w:szCs w:val="20"/>
                <w:shd w:val="solid" w:color="000000" w:fill="000000"/>
                <w:fitText w:val="55" w:id="-1167926260"/>
                <w14:textFill>
                  <w14:solidFill>
                    <w14:srgbClr w14:val="000000">
                      <w14:alpha w14:val="100000"/>
                    </w14:srgbClr>
                  </w14:solidFill>
                </w14:textFill>
              </w:rPr>
              <w:t>|</w:t>
            </w:r>
            <w:r w:rsidR="00F5190C" w:rsidRPr="00F5190C">
              <w:rPr>
                <w:rFonts w:hint="eastAsia"/>
                <w:color w:val="000000"/>
                <w:spacing w:val="-10"/>
                <w:w w:val="15"/>
                <w:szCs w:val="20"/>
                <w:shd w:val="solid" w:color="000000" w:fill="000000"/>
                <w:fitText w:val="55" w:id="-1167926260"/>
                <w14:textFill>
                  <w14:solidFill>
                    <w14:srgbClr w14:val="000000">
                      <w14:alpha w14:val="100000"/>
                    </w14:srgbClr>
                  </w14:solidFill>
                </w14:textFill>
              </w:rPr>
              <w:t xml:space="preserve">　</w:t>
            </w:r>
            <w:r w:rsidR="0039419D">
              <w:rPr>
                <w:vertAlign w:val="superscript"/>
              </w:rPr>
              <w:t>13</w:t>
            </w:r>
          </w:p>
        </w:tc>
        <w:tc>
          <w:tcPr>
            <w:tcW w:w="617" w:type="pct"/>
            <w:tcBorders>
              <w:top w:val="nil"/>
              <w:left w:val="single" w:sz="4" w:space="0" w:color="auto"/>
              <w:bottom w:val="nil"/>
              <w:right w:val="single" w:sz="4" w:space="0" w:color="auto"/>
            </w:tcBorders>
            <w:shd w:val="clear" w:color="auto" w:fill="auto"/>
            <w:vAlign w:val="center"/>
          </w:tcPr>
          <w:p w14:paraId="48760E7A" w14:textId="7E7B8D42"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8" w:id="-1167926259"/>
                <w14:textFill>
                  <w14:solidFill>
                    <w14:srgbClr w14:val="000000">
                      <w14:alpha w14:val="100000"/>
                    </w14:srgbClr>
                  </w14:solidFill>
                </w14:textFill>
              </w:rPr>
              <w:t xml:space="preserve">　</w:t>
            </w:r>
            <w:r w:rsidR="00F5190C" w:rsidRPr="00F5190C">
              <w:rPr>
                <w:color w:val="000000"/>
                <w:w w:val="17"/>
                <w:szCs w:val="20"/>
                <w:shd w:val="solid" w:color="000000" w:fill="000000"/>
                <w:fitText w:val="78" w:id="-1167926259"/>
                <w14:textFill>
                  <w14:solidFill>
                    <w14:srgbClr w14:val="000000">
                      <w14:alpha w14:val="100000"/>
                    </w14:srgbClr>
                  </w14:solidFill>
                </w14:textFill>
              </w:rPr>
              <w:t>|</w:t>
            </w:r>
            <w:r w:rsidR="00F5190C" w:rsidRPr="00F5190C">
              <w:rPr>
                <w:rFonts w:hint="eastAsia"/>
                <w:color w:val="000000"/>
                <w:spacing w:val="5"/>
                <w:w w:val="17"/>
                <w:szCs w:val="20"/>
                <w:shd w:val="solid" w:color="000000" w:fill="000000"/>
                <w:fitText w:val="78" w:id="-1167926259"/>
                <w14:textFill>
                  <w14:solidFill>
                    <w14:srgbClr w14:val="000000">
                      <w14:alpha w14:val="100000"/>
                    </w14:srgbClr>
                  </w14:solidFill>
                </w14:textFill>
              </w:rPr>
              <w:t xml:space="preserve">　</w:t>
            </w:r>
            <w:r w:rsidR="0039419D">
              <w:rPr>
                <w:vertAlign w:val="superscript"/>
              </w:rPr>
              <w:t>13</w:t>
            </w:r>
          </w:p>
        </w:tc>
        <w:tc>
          <w:tcPr>
            <w:tcW w:w="615" w:type="pct"/>
            <w:gridSpan w:val="2"/>
            <w:tcBorders>
              <w:top w:val="nil"/>
              <w:left w:val="single" w:sz="4" w:space="0" w:color="auto"/>
              <w:bottom w:val="nil"/>
            </w:tcBorders>
            <w:vAlign w:val="center"/>
          </w:tcPr>
          <w:p w14:paraId="74163C34" w14:textId="316F0EC1"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58"/>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58"/>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58"/>
                <w14:textFill>
                  <w14:solidFill>
                    <w14:srgbClr w14:val="000000">
                      <w14:alpha w14:val="100000"/>
                    </w14:srgbClr>
                  </w14:solidFill>
                </w14:textFill>
              </w:rPr>
              <w:t xml:space="preserve">　</w:t>
            </w:r>
            <w:r w:rsidR="0039419D">
              <w:rPr>
                <w:vertAlign w:val="superscript"/>
              </w:rPr>
              <w:t>13</w:t>
            </w:r>
          </w:p>
        </w:tc>
      </w:tr>
      <w:tr w:rsidR="0039419D" w:rsidRPr="0067643B" w14:paraId="49E80695" w14:textId="77777777" w:rsidTr="0039419D">
        <w:trPr>
          <w:gridAfter w:val="2"/>
          <w:wAfter w:w="21" w:type="pct"/>
        </w:trPr>
        <w:tc>
          <w:tcPr>
            <w:tcW w:w="1185" w:type="pct"/>
            <w:tcBorders>
              <w:top w:val="nil"/>
              <w:bottom w:val="dashSmallGap" w:sz="4" w:space="0" w:color="auto"/>
              <w:right w:val="single" w:sz="4" w:space="0" w:color="auto"/>
            </w:tcBorders>
            <w:shd w:val="clear" w:color="auto" w:fill="C6D9F1" w:themeFill="text2" w:themeFillTint="33"/>
            <w:vAlign w:val="center"/>
          </w:tcPr>
          <w:p w14:paraId="592E4029" w14:textId="6534EC9B" w:rsidR="0067643B" w:rsidRPr="0067643B" w:rsidRDefault="0067643B" w:rsidP="0067643B">
            <w:pPr>
              <w:pStyle w:val="TableText0"/>
              <w:keepNext w:val="0"/>
              <w:ind w:left="257"/>
              <w:rPr>
                <w:szCs w:val="20"/>
              </w:rPr>
            </w:pPr>
            <w:r w:rsidRPr="0067643B">
              <w:rPr>
                <w:szCs w:val="20"/>
              </w:rPr>
              <w:t>November 2022 Pre-PBAC response</w:t>
            </w:r>
          </w:p>
        </w:tc>
        <w:tc>
          <w:tcPr>
            <w:tcW w:w="624"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5E604759" w14:textId="0E0B596B"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257"/>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257"/>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257"/>
                <w14:textFill>
                  <w14:solidFill>
                    <w14:srgbClr w14:val="000000">
                      <w14:alpha w14:val="100000"/>
                    </w14:srgbClr>
                  </w14:solidFill>
                </w14:textFill>
              </w:rPr>
              <w:t xml:space="preserve">　</w:t>
            </w:r>
            <w:r w:rsidR="0039419D">
              <w:rPr>
                <w:vertAlign w:val="superscript"/>
              </w:rPr>
              <w:t>14</w:t>
            </w:r>
          </w:p>
        </w:tc>
        <w:tc>
          <w:tcPr>
            <w:tcW w:w="633"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2E9E1519" w14:textId="3447FEBB"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56"/>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56"/>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56"/>
                <w14:textFill>
                  <w14:solidFill>
                    <w14:srgbClr w14:val="000000">
                      <w14:alpha w14:val="100000"/>
                    </w14:srgbClr>
                  </w14:solidFill>
                </w14:textFill>
              </w:rPr>
              <w:t xml:space="preserve">　</w:t>
            </w:r>
            <w:r w:rsidR="0039419D">
              <w:rPr>
                <w:vertAlign w:val="superscript"/>
              </w:rPr>
              <w:t>15</w:t>
            </w:r>
          </w:p>
        </w:tc>
        <w:tc>
          <w:tcPr>
            <w:tcW w:w="652"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019C2BEA" w14:textId="1E210A14"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44" w:id="-1167926272"/>
                <w14:textFill>
                  <w14:solidFill>
                    <w14:srgbClr w14:val="000000">
                      <w14:alpha w14:val="100000"/>
                    </w14:srgbClr>
                  </w14:solidFill>
                </w14:textFill>
              </w:rPr>
              <w:t xml:space="preserve">　</w:t>
            </w:r>
            <w:r w:rsidR="00F5190C" w:rsidRPr="00F5190C">
              <w:rPr>
                <w:color w:val="000000"/>
                <w:w w:val="15"/>
                <w:szCs w:val="20"/>
                <w:shd w:val="solid" w:color="000000" w:fill="000000"/>
                <w:fitText w:val="44" w:id="-1167926272"/>
                <w14:textFill>
                  <w14:solidFill>
                    <w14:srgbClr w14:val="000000">
                      <w14:alpha w14:val="100000"/>
                    </w14:srgbClr>
                  </w14:solidFill>
                </w14:textFill>
              </w:rPr>
              <w:t>|</w:t>
            </w:r>
            <w:r w:rsidR="00F5190C" w:rsidRPr="00F5190C">
              <w:rPr>
                <w:rFonts w:hint="eastAsia"/>
                <w:color w:val="000000"/>
                <w:spacing w:val="-21"/>
                <w:w w:val="15"/>
                <w:szCs w:val="20"/>
                <w:shd w:val="solid" w:color="000000" w:fill="000000"/>
                <w:fitText w:val="44" w:id="-1167926272"/>
                <w14:textFill>
                  <w14:solidFill>
                    <w14:srgbClr w14:val="000000">
                      <w14:alpha w14:val="100000"/>
                    </w14:srgbClr>
                  </w14:solidFill>
                </w14:textFill>
              </w:rPr>
              <w:t xml:space="preserve">　</w:t>
            </w:r>
            <w:r w:rsidR="0039419D">
              <w:rPr>
                <w:vertAlign w:val="superscript"/>
              </w:rPr>
              <w:t>15</w:t>
            </w:r>
          </w:p>
        </w:tc>
        <w:tc>
          <w:tcPr>
            <w:tcW w:w="653" w:type="pct"/>
            <w:gridSpan w:val="2"/>
            <w:tcBorders>
              <w:top w:val="nil"/>
              <w:left w:val="single" w:sz="4" w:space="0" w:color="auto"/>
              <w:bottom w:val="dashSmallGap" w:sz="4" w:space="0" w:color="auto"/>
              <w:right w:val="single" w:sz="4" w:space="0" w:color="auto"/>
            </w:tcBorders>
            <w:shd w:val="clear" w:color="auto" w:fill="C6D9F1" w:themeFill="text2" w:themeFillTint="33"/>
            <w:vAlign w:val="center"/>
          </w:tcPr>
          <w:p w14:paraId="5F4D5C97" w14:textId="3442298E"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55" w:id="-1167926271"/>
                <w14:textFill>
                  <w14:solidFill>
                    <w14:srgbClr w14:val="000000">
                      <w14:alpha w14:val="100000"/>
                    </w14:srgbClr>
                  </w14:solidFill>
                </w14:textFill>
              </w:rPr>
              <w:t xml:space="preserve">　</w:t>
            </w:r>
            <w:r w:rsidR="00F5190C" w:rsidRPr="00F5190C">
              <w:rPr>
                <w:color w:val="000000"/>
                <w:w w:val="15"/>
                <w:szCs w:val="20"/>
                <w:shd w:val="solid" w:color="000000" w:fill="000000"/>
                <w:fitText w:val="55" w:id="-1167926271"/>
                <w14:textFill>
                  <w14:solidFill>
                    <w14:srgbClr w14:val="000000">
                      <w14:alpha w14:val="100000"/>
                    </w14:srgbClr>
                  </w14:solidFill>
                </w14:textFill>
              </w:rPr>
              <w:t>|</w:t>
            </w:r>
            <w:r w:rsidR="00F5190C" w:rsidRPr="00F5190C">
              <w:rPr>
                <w:rFonts w:hint="eastAsia"/>
                <w:color w:val="000000"/>
                <w:spacing w:val="-10"/>
                <w:w w:val="15"/>
                <w:szCs w:val="20"/>
                <w:shd w:val="solid" w:color="000000" w:fill="000000"/>
                <w:fitText w:val="55" w:id="-1167926271"/>
                <w14:textFill>
                  <w14:solidFill>
                    <w14:srgbClr w14:val="000000">
                      <w14:alpha w14:val="100000"/>
                    </w14:srgbClr>
                  </w14:solidFill>
                </w14:textFill>
              </w:rPr>
              <w:t xml:space="preserve">　</w:t>
            </w:r>
            <w:r w:rsidR="0039419D">
              <w:rPr>
                <w:vertAlign w:val="superscript"/>
              </w:rPr>
              <w:t>15</w:t>
            </w:r>
          </w:p>
        </w:tc>
        <w:tc>
          <w:tcPr>
            <w:tcW w:w="617" w:type="pct"/>
            <w:tcBorders>
              <w:top w:val="nil"/>
              <w:left w:val="single" w:sz="4" w:space="0" w:color="auto"/>
              <w:bottom w:val="dashSmallGap" w:sz="4" w:space="0" w:color="auto"/>
              <w:right w:val="single" w:sz="4" w:space="0" w:color="auto"/>
            </w:tcBorders>
            <w:shd w:val="clear" w:color="auto" w:fill="C6D9F1" w:themeFill="text2" w:themeFillTint="33"/>
            <w:vAlign w:val="center"/>
          </w:tcPr>
          <w:p w14:paraId="35E5E99E" w14:textId="2180F152"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8" w:id="-1167926270"/>
                <w14:textFill>
                  <w14:solidFill>
                    <w14:srgbClr w14:val="000000">
                      <w14:alpha w14:val="100000"/>
                    </w14:srgbClr>
                  </w14:solidFill>
                </w14:textFill>
              </w:rPr>
              <w:t xml:space="preserve">　</w:t>
            </w:r>
            <w:r w:rsidR="00F5190C" w:rsidRPr="00F5190C">
              <w:rPr>
                <w:color w:val="000000"/>
                <w:w w:val="17"/>
                <w:szCs w:val="20"/>
                <w:shd w:val="solid" w:color="000000" w:fill="000000"/>
                <w:fitText w:val="78" w:id="-1167926270"/>
                <w14:textFill>
                  <w14:solidFill>
                    <w14:srgbClr w14:val="000000">
                      <w14:alpha w14:val="100000"/>
                    </w14:srgbClr>
                  </w14:solidFill>
                </w14:textFill>
              </w:rPr>
              <w:t>|</w:t>
            </w:r>
            <w:r w:rsidR="00F5190C" w:rsidRPr="00F5190C">
              <w:rPr>
                <w:rFonts w:hint="eastAsia"/>
                <w:color w:val="000000"/>
                <w:spacing w:val="5"/>
                <w:w w:val="17"/>
                <w:szCs w:val="20"/>
                <w:shd w:val="solid" w:color="000000" w:fill="000000"/>
                <w:fitText w:val="78" w:id="-1167926270"/>
                <w14:textFill>
                  <w14:solidFill>
                    <w14:srgbClr w14:val="000000">
                      <w14:alpha w14:val="100000"/>
                    </w14:srgbClr>
                  </w14:solidFill>
                </w14:textFill>
              </w:rPr>
              <w:t xml:space="preserve">　</w:t>
            </w:r>
            <w:r w:rsidR="0039419D">
              <w:rPr>
                <w:vertAlign w:val="superscript"/>
              </w:rPr>
              <w:t>15</w:t>
            </w:r>
          </w:p>
        </w:tc>
        <w:tc>
          <w:tcPr>
            <w:tcW w:w="615" w:type="pct"/>
            <w:gridSpan w:val="2"/>
            <w:tcBorders>
              <w:top w:val="nil"/>
              <w:left w:val="single" w:sz="4" w:space="0" w:color="auto"/>
              <w:bottom w:val="dashSmallGap" w:sz="4" w:space="0" w:color="auto"/>
            </w:tcBorders>
            <w:shd w:val="clear" w:color="auto" w:fill="C6D9F1" w:themeFill="text2" w:themeFillTint="33"/>
            <w:vAlign w:val="center"/>
          </w:tcPr>
          <w:p w14:paraId="504032C1" w14:textId="0AAF8CB1"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69"/>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69"/>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69"/>
                <w14:textFill>
                  <w14:solidFill>
                    <w14:srgbClr w14:val="000000">
                      <w14:alpha w14:val="100000"/>
                    </w14:srgbClr>
                  </w14:solidFill>
                </w14:textFill>
              </w:rPr>
              <w:t xml:space="preserve">　</w:t>
            </w:r>
            <w:r w:rsidR="0039419D">
              <w:rPr>
                <w:vertAlign w:val="superscript"/>
              </w:rPr>
              <w:t>15</w:t>
            </w:r>
          </w:p>
        </w:tc>
      </w:tr>
      <w:tr w:rsidR="0039419D" w:rsidRPr="0067643B" w14:paraId="3A98267E" w14:textId="77777777" w:rsidTr="0039419D">
        <w:trPr>
          <w:gridAfter w:val="2"/>
          <w:wAfter w:w="21" w:type="pct"/>
        </w:trPr>
        <w:tc>
          <w:tcPr>
            <w:tcW w:w="1185" w:type="pct"/>
            <w:tcBorders>
              <w:top w:val="dashSmallGap" w:sz="4" w:space="0" w:color="auto"/>
              <w:bottom w:val="nil"/>
              <w:right w:val="single" w:sz="4" w:space="0" w:color="auto"/>
            </w:tcBorders>
            <w:shd w:val="clear" w:color="auto" w:fill="C6D9F1" w:themeFill="text2" w:themeFillTint="33"/>
            <w:vAlign w:val="center"/>
          </w:tcPr>
          <w:p w14:paraId="65514E41" w14:textId="77777777" w:rsidR="0067643B" w:rsidRPr="0067643B" w:rsidRDefault="0067643B" w:rsidP="0067643B">
            <w:pPr>
              <w:pStyle w:val="TableText0"/>
              <w:keepNext w:val="0"/>
              <w:ind w:left="257"/>
              <w:rPr>
                <w:szCs w:val="20"/>
              </w:rPr>
            </w:pPr>
            <w:r w:rsidRPr="0067643B">
              <w:rPr>
                <w:szCs w:val="20"/>
              </w:rPr>
              <w:t>November 2022 submission</w:t>
            </w:r>
          </w:p>
        </w:tc>
        <w:tc>
          <w:tcPr>
            <w:tcW w:w="624" w:type="pct"/>
            <w:tcBorders>
              <w:top w:val="dashSmallGap" w:sz="4" w:space="0" w:color="auto"/>
              <w:left w:val="single" w:sz="4" w:space="0" w:color="auto"/>
              <w:bottom w:val="nil"/>
              <w:right w:val="single" w:sz="4" w:space="0" w:color="auto"/>
            </w:tcBorders>
            <w:shd w:val="clear" w:color="auto" w:fill="C6D9F1" w:themeFill="text2" w:themeFillTint="33"/>
          </w:tcPr>
          <w:p w14:paraId="7B34026E" w14:textId="2C0E0DE3"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20"/>
                <w:szCs w:val="20"/>
                <w:shd w:val="solid" w:color="000000" w:fill="000000"/>
                <w:fitText w:val="89" w:id="-1167926268"/>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268"/>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268"/>
                <w14:textFill>
                  <w14:solidFill>
                    <w14:srgbClr w14:val="000000">
                      <w14:alpha w14:val="100000"/>
                    </w14:srgbClr>
                  </w14:solidFill>
                </w14:textFill>
              </w:rPr>
              <w:t xml:space="preserve">　</w:t>
            </w:r>
            <w:r w:rsidR="0039419D">
              <w:rPr>
                <w:vertAlign w:val="superscript"/>
              </w:rPr>
              <w:t>18</w:t>
            </w:r>
          </w:p>
        </w:tc>
        <w:tc>
          <w:tcPr>
            <w:tcW w:w="633" w:type="pct"/>
            <w:tcBorders>
              <w:top w:val="dashSmallGap" w:sz="4" w:space="0" w:color="auto"/>
              <w:left w:val="single" w:sz="4" w:space="0" w:color="auto"/>
              <w:bottom w:val="nil"/>
              <w:right w:val="single" w:sz="4" w:space="0" w:color="auto"/>
            </w:tcBorders>
            <w:shd w:val="clear" w:color="auto" w:fill="C6D9F1" w:themeFill="text2" w:themeFillTint="33"/>
          </w:tcPr>
          <w:p w14:paraId="154E289B" w14:textId="0C64B9AA"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267"/>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67"/>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67"/>
                <w14:textFill>
                  <w14:solidFill>
                    <w14:srgbClr w14:val="000000">
                      <w14:alpha w14:val="100000"/>
                    </w14:srgbClr>
                  </w14:solidFill>
                </w14:textFill>
              </w:rPr>
              <w:t xml:space="preserve">　</w:t>
            </w:r>
            <w:r w:rsidR="0039419D">
              <w:rPr>
                <w:vertAlign w:val="superscript"/>
              </w:rPr>
              <w:t>17</w:t>
            </w:r>
          </w:p>
        </w:tc>
        <w:tc>
          <w:tcPr>
            <w:tcW w:w="652" w:type="pct"/>
            <w:tcBorders>
              <w:top w:val="dashSmallGap" w:sz="4" w:space="0" w:color="auto"/>
              <w:left w:val="single" w:sz="4" w:space="0" w:color="auto"/>
              <w:bottom w:val="nil"/>
              <w:right w:val="single" w:sz="4" w:space="0" w:color="auto"/>
            </w:tcBorders>
            <w:shd w:val="clear" w:color="auto" w:fill="C6D9F1" w:themeFill="text2" w:themeFillTint="33"/>
          </w:tcPr>
          <w:p w14:paraId="7278727C" w14:textId="029129DB"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44" w:id="-1167926266"/>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266"/>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266"/>
                <w14:textFill>
                  <w14:solidFill>
                    <w14:srgbClr w14:val="000000">
                      <w14:alpha w14:val="100000"/>
                    </w14:srgbClr>
                  </w14:solidFill>
                </w14:textFill>
              </w:rPr>
              <w:t xml:space="preserve">　</w:t>
            </w:r>
            <w:r w:rsidR="0039419D">
              <w:rPr>
                <w:vertAlign w:val="superscript"/>
              </w:rPr>
              <w:t>12</w:t>
            </w:r>
          </w:p>
        </w:tc>
        <w:tc>
          <w:tcPr>
            <w:tcW w:w="653" w:type="pct"/>
            <w:gridSpan w:val="2"/>
            <w:tcBorders>
              <w:top w:val="dashSmallGap" w:sz="4" w:space="0" w:color="auto"/>
              <w:left w:val="single" w:sz="4" w:space="0" w:color="auto"/>
              <w:bottom w:val="nil"/>
              <w:right w:val="single" w:sz="4" w:space="0" w:color="auto"/>
            </w:tcBorders>
            <w:shd w:val="clear" w:color="auto" w:fill="C6D9F1" w:themeFill="text2" w:themeFillTint="33"/>
          </w:tcPr>
          <w:p w14:paraId="11CCF763" w14:textId="70515B6C"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55" w:id="-1167926265"/>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265"/>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265"/>
                <w14:textFill>
                  <w14:solidFill>
                    <w14:srgbClr w14:val="000000">
                      <w14:alpha w14:val="100000"/>
                    </w14:srgbClr>
                  </w14:solidFill>
                </w14:textFill>
              </w:rPr>
              <w:t xml:space="preserve">　</w:t>
            </w:r>
            <w:r w:rsidR="0039419D">
              <w:rPr>
                <w:vertAlign w:val="superscript"/>
              </w:rPr>
              <w:t>10</w:t>
            </w:r>
          </w:p>
        </w:tc>
        <w:tc>
          <w:tcPr>
            <w:tcW w:w="617" w:type="pct"/>
            <w:tcBorders>
              <w:top w:val="dashSmallGap" w:sz="4" w:space="0" w:color="auto"/>
              <w:left w:val="single" w:sz="4" w:space="0" w:color="auto"/>
              <w:bottom w:val="nil"/>
              <w:right w:val="single" w:sz="4" w:space="0" w:color="auto"/>
            </w:tcBorders>
            <w:shd w:val="clear" w:color="auto" w:fill="C6D9F1" w:themeFill="text2" w:themeFillTint="33"/>
          </w:tcPr>
          <w:p w14:paraId="7F3B39A6" w14:textId="4C3D50CF"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8" w:id="-1167926264"/>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264"/>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264"/>
                <w14:textFill>
                  <w14:solidFill>
                    <w14:srgbClr w14:val="000000">
                      <w14:alpha w14:val="100000"/>
                    </w14:srgbClr>
                  </w14:solidFill>
                </w14:textFill>
              </w:rPr>
              <w:t xml:space="preserve">　</w:t>
            </w:r>
            <w:r w:rsidR="0039419D">
              <w:rPr>
                <w:vertAlign w:val="superscript"/>
              </w:rPr>
              <w:t>16</w:t>
            </w:r>
          </w:p>
        </w:tc>
        <w:tc>
          <w:tcPr>
            <w:tcW w:w="615" w:type="pct"/>
            <w:gridSpan w:val="2"/>
            <w:tcBorders>
              <w:top w:val="dashSmallGap" w:sz="4" w:space="0" w:color="auto"/>
              <w:left w:val="single" w:sz="4" w:space="0" w:color="auto"/>
              <w:bottom w:val="nil"/>
            </w:tcBorders>
            <w:shd w:val="clear" w:color="auto" w:fill="C6D9F1" w:themeFill="text2" w:themeFillTint="33"/>
          </w:tcPr>
          <w:p w14:paraId="1E1F8759" w14:textId="083BAED1"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263"/>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63"/>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63"/>
                <w14:textFill>
                  <w14:solidFill>
                    <w14:srgbClr w14:val="000000">
                      <w14:alpha w14:val="100000"/>
                    </w14:srgbClr>
                  </w14:solidFill>
                </w14:textFill>
              </w:rPr>
              <w:t xml:space="preserve">　</w:t>
            </w:r>
            <w:r w:rsidR="0039419D">
              <w:rPr>
                <w:vertAlign w:val="superscript"/>
              </w:rPr>
              <w:t>15</w:t>
            </w:r>
          </w:p>
        </w:tc>
      </w:tr>
      <w:tr w:rsidR="0067643B" w:rsidRPr="0067643B" w14:paraId="58F45499" w14:textId="77777777" w:rsidTr="0039419D">
        <w:tc>
          <w:tcPr>
            <w:tcW w:w="5000" w:type="pct"/>
            <w:gridSpan w:val="11"/>
            <w:tcBorders>
              <w:top w:val="single" w:sz="4" w:space="0" w:color="auto"/>
              <w:bottom w:val="nil"/>
            </w:tcBorders>
            <w:shd w:val="clear" w:color="auto" w:fill="auto"/>
            <w:vAlign w:val="center"/>
          </w:tcPr>
          <w:p w14:paraId="7A097C59" w14:textId="7A959646" w:rsidR="0067643B" w:rsidRPr="0067643B" w:rsidRDefault="0067643B" w:rsidP="0067643B">
            <w:pPr>
              <w:pStyle w:val="TableText0"/>
              <w:keepNext w:val="0"/>
              <w:rPr>
                <w:szCs w:val="20"/>
              </w:rPr>
            </w:pPr>
            <w:r w:rsidRPr="0067643B">
              <w:rPr>
                <w:szCs w:val="20"/>
              </w:rPr>
              <w:t>Net cost to MBS</w:t>
            </w:r>
          </w:p>
        </w:tc>
      </w:tr>
      <w:tr w:rsidR="0039419D" w:rsidRPr="00541454" w14:paraId="4A00D25A"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70897B19" w14:textId="0E6D794F" w:rsidR="0067643B" w:rsidRPr="00541454" w:rsidRDefault="0067643B" w:rsidP="0067643B">
            <w:pPr>
              <w:pStyle w:val="TableText0"/>
              <w:keepNext w:val="0"/>
              <w:ind w:left="257"/>
              <w:rPr>
                <w:iCs/>
                <w:szCs w:val="20"/>
              </w:rPr>
            </w:pPr>
            <w:r w:rsidRPr="00541454">
              <w:rPr>
                <w:iCs/>
                <w:szCs w:val="20"/>
              </w:rPr>
              <w:t xml:space="preserve">PSCR </w:t>
            </w:r>
            <w:r w:rsidR="00134982" w:rsidRPr="00541454">
              <w:rPr>
                <w:iCs/>
                <w:szCs w:val="20"/>
              </w:rPr>
              <w:t>(</w:t>
            </w:r>
            <w:r w:rsidRPr="00541454">
              <w:rPr>
                <w:iCs/>
                <w:szCs w:val="20"/>
              </w:rPr>
              <w:t>resubmission</w:t>
            </w:r>
            <w:r w:rsidR="00134982" w:rsidRPr="00541454">
              <w:rPr>
                <w:iCs/>
                <w:szCs w:val="20"/>
              </w:rPr>
              <w:t>)</w:t>
            </w:r>
          </w:p>
        </w:tc>
        <w:tc>
          <w:tcPr>
            <w:tcW w:w="624" w:type="pct"/>
            <w:tcBorders>
              <w:top w:val="nil"/>
              <w:left w:val="single" w:sz="4" w:space="0" w:color="auto"/>
              <w:bottom w:val="nil"/>
              <w:right w:val="single" w:sz="4" w:space="0" w:color="auto"/>
            </w:tcBorders>
            <w:shd w:val="clear" w:color="auto" w:fill="auto"/>
          </w:tcPr>
          <w:p w14:paraId="6544661D" w14:textId="2FF12097"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20"/>
                <w:szCs w:val="20"/>
                <w:shd w:val="solid" w:color="000000" w:fill="000000"/>
                <w:fitText w:val="89" w:id="-1167926262"/>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262"/>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262"/>
                <w14:textFill>
                  <w14:solidFill>
                    <w14:srgbClr w14:val="000000">
                      <w14:alpha w14:val="100000"/>
                    </w14:srgbClr>
                  </w14:solidFill>
                </w14:textFill>
              </w:rPr>
              <w:t xml:space="preserve">　</w:t>
            </w:r>
            <w:r w:rsidR="006A1C29">
              <w:rPr>
                <w:vertAlign w:val="superscript"/>
              </w:rPr>
              <w:t>19</w:t>
            </w:r>
          </w:p>
        </w:tc>
        <w:tc>
          <w:tcPr>
            <w:tcW w:w="633" w:type="pct"/>
            <w:tcBorders>
              <w:top w:val="nil"/>
              <w:left w:val="single" w:sz="4" w:space="0" w:color="auto"/>
              <w:bottom w:val="nil"/>
              <w:right w:val="single" w:sz="4" w:space="0" w:color="auto"/>
            </w:tcBorders>
            <w:shd w:val="clear" w:color="auto" w:fill="auto"/>
          </w:tcPr>
          <w:p w14:paraId="0C0E6671" w14:textId="15120365"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261"/>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61"/>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61"/>
                <w14:textFill>
                  <w14:solidFill>
                    <w14:srgbClr w14:val="000000">
                      <w14:alpha w14:val="100000"/>
                    </w14:srgbClr>
                  </w14:solidFill>
                </w14:textFill>
              </w:rPr>
              <w:t xml:space="preserve">　</w:t>
            </w:r>
            <w:r w:rsidR="006A1C29">
              <w:rPr>
                <w:vertAlign w:val="superscript"/>
              </w:rPr>
              <w:t>19</w:t>
            </w:r>
          </w:p>
        </w:tc>
        <w:tc>
          <w:tcPr>
            <w:tcW w:w="652" w:type="pct"/>
            <w:tcBorders>
              <w:top w:val="nil"/>
              <w:left w:val="single" w:sz="4" w:space="0" w:color="auto"/>
              <w:bottom w:val="nil"/>
              <w:right w:val="single" w:sz="4" w:space="0" w:color="auto"/>
            </w:tcBorders>
            <w:shd w:val="clear" w:color="auto" w:fill="auto"/>
          </w:tcPr>
          <w:p w14:paraId="1F7CB2DA" w14:textId="19CBE55D"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44" w:id="-1167926260"/>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260"/>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260"/>
                <w14:textFill>
                  <w14:solidFill>
                    <w14:srgbClr w14:val="000000">
                      <w14:alpha w14:val="100000"/>
                    </w14:srgbClr>
                  </w14:solidFill>
                </w14:textFill>
              </w:rPr>
              <w:t xml:space="preserve">　</w:t>
            </w:r>
            <w:r w:rsidR="006A1C29">
              <w:rPr>
                <w:vertAlign w:val="superscript"/>
              </w:rPr>
              <w:t>19</w:t>
            </w:r>
          </w:p>
        </w:tc>
        <w:tc>
          <w:tcPr>
            <w:tcW w:w="653" w:type="pct"/>
            <w:gridSpan w:val="2"/>
            <w:tcBorders>
              <w:top w:val="nil"/>
              <w:left w:val="single" w:sz="4" w:space="0" w:color="auto"/>
              <w:bottom w:val="nil"/>
              <w:right w:val="single" w:sz="4" w:space="0" w:color="auto"/>
            </w:tcBorders>
            <w:shd w:val="clear" w:color="auto" w:fill="auto"/>
          </w:tcPr>
          <w:p w14:paraId="0DE618B6" w14:textId="09D07B6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55" w:id="-1167926259"/>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259"/>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259"/>
                <w14:textFill>
                  <w14:solidFill>
                    <w14:srgbClr w14:val="000000">
                      <w14:alpha w14:val="100000"/>
                    </w14:srgbClr>
                  </w14:solidFill>
                </w14:textFill>
              </w:rPr>
              <w:t xml:space="preserve">　</w:t>
            </w:r>
            <w:r w:rsidR="006A1C29">
              <w:rPr>
                <w:vertAlign w:val="superscript"/>
              </w:rPr>
              <w:t>19</w:t>
            </w:r>
          </w:p>
        </w:tc>
        <w:tc>
          <w:tcPr>
            <w:tcW w:w="617" w:type="pct"/>
            <w:tcBorders>
              <w:top w:val="nil"/>
              <w:left w:val="single" w:sz="4" w:space="0" w:color="auto"/>
              <w:bottom w:val="nil"/>
              <w:right w:val="single" w:sz="4" w:space="0" w:color="auto"/>
            </w:tcBorders>
            <w:shd w:val="clear" w:color="auto" w:fill="auto"/>
          </w:tcPr>
          <w:p w14:paraId="4F4EA47B" w14:textId="0E4DDA18"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8" w:id="-1167926258"/>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258"/>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258"/>
                <w14:textFill>
                  <w14:solidFill>
                    <w14:srgbClr w14:val="000000">
                      <w14:alpha w14:val="100000"/>
                    </w14:srgbClr>
                  </w14:solidFill>
                </w14:textFill>
              </w:rPr>
              <w:t xml:space="preserve">　</w:t>
            </w:r>
            <w:r w:rsidR="006A1C29">
              <w:rPr>
                <w:vertAlign w:val="superscript"/>
              </w:rPr>
              <w:t>19</w:t>
            </w:r>
          </w:p>
        </w:tc>
        <w:tc>
          <w:tcPr>
            <w:tcW w:w="615" w:type="pct"/>
            <w:gridSpan w:val="2"/>
            <w:tcBorders>
              <w:top w:val="nil"/>
              <w:left w:val="single" w:sz="4" w:space="0" w:color="auto"/>
              <w:bottom w:val="nil"/>
            </w:tcBorders>
          </w:tcPr>
          <w:p w14:paraId="1708DC87" w14:textId="2A6C7584"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257"/>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257"/>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257"/>
                <w14:textFill>
                  <w14:solidFill>
                    <w14:srgbClr w14:val="000000">
                      <w14:alpha w14:val="100000"/>
                    </w14:srgbClr>
                  </w14:solidFill>
                </w14:textFill>
              </w:rPr>
              <w:t xml:space="preserve">　</w:t>
            </w:r>
            <w:r w:rsidR="006A1C29">
              <w:rPr>
                <w:vertAlign w:val="superscript"/>
              </w:rPr>
              <w:t>19</w:t>
            </w:r>
          </w:p>
        </w:tc>
      </w:tr>
      <w:tr w:rsidR="0039419D" w:rsidRPr="0067643B" w14:paraId="03120B1E"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305E4B92" w14:textId="77777777" w:rsidR="0067643B" w:rsidRPr="0067643B" w:rsidRDefault="0067643B" w:rsidP="0067643B">
            <w:pPr>
              <w:pStyle w:val="TableText0"/>
              <w:keepNext w:val="0"/>
              <w:ind w:left="257"/>
              <w:rPr>
                <w:szCs w:val="20"/>
              </w:rPr>
            </w:pPr>
            <w:r w:rsidRPr="0067643B">
              <w:rPr>
                <w:szCs w:val="20"/>
              </w:rPr>
              <w:t>Resubmission</w:t>
            </w:r>
          </w:p>
        </w:tc>
        <w:tc>
          <w:tcPr>
            <w:tcW w:w="624" w:type="pct"/>
            <w:tcBorders>
              <w:top w:val="nil"/>
              <w:left w:val="single" w:sz="4" w:space="0" w:color="auto"/>
              <w:bottom w:val="nil"/>
              <w:right w:val="single" w:sz="4" w:space="0" w:color="auto"/>
            </w:tcBorders>
            <w:shd w:val="clear" w:color="auto" w:fill="auto"/>
          </w:tcPr>
          <w:p w14:paraId="2C85FFA6" w14:textId="648E581C"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256"/>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256"/>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256"/>
                <w14:textFill>
                  <w14:solidFill>
                    <w14:srgbClr w14:val="000000">
                      <w14:alpha w14:val="100000"/>
                    </w14:srgbClr>
                  </w14:solidFill>
                </w14:textFill>
              </w:rPr>
              <w:t xml:space="preserve">　</w:t>
            </w:r>
            <w:r w:rsidR="006A1C29">
              <w:rPr>
                <w:vertAlign w:val="superscript"/>
              </w:rPr>
              <w:t>19</w:t>
            </w:r>
          </w:p>
        </w:tc>
        <w:tc>
          <w:tcPr>
            <w:tcW w:w="633" w:type="pct"/>
            <w:tcBorders>
              <w:top w:val="nil"/>
              <w:left w:val="single" w:sz="4" w:space="0" w:color="auto"/>
              <w:bottom w:val="nil"/>
              <w:right w:val="single" w:sz="4" w:space="0" w:color="auto"/>
            </w:tcBorders>
            <w:shd w:val="clear" w:color="auto" w:fill="auto"/>
          </w:tcPr>
          <w:p w14:paraId="2BAD5474" w14:textId="550771BB"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72"/>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72"/>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72"/>
                <w14:textFill>
                  <w14:solidFill>
                    <w14:srgbClr w14:val="000000">
                      <w14:alpha w14:val="100000"/>
                    </w14:srgbClr>
                  </w14:solidFill>
                </w14:textFill>
              </w:rPr>
              <w:t xml:space="preserve">　</w:t>
            </w:r>
            <w:r w:rsidR="006A1C29">
              <w:rPr>
                <w:vertAlign w:val="superscript"/>
              </w:rPr>
              <w:t>19</w:t>
            </w:r>
          </w:p>
        </w:tc>
        <w:tc>
          <w:tcPr>
            <w:tcW w:w="652" w:type="pct"/>
            <w:tcBorders>
              <w:top w:val="nil"/>
              <w:left w:val="single" w:sz="4" w:space="0" w:color="auto"/>
              <w:bottom w:val="nil"/>
              <w:right w:val="single" w:sz="4" w:space="0" w:color="auto"/>
            </w:tcBorders>
            <w:shd w:val="clear" w:color="auto" w:fill="auto"/>
          </w:tcPr>
          <w:p w14:paraId="338DB51E" w14:textId="29AD2D7F"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44" w:id="-1167926271"/>
                <w14:textFill>
                  <w14:solidFill>
                    <w14:srgbClr w14:val="000000">
                      <w14:alpha w14:val="100000"/>
                    </w14:srgbClr>
                  </w14:solidFill>
                </w14:textFill>
              </w:rPr>
              <w:t xml:space="preserve">　</w:t>
            </w:r>
            <w:r w:rsidR="00F5190C" w:rsidRPr="00F5190C">
              <w:rPr>
                <w:color w:val="000000"/>
                <w:w w:val="15"/>
                <w:szCs w:val="20"/>
                <w:shd w:val="solid" w:color="000000" w:fill="000000"/>
                <w:fitText w:val="44" w:id="-1167926271"/>
                <w14:textFill>
                  <w14:solidFill>
                    <w14:srgbClr w14:val="000000">
                      <w14:alpha w14:val="100000"/>
                    </w14:srgbClr>
                  </w14:solidFill>
                </w14:textFill>
              </w:rPr>
              <w:t>|</w:t>
            </w:r>
            <w:r w:rsidR="00F5190C" w:rsidRPr="00F5190C">
              <w:rPr>
                <w:rFonts w:hint="eastAsia"/>
                <w:color w:val="000000"/>
                <w:spacing w:val="-21"/>
                <w:w w:val="15"/>
                <w:szCs w:val="20"/>
                <w:shd w:val="solid" w:color="000000" w:fill="000000"/>
                <w:fitText w:val="44" w:id="-1167926271"/>
                <w14:textFill>
                  <w14:solidFill>
                    <w14:srgbClr w14:val="000000">
                      <w14:alpha w14:val="100000"/>
                    </w14:srgbClr>
                  </w14:solidFill>
                </w14:textFill>
              </w:rPr>
              <w:t xml:space="preserve">　</w:t>
            </w:r>
            <w:r w:rsidR="006A1C29">
              <w:rPr>
                <w:vertAlign w:val="superscript"/>
              </w:rPr>
              <w:t>19</w:t>
            </w:r>
          </w:p>
        </w:tc>
        <w:tc>
          <w:tcPr>
            <w:tcW w:w="653" w:type="pct"/>
            <w:gridSpan w:val="2"/>
            <w:tcBorders>
              <w:top w:val="nil"/>
              <w:left w:val="single" w:sz="4" w:space="0" w:color="auto"/>
              <w:bottom w:val="nil"/>
              <w:right w:val="single" w:sz="4" w:space="0" w:color="auto"/>
            </w:tcBorders>
            <w:shd w:val="clear" w:color="auto" w:fill="auto"/>
          </w:tcPr>
          <w:p w14:paraId="5E6A049B" w14:textId="16B93579"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55" w:id="-1167926270"/>
                <w14:textFill>
                  <w14:solidFill>
                    <w14:srgbClr w14:val="000000">
                      <w14:alpha w14:val="100000"/>
                    </w14:srgbClr>
                  </w14:solidFill>
                </w14:textFill>
              </w:rPr>
              <w:t xml:space="preserve">　</w:t>
            </w:r>
            <w:r w:rsidR="00F5190C" w:rsidRPr="00F5190C">
              <w:rPr>
                <w:color w:val="000000"/>
                <w:w w:val="15"/>
                <w:szCs w:val="20"/>
                <w:shd w:val="solid" w:color="000000" w:fill="000000"/>
                <w:fitText w:val="55" w:id="-1167926270"/>
                <w14:textFill>
                  <w14:solidFill>
                    <w14:srgbClr w14:val="000000">
                      <w14:alpha w14:val="100000"/>
                    </w14:srgbClr>
                  </w14:solidFill>
                </w14:textFill>
              </w:rPr>
              <w:t>|</w:t>
            </w:r>
            <w:r w:rsidR="00F5190C" w:rsidRPr="00F5190C">
              <w:rPr>
                <w:rFonts w:hint="eastAsia"/>
                <w:color w:val="000000"/>
                <w:spacing w:val="-10"/>
                <w:w w:val="15"/>
                <w:szCs w:val="20"/>
                <w:shd w:val="solid" w:color="000000" w:fill="000000"/>
                <w:fitText w:val="55" w:id="-1167926270"/>
                <w14:textFill>
                  <w14:solidFill>
                    <w14:srgbClr w14:val="000000">
                      <w14:alpha w14:val="100000"/>
                    </w14:srgbClr>
                  </w14:solidFill>
                </w14:textFill>
              </w:rPr>
              <w:t xml:space="preserve">　</w:t>
            </w:r>
            <w:r w:rsidR="006A1C29">
              <w:rPr>
                <w:vertAlign w:val="superscript"/>
              </w:rPr>
              <w:t>19</w:t>
            </w:r>
          </w:p>
        </w:tc>
        <w:tc>
          <w:tcPr>
            <w:tcW w:w="617" w:type="pct"/>
            <w:tcBorders>
              <w:top w:val="nil"/>
              <w:left w:val="single" w:sz="4" w:space="0" w:color="auto"/>
              <w:bottom w:val="nil"/>
              <w:right w:val="single" w:sz="4" w:space="0" w:color="auto"/>
            </w:tcBorders>
            <w:shd w:val="clear" w:color="auto" w:fill="auto"/>
          </w:tcPr>
          <w:p w14:paraId="243F9DCE" w14:textId="4D40E134"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8" w:id="-1167926269"/>
                <w14:textFill>
                  <w14:solidFill>
                    <w14:srgbClr w14:val="000000">
                      <w14:alpha w14:val="100000"/>
                    </w14:srgbClr>
                  </w14:solidFill>
                </w14:textFill>
              </w:rPr>
              <w:t xml:space="preserve">　</w:t>
            </w:r>
            <w:r w:rsidR="00F5190C" w:rsidRPr="00F5190C">
              <w:rPr>
                <w:color w:val="000000"/>
                <w:w w:val="17"/>
                <w:szCs w:val="20"/>
                <w:shd w:val="solid" w:color="000000" w:fill="000000"/>
                <w:fitText w:val="78" w:id="-1167926269"/>
                <w14:textFill>
                  <w14:solidFill>
                    <w14:srgbClr w14:val="000000">
                      <w14:alpha w14:val="100000"/>
                    </w14:srgbClr>
                  </w14:solidFill>
                </w14:textFill>
              </w:rPr>
              <w:t>|</w:t>
            </w:r>
            <w:r w:rsidR="00F5190C" w:rsidRPr="00F5190C">
              <w:rPr>
                <w:rFonts w:hint="eastAsia"/>
                <w:color w:val="000000"/>
                <w:spacing w:val="5"/>
                <w:w w:val="17"/>
                <w:szCs w:val="20"/>
                <w:shd w:val="solid" w:color="000000" w:fill="000000"/>
                <w:fitText w:val="78" w:id="-1167926269"/>
                <w14:textFill>
                  <w14:solidFill>
                    <w14:srgbClr w14:val="000000">
                      <w14:alpha w14:val="100000"/>
                    </w14:srgbClr>
                  </w14:solidFill>
                </w14:textFill>
              </w:rPr>
              <w:t xml:space="preserve">　</w:t>
            </w:r>
            <w:r w:rsidR="006A1C29">
              <w:rPr>
                <w:vertAlign w:val="superscript"/>
              </w:rPr>
              <w:t>19</w:t>
            </w:r>
          </w:p>
        </w:tc>
        <w:tc>
          <w:tcPr>
            <w:tcW w:w="615" w:type="pct"/>
            <w:gridSpan w:val="2"/>
            <w:tcBorders>
              <w:top w:val="nil"/>
              <w:left w:val="single" w:sz="4" w:space="0" w:color="auto"/>
              <w:bottom w:val="nil"/>
            </w:tcBorders>
          </w:tcPr>
          <w:p w14:paraId="3795A61A" w14:textId="1D4FC736"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268"/>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268"/>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268"/>
                <w14:textFill>
                  <w14:solidFill>
                    <w14:srgbClr w14:val="000000">
                      <w14:alpha w14:val="100000"/>
                    </w14:srgbClr>
                  </w14:solidFill>
                </w14:textFill>
              </w:rPr>
              <w:t xml:space="preserve">　</w:t>
            </w:r>
            <w:r w:rsidR="006A1C29">
              <w:rPr>
                <w:vertAlign w:val="superscript"/>
              </w:rPr>
              <w:t>19</w:t>
            </w:r>
          </w:p>
        </w:tc>
      </w:tr>
      <w:tr w:rsidR="0039419D" w:rsidRPr="0067643B" w14:paraId="2DA5EA6B" w14:textId="77777777" w:rsidTr="0039419D">
        <w:trPr>
          <w:gridAfter w:val="2"/>
          <w:wAfter w:w="21" w:type="pct"/>
        </w:trPr>
        <w:tc>
          <w:tcPr>
            <w:tcW w:w="1185" w:type="pct"/>
            <w:tcBorders>
              <w:top w:val="nil"/>
              <w:bottom w:val="nil"/>
              <w:right w:val="single" w:sz="4" w:space="0" w:color="auto"/>
            </w:tcBorders>
            <w:shd w:val="clear" w:color="auto" w:fill="C6D9F1" w:themeFill="text2" w:themeFillTint="33"/>
            <w:vAlign w:val="center"/>
          </w:tcPr>
          <w:p w14:paraId="66411EF1" w14:textId="77777777" w:rsidR="0067643B" w:rsidRPr="0067643B" w:rsidRDefault="0067643B" w:rsidP="0067643B">
            <w:pPr>
              <w:pStyle w:val="TableText0"/>
              <w:keepNext w:val="0"/>
              <w:ind w:left="257"/>
              <w:rPr>
                <w:szCs w:val="20"/>
              </w:rPr>
            </w:pPr>
            <w:r w:rsidRPr="0067643B">
              <w:rPr>
                <w:szCs w:val="20"/>
              </w:rPr>
              <w:t>November 2022 submission</w:t>
            </w:r>
          </w:p>
        </w:tc>
        <w:tc>
          <w:tcPr>
            <w:tcW w:w="624" w:type="pct"/>
            <w:tcBorders>
              <w:top w:val="nil"/>
              <w:left w:val="single" w:sz="4" w:space="0" w:color="auto"/>
              <w:bottom w:val="nil"/>
              <w:right w:val="single" w:sz="4" w:space="0" w:color="auto"/>
            </w:tcBorders>
            <w:shd w:val="clear" w:color="auto" w:fill="C6D9F1" w:themeFill="text2" w:themeFillTint="33"/>
          </w:tcPr>
          <w:p w14:paraId="6B4CE15C" w14:textId="494A8698"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20"/>
                <w:szCs w:val="20"/>
                <w:shd w:val="solid" w:color="000000" w:fill="000000"/>
                <w:fitText w:val="89" w:id="-1167926016"/>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016"/>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016"/>
                <w14:textFill>
                  <w14:solidFill>
                    <w14:srgbClr w14:val="000000">
                      <w14:alpha w14:val="100000"/>
                    </w14:srgbClr>
                  </w14:solidFill>
                </w14:textFill>
              </w:rPr>
              <w:t xml:space="preserve">　</w:t>
            </w:r>
            <w:r w:rsidR="006A1C29">
              <w:rPr>
                <w:vertAlign w:val="superscript"/>
              </w:rPr>
              <w:t>19</w:t>
            </w:r>
          </w:p>
        </w:tc>
        <w:tc>
          <w:tcPr>
            <w:tcW w:w="633" w:type="pct"/>
            <w:tcBorders>
              <w:top w:val="nil"/>
              <w:left w:val="single" w:sz="4" w:space="0" w:color="auto"/>
              <w:bottom w:val="nil"/>
              <w:right w:val="single" w:sz="4" w:space="0" w:color="auto"/>
            </w:tcBorders>
            <w:shd w:val="clear" w:color="auto" w:fill="C6D9F1" w:themeFill="text2" w:themeFillTint="33"/>
          </w:tcPr>
          <w:p w14:paraId="7F6E8725" w14:textId="08F73B76"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015"/>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015"/>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015"/>
                <w14:textFill>
                  <w14:solidFill>
                    <w14:srgbClr w14:val="000000">
                      <w14:alpha w14:val="100000"/>
                    </w14:srgbClr>
                  </w14:solidFill>
                </w14:textFill>
              </w:rPr>
              <w:t xml:space="preserve">　</w:t>
            </w:r>
            <w:r w:rsidR="006A1C29">
              <w:rPr>
                <w:vertAlign w:val="superscript"/>
              </w:rPr>
              <w:t>19</w:t>
            </w:r>
          </w:p>
        </w:tc>
        <w:tc>
          <w:tcPr>
            <w:tcW w:w="652" w:type="pct"/>
            <w:tcBorders>
              <w:top w:val="nil"/>
              <w:left w:val="single" w:sz="4" w:space="0" w:color="auto"/>
              <w:bottom w:val="nil"/>
              <w:right w:val="single" w:sz="4" w:space="0" w:color="auto"/>
            </w:tcBorders>
            <w:shd w:val="clear" w:color="auto" w:fill="C6D9F1" w:themeFill="text2" w:themeFillTint="33"/>
          </w:tcPr>
          <w:p w14:paraId="4E43990A" w14:textId="113E3700"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44" w:id="-1167926014"/>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014"/>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014"/>
                <w14:textFill>
                  <w14:solidFill>
                    <w14:srgbClr w14:val="000000">
                      <w14:alpha w14:val="100000"/>
                    </w14:srgbClr>
                  </w14:solidFill>
                </w14:textFill>
              </w:rPr>
              <w:t xml:space="preserve">　</w:t>
            </w:r>
            <w:r w:rsidR="006A1C29">
              <w:rPr>
                <w:vertAlign w:val="superscript"/>
              </w:rPr>
              <w:t>19</w:t>
            </w:r>
          </w:p>
        </w:tc>
        <w:tc>
          <w:tcPr>
            <w:tcW w:w="653" w:type="pct"/>
            <w:gridSpan w:val="2"/>
            <w:tcBorders>
              <w:top w:val="nil"/>
              <w:left w:val="single" w:sz="4" w:space="0" w:color="auto"/>
              <w:bottom w:val="nil"/>
              <w:right w:val="single" w:sz="4" w:space="0" w:color="auto"/>
            </w:tcBorders>
            <w:shd w:val="clear" w:color="auto" w:fill="C6D9F1" w:themeFill="text2" w:themeFillTint="33"/>
          </w:tcPr>
          <w:p w14:paraId="1253058E" w14:textId="35C77A58"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55" w:id="-1167926013"/>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013"/>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013"/>
                <w14:textFill>
                  <w14:solidFill>
                    <w14:srgbClr w14:val="000000">
                      <w14:alpha w14:val="100000"/>
                    </w14:srgbClr>
                  </w14:solidFill>
                </w14:textFill>
              </w:rPr>
              <w:t xml:space="preserve">　</w:t>
            </w:r>
            <w:r w:rsidR="006A1C29">
              <w:rPr>
                <w:vertAlign w:val="superscript"/>
              </w:rPr>
              <w:t>19</w:t>
            </w:r>
          </w:p>
        </w:tc>
        <w:tc>
          <w:tcPr>
            <w:tcW w:w="617" w:type="pct"/>
            <w:tcBorders>
              <w:top w:val="nil"/>
              <w:left w:val="single" w:sz="4" w:space="0" w:color="auto"/>
              <w:bottom w:val="nil"/>
              <w:right w:val="single" w:sz="4" w:space="0" w:color="auto"/>
            </w:tcBorders>
            <w:shd w:val="clear" w:color="auto" w:fill="C6D9F1" w:themeFill="text2" w:themeFillTint="33"/>
          </w:tcPr>
          <w:p w14:paraId="1608C1CD" w14:textId="74564FDB"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8" w:id="-1167926012"/>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012"/>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012"/>
                <w14:textFill>
                  <w14:solidFill>
                    <w14:srgbClr w14:val="000000">
                      <w14:alpha w14:val="100000"/>
                    </w14:srgbClr>
                  </w14:solidFill>
                </w14:textFill>
              </w:rPr>
              <w:t xml:space="preserve">　</w:t>
            </w:r>
            <w:r w:rsidR="006A1C29">
              <w:rPr>
                <w:vertAlign w:val="superscript"/>
              </w:rPr>
              <w:t>19</w:t>
            </w:r>
          </w:p>
        </w:tc>
        <w:tc>
          <w:tcPr>
            <w:tcW w:w="615" w:type="pct"/>
            <w:gridSpan w:val="2"/>
            <w:tcBorders>
              <w:top w:val="nil"/>
              <w:left w:val="single" w:sz="4" w:space="0" w:color="auto"/>
              <w:bottom w:val="nil"/>
            </w:tcBorders>
            <w:shd w:val="clear" w:color="auto" w:fill="C6D9F1" w:themeFill="text2" w:themeFillTint="33"/>
          </w:tcPr>
          <w:p w14:paraId="68FF8533" w14:textId="7F83F251"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011"/>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011"/>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011"/>
                <w14:textFill>
                  <w14:solidFill>
                    <w14:srgbClr w14:val="000000">
                      <w14:alpha w14:val="100000"/>
                    </w14:srgbClr>
                  </w14:solidFill>
                </w14:textFill>
              </w:rPr>
              <w:t xml:space="preserve">　</w:t>
            </w:r>
            <w:r w:rsidR="006A1C29">
              <w:rPr>
                <w:vertAlign w:val="superscript"/>
              </w:rPr>
              <w:t>19</w:t>
            </w:r>
          </w:p>
        </w:tc>
      </w:tr>
      <w:tr w:rsidR="0067643B" w:rsidRPr="0067643B" w14:paraId="258A1636" w14:textId="77777777" w:rsidTr="0039419D">
        <w:tc>
          <w:tcPr>
            <w:tcW w:w="5000" w:type="pct"/>
            <w:gridSpan w:val="11"/>
            <w:tcBorders>
              <w:top w:val="single" w:sz="4" w:space="0" w:color="auto"/>
              <w:bottom w:val="nil"/>
            </w:tcBorders>
            <w:shd w:val="clear" w:color="auto" w:fill="auto"/>
            <w:vAlign w:val="center"/>
          </w:tcPr>
          <w:p w14:paraId="511ECC22" w14:textId="57B305D2" w:rsidR="0067643B" w:rsidRPr="0067643B" w:rsidRDefault="0067643B" w:rsidP="0067643B">
            <w:pPr>
              <w:pStyle w:val="TableText0"/>
              <w:keepNext w:val="0"/>
              <w:rPr>
                <w:szCs w:val="20"/>
              </w:rPr>
            </w:pPr>
            <w:r w:rsidRPr="0067643B">
              <w:rPr>
                <w:szCs w:val="20"/>
              </w:rPr>
              <w:t>Net cost to PBS/RPBS/MBS</w:t>
            </w:r>
          </w:p>
        </w:tc>
      </w:tr>
      <w:tr w:rsidR="0039419D" w:rsidRPr="00541454" w14:paraId="795B8AFA"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312D6DF6" w14:textId="3812CF8D" w:rsidR="0067643B" w:rsidRPr="00541454" w:rsidRDefault="0067643B" w:rsidP="0067643B">
            <w:pPr>
              <w:pStyle w:val="TableText0"/>
              <w:keepNext w:val="0"/>
              <w:ind w:left="257"/>
              <w:rPr>
                <w:iCs/>
                <w:szCs w:val="20"/>
              </w:rPr>
            </w:pPr>
            <w:r w:rsidRPr="00541454">
              <w:rPr>
                <w:iCs/>
                <w:szCs w:val="20"/>
              </w:rPr>
              <w:t xml:space="preserve">PSCR </w:t>
            </w:r>
            <w:r w:rsidR="00134982" w:rsidRPr="00541454">
              <w:rPr>
                <w:iCs/>
                <w:szCs w:val="20"/>
              </w:rPr>
              <w:t>(</w:t>
            </w:r>
            <w:r w:rsidRPr="00541454">
              <w:rPr>
                <w:iCs/>
                <w:szCs w:val="20"/>
              </w:rPr>
              <w:t>resubmission</w:t>
            </w:r>
            <w:r w:rsidR="00134982" w:rsidRPr="00541454">
              <w:rPr>
                <w:iCs/>
                <w:szCs w:val="20"/>
              </w:rPr>
              <w:t>)</w:t>
            </w:r>
          </w:p>
        </w:tc>
        <w:tc>
          <w:tcPr>
            <w:tcW w:w="624" w:type="pct"/>
            <w:tcBorders>
              <w:left w:val="single" w:sz="4" w:space="0" w:color="auto"/>
              <w:right w:val="single" w:sz="4" w:space="0" w:color="auto"/>
            </w:tcBorders>
            <w:shd w:val="clear" w:color="auto" w:fill="auto"/>
          </w:tcPr>
          <w:p w14:paraId="36E03F80" w14:textId="0F9A1B3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20"/>
                <w:szCs w:val="20"/>
                <w:shd w:val="solid" w:color="000000" w:fill="000000"/>
                <w:fitText w:val="89" w:id="-1167926010"/>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010"/>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010"/>
                <w14:textFill>
                  <w14:solidFill>
                    <w14:srgbClr w14:val="000000">
                      <w14:alpha w14:val="100000"/>
                    </w14:srgbClr>
                  </w14:solidFill>
                </w14:textFill>
              </w:rPr>
              <w:t xml:space="preserve">　</w:t>
            </w:r>
            <w:r w:rsidR="006A1C29">
              <w:rPr>
                <w:vertAlign w:val="superscript"/>
              </w:rPr>
              <w:t>13</w:t>
            </w:r>
          </w:p>
        </w:tc>
        <w:tc>
          <w:tcPr>
            <w:tcW w:w="633" w:type="pct"/>
            <w:tcBorders>
              <w:top w:val="nil"/>
              <w:left w:val="single" w:sz="4" w:space="0" w:color="auto"/>
              <w:bottom w:val="nil"/>
              <w:right w:val="single" w:sz="4" w:space="0" w:color="auto"/>
            </w:tcBorders>
            <w:shd w:val="clear" w:color="auto" w:fill="auto"/>
          </w:tcPr>
          <w:p w14:paraId="53F0CFC4" w14:textId="273D5EF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009"/>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009"/>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009"/>
                <w14:textFill>
                  <w14:solidFill>
                    <w14:srgbClr w14:val="000000">
                      <w14:alpha w14:val="100000"/>
                    </w14:srgbClr>
                  </w14:solidFill>
                </w14:textFill>
              </w:rPr>
              <w:t xml:space="preserve">　</w:t>
            </w:r>
            <w:r w:rsidR="006A1C29">
              <w:rPr>
                <w:vertAlign w:val="superscript"/>
              </w:rPr>
              <w:t>10</w:t>
            </w:r>
          </w:p>
        </w:tc>
        <w:tc>
          <w:tcPr>
            <w:tcW w:w="652" w:type="pct"/>
            <w:tcBorders>
              <w:left w:val="single" w:sz="4" w:space="0" w:color="auto"/>
              <w:right w:val="single" w:sz="4" w:space="0" w:color="auto"/>
            </w:tcBorders>
            <w:shd w:val="clear" w:color="auto" w:fill="auto"/>
          </w:tcPr>
          <w:p w14:paraId="585F69DE" w14:textId="574EFE17"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44" w:id="-1167926008"/>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008"/>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008"/>
                <w14:textFill>
                  <w14:solidFill>
                    <w14:srgbClr w14:val="000000">
                      <w14:alpha w14:val="100000"/>
                    </w14:srgbClr>
                  </w14:solidFill>
                </w14:textFill>
              </w:rPr>
              <w:t xml:space="preserve">　</w:t>
            </w:r>
            <w:r w:rsidR="006A1C29">
              <w:rPr>
                <w:vertAlign w:val="superscript"/>
              </w:rPr>
              <w:t>10</w:t>
            </w:r>
          </w:p>
        </w:tc>
        <w:tc>
          <w:tcPr>
            <w:tcW w:w="653" w:type="pct"/>
            <w:gridSpan w:val="2"/>
            <w:tcBorders>
              <w:top w:val="nil"/>
              <w:left w:val="single" w:sz="4" w:space="0" w:color="auto"/>
              <w:bottom w:val="nil"/>
              <w:right w:val="single" w:sz="4" w:space="0" w:color="auto"/>
            </w:tcBorders>
            <w:shd w:val="clear" w:color="auto" w:fill="auto"/>
          </w:tcPr>
          <w:p w14:paraId="5F6D576B" w14:textId="3A10C90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5"/>
                <w:szCs w:val="20"/>
                <w:shd w:val="solid" w:color="000000" w:fill="000000"/>
                <w:fitText w:val="55" w:id="-1167926007"/>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007"/>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007"/>
                <w14:textFill>
                  <w14:solidFill>
                    <w14:srgbClr w14:val="000000">
                      <w14:alpha w14:val="100000"/>
                    </w14:srgbClr>
                  </w14:solidFill>
                </w14:textFill>
              </w:rPr>
              <w:t xml:space="preserve">　</w:t>
            </w:r>
            <w:r w:rsidR="006A1C29">
              <w:rPr>
                <w:vertAlign w:val="superscript"/>
              </w:rPr>
              <w:t>11</w:t>
            </w:r>
          </w:p>
        </w:tc>
        <w:tc>
          <w:tcPr>
            <w:tcW w:w="617" w:type="pct"/>
            <w:tcBorders>
              <w:top w:val="nil"/>
              <w:left w:val="single" w:sz="4" w:space="0" w:color="auto"/>
              <w:bottom w:val="nil"/>
              <w:right w:val="single" w:sz="4" w:space="0" w:color="auto"/>
            </w:tcBorders>
            <w:shd w:val="clear" w:color="auto" w:fill="auto"/>
          </w:tcPr>
          <w:p w14:paraId="00BF81AF" w14:textId="40CEA15B"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8" w:id="-1167926006"/>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006"/>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006"/>
                <w14:textFill>
                  <w14:solidFill>
                    <w14:srgbClr w14:val="000000">
                      <w14:alpha w14:val="100000"/>
                    </w14:srgbClr>
                  </w14:solidFill>
                </w14:textFill>
              </w:rPr>
              <w:t xml:space="preserve">　</w:t>
            </w:r>
            <w:r w:rsidR="006A1C29">
              <w:rPr>
                <w:vertAlign w:val="superscript"/>
              </w:rPr>
              <w:t>11</w:t>
            </w:r>
          </w:p>
        </w:tc>
        <w:tc>
          <w:tcPr>
            <w:tcW w:w="615" w:type="pct"/>
            <w:gridSpan w:val="2"/>
            <w:tcBorders>
              <w:left w:val="single" w:sz="4" w:space="0" w:color="auto"/>
            </w:tcBorders>
          </w:tcPr>
          <w:p w14:paraId="4DDED9EF" w14:textId="6A4BCCC7" w:rsidR="0067643B" w:rsidRPr="00937772" w:rsidRDefault="00B63528" w:rsidP="0067643B">
            <w:pPr>
              <w:pStyle w:val="TableText0"/>
              <w:keepNext w:val="0"/>
              <w:jc w:val="center"/>
              <w:rPr>
                <w:iCs/>
                <w:szCs w:val="20"/>
                <w:highlight w:val="darkGray"/>
              </w:rPr>
            </w:pPr>
            <w:r w:rsidRPr="00B63528">
              <w:rPr>
                <w:iCs/>
                <w:szCs w:val="20"/>
              </w:rPr>
              <w:t>$</w:t>
            </w:r>
            <w:r w:rsidR="00F5190C" w:rsidRPr="00F5190C">
              <w:rPr>
                <w:rFonts w:hint="eastAsia"/>
                <w:iCs/>
                <w:color w:val="000000"/>
                <w:w w:val="17"/>
                <w:szCs w:val="20"/>
                <w:shd w:val="solid" w:color="000000" w:fill="000000"/>
                <w:fitText w:val="77" w:id="-1167926005"/>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005"/>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005"/>
                <w14:textFill>
                  <w14:solidFill>
                    <w14:srgbClr w14:val="000000">
                      <w14:alpha w14:val="100000"/>
                    </w14:srgbClr>
                  </w14:solidFill>
                </w14:textFill>
              </w:rPr>
              <w:t xml:space="preserve">　</w:t>
            </w:r>
            <w:r w:rsidR="006A1C29">
              <w:rPr>
                <w:vertAlign w:val="superscript"/>
              </w:rPr>
              <w:t>11</w:t>
            </w:r>
          </w:p>
        </w:tc>
      </w:tr>
      <w:tr w:rsidR="0039419D" w:rsidRPr="0067643B" w14:paraId="12B4159D" w14:textId="77777777" w:rsidTr="0039419D">
        <w:trPr>
          <w:gridAfter w:val="2"/>
          <w:wAfter w:w="21" w:type="pct"/>
        </w:trPr>
        <w:tc>
          <w:tcPr>
            <w:tcW w:w="1185" w:type="pct"/>
            <w:tcBorders>
              <w:top w:val="nil"/>
              <w:bottom w:val="nil"/>
              <w:right w:val="single" w:sz="4" w:space="0" w:color="auto"/>
            </w:tcBorders>
            <w:shd w:val="clear" w:color="auto" w:fill="auto"/>
            <w:vAlign w:val="center"/>
          </w:tcPr>
          <w:p w14:paraId="3D82D1A3" w14:textId="77777777" w:rsidR="0067643B" w:rsidRPr="0067643B" w:rsidRDefault="0067643B" w:rsidP="0067643B">
            <w:pPr>
              <w:pStyle w:val="TableText0"/>
              <w:keepNext w:val="0"/>
              <w:ind w:left="257"/>
              <w:rPr>
                <w:szCs w:val="20"/>
              </w:rPr>
            </w:pPr>
            <w:r w:rsidRPr="0067643B">
              <w:rPr>
                <w:szCs w:val="20"/>
              </w:rPr>
              <w:t>Resubmission</w:t>
            </w:r>
          </w:p>
        </w:tc>
        <w:tc>
          <w:tcPr>
            <w:tcW w:w="624" w:type="pct"/>
            <w:tcBorders>
              <w:left w:val="single" w:sz="4" w:space="0" w:color="auto"/>
              <w:right w:val="single" w:sz="4" w:space="0" w:color="auto"/>
            </w:tcBorders>
            <w:shd w:val="clear" w:color="auto" w:fill="auto"/>
          </w:tcPr>
          <w:p w14:paraId="5EB120A5" w14:textId="79FC78C1"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20"/>
                <w:szCs w:val="20"/>
                <w:shd w:val="solid" w:color="000000" w:fill="000000"/>
                <w:fitText w:val="89" w:id="-1167926004"/>
                <w14:textFill>
                  <w14:solidFill>
                    <w14:srgbClr w14:val="000000">
                      <w14:alpha w14:val="100000"/>
                    </w14:srgbClr>
                  </w14:solidFill>
                </w14:textFill>
              </w:rPr>
              <w:t xml:space="preserve">　</w:t>
            </w:r>
            <w:r w:rsidR="00F5190C" w:rsidRPr="00F5190C">
              <w:rPr>
                <w:color w:val="000000"/>
                <w:w w:val="20"/>
                <w:szCs w:val="20"/>
                <w:shd w:val="solid" w:color="000000" w:fill="000000"/>
                <w:fitText w:val="89" w:id="-1167926004"/>
                <w14:textFill>
                  <w14:solidFill>
                    <w14:srgbClr w14:val="000000">
                      <w14:alpha w14:val="100000"/>
                    </w14:srgbClr>
                  </w14:solidFill>
                </w14:textFill>
              </w:rPr>
              <w:t>|</w:t>
            </w:r>
            <w:r w:rsidR="00F5190C" w:rsidRPr="00F5190C">
              <w:rPr>
                <w:rFonts w:hint="eastAsia"/>
                <w:color w:val="000000"/>
                <w:spacing w:val="2"/>
                <w:w w:val="20"/>
                <w:szCs w:val="20"/>
                <w:shd w:val="solid" w:color="000000" w:fill="000000"/>
                <w:fitText w:val="89" w:id="-1167926004"/>
                <w14:textFill>
                  <w14:solidFill>
                    <w14:srgbClr w14:val="000000">
                      <w14:alpha w14:val="100000"/>
                    </w14:srgbClr>
                  </w14:solidFill>
                </w14:textFill>
              </w:rPr>
              <w:t xml:space="preserve">　</w:t>
            </w:r>
            <w:r w:rsidR="006A1C29">
              <w:rPr>
                <w:vertAlign w:val="superscript"/>
              </w:rPr>
              <w:t>13</w:t>
            </w:r>
          </w:p>
        </w:tc>
        <w:tc>
          <w:tcPr>
            <w:tcW w:w="633" w:type="pct"/>
            <w:tcBorders>
              <w:top w:val="nil"/>
              <w:left w:val="single" w:sz="4" w:space="0" w:color="auto"/>
              <w:bottom w:val="nil"/>
              <w:right w:val="single" w:sz="4" w:space="0" w:color="auto"/>
            </w:tcBorders>
            <w:shd w:val="clear" w:color="auto" w:fill="auto"/>
          </w:tcPr>
          <w:p w14:paraId="4C3E5041" w14:textId="0EC23562"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003"/>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003"/>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003"/>
                <w14:textFill>
                  <w14:solidFill>
                    <w14:srgbClr w14:val="000000">
                      <w14:alpha w14:val="100000"/>
                    </w14:srgbClr>
                  </w14:solidFill>
                </w14:textFill>
              </w:rPr>
              <w:t xml:space="preserve">　</w:t>
            </w:r>
            <w:r w:rsidR="006A1C29">
              <w:rPr>
                <w:vertAlign w:val="superscript"/>
              </w:rPr>
              <w:t>13</w:t>
            </w:r>
          </w:p>
        </w:tc>
        <w:tc>
          <w:tcPr>
            <w:tcW w:w="652" w:type="pct"/>
            <w:tcBorders>
              <w:left w:val="single" w:sz="4" w:space="0" w:color="auto"/>
              <w:right w:val="single" w:sz="4" w:space="0" w:color="auto"/>
            </w:tcBorders>
            <w:shd w:val="clear" w:color="auto" w:fill="auto"/>
          </w:tcPr>
          <w:p w14:paraId="0D99A030" w14:textId="0DE1E670"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44" w:id="-1167926002"/>
                <w14:textFill>
                  <w14:solidFill>
                    <w14:srgbClr w14:val="000000">
                      <w14:alpha w14:val="100000"/>
                    </w14:srgbClr>
                  </w14:solidFill>
                </w14:textFill>
              </w:rPr>
              <w:t xml:space="preserve">　</w:t>
            </w:r>
            <w:r w:rsidR="00F5190C" w:rsidRPr="00F5190C">
              <w:rPr>
                <w:color w:val="000000"/>
                <w:w w:val="15"/>
                <w:szCs w:val="20"/>
                <w:shd w:val="solid" w:color="000000" w:fill="000000"/>
                <w:fitText w:val="44" w:id="-1167926002"/>
                <w14:textFill>
                  <w14:solidFill>
                    <w14:srgbClr w14:val="000000">
                      <w14:alpha w14:val="100000"/>
                    </w14:srgbClr>
                  </w14:solidFill>
                </w14:textFill>
              </w:rPr>
              <w:t>|</w:t>
            </w:r>
            <w:r w:rsidR="00F5190C" w:rsidRPr="00F5190C">
              <w:rPr>
                <w:rFonts w:hint="eastAsia"/>
                <w:color w:val="000000"/>
                <w:spacing w:val="-21"/>
                <w:w w:val="15"/>
                <w:szCs w:val="20"/>
                <w:shd w:val="solid" w:color="000000" w:fill="000000"/>
                <w:fitText w:val="44" w:id="-1167926002"/>
                <w14:textFill>
                  <w14:solidFill>
                    <w14:srgbClr w14:val="000000">
                      <w14:alpha w14:val="100000"/>
                    </w14:srgbClr>
                  </w14:solidFill>
                </w14:textFill>
              </w:rPr>
              <w:t xml:space="preserve">　</w:t>
            </w:r>
            <w:r w:rsidR="006A1C29">
              <w:rPr>
                <w:vertAlign w:val="superscript"/>
              </w:rPr>
              <w:t>13</w:t>
            </w:r>
          </w:p>
        </w:tc>
        <w:tc>
          <w:tcPr>
            <w:tcW w:w="653" w:type="pct"/>
            <w:gridSpan w:val="2"/>
            <w:tcBorders>
              <w:top w:val="nil"/>
              <w:left w:val="single" w:sz="4" w:space="0" w:color="auto"/>
              <w:bottom w:val="nil"/>
              <w:right w:val="single" w:sz="4" w:space="0" w:color="auto"/>
            </w:tcBorders>
            <w:shd w:val="clear" w:color="auto" w:fill="auto"/>
          </w:tcPr>
          <w:p w14:paraId="59A30B5B" w14:textId="64D85B4F"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5"/>
                <w:szCs w:val="20"/>
                <w:shd w:val="solid" w:color="000000" w:fill="000000"/>
                <w:fitText w:val="55" w:id="-1167926001"/>
                <w14:textFill>
                  <w14:solidFill>
                    <w14:srgbClr w14:val="000000">
                      <w14:alpha w14:val="100000"/>
                    </w14:srgbClr>
                  </w14:solidFill>
                </w14:textFill>
              </w:rPr>
              <w:t xml:space="preserve">　</w:t>
            </w:r>
            <w:r w:rsidR="00F5190C" w:rsidRPr="00F5190C">
              <w:rPr>
                <w:color w:val="000000"/>
                <w:w w:val="15"/>
                <w:szCs w:val="20"/>
                <w:shd w:val="solid" w:color="000000" w:fill="000000"/>
                <w:fitText w:val="55" w:id="-1167926001"/>
                <w14:textFill>
                  <w14:solidFill>
                    <w14:srgbClr w14:val="000000">
                      <w14:alpha w14:val="100000"/>
                    </w14:srgbClr>
                  </w14:solidFill>
                </w14:textFill>
              </w:rPr>
              <w:t>|</w:t>
            </w:r>
            <w:r w:rsidR="00F5190C" w:rsidRPr="00F5190C">
              <w:rPr>
                <w:rFonts w:hint="eastAsia"/>
                <w:color w:val="000000"/>
                <w:spacing w:val="-10"/>
                <w:w w:val="15"/>
                <w:szCs w:val="20"/>
                <w:shd w:val="solid" w:color="000000" w:fill="000000"/>
                <w:fitText w:val="55" w:id="-1167926001"/>
                <w14:textFill>
                  <w14:solidFill>
                    <w14:srgbClr w14:val="000000">
                      <w14:alpha w14:val="100000"/>
                    </w14:srgbClr>
                  </w14:solidFill>
                </w14:textFill>
              </w:rPr>
              <w:t xml:space="preserve">　</w:t>
            </w:r>
            <w:r w:rsidR="006A1C29">
              <w:rPr>
                <w:vertAlign w:val="superscript"/>
              </w:rPr>
              <w:t>13</w:t>
            </w:r>
          </w:p>
        </w:tc>
        <w:tc>
          <w:tcPr>
            <w:tcW w:w="617" w:type="pct"/>
            <w:tcBorders>
              <w:top w:val="nil"/>
              <w:left w:val="single" w:sz="4" w:space="0" w:color="auto"/>
              <w:bottom w:val="nil"/>
              <w:right w:val="single" w:sz="4" w:space="0" w:color="auto"/>
            </w:tcBorders>
            <w:shd w:val="clear" w:color="auto" w:fill="auto"/>
          </w:tcPr>
          <w:p w14:paraId="5EF78B8E" w14:textId="04E1B87F"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8" w:id="-1167926000"/>
                <w14:textFill>
                  <w14:solidFill>
                    <w14:srgbClr w14:val="000000">
                      <w14:alpha w14:val="100000"/>
                    </w14:srgbClr>
                  </w14:solidFill>
                </w14:textFill>
              </w:rPr>
              <w:t xml:space="preserve">　</w:t>
            </w:r>
            <w:r w:rsidR="00F5190C" w:rsidRPr="00F5190C">
              <w:rPr>
                <w:color w:val="000000"/>
                <w:w w:val="17"/>
                <w:szCs w:val="20"/>
                <w:shd w:val="solid" w:color="000000" w:fill="000000"/>
                <w:fitText w:val="78" w:id="-1167926000"/>
                <w14:textFill>
                  <w14:solidFill>
                    <w14:srgbClr w14:val="000000">
                      <w14:alpha w14:val="100000"/>
                    </w14:srgbClr>
                  </w14:solidFill>
                </w14:textFill>
              </w:rPr>
              <w:t>|</w:t>
            </w:r>
            <w:r w:rsidR="00F5190C" w:rsidRPr="00F5190C">
              <w:rPr>
                <w:rFonts w:hint="eastAsia"/>
                <w:color w:val="000000"/>
                <w:spacing w:val="5"/>
                <w:w w:val="17"/>
                <w:szCs w:val="20"/>
                <w:shd w:val="solid" w:color="000000" w:fill="000000"/>
                <w:fitText w:val="78" w:id="-1167926000"/>
                <w14:textFill>
                  <w14:solidFill>
                    <w14:srgbClr w14:val="000000">
                      <w14:alpha w14:val="100000"/>
                    </w14:srgbClr>
                  </w14:solidFill>
                </w14:textFill>
              </w:rPr>
              <w:t xml:space="preserve">　</w:t>
            </w:r>
            <w:r w:rsidR="006A1C29">
              <w:rPr>
                <w:vertAlign w:val="superscript"/>
              </w:rPr>
              <w:t>16</w:t>
            </w:r>
          </w:p>
        </w:tc>
        <w:tc>
          <w:tcPr>
            <w:tcW w:w="615" w:type="pct"/>
            <w:gridSpan w:val="2"/>
            <w:tcBorders>
              <w:left w:val="single" w:sz="4" w:space="0" w:color="auto"/>
            </w:tcBorders>
          </w:tcPr>
          <w:p w14:paraId="59B1BD32" w14:textId="55DA261C" w:rsidR="0067643B" w:rsidRPr="00937772" w:rsidRDefault="00B63528" w:rsidP="0067643B">
            <w:pPr>
              <w:pStyle w:val="TableText0"/>
              <w:keepNext w:val="0"/>
              <w:jc w:val="center"/>
              <w:rPr>
                <w:szCs w:val="20"/>
                <w:highlight w:val="darkGray"/>
              </w:rPr>
            </w:pPr>
            <w:r w:rsidRPr="00B63528">
              <w:rPr>
                <w:szCs w:val="20"/>
              </w:rPr>
              <w:t>$</w:t>
            </w:r>
            <w:r w:rsidR="00F5190C" w:rsidRPr="00F5190C">
              <w:rPr>
                <w:rFonts w:hint="eastAsia"/>
                <w:color w:val="000000"/>
                <w:w w:val="17"/>
                <w:szCs w:val="20"/>
                <w:shd w:val="solid" w:color="000000" w:fill="000000"/>
                <w:fitText w:val="77" w:id="-1167926016"/>
                <w14:textFill>
                  <w14:solidFill>
                    <w14:srgbClr w14:val="000000">
                      <w14:alpha w14:val="100000"/>
                    </w14:srgbClr>
                  </w14:solidFill>
                </w14:textFill>
              </w:rPr>
              <w:t xml:space="preserve">　</w:t>
            </w:r>
            <w:r w:rsidR="00F5190C" w:rsidRPr="00F5190C">
              <w:rPr>
                <w:color w:val="000000"/>
                <w:w w:val="17"/>
                <w:szCs w:val="20"/>
                <w:shd w:val="solid" w:color="000000" w:fill="000000"/>
                <w:fitText w:val="77" w:id="-1167926016"/>
                <w14:textFill>
                  <w14:solidFill>
                    <w14:srgbClr w14:val="000000">
                      <w14:alpha w14:val="100000"/>
                    </w14:srgbClr>
                  </w14:solidFill>
                </w14:textFill>
              </w:rPr>
              <w:t>|</w:t>
            </w:r>
            <w:r w:rsidR="00F5190C" w:rsidRPr="00F5190C">
              <w:rPr>
                <w:rFonts w:hint="eastAsia"/>
                <w:color w:val="000000"/>
                <w:spacing w:val="4"/>
                <w:w w:val="17"/>
                <w:szCs w:val="20"/>
                <w:shd w:val="solid" w:color="000000" w:fill="000000"/>
                <w:fitText w:val="77" w:id="-1167926016"/>
                <w14:textFill>
                  <w14:solidFill>
                    <w14:srgbClr w14:val="000000">
                      <w14:alpha w14:val="100000"/>
                    </w14:srgbClr>
                  </w14:solidFill>
                </w14:textFill>
              </w:rPr>
              <w:t xml:space="preserve">　</w:t>
            </w:r>
            <w:r w:rsidR="006A1C29">
              <w:rPr>
                <w:vertAlign w:val="superscript"/>
              </w:rPr>
              <w:t>16</w:t>
            </w:r>
          </w:p>
        </w:tc>
      </w:tr>
      <w:tr w:rsidR="0039419D" w:rsidRPr="0067643B" w14:paraId="363C1875" w14:textId="77777777" w:rsidTr="0039419D">
        <w:trPr>
          <w:gridAfter w:val="2"/>
          <w:wAfter w:w="21" w:type="pct"/>
        </w:trPr>
        <w:tc>
          <w:tcPr>
            <w:tcW w:w="1185" w:type="pct"/>
            <w:tcBorders>
              <w:top w:val="nil"/>
              <w:bottom w:val="single" w:sz="4" w:space="0" w:color="auto"/>
              <w:right w:val="single" w:sz="4" w:space="0" w:color="auto"/>
            </w:tcBorders>
            <w:shd w:val="clear" w:color="auto" w:fill="C6D9F1" w:themeFill="text2" w:themeFillTint="33"/>
            <w:vAlign w:val="center"/>
          </w:tcPr>
          <w:p w14:paraId="21ADD179" w14:textId="77777777" w:rsidR="0067643B" w:rsidRPr="0067643B" w:rsidRDefault="0067643B" w:rsidP="0067643B">
            <w:pPr>
              <w:pStyle w:val="TableText0"/>
              <w:keepNext w:val="0"/>
              <w:ind w:left="257"/>
              <w:rPr>
                <w:szCs w:val="20"/>
              </w:rPr>
            </w:pPr>
            <w:r w:rsidRPr="0067643B">
              <w:rPr>
                <w:szCs w:val="20"/>
              </w:rPr>
              <w:t>November 2022 submission</w:t>
            </w:r>
          </w:p>
        </w:tc>
        <w:tc>
          <w:tcPr>
            <w:tcW w:w="624" w:type="pct"/>
            <w:tcBorders>
              <w:left w:val="single" w:sz="4" w:space="0" w:color="auto"/>
              <w:right w:val="single" w:sz="4" w:space="0" w:color="auto"/>
            </w:tcBorders>
            <w:shd w:val="clear" w:color="auto" w:fill="C6D9F1" w:themeFill="text2" w:themeFillTint="33"/>
          </w:tcPr>
          <w:p w14:paraId="2449D398" w14:textId="32297FDD"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20"/>
                <w:szCs w:val="20"/>
                <w:shd w:val="solid" w:color="000000" w:fill="000000"/>
                <w:fitText w:val="89" w:id="-1167926015"/>
                <w14:textFill>
                  <w14:solidFill>
                    <w14:srgbClr w14:val="000000">
                      <w14:alpha w14:val="100000"/>
                    </w14:srgbClr>
                  </w14:solidFill>
                </w14:textFill>
              </w:rPr>
              <w:t xml:space="preserve">　</w:t>
            </w:r>
            <w:r w:rsidR="00F5190C" w:rsidRPr="00F5190C">
              <w:rPr>
                <w:iCs/>
                <w:color w:val="000000"/>
                <w:w w:val="20"/>
                <w:szCs w:val="20"/>
                <w:shd w:val="solid" w:color="000000" w:fill="000000"/>
                <w:fitText w:val="89" w:id="-1167926015"/>
                <w14:textFill>
                  <w14:solidFill>
                    <w14:srgbClr w14:val="000000">
                      <w14:alpha w14:val="100000"/>
                    </w14:srgbClr>
                  </w14:solidFill>
                </w14:textFill>
              </w:rPr>
              <w:t>|</w:t>
            </w:r>
            <w:r w:rsidR="00F5190C" w:rsidRPr="00F5190C">
              <w:rPr>
                <w:rFonts w:hint="eastAsia"/>
                <w:iCs/>
                <w:color w:val="000000"/>
                <w:spacing w:val="2"/>
                <w:w w:val="20"/>
                <w:szCs w:val="20"/>
                <w:shd w:val="solid" w:color="000000" w:fill="000000"/>
                <w:fitText w:val="89" w:id="-1167926015"/>
                <w14:textFill>
                  <w14:solidFill>
                    <w14:srgbClr w14:val="000000">
                      <w14:alpha w14:val="100000"/>
                    </w14:srgbClr>
                  </w14:solidFill>
                </w14:textFill>
              </w:rPr>
              <w:t xml:space="preserve">　</w:t>
            </w:r>
            <w:r w:rsidR="006A1C29">
              <w:rPr>
                <w:vertAlign w:val="superscript"/>
              </w:rPr>
              <w:t>18</w:t>
            </w:r>
          </w:p>
        </w:tc>
        <w:tc>
          <w:tcPr>
            <w:tcW w:w="633" w:type="pct"/>
            <w:tcBorders>
              <w:top w:val="nil"/>
              <w:left w:val="single" w:sz="4" w:space="0" w:color="auto"/>
              <w:bottom w:val="nil"/>
              <w:right w:val="single" w:sz="4" w:space="0" w:color="auto"/>
            </w:tcBorders>
            <w:shd w:val="clear" w:color="auto" w:fill="C6D9F1" w:themeFill="text2" w:themeFillTint="33"/>
          </w:tcPr>
          <w:p w14:paraId="3F473061" w14:textId="573F776D"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014"/>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014"/>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014"/>
                <w14:textFill>
                  <w14:solidFill>
                    <w14:srgbClr w14:val="000000">
                      <w14:alpha w14:val="100000"/>
                    </w14:srgbClr>
                  </w14:solidFill>
                </w14:textFill>
              </w:rPr>
              <w:t xml:space="preserve">　</w:t>
            </w:r>
            <w:r w:rsidR="006A1C29">
              <w:rPr>
                <w:vertAlign w:val="superscript"/>
              </w:rPr>
              <w:t>17</w:t>
            </w:r>
          </w:p>
        </w:tc>
        <w:tc>
          <w:tcPr>
            <w:tcW w:w="652" w:type="pct"/>
            <w:tcBorders>
              <w:left w:val="single" w:sz="4" w:space="0" w:color="auto"/>
              <w:right w:val="single" w:sz="4" w:space="0" w:color="auto"/>
            </w:tcBorders>
            <w:shd w:val="clear" w:color="auto" w:fill="C6D9F1" w:themeFill="text2" w:themeFillTint="33"/>
          </w:tcPr>
          <w:p w14:paraId="2917E1FD" w14:textId="1C1FA132"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44" w:id="-1167926013"/>
                <w14:textFill>
                  <w14:solidFill>
                    <w14:srgbClr w14:val="000000">
                      <w14:alpha w14:val="100000"/>
                    </w14:srgbClr>
                  </w14:solidFill>
                </w14:textFill>
              </w:rPr>
              <w:t xml:space="preserve">　</w:t>
            </w:r>
            <w:r w:rsidR="00F5190C" w:rsidRPr="00F5190C">
              <w:rPr>
                <w:iCs/>
                <w:color w:val="000000"/>
                <w:w w:val="15"/>
                <w:szCs w:val="20"/>
                <w:shd w:val="solid" w:color="000000" w:fill="000000"/>
                <w:fitText w:val="44" w:id="-1167926013"/>
                <w14:textFill>
                  <w14:solidFill>
                    <w14:srgbClr w14:val="000000">
                      <w14:alpha w14:val="100000"/>
                    </w14:srgbClr>
                  </w14:solidFill>
                </w14:textFill>
              </w:rPr>
              <w:t>|</w:t>
            </w:r>
            <w:r w:rsidR="00F5190C" w:rsidRPr="00F5190C">
              <w:rPr>
                <w:rFonts w:hint="eastAsia"/>
                <w:iCs/>
                <w:color w:val="000000"/>
                <w:spacing w:val="-21"/>
                <w:w w:val="15"/>
                <w:szCs w:val="20"/>
                <w:shd w:val="solid" w:color="000000" w:fill="000000"/>
                <w:fitText w:val="44" w:id="-1167926013"/>
                <w14:textFill>
                  <w14:solidFill>
                    <w14:srgbClr w14:val="000000">
                      <w14:alpha w14:val="100000"/>
                    </w14:srgbClr>
                  </w14:solidFill>
                </w14:textFill>
              </w:rPr>
              <w:t xml:space="preserve">　</w:t>
            </w:r>
            <w:r w:rsidR="006A1C29">
              <w:rPr>
                <w:vertAlign w:val="superscript"/>
              </w:rPr>
              <w:t>12</w:t>
            </w:r>
          </w:p>
        </w:tc>
        <w:tc>
          <w:tcPr>
            <w:tcW w:w="653" w:type="pct"/>
            <w:gridSpan w:val="2"/>
            <w:tcBorders>
              <w:top w:val="nil"/>
              <w:left w:val="single" w:sz="4" w:space="0" w:color="auto"/>
              <w:bottom w:val="nil"/>
              <w:right w:val="single" w:sz="4" w:space="0" w:color="auto"/>
            </w:tcBorders>
            <w:shd w:val="clear" w:color="auto" w:fill="C6D9F1" w:themeFill="text2" w:themeFillTint="33"/>
          </w:tcPr>
          <w:p w14:paraId="14457E34" w14:textId="27CC7ACD"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5"/>
                <w:szCs w:val="20"/>
                <w:shd w:val="solid" w:color="000000" w:fill="000000"/>
                <w:fitText w:val="55" w:id="-1167926012"/>
                <w14:textFill>
                  <w14:solidFill>
                    <w14:srgbClr w14:val="000000">
                      <w14:alpha w14:val="100000"/>
                    </w14:srgbClr>
                  </w14:solidFill>
                </w14:textFill>
              </w:rPr>
              <w:t xml:space="preserve">　</w:t>
            </w:r>
            <w:r w:rsidR="00F5190C" w:rsidRPr="00F5190C">
              <w:rPr>
                <w:iCs/>
                <w:color w:val="000000"/>
                <w:w w:val="15"/>
                <w:szCs w:val="20"/>
                <w:shd w:val="solid" w:color="000000" w:fill="000000"/>
                <w:fitText w:val="55" w:id="-1167926012"/>
                <w14:textFill>
                  <w14:solidFill>
                    <w14:srgbClr w14:val="000000">
                      <w14:alpha w14:val="100000"/>
                    </w14:srgbClr>
                  </w14:solidFill>
                </w14:textFill>
              </w:rPr>
              <w:t>|</w:t>
            </w:r>
            <w:r w:rsidR="00F5190C" w:rsidRPr="00F5190C">
              <w:rPr>
                <w:rFonts w:hint="eastAsia"/>
                <w:iCs/>
                <w:color w:val="000000"/>
                <w:spacing w:val="-10"/>
                <w:w w:val="15"/>
                <w:szCs w:val="20"/>
                <w:shd w:val="solid" w:color="000000" w:fill="000000"/>
                <w:fitText w:val="55" w:id="-1167926012"/>
                <w14:textFill>
                  <w14:solidFill>
                    <w14:srgbClr w14:val="000000">
                      <w14:alpha w14:val="100000"/>
                    </w14:srgbClr>
                  </w14:solidFill>
                </w14:textFill>
              </w:rPr>
              <w:t xml:space="preserve">　</w:t>
            </w:r>
            <w:r w:rsidR="006A1C29">
              <w:rPr>
                <w:vertAlign w:val="superscript"/>
              </w:rPr>
              <w:t>10</w:t>
            </w:r>
          </w:p>
        </w:tc>
        <w:tc>
          <w:tcPr>
            <w:tcW w:w="617" w:type="pct"/>
            <w:tcBorders>
              <w:top w:val="nil"/>
              <w:left w:val="single" w:sz="4" w:space="0" w:color="auto"/>
              <w:bottom w:val="nil"/>
              <w:right w:val="single" w:sz="4" w:space="0" w:color="auto"/>
            </w:tcBorders>
            <w:shd w:val="clear" w:color="auto" w:fill="C6D9F1" w:themeFill="text2" w:themeFillTint="33"/>
          </w:tcPr>
          <w:p w14:paraId="49075BD2" w14:textId="18863A2B"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8" w:id="-1167926011"/>
                <w14:textFill>
                  <w14:solidFill>
                    <w14:srgbClr w14:val="000000">
                      <w14:alpha w14:val="100000"/>
                    </w14:srgbClr>
                  </w14:solidFill>
                </w14:textFill>
              </w:rPr>
              <w:t xml:space="preserve">　</w:t>
            </w:r>
            <w:r w:rsidR="00F5190C" w:rsidRPr="00F5190C">
              <w:rPr>
                <w:iCs/>
                <w:color w:val="000000"/>
                <w:w w:val="17"/>
                <w:szCs w:val="20"/>
                <w:shd w:val="solid" w:color="000000" w:fill="000000"/>
                <w:fitText w:val="78" w:id="-1167926011"/>
                <w14:textFill>
                  <w14:solidFill>
                    <w14:srgbClr w14:val="000000">
                      <w14:alpha w14:val="100000"/>
                    </w14:srgbClr>
                  </w14:solidFill>
                </w14:textFill>
              </w:rPr>
              <w:t>|</w:t>
            </w:r>
            <w:r w:rsidR="00F5190C" w:rsidRPr="00F5190C">
              <w:rPr>
                <w:rFonts w:hint="eastAsia"/>
                <w:iCs/>
                <w:color w:val="000000"/>
                <w:spacing w:val="5"/>
                <w:w w:val="17"/>
                <w:szCs w:val="20"/>
                <w:shd w:val="solid" w:color="000000" w:fill="000000"/>
                <w:fitText w:val="78" w:id="-1167926011"/>
                <w14:textFill>
                  <w14:solidFill>
                    <w14:srgbClr w14:val="000000">
                      <w14:alpha w14:val="100000"/>
                    </w14:srgbClr>
                  </w14:solidFill>
                </w14:textFill>
              </w:rPr>
              <w:t xml:space="preserve">　</w:t>
            </w:r>
            <w:r w:rsidR="006A1C29">
              <w:rPr>
                <w:vertAlign w:val="superscript"/>
              </w:rPr>
              <w:t>14</w:t>
            </w:r>
          </w:p>
        </w:tc>
        <w:tc>
          <w:tcPr>
            <w:tcW w:w="615" w:type="pct"/>
            <w:gridSpan w:val="2"/>
            <w:tcBorders>
              <w:left w:val="single" w:sz="4" w:space="0" w:color="auto"/>
            </w:tcBorders>
            <w:shd w:val="clear" w:color="auto" w:fill="C6D9F1" w:themeFill="text2" w:themeFillTint="33"/>
          </w:tcPr>
          <w:p w14:paraId="3A5A5358" w14:textId="1B38E2F8" w:rsidR="0067643B" w:rsidRPr="00937772" w:rsidRDefault="00B63528" w:rsidP="0067643B">
            <w:pPr>
              <w:pStyle w:val="TableText0"/>
              <w:keepNext w:val="0"/>
              <w:jc w:val="center"/>
              <w:rPr>
                <w:szCs w:val="20"/>
                <w:highlight w:val="darkGray"/>
              </w:rPr>
            </w:pPr>
            <w:r w:rsidRPr="00B63528">
              <w:rPr>
                <w:iCs/>
                <w:szCs w:val="20"/>
              </w:rPr>
              <w:t>$</w:t>
            </w:r>
            <w:r w:rsidR="00F5190C" w:rsidRPr="00F5190C">
              <w:rPr>
                <w:rFonts w:hint="eastAsia"/>
                <w:iCs/>
                <w:color w:val="000000"/>
                <w:w w:val="17"/>
                <w:szCs w:val="20"/>
                <w:shd w:val="solid" w:color="000000" w:fill="000000"/>
                <w:fitText w:val="77" w:id="-1167926010"/>
                <w14:textFill>
                  <w14:solidFill>
                    <w14:srgbClr w14:val="000000">
                      <w14:alpha w14:val="100000"/>
                    </w14:srgbClr>
                  </w14:solidFill>
                </w14:textFill>
              </w:rPr>
              <w:t xml:space="preserve">　</w:t>
            </w:r>
            <w:r w:rsidR="00F5190C" w:rsidRPr="00F5190C">
              <w:rPr>
                <w:iCs/>
                <w:color w:val="000000"/>
                <w:w w:val="17"/>
                <w:szCs w:val="20"/>
                <w:shd w:val="solid" w:color="000000" w:fill="000000"/>
                <w:fitText w:val="77" w:id="-1167926010"/>
                <w14:textFill>
                  <w14:solidFill>
                    <w14:srgbClr w14:val="000000">
                      <w14:alpha w14:val="100000"/>
                    </w14:srgbClr>
                  </w14:solidFill>
                </w14:textFill>
              </w:rPr>
              <w:t>|</w:t>
            </w:r>
            <w:r w:rsidR="00F5190C" w:rsidRPr="00F5190C">
              <w:rPr>
                <w:rFonts w:hint="eastAsia"/>
                <w:iCs/>
                <w:color w:val="000000"/>
                <w:spacing w:val="4"/>
                <w:w w:val="17"/>
                <w:szCs w:val="20"/>
                <w:shd w:val="solid" w:color="000000" w:fill="000000"/>
                <w:fitText w:val="77" w:id="-1167926010"/>
                <w14:textFill>
                  <w14:solidFill>
                    <w14:srgbClr w14:val="000000">
                      <w14:alpha w14:val="100000"/>
                    </w14:srgbClr>
                  </w14:solidFill>
                </w14:textFill>
              </w:rPr>
              <w:t xml:space="preserve">　</w:t>
            </w:r>
            <w:r w:rsidR="006A1C29">
              <w:rPr>
                <w:vertAlign w:val="superscript"/>
              </w:rPr>
              <w:t>15</w:t>
            </w:r>
          </w:p>
        </w:tc>
      </w:tr>
    </w:tbl>
    <w:p w14:paraId="3A8310E7" w14:textId="77777777" w:rsidR="00827B92" w:rsidRDefault="00636080" w:rsidP="00827B92">
      <w:pPr>
        <w:pStyle w:val="FooterTableFigure"/>
      </w:pPr>
      <w:r>
        <w:t xml:space="preserve">Source: </w:t>
      </w:r>
      <w:r w:rsidR="005E5550">
        <w:t xml:space="preserve">Table 123, p237 and Table 130, p242 of the November 2022 submission, and </w:t>
      </w:r>
      <w:r w:rsidR="005E5550" w:rsidRPr="008D521B" w:rsidDel="008F0D60">
        <w:t>Excel workbook ‘Mavacamten_obstructive HCM_Utilisation and Cost Model’</w:t>
      </w:r>
      <w:r w:rsidR="005E5550">
        <w:t xml:space="preserve">; </w:t>
      </w:r>
      <w:r w:rsidR="00E86674" w:rsidRPr="00E86674">
        <w:t>Table 68, p114, Table 71, p116, and Table 73, p117 of the resubmission and worksheets ‘3c. Impact - proposed (eff))’ and ‘5. Impact - net’ Mavacamten_obstructive HCM_ Utilisation and Cost Model-Resubmission</w:t>
      </w:r>
      <w:r w:rsidR="00874C23">
        <w:t xml:space="preserve">; </w:t>
      </w:r>
      <w:r w:rsidR="00E62F48" w:rsidRPr="00E62F48">
        <w:t>Attachment 16 - Item 5.05 Pre-PBAC response October 2022</w:t>
      </w:r>
      <w:r w:rsidR="00E62F48">
        <w:t xml:space="preserve">. </w:t>
      </w:r>
    </w:p>
    <w:p w14:paraId="512C43EF" w14:textId="3A65DA6A" w:rsidR="00827B92" w:rsidRPr="005E5550" w:rsidRDefault="00827B92" w:rsidP="00827B92">
      <w:pPr>
        <w:pStyle w:val="FooterTableFigure"/>
        <w:rPr>
          <w:rStyle w:val="CommentReference"/>
          <w:b w:val="0"/>
          <w:sz w:val="18"/>
          <w:szCs w:val="22"/>
        </w:rPr>
      </w:pPr>
      <w:r w:rsidRPr="00490649">
        <w:rPr>
          <w:szCs w:val="18"/>
        </w:rPr>
        <w:lastRenderedPageBreak/>
        <w:t>MBS = Medicare Benefits Schedule;</w:t>
      </w:r>
      <w:r>
        <w:rPr>
          <w:szCs w:val="18"/>
        </w:rPr>
        <w:t xml:space="preserve"> </w:t>
      </w:r>
      <w:r>
        <w:rPr>
          <w:rStyle w:val="CommentReference"/>
          <w:b w:val="0"/>
          <w:sz w:val="18"/>
          <w:szCs w:val="22"/>
        </w:rPr>
        <w:t>P</w:t>
      </w:r>
      <w:r w:rsidRPr="0032418F">
        <w:rPr>
          <w:rStyle w:val="CommentReference"/>
          <w:b w:val="0"/>
          <w:sz w:val="18"/>
          <w:szCs w:val="22"/>
        </w:rPr>
        <w:t xml:space="preserve">BS = Pharmaceutical Benefits Scheme; </w:t>
      </w:r>
      <w:bookmarkStart w:id="100" w:name="_Hlk132563835"/>
      <w:r w:rsidRPr="0032418F">
        <w:rPr>
          <w:rStyle w:val="CommentReference"/>
          <w:b w:val="0"/>
          <w:sz w:val="18"/>
          <w:szCs w:val="22"/>
        </w:rPr>
        <w:t>RPBS = Repatriation Pharmaceutical Benefits Scheme</w:t>
      </w:r>
      <w:r>
        <w:rPr>
          <w:rStyle w:val="CommentReference"/>
          <w:b w:val="0"/>
          <w:sz w:val="18"/>
          <w:szCs w:val="22"/>
        </w:rPr>
        <w:t>.</w:t>
      </w:r>
      <w:bookmarkEnd w:id="100"/>
    </w:p>
    <w:p w14:paraId="2A3715BF" w14:textId="77777777" w:rsidR="00EC704C" w:rsidRDefault="00EC704C" w:rsidP="00EC704C">
      <w:pPr>
        <w:pStyle w:val="FooterTableFigure"/>
      </w:pPr>
      <w:r>
        <w:rPr>
          <w:vertAlign w:val="superscript"/>
        </w:rPr>
        <w:t>a</w:t>
      </w:r>
      <w:r w:rsidRPr="004B1576">
        <w:t xml:space="preserve"> Assuming 12.73 packs per year as estimated by the resubmission, based on a compliance rate of 97.56%. </w:t>
      </w:r>
    </w:p>
    <w:p w14:paraId="25EC552F" w14:textId="72E70CC7" w:rsidR="00342669" w:rsidRPr="00541454" w:rsidRDefault="0067643B" w:rsidP="0067643B">
      <w:pPr>
        <w:pStyle w:val="FooterTableFigure"/>
        <w:rPr>
          <w:iCs/>
        </w:rPr>
      </w:pPr>
      <w:r w:rsidRPr="00541454">
        <w:rPr>
          <w:iCs/>
          <w:vertAlign w:val="superscript"/>
        </w:rPr>
        <w:t>b</w:t>
      </w:r>
      <w:r w:rsidRPr="00541454">
        <w:rPr>
          <w:iCs/>
        </w:rPr>
        <w:t xml:space="preserve"> </w:t>
      </w:r>
      <w:r w:rsidR="00342669" w:rsidRPr="00541454">
        <w:rPr>
          <w:iCs/>
        </w:rPr>
        <w:t>Sensitivity analysis conducted during ESC consideration</w:t>
      </w:r>
    </w:p>
    <w:p w14:paraId="0B3FB26B" w14:textId="0C057392" w:rsidR="0067643B" w:rsidRPr="00541454" w:rsidRDefault="00342669" w:rsidP="0067643B">
      <w:pPr>
        <w:pStyle w:val="FooterTableFigure"/>
        <w:rPr>
          <w:iCs/>
        </w:rPr>
      </w:pPr>
      <w:r w:rsidRPr="00541454">
        <w:rPr>
          <w:iCs/>
          <w:vertAlign w:val="superscript"/>
        </w:rPr>
        <w:t xml:space="preserve">c </w:t>
      </w:r>
      <w:r w:rsidR="0067643B" w:rsidRPr="00541454">
        <w:rPr>
          <w:iCs/>
        </w:rPr>
        <w:t>Formula for annual discontinuation applied formula 1-</w:t>
      </w:r>
      <w:proofErr w:type="gramStart"/>
      <w:r w:rsidR="0067643B" w:rsidRPr="00541454">
        <w:rPr>
          <w:iCs/>
        </w:rPr>
        <w:t>EXP(</w:t>
      </w:r>
      <w:proofErr w:type="gramEnd"/>
      <w:r w:rsidR="0067643B" w:rsidRPr="00541454">
        <w:rPr>
          <w:iCs/>
        </w:rPr>
        <w:t xml:space="preserve">-(-LN(1-‘0.05’)/(30*7/365.25))*1. </w:t>
      </w:r>
    </w:p>
    <w:p w14:paraId="18CC380D" w14:textId="3B736CA2" w:rsidR="00EC704C" w:rsidRDefault="00CB689D" w:rsidP="00636080">
      <w:pPr>
        <w:pStyle w:val="FooterTableFigure"/>
        <w:rPr>
          <w:iCs/>
        </w:rPr>
      </w:pPr>
      <w:r w:rsidRPr="00394D79">
        <w:rPr>
          <w:iCs/>
          <w:shd w:val="clear" w:color="auto" w:fill="C6D9F1" w:themeFill="text2" w:themeFillTint="33"/>
        </w:rPr>
        <w:t xml:space="preserve">Blue </w:t>
      </w:r>
      <w:r w:rsidRPr="00394D79">
        <w:rPr>
          <w:iCs/>
        </w:rPr>
        <w:t>shading represents information previously considered by the PBAC</w:t>
      </w:r>
      <w:r>
        <w:rPr>
          <w:iCs/>
        </w:rPr>
        <w:t xml:space="preserve">. </w:t>
      </w:r>
    </w:p>
    <w:p w14:paraId="561B55CC" w14:textId="41CBA6CD" w:rsidR="00937772" w:rsidRPr="006A1C29" w:rsidRDefault="00937772" w:rsidP="00636080">
      <w:pPr>
        <w:pStyle w:val="FooterTableFigure"/>
        <w:rPr>
          <w:i/>
        </w:rPr>
      </w:pPr>
      <w:r w:rsidRPr="006A1C29">
        <w:rPr>
          <w:i/>
        </w:rPr>
        <w:t>The redacted values correspond to the following ranges:</w:t>
      </w:r>
    </w:p>
    <w:p w14:paraId="3CCACC88" w14:textId="67E4CCBE" w:rsidR="00937772" w:rsidRPr="006A1C29" w:rsidRDefault="00937772" w:rsidP="00636080">
      <w:pPr>
        <w:pStyle w:val="FooterTableFigure"/>
        <w:rPr>
          <w:i/>
        </w:rPr>
      </w:pPr>
      <w:r w:rsidRPr="006A1C29">
        <w:rPr>
          <w:i/>
          <w:vertAlign w:val="superscript"/>
        </w:rPr>
        <w:t>1</w:t>
      </w:r>
      <w:r w:rsidRPr="006A1C29">
        <w:rPr>
          <w:i/>
        </w:rPr>
        <w:t xml:space="preserve"> 500 to &lt; 5,000</w:t>
      </w:r>
    </w:p>
    <w:p w14:paraId="4F8F7707" w14:textId="5F639006" w:rsidR="00C44B1A" w:rsidRPr="006A1C29" w:rsidRDefault="00C44B1A" w:rsidP="00636080">
      <w:pPr>
        <w:pStyle w:val="FooterTableFigure"/>
        <w:rPr>
          <w:i/>
        </w:rPr>
      </w:pPr>
      <w:r w:rsidRPr="006A1C29">
        <w:rPr>
          <w:i/>
          <w:vertAlign w:val="superscript"/>
        </w:rPr>
        <w:t>2</w:t>
      </w:r>
      <w:r w:rsidRPr="006A1C29">
        <w:rPr>
          <w:i/>
        </w:rPr>
        <w:t xml:space="preserve"> </w:t>
      </w:r>
      <w:r w:rsidR="00344028" w:rsidRPr="006A1C29">
        <w:rPr>
          <w:i/>
        </w:rPr>
        <w:t>5,000 to &lt; 10,000</w:t>
      </w:r>
    </w:p>
    <w:p w14:paraId="09992590" w14:textId="46C673BE" w:rsidR="00A82BEA" w:rsidRPr="006A1C29" w:rsidRDefault="00A82BEA" w:rsidP="00636080">
      <w:pPr>
        <w:pStyle w:val="FooterTableFigure"/>
        <w:rPr>
          <w:i/>
        </w:rPr>
      </w:pPr>
      <w:r w:rsidRPr="006A1C29">
        <w:rPr>
          <w:i/>
          <w:vertAlign w:val="superscript"/>
        </w:rPr>
        <w:t>3</w:t>
      </w:r>
      <w:r w:rsidRPr="006A1C29">
        <w:rPr>
          <w:i/>
        </w:rPr>
        <w:t xml:space="preserve"> 50,000 to &lt; 60,000</w:t>
      </w:r>
    </w:p>
    <w:p w14:paraId="46530C3A" w14:textId="6116A2FD" w:rsidR="00A82BEA" w:rsidRPr="006A1C29" w:rsidRDefault="00A82BEA" w:rsidP="00636080">
      <w:pPr>
        <w:pStyle w:val="FooterTableFigure"/>
        <w:rPr>
          <w:i/>
        </w:rPr>
      </w:pPr>
      <w:r w:rsidRPr="006A1C29">
        <w:rPr>
          <w:i/>
          <w:vertAlign w:val="superscript"/>
        </w:rPr>
        <w:t>4</w:t>
      </w:r>
      <w:r w:rsidRPr="006A1C29">
        <w:rPr>
          <w:i/>
        </w:rPr>
        <w:t xml:space="preserve"> 40,000 to &lt; 50,000</w:t>
      </w:r>
    </w:p>
    <w:p w14:paraId="3C77B367" w14:textId="5D3692AF" w:rsidR="0039419D" w:rsidRPr="006A1C29" w:rsidRDefault="0039419D" w:rsidP="00636080">
      <w:pPr>
        <w:pStyle w:val="FooterTableFigure"/>
        <w:rPr>
          <w:i/>
        </w:rPr>
      </w:pPr>
      <w:r w:rsidRPr="006A1C29">
        <w:rPr>
          <w:i/>
          <w:vertAlign w:val="superscript"/>
        </w:rPr>
        <w:t>5</w:t>
      </w:r>
      <w:r w:rsidRPr="006A1C29">
        <w:rPr>
          <w:i/>
        </w:rPr>
        <w:t xml:space="preserve"> 60,000 to &lt; 70,000</w:t>
      </w:r>
    </w:p>
    <w:p w14:paraId="11A628A8" w14:textId="671280C2" w:rsidR="0039419D" w:rsidRPr="006A1C29" w:rsidRDefault="0039419D" w:rsidP="00636080">
      <w:pPr>
        <w:pStyle w:val="FooterTableFigure"/>
        <w:rPr>
          <w:i/>
        </w:rPr>
      </w:pPr>
      <w:r w:rsidRPr="006A1C29">
        <w:rPr>
          <w:i/>
          <w:vertAlign w:val="superscript"/>
        </w:rPr>
        <w:t>6</w:t>
      </w:r>
      <w:r w:rsidRPr="006A1C29">
        <w:rPr>
          <w:i/>
        </w:rPr>
        <w:t xml:space="preserve"> 70,000 to &lt; 80,000</w:t>
      </w:r>
    </w:p>
    <w:p w14:paraId="4BE273BC" w14:textId="3904949B" w:rsidR="0039419D" w:rsidRPr="006A1C29" w:rsidRDefault="0039419D" w:rsidP="00636080">
      <w:pPr>
        <w:pStyle w:val="FooterTableFigure"/>
        <w:rPr>
          <w:i/>
        </w:rPr>
      </w:pPr>
      <w:r w:rsidRPr="006A1C29">
        <w:rPr>
          <w:i/>
          <w:vertAlign w:val="superscript"/>
        </w:rPr>
        <w:t>7</w:t>
      </w:r>
      <w:r w:rsidRPr="006A1C29">
        <w:rPr>
          <w:i/>
        </w:rPr>
        <w:t xml:space="preserve"> 30,000 to &lt; 40,000</w:t>
      </w:r>
    </w:p>
    <w:p w14:paraId="7FC5E2EF" w14:textId="32A87B00" w:rsidR="0039419D" w:rsidRPr="006A1C29" w:rsidRDefault="0039419D" w:rsidP="00636080">
      <w:pPr>
        <w:pStyle w:val="FooterTableFigure"/>
        <w:rPr>
          <w:i/>
        </w:rPr>
      </w:pPr>
      <w:r w:rsidRPr="006A1C29">
        <w:rPr>
          <w:i/>
          <w:vertAlign w:val="superscript"/>
        </w:rPr>
        <w:t>8</w:t>
      </w:r>
      <w:r w:rsidRPr="006A1C29">
        <w:rPr>
          <w:i/>
        </w:rPr>
        <w:t xml:space="preserve"> 10,000 to &lt; 20,000</w:t>
      </w:r>
    </w:p>
    <w:p w14:paraId="04838D0A" w14:textId="25D56656" w:rsidR="0039419D" w:rsidRPr="006A1C29" w:rsidRDefault="0039419D" w:rsidP="00636080">
      <w:pPr>
        <w:pStyle w:val="FooterTableFigure"/>
        <w:rPr>
          <w:i/>
        </w:rPr>
      </w:pPr>
      <w:r w:rsidRPr="006A1C29">
        <w:rPr>
          <w:i/>
          <w:vertAlign w:val="superscript"/>
        </w:rPr>
        <w:t>9</w:t>
      </w:r>
      <w:r w:rsidRPr="006A1C29">
        <w:rPr>
          <w:i/>
        </w:rPr>
        <w:t xml:space="preserve"> 20,000 to &lt; 30,000</w:t>
      </w:r>
    </w:p>
    <w:p w14:paraId="06C3A53F" w14:textId="139D2E5D" w:rsidR="0039419D" w:rsidRPr="006A1C29" w:rsidRDefault="0039419D" w:rsidP="00636080">
      <w:pPr>
        <w:pStyle w:val="FooterTableFigure"/>
        <w:rPr>
          <w:i/>
        </w:rPr>
      </w:pPr>
      <w:r w:rsidRPr="006A1C29">
        <w:rPr>
          <w:i/>
          <w:vertAlign w:val="superscript"/>
        </w:rPr>
        <w:t>10</w:t>
      </w:r>
      <w:r w:rsidRPr="006A1C29">
        <w:rPr>
          <w:i/>
        </w:rPr>
        <w:t xml:space="preserve"> $60 million to &lt; $70 million</w:t>
      </w:r>
    </w:p>
    <w:p w14:paraId="100867A6" w14:textId="33186A9F" w:rsidR="0039419D" w:rsidRPr="006A1C29" w:rsidRDefault="0039419D" w:rsidP="00636080">
      <w:pPr>
        <w:pStyle w:val="FooterTableFigure"/>
        <w:rPr>
          <w:i/>
        </w:rPr>
      </w:pPr>
      <w:r w:rsidRPr="006A1C29">
        <w:rPr>
          <w:i/>
          <w:vertAlign w:val="superscript"/>
        </w:rPr>
        <w:t>11</w:t>
      </w:r>
      <w:r w:rsidRPr="006A1C29">
        <w:rPr>
          <w:i/>
        </w:rPr>
        <w:t xml:space="preserve"> $50 million to &lt; $60 million</w:t>
      </w:r>
    </w:p>
    <w:p w14:paraId="4ABF3119" w14:textId="4AF88CE9" w:rsidR="0039419D" w:rsidRPr="006A1C29" w:rsidRDefault="0039419D" w:rsidP="00636080">
      <w:pPr>
        <w:pStyle w:val="FooterTableFigure"/>
        <w:rPr>
          <w:i/>
        </w:rPr>
      </w:pPr>
      <w:r w:rsidRPr="006A1C29">
        <w:rPr>
          <w:i/>
          <w:vertAlign w:val="superscript"/>
        </w:rPr>
        <w:t>12</w:t>
      </w:r>
      <w:r w:rsidRPr="006A1C29">
        <w:rPr>
          <w:i/>
        </w:rPr>
        <w:t xml:space="preserve"> $40 million to &lt; $50 million</w:t>
      </w:r>
    </w:p>
    <w:p w14:paraId="3C42B397" w14:textId="2E4D1288" w:rsidR="0039419D" w:rsidRPr="006A1C29" w:rsidRDefault="0039419D" w:rsidP="00636080">
      <w:pPr>
        <w:pStyle w:val="FooterTableFigure"/>
        <w:rPr>
          <w:i/>
        </w:rPr>
      </w:pPr>
      <w:r w:rsidRPr="006A1C29">
        <w:rPr>
          <w:i/>
          <w:vertAlign w:val="superscript"/>
        </w:rPr>
        <w:t>13</w:t>
      </w:r>
      <w:r w:rsidRPr="006A1C29">
        <w:rPr>
          <w:i/>
        </w:rPr>
        <w:t xml:space="preserve"> $70 million to &lt; $80 million</w:t>
      </w:r>
    </w:p>
    <w:p w14:paraId="5DCCBE21" w14:textId="228DCAA8" w:rsidR="0039419D" w:rsidRPr="006A1C29" w:rsidRDefault="0039419D" w:rsidP="00636080">
      <w:pPr>
        <w:pStyle w:val="FooterTableFigure"/>
        <w:rPr>
          <w:i/>
        </w:rPr>
      </w:pPr>
      <w:r w:rsidRPr="006A1C29">
        <w:rPr>
          <w:i/>
          <w:vertAlign w:val="superscript"/>
        </w:rPr>
        <w:t>14</w:t>
      </w:r>
      <w:r w:rsidRPr="006A1C29">
        <w:rPr>
          <w:i/>
        </w:rPr>
        <w:t xml:space="preserve"> $90 million to &lt; $100 million</w:t>
      </w:r>
    </w:p>
    <w:p w14:paraId="34A44727" w14:textId="0D658BB2" w:rsidR="0039419D" w:rsidRPr="006A1C29" w:rsidRDefault="0039419D" w:rsidP="00636080">
      <w:pPr>
        <w:pStyle w:val="FooterTableFigure"/>
        <w:rPr>
          <w:i/>
        </w:rPr>
      </w:pPr>
      <w:r w:rsidRPr="006A1C29">
        <w:rPr>
          <w:i/>
          <w:vertAlign w:val="superscript"/>
        </w:rPr>
        <w:t>15</w:t>
      </w:r>
      <w:r w:rsidRPr="006A1C29">
        <w:rPr>
          <w:i/>
        </w:rPr>
        <w:t xml:space="preserve"> $100 million to &lt; $200 million</w:t>
      </w:r>
    </w:p>
    <w:p w14:paraId="0BACDFD1" w14:textId="34EB439E" w:rsidR="0039419D" w:rsidRPr="006A1C29" w:rsidRDefault="0039419D" w:rsidP="00636080">
      <w:pPr>
        <w:pStyle w:val="FooterTableFigure"/>
        <w:rPr>
          <w:i/>
        </w:rPr>
      </w:pPr>
      <w:r w:rsidRPr="006A1C29">
        <w:rPr>
          <w:i/>
          <w:vertAlign w:val="superscript"/>
        </w:rPr>
        <w:t>16</w:t>
      </w:r>
      <w:r w:rsidRPr="006A1C29">
        <w:rPr>
          <w:i/>
        </w:rPr>
        <w:t xml:space="preserve"> $80 million to &lt; $90 million</w:t>
      </w:r>
    </w:p>
    <w:p w14:paraId="408DDB3E" w14:textId="61DDD409" w:rsidR="0039419D" w:rsidRPr="006A1C29" w:rsidRDefault="0039419D" w:rsidP="00636080">
      <w:pPr>
        <w:pStyle w:val="FooterTableFigure"/>
        <w:rPr>
          <w:i/>
        </w:rPr>
      </w:pPr>
      <w:r w:rsidRPr="006A1C29">
        <w:rPr>
          <w:i/>
          <w:vertAlign w:val="superscript"/>
        </w:rPr>
        <w:t>17</w:t>
      </w:r>
      <w:r w:rsidRPr="006A1C29">
        <w:rPr>
          <w:i/>
        </w:rPr>
        <w:t xml:space="preserve"> $20 million to &lt; $30 million</w:t>
      </w:r>
    </w:p>
    <w:p w14:paraId="161C457F" w14:textId="15D3E6EC" w:rsidR="0039419D" w:rsidRPr="006A1C29" w:rsidRDefault="0039419D" w:rsidP="00636080">
      <w:pPr>
        <w:pStyle w:val="FooterTableFigure"/>
        <w:rPr>
          <w:i/>
        </w:rPr>
      </w:pPr>
      <w:r w:rsidRPr="006A1C29">
        <w:rPr>
          <w:i/>
          <w:vertAlign w:val="superscript"/>
        </w:rPr>
        <w:t>18</w:t>
      </w:r>
      <w:r w:rsidRPr="006A1C29">
        <w:rPr>
          <w:i/>
        </w:rPr>
        <w:t xml:space="preserve"> $10 million to &lt; $20 million</w:t>
      </w:r>
    </w:p>
    <w:p w14:paraId="7D4EB905" w14:textId="268925AA" w:rsidR="006A1C29" w:rsidRPr="006A1C29" w:rsidRDefault="006A1C29" w:rsidP="00636080">
      <w:pPr>
        <w:pStyle w:val="FooterTableFigure"/>
        <w:rPr>
          <w:i/>
        </w:rPr>
      </w:pPr>
      <w:r w:rsidRPr="006A1C29">
        <w:rPr>
          <w:i/>
          <w:vertAlign w:val="superscript"/>
        </w:rPr>
        <w:t>19</w:t>
      </w:r>
      <w:r w:rsidRPr="006A1C29">
        <w:rPr>
          <w:i/>
        </w:rPr>
        <w:t xml:space="preserve"> $0 to &lt; $10 million</w:t>
      </w:r>
    </w:p>
    <w:p w14:paraId="23898761" w14:textId="7E8DAEE2" w:rsidR="00450FB6" w:rsidRPr="00C26D55" w:rsidRDefault="00D20056" w:rsidP="0061756C">
      <w:pPr>
        <w:pStyle w:val="3-BodyText"/>
      </w:pPr>
      <w:r w:rsidRPr="00BF5BC7">
        <w:rPr>
          <w:rFonts w:eastAsia="Calibri" w:cs="Times New Roman"/>
          <w:iCs/>
        </w:rPr>
        <w:t xml:space="preserve">The </w:t>
      </w:r>
      <w:r w:rsidR="00F0248A" w:rsidRPr="00BF5BC7">
        <w:rPr>
          <w:rFonts w:eastAsia="Calibri" w:cs="Times New Roman"/>
          <w:iCs/>
        </w:rPr>
        <w:t>total cost to the PBS/RPBS was</w:t>
      </w:r>
      <w:r w:rsidR="00C26D55">
        <w:rPr>
          <w:rFonts w:eastAsia="Calibri" w:cs="Times New Roman"/>
          <w:iCs/>
        </w:rPr>
        <w:t xml:space="preserve"> </w:t>
      </w:r>
      <w:r w:rsidR="00C26D55" w:rsidRPr="00541454">
        <w:rPr>
          <w:rFonts w:eastAsia="Calibri" w:cs="Times New Roman"/>
        </w:rPr>
        <w:t>estimated in the resubmission to be</w:t>
      </w:r>
      <w:r w:rsidR="00F0248A" w:rsidRPr="00BF5BC7">
        <w:rPr>
          <w:rFonts w:eastAsia="Calibri" w:cs="Times New Roman"/>
          <w:iCs/>
        </w:rPr>
        <w:t xml:space="preserve"> $</w:t>
      </w:r>
      <w:r w:rsidR="006A1C29">
        <w:rPr>
          <w:rFonts w:eastAsia="Calibri" w:cs="Times New Roman"/>
          <w:iCs/>
        </w:rPr>
        <w:t>400 million to &lt; $500</w:t>
      </w:r>
      <w:r w:rsidR="00F0248A" w:rsidRPr="00BF5BC7">
        <w:rPr>
          <w:rFonts w:eastAsia="Calibri" w:cs="Times New Roman"/>
          <w:iCs/>
        </w:rPr>
        <w:t> million</w:t>
      </w:r>
      <w:r w:rsidR="00A60286" w:rsidRPr="00BF5BC7">
        <w:rPr>
          <w:rFonts w:eastAsia="Calibri" w:cs="Times New Roman"/>
          <w:iCs/>
        </w:rPr>
        <w:t xml:space="preserve"> over a 6-year period</w:t>
      </w:r>
      <w:r w:rsidR="00F0248A" w:rsidRPr="00BF5BC7">
        <w:rPr>
          <w:rFonts w:eastAsia="Calibri" w:cs="Times New Roman"/>
          <w:iCs/>
        </w:rPr>
        <w:t xml:space="preserve">. </w:t>
      </w:r>
      <w:r w:rsidR="002E7548" w:rsidRPr="00BF5BC7">
        <w:rPr>
          <w:rFonts w:eastAsia="Calibri" w:cs="Times New Roman"/>
          <w:iCs/>
        </w:rPr>
        <w:t>Adding the impact to the MBS</w:t>
      </w:r>
      <w:r w:rsidR="00B24509" w:rsidRPr="00BF5BC7">
        <w:rPr>
          <w:rFonts w:eastAsia="Calibri" w:cs="Times New Roman"/>
          <w:iCs/>
        </w:rPr>
        <w:t xml:space="preserve"> (</w:t>
      </w:r>
      <w:r w:rsidR="004666F2" w:rsidRPr="00BF5BC7">
        <w:rPr>
          <w:rFonts w:eastAsia="Calibri" w:cs="Times New Roman"/>
          <w:iCs/>
        </w:rPr>
        <w:t>$</w:t>
      </w:r>
      <w:r w:rsidR="006A1C29">
        <w:rPr>
          <w:rFonts w:eastAsia="Calibri" w:cs="Times New Roman"/>
          <w:iCs/>
        </w:rPr>
        <w:t>20 million to &lt; $30</w:t>
      </w:r>
      <w:r w:rsidR="004666F2" w:rsidRPr="00BF5BC7">
        <w:rPr>
          <w:rFonts w:eastAsia="Calibri" w:cs="Times New Roman"/>
          <w:iCs/>
        </w:rPr>
        <w:t> million</w:t>
      </w:r>
      <w:r w:rsidR="00B24509" w:rsidRPr="00BF5BC7">
        <w:rPr>
          <w:rFonts w:eastAsia="Calibri" w:cs="Times New Roman"/>
          <w:iCs/>
        </w:rPr>
        <w:t>)</w:t>
      </w:r>
      <w:r w:rsidR="002E7548" w:rsidRPr="00BF5BC7">
        <w:rPr>
          <w:rFonts w:eastAsia="Calibri" w:cs="Times New Roman"/>
          <w:iCs/>
        </w:rPr>
        <w:t>, the overall net costs to Government health budgets was calculated as $</w:t>
      </w:r>
      <w:r w:rsidR="006A1C29">
        <w:rPr>
          <w:rFonts w:eastAsia="Calibri" w:cs="Times New Roman"/>
          <w:iCs/>
        </w:rPr>
        <w:t>400 million to &lt; $500</w:t>
      </w:r>
      <w:r w:rsidR="002E7548" w:rsidRPr="00BF5BC7">
        <w:rPr>
          <w:rFonts w:eastAsia="Calibri" w:cs="Times New Roman"/>
          <w:iCs/>
        </w:rPr>
        <w:t xml:space="preserve"> million. </w:t>
      </w:r>
      <w:r w:rsidR="00450FB6">
        <w:t xml:space="preserve">The </w:t>
      </w:r>
      <w:r w:rsidR="00A6306A" w:rsidRPr="006F0997">
        <w:t xml:space="preserve">sensitivity analyses presented in the resubmission focused on the key variables which were added or modified in response to </w:t>
      </w:r>
      <w:r w:rsidR="00A018A3">
        <w:t xml:space="preserve">previous </w:t>
      </w:r>
      <w:r w:rsidR="00A6306A" w:rsidRPr="006F0997">
        <w:t xml:space="preserve">comments from DUSC and those presented in the </w:t>
      </w:r>
      <w:r w:rsidR="00A6306A" w:rsidRPr="00936791">
        <w:t>November 2022 submission.</w:t>
      </w:r>
      <w:r w:rsidR="008C083B">
        <w:t xml:space="preserve"> </w:t>
      </w:r>
      <w:r w:rsidR="008C083B" w:rsidRPr="00BF5BC7">
        <w:t>The results of the sensitivity analyses show that the key inputs which affect the financial implications by more than 20% over six years are the prevalence</w:t>
      </w:r>
      <w:r w:rsidR="00CB3B61" w:rsidRPr="00BF5BC7">
        <w:t xml:space="preserve"> of HCM</w:t>
      </w:r>
      <w:r w:rsidR="008C083B" w:rsidRPr="00BF5BC7">
        <w:t>, the proportion of HCM patients with obstructive disease, the proportion of patients not well controlled on BB/CCB, and the proportion of patients who are NYHA class II/III.</w:t>
      </w:r>
      <w:r w:rsidR="00860006" w:rsidRPr="00BF5BC7">
        <w:t xml:space="preserve"> </w:t>
      </w:r>
      <w:r w:rsidR="00860006" w:rsidRPr="00BF5BC7">
        <w:rPr>
          <w:iCs/>
        </w:rPr>
        <w:t>The financial estimates also assume no patients discontinue treatment, which will overestimate the financial costs to Government.</w:t>
      </w:r>
      <w:r w:rsidR="00147AB6" w:rsidRPr="00BF5BC7">
        <w:rPr>
          <w:iCs/>
        </w:rPr>
        <w:t xml:space="preserve"> This is an unreasonable assumption. Data from MAVA-LTE (</w:t>
      </w:r>
      <w:r w:rsidR="00B8284A" w:rsidRPr="00BF5BC7">
        <w:rPr>
          <w:iCs/>
        </w:rPr>
        <w:t>EXPL</w:t>
      </w:r>
      <w:r w:rsidR="00B8284A">
        <w:rPr>
          <w:iCs/>
        </w:rPr>
        <w:t>OR</w:t>
      </w:r>
      <w:r w:rsidR="00B8284A" w:rsidRPr="00BF5BC7">
        <w:rPr>
          <w:iCs/>
        </w:rPr>
        <w:t>ER</w:t>
      </w:r>
      <w:r w:rsidR="00147AB6" w:rsidRPr="00BF5BC7">
        <w:rPr>
          <w:iCs/>
        </w:rPr>
        <w:t>-LTE cohort) indicated that 18.2% of patients discontinued treatment in the pre-pandemic period.</w:t>
      </w:r>
    </w:p>
    <w:p w14:paraId="46BF9860" w14:textId="710E97F8" w:rsidR="00EE1CBF" w:rsidRPr="00541454" w:rsidRDefault="00C26D55" w:rsidP="00C47CB0">
      <w:pPr>
        <w:pStyle w:val="3-BodyText"/>
      </w:pPr>
      <w:r w:rsidRPr="00541454">
        <w:rPr>
          <w:rFonts w:eastAsia="Calibri"/>
          <w:iCs/>
        </w:rPr>
        <w:t>The PSCR</w:t>
      </w:r>
      <w:r w:rsidR="004C2B23" w:rsidRPr="00541454">
        <w:rPr>
          <w:rFonts w:eastAsia="Calibri"/>
          <w:iCs/>
        </w:rPr>
        <w:t xml:space="preserve"> </w:t>
      </w:r>
      <w:r w:rsidRPr="00541454">
        <w:rPr>
          <w:rFonts w:eastAsia="Calibri"/>
          <w:iCs/>
        </w:rPr>
        <w:t xml:space="preserve">presented a revised set of financial estimates that aligned treatment discontinuation rates with those included in the economic model: a 5% </w:t>
      </w:r>
      <w:r w:rsidRPr="00541454">
        <w:rPr>
          <w:rFonts w:eastAsia="Calibri"/>
          <w:iCs/>
          <w:lang w:val="en-GB"/>
        </w:rPr>
        <w:t xml:space="preserve">discontinuation rate applied at 30 weeks (denoting the end of the EXPLORER-HCM trial) and then an 8.53% rate annually. </w:t>
      </w:r>
      <w:r w:rsidR="003E4F11" w:rsidRPr="00541454">
        <w:rPr>
          <w:bCs/>
        </w:rPr>
        <w:t>However, the PSCR noted that due to the</w:t>
      </w:r>
      <w:r w:rsidR="004C2B23" w:rsidRPr="00541454">
        <w:rPr>
          <w:bCs/>
        </w:rPr>
        <w:t xml:space="preserve"> structure of the financial estimates, which do not specifically delineate between pre-30 weeks and post-30 weeks of treatment, necessitates the application of discontinuation at 12 weeks (point of transfer from initial to continuing treatment) and then annually thereafter.</w:t>
      </w:r>
      <w:r w:rsidR="004C2B23" w:rsidRPr="00541454">
        <w:rPr>
          <w:bCs/>
          <w:u w:val="single"/>
        </w:rPr>
        <w:t xml:space="preserve"> </w:t>
      </w:r>
      <w:r w:rsidR="004C2B23" w:rsidRPr="00541454">
        <w:rPr>
          <w:bCs/>
        </w:rPr>
        <w:t>To account for this, the price of</w:t>
      </w:r>
      <w:r w:rsidR="00856033" w:rsidRPr="00541454">
        <w:rPr>
          <w:bCs/>
        </w:rPr>
        <w:t xml:space="preserve"> the</w:t>
      </w:r>
      <w:r w:rsidR="004C2B23" w:rsidRPr="00541454">
        <w:rPr>
          <w:bCs/>
        </w:rPr>
        <w:t xml:space="preserve"> initial mavacamten script </w:t>
      </w:r>
      <w:r w:rsidR="00856033" w:rsidRPr="00541454">
        <w:rPr>
          <w:bCs/>
        </w:rPr>
        <w:t>was</w:t>
      </w:r>
      <w:r w:rsidR="004C2B23" w:rsidRPr="00541454">
        <w:rPr>
          <w:bCs/>
        </w:rPr>
        <w:t xml:space="preserve"> artificially increased by a factor of 1.03 (representing the ratio of difference due to the 18 weeks that patients in the financial estimates are not considered on treatment multiplied by the 5% of patients who discontinue). </w:t>
      </w:r>
      <w:r w:rsidR="00C47CB0" w:rsidRPr="00541454">
        <w:rPr>
          <w:bCs/>
        </w:rPr>
        <w:t xml:space="preserve">Application of this factor </w:t>
      </w:r>
      <w:r w:rsidR="00C47CB0" w:rsidRPr="00541454">
        <w:rPr>
          <w:bCs/>
        </w:rPr>
        <w:lastRenderedPageBreak/>
        <w:t>to increase the price may be inappropriate, given that discontinuations in the economic model appear to be higher than what is applied in the financial estimates. Removing this artificial factor decreased the estimated financial impact</w:t>
      </w:r>
      <w:r w:rsidR="00EE1CBF" w:rsidRPr="00541454">
        <w:rPr>
          <w:bCs/>
        </w:rPr>
        <w:t xml:space="preserve"> reported in the PSCR</w:t>
      </w:r>
      <w:r w:rsidR="0012763F" w:rsidRPr="00541454">
        <w:rPr>
          <w:bCs/>
        </w:rPr>
        <w:t xml:space="preserve"> (</w:t>
      </w:r>
      <w:r w:rsidR="0012763F" w:rsidRPr="00541454">
        <w:fldChar w:fldCharType="begin"/>
      </w:r>
      <w:r w:rsidR="0012763F" w:rsidRPr="00541454">
        <w:instrText xml:space="preserve"> REF _Ref104805295 \h  \* MERGEFORMAT </w:instrText>
      </w:r>
      <w:r w:rsidR="0012763F" w:rsidRPr="00541454">
        <w:fldChar w:fldCharType="separate"/>
      </w:r>
      <w:r w:rsidR="00F84C70" w:rsidRPr="0034458B">
        <w:t xml:space="preserve">Table </w:t>
      </w:r>
      <w:r w:rsidR="00F84C70">
        <w:rPr>
          <w:noProof/>
        </w:rPr>
        <w:t>19</w:t>
      </w:r>
      <w:r w:rsidR="0012763F" w:rsidRPr="00541454">
        <w:fldChar w:fldCharType="end"/>
      </w:r>
      <w:r w:rsidR="0012763F" w:rsidRPr="00541454">
        <w:t>)</w:t>
      </w:r>
      <w:r w:rsidR="00C47CB0" w:rsidRPr="00541454">
        <w:rPr>
          <w:bCs/>
        </w:rPr>
        <w:t xml:space="preserve">. </w:t>
      </w:r>
    </w:p>
    <w:p w14:paraId="2380E073" w14:textId="07A3C0C5" w:rsidR="00C26D55" w:rsidRDefault="00C47CB0" w:rsidP="00C47CB0">
      <w:pPr>
        <w:pStyle w:val="3-BodyText"/>
        <w:rPr>
          <w:bCs/>
        </w:rPr>
      </w:pPr>
      <w:proofErr w:type="gramStart"/>
      <w:r w:rsidRPr="00541454">
        <w:rPr>
          <w:bCs/>
        </w:rPr>
        <w:t>Overall</w:t>
      </w:r>
      <w:proofErr w:type="gramEnd"/>
      <w:r w:rsidRPr="00541454">
        <w:rPr>
          <w:bCs/>
        </w:rPr>
        <w:t xml:space="preserve"> the net cost to government was estimated in the PSCR to be $</w:t>
      </w:r>
      <w:r w:rsidR="006A1C29">
        <w:rPr>
          <w:bCs/>
        </w:rPr>
        <w:t>70 million to &lt; $80</w:t>
      </w:r>
      <w:r w:rsidR="00EE1CBF" w:rsidRPr="00541454">
        <w:rPr>
          <w:bCs/>
        </w:rPr>
        <w:t xml:space="preserve"> million</w:t>
      </w:r>
      <w:r w:rsidRPr="00541454">
        <w:rPr>
          <w:bCs/>
        </w:rPr>
        <w:t xml:space="preserve"> </w:t>
      </w:r>
      <w:r w:rsidR="00EE1CBF" w:rsidRPr="00541454">
        <w:rPr>
          <w:bCs/>
        </w:rPr>
        <w:t>in</w:t>
      </w:r>
      <w:r w:rsidRPr="00541454">
        <w:rPr>
          <w:bCs/>
        </w:rPr>
        <w:t xml:space="preserve"> </w:t>
      </w:r>
      <w:r w:rsidR="00EE1CBF" w:rsidRPr="00541454">
        <w:rPr>
          <w:bCs/>
        </w:rPr>
        <w:t>Y</w:t>
      </w:r>
      <w:r w:rsidRPr="00541454">
        <w:rPr>
          <w:bCs/>
        </w:rPr>
        <w:t>ear 1, decreasing to $</w:t>
      </w:r>
      <w:r w:rsidR="006A1C29">
        <w:rPr>
          <w:bCs/>
        </w:rPr>
        <w:t>50 million to &lt; $60</w:t>
      </w:r>
      <w:r w:rsidR="00EE1CBF" w:rsidRPr="00541454">
        <w:rPr>
          <w:bCs/>
        </w:rPr>
        <w:t xml:space="preserve"> million</w:t>
      </w:r>
      <w:r w:rsidRPr="00541454">
        <w:rPr>
          <w:bCs/>
        </w:rPr>
        <w:t xml:space="preserve"> in </w:t>
      </w:r>
      <w:r w:rsidR="00EE1CBF" w:rsidRPr="00541454">
        <w:rPr>
          <w:bCs/>
        </w:rPr>
        <w:t>Y</w:t>
      </w:r>
      <w:r w:rsidRPr="00541454">
        <w:rPr>
          <w:bCs/>
        </w:rPr>
        <w:t>ear 6 (total over first six years: $</w:t>
      </w:r>
      <w:r w:rsidR="006A1C29">
        <w:rPr>
          <w:bCs/>
        </w:rPr>
        <w:t>300 million to &lt; $400</w:t>
      </w:r>
      <w:r w:rsidR="00EE1CBF" w:rsidRPr="00541454">
        <w:rPr>
          <w:bCs/>
        </w:rPr>
        <w:t xml:space="preserve"> million</w:t>
      </w:r>
      <w:r w:rsidR="0012763F" w:rsidRPr="00541454">
        <w:rPr>
          <w:bCs/>
        </w:rPr>
        <w:t xml:space="preserve"> (</w:t>
      </w:r>
      <w:r w:rsidR="0012763F" w:rsidRPr="00541454">
        <w:rPr>
          <w:bCs/>
        </w:rPr>
        <w:fldChar w:fldCharType="begin"/>
      </w:r>
      <w:r w:rsidR="0012763F" w:rsidRPr="00541454">
        <w:rPr>
          <w:bCs/>
        </w:rPr>
        <w:instrText xml:space="preserve"> REF _Ref104805295 \h  \* MERGEFORMAT </w:instrText>
      </w:r>
      <w:r w:rsidR="0012763F" w:rsidRPr="00541454">
        <w:rPr>
          <w:bCs/>
        </w:rPr>
      </w:r>
      <w:r w:rsidR="0012763F" w:rsidRPr="00541454">
        <w:rPr>
          <w:bCs/>
        </w:rPr>
        <w:fldChar w:fldCharType="separate"/>
      </w:r>
      <w:r w:rsidR="00F84C70" w:rsidRPr="00F84C70">
        <w:rPr>
          <w:bCs/>
        </w:rPr>
        <w:t>Table 19</w:t>
      </w:r>
      <w:r w:rsidR="0012763F" w:rsidRPr="00541454">
        <w:rPr>
          <w:bCs/>
        </w:rPr>
        <w:fldChar w:fldCharType="end"/>
      </w:r>
      <w:r w:rsidR="0012763F" w:rsidRPr="00541454">
        <w:rPr>
          <w:bCs/>
        </w:rPr>
        <w:t>)</w:t>
      </w:r>
      <w:r w:rsidRPr="00541454">
        <w:rPr>
          <w:bCs/>
        </w:rPr>
        <w:t xml:space="preserve">.  </w:t>
      </w:r>
    </w:p>
    <w:p w14:paraId="2E793523" w14:textId="77777777" w:rsidR="00A73F73" w:rsidRPr="00A73F73" w:rsidRDefault="00A73F73" w:rsidP="00A73F73">
      <w:pPr>
        <w:pStyle w:val="3-BodyText"/>
        <w:rPr>
          <w:bCs/>
        </w:rPr>
      </w:pPr>
      <w:r w:rsidRPr="00A73F73">
        <w:rPr>
          <w:bCs/>
        </w:rPr>
        <w:t>The ESC considered that there remained significant uncertainty in the financials estimates provided in the resubmission and PSCR.  These include:</w:t>
      </w:r>
    </w:p>
    <w:p w14:paraId="7AF85E7F" w14:textId="77777777" w:rsidR="00A73F73" w:rsidRPr="00A73F73" w:rsidRDefault="00A73F73" w:rsidP="00A73F73">
      <w:pPr>
        <w:pStyle w:val="3-BodyText"/>
        <w:numPr>
          <w:ilvl w:val="0"/>
          <w:numId w:val="39"/>
        </w:numPr>
        <w:ind w:left="1418"/>
      </w:pPr>
      <w:r w:rsidRPr="00A73F73">
        <w:t xml:space="preserve">the prevalence of obstructive HCM in the Australian PBS population with a resting or provocable LVOT gradient </w:t>
      </w:r>
      <w:r w:rsidRPr="00A73F73">
        <w:rPr>
          <w:rFonts w:cstheme="minorHAnsi"/>
        </w:rPr>
        <w:t>≥</w:t>
      </w:r>
      <w:r w:rsidRPr="00A73F73">
        <w:t xml:space="preserve"> 50mm </w:t>
      </w:r>
      <w:proofErr w:type="gramStart"/>
      <w:r w:rsidRPr="00A73F73">
        <w:t>Hg;</w:t>
      </w:r>
      <w:proofErr w:type="gramEnd"/>
      <w:r w:rsidRPr="00A73F73">
        <w:t xml:space="preserve"> </w:t>
      </w:r>
    </w:p>
    <w:p w14:paraId="254E25B9" w14:textId="77777777" w:rsidR="00A73F73" w:rsidRPr="00A73F73" w:rsidRDefault="00A73F73" w:rsidP="00A73F73">
      <w:pPr>
        <w:pStyle w:val="3-BodyText"/>
        <w:numPr>
          <w:ilvl w:val="0"/>
          <w:numId w:val="39"/>
        </w:numPr>
        <w:ind w:left="1418"/>
      </w:pPr>
      <w:r w:rsidRPr="00A73F73">
        <w:t xml:space="preserve">the proportion of the patient population who are NYHA Class II or III; and </w:t>
      </w:r>
    </w:p>
    <w:p w14:paraId="1E13484B" w14:textId="77777777" w:rsidR="00375CFC" w:rsidRDefault="00A73F73" w:rsidP="00375CFC">
      <w:pPr>
        <w:pStyle w:val="3-BodyText"/>
        <w:numPr>
          <w:ilvl w:val="0"/>
          <w:numId w:val="39"/>
        </w:numPr>
        <w:ind w:left="1418"/>
      </w:pPr>
      <w:r w:rsidRPr="00A73F73">
        <w:t xml:space="preserve">the uptake rate of mavacamten.  </w:t>
      </w:r>
    </w:p>
    <w:p w14:paraId="6E1B6263" w14:textId="7B6E0FA7" w:rsidR="00D1531C" w:rsidRDefault="00A6306A" w:rsidP="00D1531C">
      <w:pPr>
        <w:pStyle w:val="Caption"/>
      </w:pPr>
      <w:r w:rsidRPr="0034458B">
        <w:t xml:space="preserve">Table </w:t>
      </w:r>
      <w:fldSimple w:instr=" SEQ Table \* ARABIC ">
        <w:r w:rsidR="00F84C70">
          <w:rPr>
            <w:noProof/>
          </w:rPr>
          <w:t>20</w:t>
        </w:r>
      </w:fldSimple>
      <w:r w:rsidRPr="0034458B">
        <w:t>:</w:t>
      </w:r>
      <w:r w:rsidRPr="0034458B">
        <w:rPr>
          <w:rStyle w:val="CommentReference"/>
          <w:b/>
          <w:szCs w:val="24"/>
        </w:rPr>
        <w:t xml:space="preserve"> </w:t>
      </w:r>
      <w:r w:rsidR="00D1531C">
        <w:rPr>
          <w:rStyle w:val="CommentReference"/>
          <w:b/>
          <w:szCs w:val="24"/>
        </w:rPr>
        <w:t xml:space="preserve">The results of the sensitivity </w:t>
      </w:r>
      <w:r w:rsidR="00D1531C" w:rsidRPr="00AC0E88">
        <w:t>analyses (</w:t>
      </w:r>
      <w:r w:rsidR="00D1531C">
        <w:t>using the proposed effective price of mavacamten</w:t>
      </w:r>
      <w:r w:rsidR="00D1531C" w:rsidRPr="00AC0E8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2"/>
        <w:gridCol w:w="3248"/>
        <w:gridCol w:w="1843"/>
        <w:gridCol w:w="2269"/>
        <w:gridCol w:w="1225"/>
      </w:tblGrid>
      <w:tr w:rsidR="00CB55C7" w:rsidRPr="00F16733" w14:paraId="3F776885" w14:textId="77777777" w:rsidTr="00854A7C">
        <w:trPr>
          <w:trHeight w:val="20"/>
        </w:trPr>
        <w:tc>
          <w:tcPr>
            <w:tcW w:w="2041" w:type="pct"/>
            <w:gridSpan w:val="2"/>
            <w:tcBorders>
              <w:bottom w:val="single" w:sz="4" w:space="0" w:color="auto"/>
            </w:tcBorders>
          </w:tcPr>
          <w:p w14:paraId="2B9A5B1D" w14:textId="77777777" w:rsidR="00CB55C7" w:rsidRPr="00F16733" w:rsidRDefault="00CB55C7" w:rsidP="00854A7C">
            <w:pPr>
              <w:pStyle w:val="In-tableHeading"/>
            </w:pPr>
            <w:r w:rsidRPr="00F16733">
              <w:t>Variable</w:t>
            </w:r>
          </w:p>
        </w:tc>
        <w:tc>
          <w:tcPr>
            <w:tcW w:w="1022" w:type="pct"/>
            <w:tcBorders>
              <w:bottom w:val="single" w:sz="4" w:space="0" w:color="auto"/>
            </w:tcBorders>
          </w:tcPr>
          <w:p w14:paraId="5BA637C8" w14:textId="77777777" w:rsidR="00CB55C7" w:rsidRPr="00F16733" w:rsidRDefault="00CB55C7" w:rsidP="00854A7C">
            <w:pPr>
              <w:pStyle w:val="In-tableHeading"/>
              <w:jc w:val="center"/>
            </w:pPr>
            <w:r w:rsidRPr="00F16733">
              <w:t>Parameters used in sensitivity analysis</w:t>
            </w:r>
          </w:p>
        </w:tc>
        <w:tc>
          <w:tcPr>
            <w:tcW w:w="1258" w:type="pct"/>
            <w:tcBorders>
              <w:bottom w:val="single" w:sz="4" w:space="0" w:color="auto"/>
            </w:tcBorders>
          </w:tcPr>
          <w:p w14:paraId="12B6E21B" w14:textId="77777777" w:rsidR="00CB55C7" w:rsidRPr="00F16733" w:rsidRDefault="00CB55C7" w:rsidP="00854A7C">
            <w:pPr>
              <w:pStyle w:val="In-tableHeading"/>
              <w:jc w:val="center"/>
            </w:pPr>
            <w:r w:rsidRPr="00A86C81">
              <w:t>Overall net cost to PBS/RPBS over 6 years</w:t>
            </w:r>
          </w:p>
        </w:tc>
        <w:tc>
          <w:tcPr>
            <w:tcW w:w="679" w:type="pct"/>
          </w:tcPr>
          <w:p w14:paraId="0D0CCF3F" w14:textId="77777777" w:rsidR="00CB55C7" w:rsidRPr="00F16733" w:rsidRDefault="00CB55C7" w:rsidP="00854A7C">
            <w:pPr>
              <w:pStyle w:val="In-tableHeading"/>
              <w:jc w:val="center"/>
            </w:pPr>
            <w:r w:rsidRPr="00A86C81">
              <w:t>% change over 6 years</w:t>
            </w:r>
          </w:p>
        </w:tc>
      </w:tr>
      <w:tr w:rsidR="00CB55C7" w:rsidRPr="00F16733" w14:paraId="04AFFBAE" w14:textId="77777777" w:rsidTr="00854A7C">
        <w:trPr>
          <w:trHeight w:val="20"/>
        </w:trPr>
        <w:tc>
          <w:tcPr>
            <w:tcW w:w="2041" w:type="pct"/>
            <w:gridSpan w:val="2"/>
            <w:tcBorders>
              <w:bottom w:val="single" w:sz="4" w:space="0" w:color="auto"/>
              <w:right w:val="nil"/>
            </w:tcBorders>
          </w:tcPr>
          <w:p w14:paraId="62F19ED7" w14:textId="3C863266" w:rsidR="00CB55C7" w:rsidRPr="00F16733" w:rsidRDefault="00CB55C7" w:rsidP="00854A7C">
            <w:pPr>
              <w:pStyle w:val="In-tableHeading"/>
            </w:pPr>
            <w:r>
              <w:t>Base case</w:t>
            </w:r>
            <w:r w:rsidR="0012763F">
              <w:t xml:space="preserve"> (resubmission)</w:t>
            </w:r>
          </w:p>
        </w:tc>
        <w:tc>
          <w:tcPr>
            <w:tcW w:w="1022" w:type="pct"/>
            <w:tcBorders>
              <w:left w:val="nil"/>
              <w:bottom w:val="single" w:sz="4" w:space="0" w:color="auto"/>
            </w:tcBorders>
          </w:tcPr>
          <w:p w14:paraId="6A6786DA" w14:textId="77777777" w:rsidR="00CB55C7" w:rsidRPr="00F16733" w:rsidRDefault="00CB55C7" w:rsidP="00854A7C">
            <w:pPr>
              <w:pStyle w:val="In-tableHeading"/>
              <w:jc w:val="center"/>
            </w:pPr>
          </w:p>
        </w:tc>
        <w:tc>
          <w:tcPr>
            <w:tcW w:w="1258" w:type="pct"/>
            <w:tcBorders>
              <w:bottom w:val="single" w:sz="4" w:space="0" w:color="auto"/>
            </w:tcBorders>
          </w:tcPr>
          <w:p w14:paraId="20AD56DA" w14:textId="5BA9B9D1" w:rsidR="00CB55C7" w:rsidRPr="006A1C29" w:rsidRDefault="00B63528" w:rsidP="00854A7C">
            <w:pPr>
              <w:pStyle w:val="TableText0"/>
              <w:jc w:val="center"/>
              <w:rPr>
                <w:b/>
                <w:bCs w:val="0"/>
                <w:highlight w:val="darkGray"/>
              </w:rPr>
            </w:pPr>
            <w:r w:rsidRPr="00B63528">
              <w:rPr>
                <w:b/>
                <w:bCs w:val="0"/>
              </w:rPr>
              <w:t>$</w:t>
            </w:r>
            <w:r w:rsidR="00F5190C" w:rsidRPr="00F5190C">
              <w:rPr>
                <w:b/>
                <w:bCs w:val="0"/>
                <w:color w:val="000000"/>
                <w:shd w:val="solid" w:color="000000" w:fill="000000"/>
                <w14:textFill>
                  <w14:solidFill>
                    <w14:srgbClr w14:val="000000">
                      <w14:alpha w14:val="100000"/>
                    </w14:srgbClr>
                  </w14:solidFill>
                </w14:textFill>
              </w:rPr>
              <w:t>|</w:t>
            </w:r>
            <w:r w:rsidR="006A1C29">
              <w:rPr>
                <w:vertAlign w:val="superscript"/>
              </w:rPr>
              <w:t>1</w:t>
            </w:r>
          </w:p>
        </w:tc>
        <w:tc>
          <w:tcPr>
            <w:tcW w:w="679" w:type="pct"/>
            <w:tcBorders>
              <w:bottom w:val="single" w:sz="4" w:space="0" w:color="auto"/>
            </w:tcBorders>
          </w:tcPr>
          <w:p w14:paraId="34E9B420" w14:textId="77777777" w:rsidR="00CB55C7" w:rsidRPr="00A86C81" w:rsidRDefault="00E16AD7" w:rsidP="00854A7C">
            <w:pPr>
              <w:pStyle w:val="TableText0"/>
              <w:jc w:val="center"/>
            </w:pPr>
            <w:r>
              <w:t>-</w:t>
            </w:r>
          </w:p>
        </w:tc>
      </w:tr>
      <w:tr w:rsidR="004E02C4" w:rsidRPr="00F16733" w14:paraId="73E9D8A5" w14:textId="77777777" w:rsidTr="00854A7C">
        <w:trPr>
          <w:trHeight w:val="20"/>
        </w:trPr>
        <w:tc>
          <w:tcPr>
            <w:tcW w:w="240" w:type="pct"/>
            <w:tcBorders>
              <w:bottom w:val="nil"/>
            </w:tcBorders>
          </w:tcPr>
          <w:p w14:paraId="6E5703B2" w14:textId="77777777" w:rsidR="004E02C4" w:rsidRPr="00F16733" w:rsidRDefault="004E02C4" w:rsidP="00854A7C">
            <w:pPr>
              <w:pStyle w:val="TableText0"/>
            </w:pPr>
            <w:r>
              <w:t>SA1</w:t>
            </w:r>
          </w:p>
        </w:tc>
        <w:tc>
          <w:tcPr>
            <w:tcW w:w="1801" w:type="pct"/>
            <w:vMerge w:val="restart"/>
          </w:tcPr>
          <w:p w14:paraId="1B35BA6E" w14:textId="77777777" w:rsidR="004E02C4" w:rsidRPr="000B7BEC" w:rsidRDefault="004E02C4" w:rsidP="00854A7C">
            <w:pPr>
              <w:pStyle w:val="TableText0"/>
            </w:pPr>
            <w:r w:rsidRPr="000B7BEC">
              <w:t xml:space="preserve">Prevalence of HCM </w:t>
            </w:r>
            <w:r w:rsidRPr="000B7BEC">
              <w:rPr>
                <w:szCs w:val="20"/>
              </w:rPr>
              <w:t>(base case: 1 in 350 persons)</w:t>
            </w:r>
          </w:p>
        </w:tc>
        <w:tc>
          <w:tcPr>
            <w:tcW w:w="1022" w:type="pct"/>
            <w:tcBorders>
              <w:bottom w:val="nil"/>
            </w:tcBorders>
          </w:tcPr>
          <w:p w14:paraId="773DBDB0" w14:textId="77777777" w:rsidR="004E02C4" w:rsidRPr="00F16733" w:rsidRDefault="004E02C4" w:rsidP="00854A7C">
            <w:pPr>
              <w:pStyle w:val="TableText0"/>
              <w:jc w:val="center"/>
            </w:pPr>
            <w:r w:rsidRPr="00F16733">
              <w:t>1 in 500 persons</w:t>
            </w:r>
          </w:p>
        </w:tc>
        <w:tc>
          <w:tcPr>
            <w:tcW w:w="1258" w:type="pct"/>
            <w:tcBorders>
              <w:bottom w:val="single" w:sz="4" w:space="0" w:color="auto"/>
            </w:tcBorders>
          </w:tcPr>
          <w:p w14:paraId="16A2FDD4" w14:textId="58DE4ACA" w:rsidR="004E02C4"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2</w:t>
            </w:r>
          </w:p>
        </w:tc>
        <w:tc>
          <w:tcPr>
            <w:tcW w:w="679" w:type="pct"/>
          </w:tcPr>
          <w:p w14:paraId="05F06F48" w14:textId="77777777" w:rsidR="004E02C4" w:rsidRPr="00F16733" w:rsidRDefault="00552B41" w:rsidP="00854A7C">
            <w:pPr>
              <w:pStyle w:val="TableText0"/>
              <w:jc w:val="center"/>
            </w:pPr>
            <w:r>
              <w:t>-30%</w:t>
            </w:r>
          </w:p>
        </w:tc>
      </w:tr>
      <w:tr w:rsidR="004E02C4" w:rsidRPr="00B73C04" w14:paraId="6EEF8029" w14:textId="77777777" w:rsidTr="00854A7C">
        <w:trPr>
          <w:trHeight w:val="20"/>
        </w:trPr>
        <w:tc>
          <w:tcPr>
            <w:tcW w:w="240" w:type="pct"/>
            <w:tcBorders>
              <w:top w:val="nil"/>
              <w:bottom w:val="single" w:sz="4" w:space="0" w:color="auto"/>
            </w:tcBorders>
          </w:tcPr>
          <w:p w14:paraId="6D293AAF" w14:textId="77777777" w:rsidR="004E02C4" w:rsidRPr="00F16733" w:rsidRDefault="004E02C4" w:rsidP="00854A7C">
            <w:pPr>
              <w:pStyle w:val="TableText0"/>
            </w:pPr>
          </w:p>
        </w:tc>
        <w:tc>
          <w:tcPr>
            <w:tcW w:w="1801" w:type="pct"/>
            <w:vMerge/>
            <w:tcBorders>
              <w:bottom w:val="single" w:sz="4" w:space="0" w:color="auto"/>
            </w:tcBorders>
          </w:tcPr>
          <w:p w14:paraId="61BD3871" w14:textId="77777777" w:rsidR="004E02C4" w:rsidRPr="000B7BEC" w:rsidRDefault="004E02C4" w:rsidP="00854A7C">
            <w:pPr>
              <w:pStyle w:val="TableText0"/>
            </w:pPr>
          </w:p>
        </w:tc>
        <w:tc>
          <w:tcPr>
            <w:tcW w:w="1022" w:type="pct"/>
            <w:tcBorders>
              <w:top w:val="nil"/>
              <w:bottom w:val="single" w:sz="4" w:space="0" w:color="auto"/>
            </w:tcBorders>
          </w:tcPr>
          <w:p w14:paraId="332B4468" w14:textId="77777777" w:rsidR="004E02C4" w:rsidRPr="00F16733" w:rsidRDefault="004E02C4" w:rsidP="00854A7C">
            <w:pPr>
              <w:pStyle w:val="TableText0"/>
              <w:jc w:val="center"/>
            </w:pPr>
            <w:r w:rsidRPr="00F16733">
              <w:t>1 in 200 persons</w:t>
            </w:r>
          </w:p>
        </w:tc>
        <w:tc>
          <w:tcPr>
            <w:tcW w:w="1258" w:type="pct"/>
            <w:tcBorders>
              <w:top w:val="single" w:sz="4" w:space="0" w:color="auto"/>
              <w:bottom w:val="single" w:sz="4" w:space="0" w:color="auto"/>
            </w:tcBorders>
          </w:tcPr>
          <w:p w14:paraId="1DEC1F34" w14:textId="23E4343E" w:rsidR="004E02C4"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3</w:t>
            </w:r>
          </w:p>
        </w:tc>
        <w:tc>
          <w:tcPr>
            <w:tcW w:w="679" w:type="pct"/>
            <w:tcBorders>
              <w:bottom w:val="single" w:sz="4" w:space="0" w:color="auto"/>
            </w:tcBorders>
          </w:tcPr>
          <w:p w14:paraId="0675C411" w14:textId="77777777" w:rsidR="004E02C4" w:rsidRPr="00F16733" w:rsidRDefault="00BA44F9" w:rsidP="00854A7C">
            <w:pPr>
              <w:pStyle w:val="TableText0"/>
              <w:jc w:val="center"/>
            </w:pPr>
            <w:r w:rsidRPr="00196074">
              <w:t>75%</w:t>
            </w:r>
          </w:p>
        </w:tc>
      </w:tr>
      <w:tr w:rsidR="00747CC8" w:rsidRPr="00B73C04" w14:paraId="0D6684EC" w14:textId="77777777" w:rsidTr="00854A7C">
        <w:trPr>
          <w:trHeight w:val="20"/>
        </w:trPr>
        <w:tc>
          <w:tcPr>
            <w:tcW w:w="240" w:type="pct"/>
            <w:vMerge w:val="restart"/>
          </w:tcPr>
          <w:p w14:paraId="7514A9BD" w14:textId="77777777" w:rsidR="00747CC8" w:rsidRPr="0001784E" w:rsidRDefault="00747CC8" w:rsidP="00854A7C">
            <w:pPr>
              <w:pStyle w:val="TableText0"/>
            </w:pPr>
            <w:r>
              <w:t>SA2</w:t>
            </w:r>
          </w:p>
        </w:tc>
        <w:tc>
          <w:tcPr>
            <w:tcW w:w="1801" w:type="pct"/>
            <w:vMerge w:val="restart"/>
          </w:tcPr>
          <w:p w14:paraId="34C0B9D0" w14:textId="77777777" w:rsidR="00747CC8" w:rsidRPr="000B7BEC" w:rsidRDefault="00747CC8" w:rsidP="00854A7C">
            <w:pPr>
              <w:pStyle w:val="TableText0"/>
            </w:pPr>
            <w:r w:rsidRPr="000B7BEC">
              <w:t xml:space="preserve">Proportion of HCM patients with obstructive disease </w:t>
            </w:r>
            <w:r w:rsidRPr="000B7BEC">
              <w:rPr>
                <w:szCs w:val="20"/>
              </w:rPr>
              <w:t xml:space="preserve">(base case: </w:t>
            </w:r>
            <w:r w:rsidRPr="000B7BEC">
              <w:t>60.94%)</w:t>
            </w:r>
          </w:p>
        </w:tc>
        <w:tc>
          <w:tcPr>
            <w:tcW w:w="1022" w:type="pct"/>
            <w:vMerge w:val="restart"/>
          </w:tcPr>
          <w:p w14:paraId="60A527AB" w14:textId="77777777" w:rsidR="00747CC8" w:rsidRPr="0001784E" w:rsidRDefault="00747CC8" w:rsidP="00854A7C">
            <w:pPr>
              <w:pStyle w:val="TableText0"/>
              <w:jc w:val="center"/>
            </w:pPr>
            <w:r w:rsidRPr="0001784E">
              <w:t>37.70%</w:t>
            </w:r>
          </w:p>
        </w:tc>
        <w:tc>
          <w:tcPr>
            <w:tcW w:w="1258" w:type="pct"/>
            <w:vMerge w:val="restart"/>
          </w:tcPr>
          <w:p w14:paraId="3AEFB36C" w14:textId="16FC30C3" w:rsidR="00747CC8"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4</w:t>
            </w:r>
          </w:p>
        </w:tc>
        <w:tc>
          <w:tcPr>
            <w:tcW w:w="679" w:type="pct"/>
            <w:tcBorders>
              <w:bottom w:val="nil"/>
            </w:tcBorders>
          </w:tcPr>
          <w:p w14:paraId="18C30A15" w14:textId="77777777" w:rsidR="00747CC8" w:rsidRPr="0001784E" w:rsidRDefault="00747CC8" w:rsidP="00854A7C">
            <w:pPr>
              <w:pStyle w:val="TableText0"/>
              <w:jc w:val="center"/>
            </w:pPr>
            <w:r w:rsidRPr="00196074">
              <w:t>-38%</w:t>
            </w:r>
          </w:p>
        </w:tc>
      </w:tr>
      <w:tr w:rsidR="00747CC8" w:rsidRPr="00B73C04" w14:paraId="3380521E" w14:textId="77777777" w:rsidTr="00854A7C">
        <w:trPr>
          <w:trHeight w:val="20"/>
        </w:trPr>
        <w:tc>
          <w:tcPr>
            <w:tcW w:w="240" w:type="pct"/>
            <w:vMerge/>
            <w:tcBorders>
              <w:bottom w:val="single" w:sz="4" w:space="0" w:color="auto"/>
            </w:tcBorders>
          </w:tcPr>
          <w:p w14:paraId="31061B8A" w14:textId="77777777" w:rsidR="00747CC8" w:rsidRDefault="00747CC8" w:rsidP="00854A7C">
            <w:pPr>
              <w:pStyle w:val="TableText0"/>
            </w:pPr>
          </w:p>
        </w:tc>
        <w:tc>
          <w:tcPr>
            <w:tcW w:w="1801" w:type="pct"/>
            <w:vMerge/>
            <w:tcBorders>
              <w:bottom w:val="single" w:sz="4" w:space="0" w:color="auto"/>
            </w:tcBorders>
          </w:tcPr>
          <w:p w14:paraId="525B53C0" w14:textId="77777777" w:rsidR="00747CC8" w:rsidRPr="000B7BEC" w:rsidRDefault="00747CC8" w:rsidP="00854A7C">
            <w:pPr>
              <w:pStyle w:val="TableText0"/>
            </w:pPr>
          </w:p>
        </w:tc>
        <w:tc>
          <w:tcPr>
            <w:tcW w:w="1022" w:type="pct"/>
            <w:vMerge/>
            <w:tcBorders>
              <w:bottom w:val="nil"/>
            </w:tcBorders>
          </w:tcPr>
          <w:p w14:paraId="14A8C5B1" w14:textId="77777777" w:rsidR="00747CC8" w:rsidRPr="0001784E" w:rsidRDefault="00747CC8" w:rsidP="00854A7C">
            <w:pPr>
              <w:pStyle w:val="TableText0"/>
              <w:jc w:val="center"/>
            </w:pPr>
          </w:p>
        </w:tc>
        <w:tc>
          <w:tcPr>
            <w:tcW w:w="1258" w:type="pct"/>
            <w:vMerge/>
            <w:tcBorders>
              <w:bottom w:val="single" w:sz="4" w:space="0" w:color="auto"/>
            </w:tcBorders>
          </w:tcPr>
          <w:p w14:paraId="29B4E215" w14:textId="77777777" w:rsidR="00747CC8" w:rsidRPr="006A1C29" w:rsidRDefault="00747CC8" w:rsidP="00854A7C">
            <w:pPr>
              <w:pStyle w:val="TableText0"/>
              <w:jc w:val="center"/>
              <w:rPr>
                <w:highlight w:val="darkGray"/>
              </w:rPr>
            </w:pPr>
          </w:p>
        </w:tc>
        <w:tc>
          <w:tcPr>
            <w:tcW w:w="679" w:type="pct"/>
            <w:tcBorders>
              <w:top w:val="nil"/>
              <w:bottom w:val="single" w:sz="4" w:space="0" w:color="auto"/>
            </w:tcBorders>
          </w:tcPr>
          <w:p w14:paraId="1B51FDBF" w14:textId="77777777" w:rsidR="00747CC8" w:rsidRPr="00196074" w:rsidRDefault="00747CC8" w:rsidP="00854A7C">
            <w:pPr>
              <w:pStyle w:val="TableText0"/>
              <w:jc w:val="center"/>
            </w:pPr>
          </w:p>
        </w:tc>
      </w:tr>
      <w:tr w:rsidR="004E02C4" w:rsidRPr="00B73C04" w14:paraId="64E05EB3" w14:textId="77777777" w:rsidTr="00854A7C">
        <w:trPr>
          <w:trHeight w:val="20"/>
        </w:trPr>
        <w:tc>
          <w:tcPr>
            <w:tcW w:w="240" w:type="pct"/>
            <w:tcBorders>
              <w:bottom w:val="nil"/>
            </w:tcBorders>
          </w:tcPr>
          <w:p w14:paraId="5CDB188C" w14:textId="77777777" w:rsidR="004E02C4" w:rsidRPr="005D3142" w:rsidRDefault="004E02C4" w:rsidP="00854A7C">
            <w:pPr>
              <w:pStyle w:val="TableText0"/>
            </w:pPr>
            <w:r>
              <w:t>SA3</w:t>
            </w:r>
          </w:p>
        </w:tc>
        <w:tc>
          <w:tcPr>
            <w:tcW w:w="1801" w:type="pct"/>
            <w:vMerge w:val="restart"/>
          </w:tcPr>
          <w:p w14:paraId="5C498FEB" w14:textId="77777777" w:rsidR="004E02C4" w:rsidRPr="000B7BEC" w:rsidRDefault="004E02C4" w:rsidP="00854A7C">
            <w:pPr>
              <w:pStyle w:val="TableText0"/>
            </w:pPr>
            <w:r w:rsidRPr="000B7BEC">
              <w:t xml:space="preserve">Proportion of obstructive HCM patients who are NYHA Class II/III </w:t>
            </w:r>
            <w:r w:rsidRPr="000B7BEC">
              <w:rPr>
                <w:szCs w:val="20"/>
              </w:rPr>
              <w:t>(base case: 49.54%)</w:t>
            </w:r>
          </w:p>
        </w:tc>
        <w:tc>
          <w:tcPr>
            <w:tcW w:w="1022" w:type="pct"/>
            <w:tcBorders>
              <w:bottom w:val="nil"/>
            </w:tcBorders>
          </w:tcPr>
          <w:p w14:paraId="0D231B24" w14:textId="77777777" w:rsidR="004E02C4" w:rsidRPr="005D3142" w:rsidRDefault="004E02C4" w:rsidP="00854A7C">
            <w:pPr>
              <w:pStyle w:val="TableText0"/>
              <w:jc w:val="center"/>
            </w:pPr>
            <w:r w:rsidRPr="005D3142">
              <w:t xml:space="preserve">39.54% </w:t>
            </w:r>
          </w:p>
        </w:tc>
        <w:tc>
          <w:tcPr>
            <w:tcW w:w="1258" w:type="pct"/>
            <w:tcBorders>
              <w:bottom w:val="single" w:sz="4" w:space="0" w:color="auto"/>
            </w:tcBorders>
          </w:tcPr>
          <w:p w14:paraId="16D4F5B8" w14:textId="14C5EDB1" w:rsidR="004E02C4"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2</w:t>
            </w:r>
          </w:p>
        </w:tc>
        <w:tc>
          <w:tcPr>
            <w:tcW w:w="679" w:type="pct"/>
            <w:tcBorders>
              <w:bottom w:val="single" w:sz="4" w:space="0" w:color="auto"/>
            </w:tcBorders>
          </w:tcPr>
          <w:p w14:paraId="02E34BD2" w14:textId="77777777" w:rsidR="004E02C4" w:rsidRPr="005D3142" w:rsidRDefault="001B6030" w:rsidP="00854A7C">
            <w:pPr>
              <w:pStyle w:val="TableText0"/>
              <w:jc w:val="center"/>
            </w:pPr>
            <w:r w:rsidRPr="00196074">
              <w:t>-20%</w:t>
            </w:r>
          </w:p>
        </w:tc>
      </w:tr>
      <w:tr w:rsidR="004E02C4" w:rsidRPr="00B73C04" w14:paraId="0F2622CE" w14:textId="77777777" w:rsidTr="00854A7C">
        <w:trPr>
          <w:trHeight w:val="20"/>
        </w:trPr>
        <w:tc>
          <w:tcPr>
            <w:tcW w:w="240" w:type="pct"/>
            <w:tcBorders>
              <w:top w:val="nil"/>
              <w:bottom w:val="single" w:sz="4" w:space="0" w:color="auto"/>
            </w:tcBorders>
          </w:tcPr>
          <w:p w14:paraId="0E9DE7B4" w14:textId="77777777" w:rsidR="004E02C4" w:rsidRPr="00B73C04" w:rsidRDefault="004E02C4" w:rsidP="00854A7C">
            <w:pPr>
              <w:pStyle w:val="TableText0"/>
              <w:rPr>
                <w:highlight w:val="yellow"/>
              </w:rPr>
            </w:pPr>
          </w:p>
        </w:tc>
        <w:tc>
          <w:tcPr>
            <w:tcW w:w="1801" w:type="pct"/>
            <w:vMerge/>
            <w:tcBorders>
              <w:bottom w:val="single" w:sz="4" w:space="0" w:color="auto"/>
            </w:tcBorders>
          </w:tcPr>
          <w:p w14:paraId="5ACE935F" w14:textId="77777777" w:rsidR="004E02C4" w:rsidRPr="000B7BEC" w:rsidRDefault="004E02C4" w:rsidP="00854A7C">
            <w:pPr>
              <w:pStyle w:val="TableText0"/>
              <w:rPr>
                <w:highlight w:val="yellow"/>
              </w:rPr>
            </w:pPr>
          </w:p>
        </w:tc>
        <w:tc>
          <w:tcPr>
            <w:tcW w:w="1022" w:type="pct"/>
            <w:tcBorders>
              <w:top w:val="nil"/>
              <w:bottom w:val="single" w:sz="4" w:space="0" w:color="auto"/>
            </w:tcBorders>
          </w:tcPr>
          <w:p w14:paraId="41F87914" w14:textId="77777777" w:rsidR="004E02C4" w:rsidRPr="005D3142" w:rsidRDefault="004E02C4" w:rsidP="00854A7C">
            <w:pPr>
              <w:pStyle w:val="TableText0"/>
              <w:jc w:val="center"/>
            </w:pPr>
            <w:r w:rsidRPr="00BF5BC7">
              <w:rPr>
                <w:iCs/>
              </w:rPr>
              <w:t>64.10%</w:t>
            </w:r>
          </w:p>
        </w:tc>
        <w:tc>
          <w:tcPr>
            <w:tcW w:w="1258" w:type="pct"/>
            <w:tcBorders>
              <w:top w:val="single" w:sz="4" w:space="0" w:color="auto"/>
              <w:bottom w:val="single" w:sz="4" w:space="0" w:color="auto"/>
            </w:tcBorders>
          </w:tcPr>
          <w:p w14:paraId="7449DEBC" w14:textId="4C223AA7" w:rsidR="004E02C4"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5</w:t>
            </w:r>
          </w:p>
        </w:tc>
        <w:tc>
          <w:tcPr>
            <w:tcW w:w="679" w:type="pct"/>
            <w:tcBorders>
              <w:top w:val="single" w:sz="4" w:space="0" w:color="auto"/>
              <w:bottom w:val="single" w:sz="4" w:space="0" w:color="auto"/>
            </w:tcBorders>
          </w:tcPr>
          <w:p w14:paraId="50F2D6C5" w14:textId="77777777" w:rsidR="004E02C4" w:rsidRPr="00E16AD7" w:rsidRDefault="00416EB9" w:rsidP="00854A7C">
            <w:pPr>
              <w:pStyle w:val="TableText0"/>
              <w:jc w:val="center"/>
            </w:pPr>
            <w:r w:rsidRPr="00196074">
              <w:t>29%</w:t>
            </w:r>
          </w:p>
        </w:tc>
      </w:tr>
      <w:tr w:rsidR="00552B41" w:rsidRPr="00B73C04" w14:paraId="63515264" w14:textId="77777777" w:rsidTr="00854A7C">
        <w:trPr>
          <w:trHeight w:val="20"/>
        </w:trPr>
        <w:tc>
          <w:tcPr>
            <w:tcW w:w="240" w:type="pct"/>
            <w:tcBorders>
              <w:top w:val="single" w:sz="4" w:space="0" w:color="auto"/>
              <w:bottom w:val="nil"/>
            </w:tcBorders>
          </w:tcPr>
          <w:p w14:paraId="4511E724" w14:textId="77777777" w:rsidR="00552B41" w:rsidRPr="00471F4D" w:rsidRDefault="00552B41" w:rsidP="00854A7C">
            <w:pPr>
              <w:pStyle w:val="TableText0"/>
              <w:rPr>
                <w:szCs w:val="20"/>
              </w:rPr>
            </w:pPr>
            <w:r>
              <w:rPr>
                <w:szCs w:val="20"/>
              </w:rPr>
              <w:t>SA4</w:t>
            </w:r>
          </w:p>
        </w:tc>
        <w:tc>
          <w:tcPr>
            <w:tcW w:w="1801" w:type="pct"/>
            <w:vMerge w:val="restart"/>
            <w:tcBorders>
              <w:top w:val="single" w:sz="4" w:space="0" w:color="auto"/>
            </w:tcBorders>
          </w:tcPr>
          <w:p w14:paraId="5ADD33A8" w14:textId="77777777" w:rsidR="00552B41" w:rsidRPr="000B7BEC" w:rsidRDefault="00552B41" w:rsidP="00854A7C">
            <w:pPr>
              <w:pStyle w:val="TableText0"/>
              <w:rPr>
                <w:highlight w:val="yellow"/>
              </w:rPr>
            </w:pPr>
            <w:r w:rsidRPr="000B7BEC">
              <w:rPr>
                <w:szCs w:val="20"/>
              </w:rPr>
              <w:t>Proportion of HCM patients not well controlled on BB/CCB (base case: 44.29%)</w:t>
            </w:r>
          </w:p>
        </w:tc>
        <w:tc>
          <w:tcPr>
            <w:tcW w:w="1022" w:type="pct"/>
            <w:tcBorders>
              <w:top w:val="single" w:sz="4" w:space="0" w:color="auto"/>
            </w:tcBorders>
          </w:tcPr>
          <w:p w14:paraId="73139D3A" w14:textId="77777777" w:rsidR="00552B41" w:rsidRPr="009D1416" w:rsidRDefault="00552B41" w:rsidP="00854A7C">
            <w:pPr>
              <w:pStyle w:val="TableText0"/>
              <w:jc w:val="center"/>
            </w:pPr>
            <w:r w:rsidRPr="009D1416">
              <w:t>34.29%</w:t>
            </w:r>
          </w:p>
        </w:tc>
        <w:tc>
          <w:tcPr>
            <w:tcW w:w="1258" w:type="pct"/>
            <w:tcBorders>
              <w:top w:val="single" w:sz="4" w:space="0" w:color="auto"/>
            </w:tcBorders>
            <w:shd w:val="clear" w:color="auto" w:fill="auto"/>
          </w:tcPr>
          <w:p w14:paraId="5283BB2C" w14:textId="0BF200EA" w:rsidR="00552B41"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2</w:t>
            </w:r>
          </w:p>
        </w:tc>
        <w:tc>
          <w:tcPr>
            <w:tcW w:w="679" w:type="pct"/>
            <w:tcBorders>
              <w:top w:val="single" w:sz="4" w:space="0" w:color="auto"/>
            </w:tcBorders>
          </w:tcPr>
          <w:p w14:paraId="22B05FA0" w14:textId="77777777" w:rsidR="00552B41" w:rsidRPr="00E16AD7" w:rsidRDefault="001248CE" w:rsidP="00854A7C">
            <w:pPr>
              <w:pStyle w:val="TableText0"/>
              <w:jc w:val="center"/>
            </w:pPr>
            <w:r w:rsidRPr="00196074">
              <w:t>-23%</w:t>
            </w:r>
          </w:p>
        </w:tc>
      </w:tr>
      <w:tr w:rsidR="00552B41" w:rsidRPr="00B73C04" w14:paraId="23CE6CF2" w14:textId="77777777" w:rsidTr="00854A7C">
        <w:trPr>
          <w:trHeight w:val="20"/>
        </w:trPr>
        <w:tc>
          <w:tcPr>
            <w:tcW w:w="240" w:type="pct"/>
            <w:tcBorders>
              <w:top w:val="nil"/>
              <w:bottom w:val="single" w:sz="4" w:space="0" w:color="auto"/>
            </w:tcBorders>
          </w:tcPr>
          <w:p w14:paraId="41D2BB4B" w14:textId="77777777" w:rsidR="00552B41" w:rsidRPr="00471F4D" w:rsidRDefault="00552B41" w:rsidP="00854A7C">
            <w:pPr>
              <w:pStyle w:val="TableText0"/>
              <w:rPr>
                <w:szCs w:val="20"/>
              </w:rPr>
            </w:pPr>
          </w:p>
        </w:tc>
        <w:tc>
          <w:tcPr>
            <w:tcW w:w="1801" w:type="pct"/>
            <w:vMerge/>
            <w:tcBorders>
              <w:bottom w:val="single" w:sz="4" w:space="0" w:color="auto"/>
            </w:tcBorders>
          </w:tcPr>
          <w:p w14:paraId="4C67F47A" w14:textId="77777777" w:rsidR="00552B41" w:rsidRPr="000B7BEC" w:rsidRDefault="00552B41" w:rsidP="00854A7C">
            <w:pPr>
              <w:pStyle w:val="TableText0"/>
              <w:rPr>
                <w:szCs w:val="20"/>
              </w:rPr>
            </w:pPr>
          </w:p>
        </w:tc>
        <w:tc>
          <w:tcPr>
            <w:tcW w:w="1022" w:type="pct"/>
            <w:tcBorders>
              <w:bottom w:val="single" w:sz="4" w:space="0" w:color="auto"/>
            </w:tcBorders>
          </w:tcPr>
          <w:p w14:paraId="4B1ACA0E" w14:textId="77777777" w:rsidR="00552B41" w:rsidRPr="009D1416" w:rsidRDefault="00552B41" w:rsidP="00854A7C">
            <w:pPr>
              <w:pStyle w:val="TableText0"/>
              <w:jc w:val="center"/>
            </w:pPr>
            <w:r w:rsidRPr="009D1416">
              <w:t>54.29%</w:t>
            </w:r>
          </w:p>
        </w:tc>
        <w:tc>
          <w:tcPr>
            <w:tcW w:w="1258" w:type="pct"/>
            <w:tcBorders>
              <w:bottom w:val="single" w:sz="4" w:space="0" w:color="auto"/>
            </w:tcBorders>
            <w:shd w:val="clear" w:color="auto" w:fill="auto"/>
          </w:tcPr>
          <w:p w14:paraId="5DC65DD7" w14:textId="72E5D415" w:rsidR="00552B41"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5</w:t>
            </w:r>
          </w:p>
        </w:tc>
        <w:tc>
          <w:tcPr>
            <w:tcW w:w="679" w:type="pct"/>
            <w:tcBorders>
              <w:bottom w:val="single" w:sz="4" w:space="0" w:color="auto"/>
            </w:tcBorders>
          </w:tcPr>
          <w:p w14:paraId="1E0AEA62" w14:textId="77777777" w:rsidR="00552B41" w:rsidRPr="009D1416" w:rsidRDefault="009316F7" w:rsidP="00854A7C">
            <w:pPr>
              <w:pStyle w:val="TableText0"/>
              <w:jc w:val="center"/>
            </w:pPr>
            <w:r w:rsidRPr="00196074">
              <w:t>23%</w:t>
            </w:r>
          </w:p>
        </w:tc>
      </w:tr>
      <w:tr w:rsidR="00552B41" w:rsidRPr="00B73C04" w14:paraId="4C01F76B" w14:textId="77777777" w:rsidTr="00854A7C">
        <w:trPr>
          <w:trHeight w:val="20"/>
        </w:trPr>
        <w:tc>
          <w:tcPr>
            <w:tcW w:w="240" w:type="pct"/>
            <w:tcBorders>
              <w:bottom w:val="nil"/>
            </w:tcBorders>
          </w:tcPr>
          <w:p w14:paraId="4136545C" w14:textId="77777777" w:rsidR="00552B41" w:rsidRPr="006D095E" w:rsidRDefault="00552B41" w:rsidP="00854A7C">
            <w:pPr>
              <w:pStyle w:val="TableText0"/>
            </w:pPr>
            <w:r>
              <w:t>SA5</w:t>
            </w:r>
          </w:p>
        </w:tc>
        <w:tc>
          <w:tcPr>
            <w:tcW w:w="1801" w:type="pct"/>
            <w:vMerge w:val="restart"/>
          </w:tcPr>
          <w:p w14:paraId="5C4F1C18" w14:textId="77777777" w:rsidR="00552B41" w:rsidRPr="000B7BEC" w:rsidRDefault="00552B41" w:rsidP="00854A7C">
            <w:pPr>
              <w:pStyle w:val="TableText0"/>
            </w:pPr>
            <w:r w:rsidRPr="000B7BEC">
              <w:t xml:space="preserve">Mavacamten uptake </w:t>
            </w:r>
            <w:r w:rsidRPr="000B7BEC">
              <w:rPr>
                <w:szCs w:val="20"/>
              </w:rPr>
              <w:t>(base case: 71.11%)</w:t>
            </w:r>
          </w:p>
        </w:tc>
        <w:tc>
          <w:tcPr>
            <w:tcW w:w="1022" w:type="pct"/>
            <w:tcBorders>
              <w:bottom w:val="nil"/>
            </w:tcBorders>
          </w:tcPr>
          <w:p w14:paraId="61F5BA48" w14:textId="77777777" w:rsidR="00552B41" w:rsidRPr="006D095E" w:rsidRDefault="00552B41" w:rsidP="00854A7C">
            <w:pPr>
              <w:pStyle w:val="TableText0"/>
              <w:jc w:val="center"/>
            </w:pPr>
            <w:r w:rsidRPr="006D095E">
              <w:t>61.11%</w:t>
            </w:r>
          </w:p>
        </w:tc>
        <w:tc>
          <w:tcPr>
            <w:tcW w:w="1258" w:type="pct"/>
            <w:tcBorders>
              <w:bottom w:val="single" w:sz="4" w:space="0" w:color="auto"/>
            </w:tcBorders>
          </w:tcPr>
          <w:p w14:paraId="2AF835C6" w14:textId="680E3225" w:rsidR="00552B41"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2</w:t>
            </w:r>
          </w:p>
        </w:tc>
        <w:tc>
          <w:tcPr>
            <w:tcW w:w="679" w:type="pct"/>
          </w:tcPr>
          <w:p w14:paraId="0F33A9B3" w14:textId="77777777" w:rsidR="00552B41" w:rsidRPr="006D095E" w:rsidRDefault="00A74BAB" w:rsidP="00854A7C">
            <w:pPr>
              <w:pStyle w:val="TableText0"/>
              <w:jc w:val="center"/>
            </w:pPr>
            <w:r w:rsidRPr="00196074">
              <w:t>-16%</w:t>
            </w:r>
          </w:p>
        </w:tc>
      </w:tr>
      <w:tr w:rsidR="00552B41" w:rsidRPr="00B73C04" w14:paraId="7DB52CD5" w14:textId="77777777" w:rsidTr="00854A7C">
        <w:trPr>
          <w:trHeight w:val="20"/>
        </w:trPr>
        <w:tc>
          <w:tcPr>
            <w:tcW w:w="240" w:type="pct"/>
            <w:tcBorders>
              <w:top w:val="nil"/>
              <w:bottom w:val="single" w:sz="4" w:space="0" w:color="auto"/>
            </w:tcBorders>
          </w:tcPr>
          <w:p w14:paraId="027D90FA" w14:textId="77777777" w:rsidR="00552B41" w:rsidRPr="006D095E" w:rsidRDefault="00552B41" w:rsidP="00854A7C">
            <w:pPr>
              <w:pStyle w:val="TableText0"/>
            </w:pPr>
          </w:p>
        </w:tc>
        <w:tc>
          <w:tcPr>
            <w:tcW w:w="1801" w:type="pct"/>
            <w:vMerge/>
            <w:tcBorders>
              <w:bottom w:val="single" w:sz="4" w:space="0" w:color="auto"/>
            </w:tcBorders>
          </w:tcPr>
          <w:p w14:paraId="262F76C7" w14:textId="77777777" w:rsidR="00552B41" w:rsidRPr="000B7BEC" w:rsidRDefault="00552B41" w:rsidP="00854A7C">
            <w:pPr>
              <w:pStyle w:val="TableText0"/>
            </w:pPr>
          </w:p>
        </w:tc>
        <w:tc>
          <w:tcPr>
            <w:tcW w:w="1022" w:type="pct"/>
            <w:tcBorders>
              <w:top w:val="nil"/>
              <w:bottom w:val="single" w:sz="4" w:space="0" w:color="auto"/>
            </w:tcBorders>
          </w:tcPr>
          <w:p w14:paraId="05EC6D5E" w14:textId="77777777" w:rsidR="00552B41" w:rsidRPr="006D095E" w:rsidRDefault="00552B41" w:rsidP="00854A7C">
            <w:pPr>
              <w:pStyle w:val="TableText0"/>
              <w:jc w:val="center"/>
            </w:pPr>
            <w:r w:rsidRPr="006D095E">
              <w:t>81.11%</w:t>
            </w:r>
          </w:p>
        </w:tc>
        <w:tc>
          <w:tcPr>
            <w:tcW w:w="1258" w:type="pct"/>
            <w:tcBorders>
              <w:top w:val="single" w:sz="4" w:space="0" w:color="auto"/>
              <w:bottom w:val="single" w:sz="4" w:space="0" w:color="auto"/>
            </w:tcBorders>
          </w:tcPr>
          <w:p w14:paraId="5A2C54B0" w14:textId="78414611" w:rsidR="00552B41"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5</w:t>
            </w:r>
          </w:p>
        </w:tc>
        <w:tc>
          <w:tcPr>
            <w:tcW w:w="679" w:type="pct"/>
            <w:tcBorders>
              <w:bottom w:val="single" w:sz="4" w:space="0" w:color="auto"/>
            </w:tcBorders>
          </w:tcPr>
          <w:p w14:paraId="71B9BDD9" w14:textId="77777777" w:rsidR="00552B41" w:rsidRPr="006D095E" w:rsidRDefault="00E16AD7" w:rsidP="00854A7C">
            <w:pPr>
              <w:pStyle w:val="TableText0"/>
              <w:jc w:val="center"/>
            </w:pPr>
            <w:r w:rsidRPr="00196074">
              <w:t>16%</w:t>
            </w:r>
          </w:p>
        </w:tc>
      </w:tr>
      <w:tr w:rsidR="00E16AD7" w:rsidRPr="00BF5BC7" w14:paraId="38E3A295" w14:textId="77777777" w:rsidTr="00854A7C">
        <w:trPr>
          <w:trHeight w:val="20"/>
        </w:trPr>
        <w:tc>
          <w:tcPr>
            <w:tcW w:w="240" w:type="pct"/>
            <w:tcBorders>
              <w:top w:val="single" w:sz="4" w:space="0" w:color="auto"/>
              <w:bottom w:val="nil"/>
            </w:tcBorders>
          </w:tcPr>
          <w:p w14:paraId="2A85E316" w14:textId="77777777" w:rsidR="00E16AD7" w:rsidRPr="00BF5BC7" w:rsidRDefault="00E16AD7" w:rsidP="00854A7C">
            <w:pPr>
              <w:pStyle w:val="TableText0"/>
            </w:pPr>
            <w:r w:rsidRPr="00BF5BC7">
              <w:t>SA6</w:t>
            </w:r>
          </w:p>
        </w:tc>
        <w:tc>
          <w:tcPr>
            <w:tcW w:w="1801" w:type="pct"/>
            <w:vMerge w:val="restart"/>
            <w:tcBorders>
              <w:top w:val="single" w:sz="4" w:space="0" w:color="auto"/>
            </w:tcBorders>
          </w:tcPr>
          <w:p w14:paraId="6D6598A2" w14:textId="77777777" w:rsidR="00E16AD7" w:rsidRPr="00BF5BC7" w:rsidRDefault="00E16AD7" w:rsidP="00854A7C">
            <w:pPr>
              <w:pStyle w:val="TableText0"/>
              <w:rPr>
                <w:iCs/>
              </w:rPr>
            </w:pPr>
            <w:r w:rsidRPr="00BF5BC7">
              <w:rPr>
                <w:iCs/>
              </w:rPr>
              <w:t>Proportion of obstructive HCM patients with LVEF ≥</w:t>
            </w:r>
            <w:r w:rsidR="00A018A3" w:rsidRPr="00BF5BC7">
              <w:rPr>
                <w:iCs/>
              </w:rPr>
              <w:t xml:space="preserve"> </w:t>
            </w:r>
            <w:r w:rsidRPr="00BF5BC7">
              <w:rPr>
                <w:iCs/>
              </w:rPr>
              <w:t xml:space="preserve">55 </w:t>
            </w:r>
            <w:r w:rsidRPr="00BF5BC7">
              <w:rPr>
                <w:iCs/>
                <w:szCs w:val="20"/>
              </w:rPr>
              <w:t>(base case: 88.92%)</w:t>
            </w:r>
          </w:p>
        </w:tc>
        <w:tc>
          <w:tcPr>
            <w:tcW w:w="1022" w:type="pct"/>
            <w:tcBorders>
              <w:top w:val="single" w:sz="4" w:space="0" w:color="auto"/>
              <w:bottom w:val="nil"/>
            </w:tcBorders>
          </w:tcPr>
          <w:p w14:paraId="6D9D704A" w14:textId="77777777" w:rsidR="00E16AD7" w:rsidRPr="00BF5BC7" w:rsidRDefault="00E16AD7" w:rsidP="00854A7C">
            <w:pPr>
              <w:pStyle w:val="TableText0"/>
              <w:jc w:val="center"/>
            </w:pPr>
            <w:r w:rsidRPr="00BF5BC7">
              <w:t>78.92%</w:t>
            </w:r>
          </w:p>
        </w:tc>
        <w:tc>
          <w:tcPr>
            <w:tcW w:w="1258" w:type="pct"/>
            <w:tcBorders>
              <w:top w:val="single" w:sz="4" w:space="0" w:color="auto"/>
              <w:bottom w:val="single" w:sz="4" w:space="0" w:color="auto"/>
            </w:tcBorders>
          </w:tcPr>
          <w:p w14:paraId="4BE9C762" w14:textId="23572749" w:rsidR="00E16AD7"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2</w:t>
            </w:r>
          </w:p>
        </w:tc>
        <w:tc>
          <w:tcPr>
            <w:tcW w:w="679" w:type="pct"/>
            <w:tcBorders>
              <w:top w:val="single" w:sz="4" w:space="0" w:color="auto"/>
            </w:tcBorders>
          </w:tcPr>
          <w:p w14:paraId="6292E838" w14:textId="77777777" w:rsidR="00E16AD7" w:rsidRPr="00BF5BC7" w:rsidRDefault="00E16AD7" w:rsidP="00854A7C">
            <w:pPr>
              <w:pStyle w:val="TableText0"/>
              <w:jc w:val="center"/>
            </w:pPr>
            <w:r w:rsidRPr="00BF5BC7">
              <w:t>-11%</w:t>
            </w:r>
          </w:p>
        </w:tc>
      </w:tr>
      <w:tr w:rsidR="00E16AD7" w:rsidRPr="00B73C04" w14:paraId="7934CD5F" w14:textId="77777777" w:rsidTr="00854A7C">
        <w:trPr>
          <w:trHeight w:val="20"/>
        </w:trPr>
        <w:tc>
          <w:tcPr>
            <w:tcW w:w="240" w:type="pct"/>
            <w:tcBorders>
              <w:top w:val="nil"/>
              <w:bottom w:val="single" w:sz="4" w:space="0" w:color="auto"/>
            </w:tcBorders>
          </w:tcPr>
          <w:p w14:paraId="0FE0F9BC" w14:textId="77777777" w:rsidR="00E16AD7" w:rsidRPr="006D095E" w:rsidRDefault="00E16AD7" w:rsidP="00854A7C">
            <w:pPr>
              <w:pStyle w:val="TableText0"/>
            </w:pPr>
          </w:p>
        </w:tc>
        <w:tc>
          <w:tcPr>
            <w:tcW w:w="1801" w:type="pct"/>
            <w:vMerge/>
            <w:tcBorders>
              <w:bottom w:val="single" w:sz="4" w:space="0" w:color="auto"/>
            </w:tcBorders>
          </w:tcPr>
          <w:p w14:paraId="44D95F56" w14:textId="77777777" w:rsidR="00E16AD7" w:rsidRPr="006D095E" w:rsidRDefault="00E16AD7" w:rsidP="00854A7C">
            <w:pPr>
              <w:pStyle w:val="TableText0"/>
            </w:pPr>
          </w:p>
        </w:tc>
        <w:tc>
          <w:tcPr>
            <w:tcW w:w="1022" w:type="pct"/>
            <w:tcBorders>
              <w:top w:val="nil"/>
              <w:bottom w:val="single" w:sz="4" w:space="0" w:color="auto"/>
            </w:tcBorders>
          </w:tcPr>
          <w:p w14:paraId="622B4F5D" w14:textId="77777777" w:rsidR="00E16AD7" w:rsidRPr="006D095E" w:rsidRDefault="00E16AD7" w:rsidP="00854A7C">
            <w:pPr>
              <w:pStyle w:val="TableText0"/>
              <w:jc w:val="center"/>
            </w:pPr>
            <w:r w:rsidRPr="00BF5BC7">
              <w:t>98.92%</w:t>
            </w:r>
          </w:p>
        </w:tc>
        <w:tc>
          <w:tcPr>
            <w:tcW w:w="1258" w:type="pct"/>
            <w:tcBorders>
              <w:top w:val="single" w:sz="4" w:space="0" w:color="auto"/>
              <w:bottom w:val="single" w:sz="4" w:space="0" w:color="auto"/>
            </w:tcBorders>
          </w:tcPr>
          <w:p w14:paraId="32909CEB" w14:textId="463042C7" w:rsidR="00E16AD7" w:rsidRPr="006A1C29" w:rsidRDefault="00B63528" w:rsidP="00854A7C">
            <w:pPr>
              <w:pStyle w:val="TableText0"/>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6A1C29">
              <w:rPr>
                <w:vertAlign w:val="superscript"/>
              </w:rPr>
              <w:t>1</w:t>
            </w:r>
          </w:p>
        </w:tc>
        <w:tc>
          <w:tcPr>
            <w:tcW w:w="679" w:type="pct"/>
            <w:tcBorders>
              <w:bottom w:val="single" w:sz="4" w:space="0" w:color="auto"/>
            </w:tcBorders>
          </w:tcPr>
          <w:p w14:paraId="70E0C00E" w14:textId="77777777" w:rsidR="00E16AD7" w:rsidRPr="006D095E" w:rsidRDefault="00E16AD7" w:rsidP="00854A7C">
            <w:pPr>
              <w:pStyle w:val="TableText0"/>
              <w:jc w:val="center"/>
            </w:pPr>
            <w:r>
              <w:t>11%</w:t>
            </w:r>
          </w:p>
        </w:tc>
      </w:tr>
    </w:tbl>
    <w:p w14:paraId="79B7B21D" w14:textId="77777777" w:rsidR="004E1B98" w:rsidRDefault="007C135E" w:rsidP="004E1B98">
      <w:pPr>
        <w:pStyle w:val="FooterTableFigure"/>
      </w:pPr>
      <w:r w:rsidRPr="00CB01A4">
        <w:rPr>
          <w:szCs w:val="18"/>
        </w:rPr>
        <w:t xml:space="preserve">Source: Compiled during evaluation based on </w:t>
      </w:r>
      <w:r w:rsidR="008C083B" w:rsidRPr="00D20F7B">
        <w:rPr>
          <w:szCs w:val="18"/>
        </w:rPr>
        <w:t>Table79, p122</w:t>
      </w:r>
      <w:r w:rsidR="008C083B">
        <w:rPr>
          <w:szCs w:val="18"/>
        </w:rPr>
        <w:t xml:space="preserve">, </w:t>
      </w:r>
      <w:r w:rsidRPr="00CB01A4">
        <w:rPr>
          <w:szCs w:val="18"/>
        </w:rPr>
        <w:t xml:space="preserve">Table 80, p2123 of the submission and worksheets ‘2b. Patients – prevalent’, ‘8. ABS population’ and ‘Prevalent’ in Excel workbook </w:t>
      </w:r>
      <w:r w:rsidRPr="00CB01A4">
        <w:t>Mavacamten</w:t>
      </w:r>
      <w:r w:rsidRPr="00BD7D8E">
        <w:t>_obstructive HCM_ Utilisation and Cost Model-Resubmission.</w:t>
      </w:r>
    </w:p>
    <w:p w14:paraId="2F0FAEF4" w14:textId="10C48E5F" w:rsidR="007B613E" w:rsidRDefault="00F76D1B" w:rsidP="00291F02">
      <w:pPr>
        <w:pStyle w:val="FooterTableFigure"/>
      </w:pPr>
      <w:bookmarkStart w:id="101" w:name="_Toc22897648"/>
      <w:bookmarkStart w:id="102" w:name="_Toc107927634"/>
      <w:r w:rsidRPr="00291F02">
        <w:t xml:space="preserve">BBs= beta-blockers; CCBs= calcium channel blockers; </w:t>
      </w:r>
      <w:r w:rsidRPr="00316DBA">
        <w:t xml:space="preserve">HCM = hypertrophic cardiomyopathy; </w:t>
      </w:r>
      <w:r w:rsidRPr="00291F02">
        <w:t xml:space="preserve">LVEF = left ventricular ejection fraction; </w:t>
      </w:r>
      <w:r w:rsidRPr="00316DBA">
        <w:t>NYHA = New York Heart Association</w:t>
      </w:r>
      <w:r>
        <w:t>; SA = sensitivity analysis.</w:t>
      </w:r>
    </w:p>
    <w:p w14:paraId="5F967BDF" w14:textId="4A335604" w:rsidR="006A1C29" w:rsidRPr="006A1C29" w:rsidRDefault="006A1C29" w:rsidP="00291F02">
      <w:pPr>
        <w:pStyle w:val="FooterTableFigure"/>
        <w:rPr>
          <w:i/>
          <w:iCs/>
        </w:rPr>
      </w:pPr>
      <w:r w:rsidRPr="006A1C29">
        <w:rPr>
          <w:i/>
          <w:iCs/>
        </w:rPr>
        <w:t>The redacted values correspond to the following ranges:</w:t>
      </w:r>
    </w:p>
    <w:p w14:paraId="2E77A84D" w14:textId="75C87CB9" w:rsidR="006A1C29" w:rsidRPr="006A1C29" w:rsidRDefault="006A1C29" w:rsidP="00291F02">
      <w:pPr>
        <w:pStyle w:val="FooterTableFigure"/>
        <w:rPr>
          <w:i/>
          <w:iCs/>
        </w:rPr>
      </w:pPr>
      <w:r w:rsidRPr="006A1C29">
        <w:rPr>
          <w:i/>
          <w:iCs/>
          <w:vertAlign w:val="superscript"/>
        </w:rPr>
        <w:t>1</w:t>
      </w:r>
      <w:r w:rsidRPr="006A1C29">
        <w:rPr>
          <w:i/>
          <w:iCs/>
        </w:rPr>
        <w:t xml:space="preserve"> $400 million to &lt; $500 million</w:t>
      </w:r>
    </w:p>
    <w:p w14:paraId="2765BB25" w14:textId="61986010" w:rsidR="006A1C29" w:rsidRPr="006A1C29" w:rsidRDefault="006A1C29" w:rsidP="00291F02">
      <w:pPr>
        <w:pStyle w:val="FooterTableFigure"/>
        <w:rPr>
          <w:i/>
          <w:iCs/>
        </w:rPr>
      </w:pPr>
      <w:r w:rsidRPr="006A1C29">
        <w:rPr>
          <w:i/>
          <w:iCs/>
          <w:vertAlign w:val="superscript"/>
        </w:rPr>
        <w:t>2</w:t>
      </w:r>
      <w:r w:rsidRPr="006A1C29">
        <w:rPr>
          <w:i/>
          <w:iCs/>
        </w:rPr>
        <w:t xml:space="preserve"> $300 million to &lt; $400 million</w:t>
      </w:r>
    </w:p>
    <w:p w14:paraId="2DAA3622" w14:textId="4065B40C" w:rsidR="006A1C29" w:rsidRPr="006A1C29" w:rsidRDefault="006A1C29" w:rsidP="00291F02">
      <w:pPr>
        <w:pStyle w:val="FooterTableFigure"/>
        <w:rPr>
          <w:i/>
          <w:iCs/>
        </w:rPr>
      </w:pPr>
      <w:r w:rsidRPr="006A1C29">
        <w:rPr>
          <w:i/>
          <w:iCs/>
          <w:vertAlign w:val="superscript"/>
        </w:rPr>
        <w:t>3</w:t>
      </w:r>
      <w:r w:rsidRPr="006A1C29">
        <w:rPr>
          <w:i/>
          <w:iCs/>
        </w:rPr>
        <w:t xml:space="preserve"> $700 million to &lt; $800 million</w:t>
      </w:r>
    </w:p>
    <w:p w14:paraId="18B90B2D" w14:textId="252B704E" w:rsidR="006A1C29" w:rsidRPr="006A1C29" w:rsidRDefault="006A1C29" w:rsidP="00291F02">
      <w:pPr>
        <w:pStyle w:val="FooterTableFigure"/>
        <w:rPr>
          <w:i/>
          <w:iCs/>
        </w:rPr>
      </w:pPr>
      <w:r w:rsidRPr="006A1C29">
        <w:rPr>
          <w:i/>
          <w:iCs/>
          <w:vertAlign w:val="superscript"/>
        </w:rPr>
        <w:t>4</w:t>
      </w:r>
      <w:r w:rsidRPr="006A1C29">
        <w:rPr>
          <w:i/>
          <w:iCs/>
        </w:rPr>
        <w:t xml:space="preserve"> $200 million to &lt; $300 million</w:t>
      </w:r>
    </w:p>
    <w:p w14:paraId="0E80348F" w14:textId="316723DA" w:rsidR="006A1C29" w:rsidRPr="006A1C29" w:rsidRDefault="006A1C29" w:rsidP="00291F02">
      <w:pPr>
        <w:pStyle w:val="FooterTableFigure"/>
        <w:rPr>
          <w:i/>
          <w:iCs/>
        </w:rPr>
      </w:pPr>
      <w:r w:rsidRPr="006A1C29">
        <w:rPr>
          <w:i/>
          <w:iCs/>
          <w:vertAlign w:val="superscript"/>
        </w:rPr>
        <w:t>5</w:t>
      </w:r>
      <w:r w:rsidRPr="006A1C29">
        <w:rPr>
          <w:i/>
          <w:iCs/>
        </w:rPr>
        <w:t xml:space="preserve"> $500 million to &lt; $600 million</w:t>
      </w:r>
    </w:p>
    <w:p w14:paraId="019259C1" w14:textId="77777777" w:rsidR="00636080" w:rsidRPr="00C9624D" w:rsidRDefault="00636080" w:rsidP="00636080">
      <w:pPr>
        <w:pStyle w:val="4-SubsectionHeading"/>
      </w:pPr>
      <w:bookmarkStart w:id="103" w:name="_Toc135223334"/>
      <w:r w:rsidRPr="00C9624D">
        <w:t>Quality Use of Medicines</w:t>
      </w:r>
      <w:bookmarkEnd w:id="101"/>
      <w:bookmarkEnd w:id="102"/>
      <w:bookmarkEnd w:id="103"/>
    </w:p>
    <w:p w14:paraId="668A0033" w14:textId="77777777" w:rsidR="00636080" w:rsidRPr="00CD5DD2" w:rsidRDefault="009D7A66" w:rsidP="00636080">
      <w:pPr>
        <w:pStyle w:val="3-BodyText"/>
        <w:rPr>
          <w:color w:val="0066FF"/>
        </w:rPr>
      </w:pPr>
      <w:r w:rsidRPr="00BF5BC7">
        <w:rPr>
          <w:iCs/>
        </w:rPr>
        <w:t xml:space="preserve">This section was unchanged from the November 2022 submission. Mavacamten was approved for registration by the TGA on 19 September 2022. </w:t>
      </w:r>
    </w:p>
    <w:p w14:paraId="5736A27B" w14:textId="77777777" w:rsidR="00CD5DD2" w:rsidRPr="00FB175F" w:rsidRDefault="00CD5DD2" w:rsidP="00CD5DD2">
      <w:pPr>
        <w:pStyle w:val="3-BodyText"/>
        <w:rPr>
          <w:color w:val="0066FF"/>
        </w:rPr>
      </w:pPr>
      <w:r>
        <w:t>From the November 2022 PSD, t</w:t>
      </w:r>
      <w:r w:rsidRPr="00144DEA">
        <w:t xml:space="preserve">he submission outlined </w:t>
      </w:r>
      <w:proofErr w:type="gramStart"/>
      <w:r w:rsidRPr="00144DEA">
        <w:t>a number of</w:t>
      </w:r>
      <w:proofErr w:type="gramEnd"/>
      <w:r w:rsidRPr="00144DEA">
        <w:t xml:space="preserve"> educational activities </w:t>
      </w:r>
      <w:r>
        <w:t>for</w:t>
      </w:r>
      <w:r w:rsidRPr="00144DEA">
        <w:t xml:space="preserve"> both health care professionals (HCP) and patients to promote the safe and effective use of medicines in the treatment</w:t>
      </w:r>
      <w:r>
        <w:t xml:space="preserve"> of obstructive HCM patients with </w:t>
      </w:r>
      <w:r>
        <w:lastRenderedPageBreak/>
        <w:t>mavacamten.</w:t>
      </w:r>
      <w:r w:rsidRPr="00424AF9">
        <w:t xml:space="preserve"> As addressed in the TGA Delegate’s overview, in the United States mavacamten is available only through a restricted program under a Risk Evaluation and Mitigation Strategy (REMS) because of the risk of heart failure due to systolic dysfunction. However, no risk minimisation activities, </w:t>
      </w:r>
      <w:proofErr w:type="gramStart"/>
      <w:r w:rsidRPr="00424AF9">
        <w:t>similar to</w:t>
      </w:r>
      <w:proofErr w:type="gramEnd"/>
      <w:r w:rsidRPr="00424AF9">
        <w:t xml:space="preserve"> the REMS program in US, were proposed in Australia. The submission did not propose any post-market surveillance study as part of QUM activities.</w:t>
      </w:r>
    </w:p>
    <w:p w14:paraId="66043AF2" w14:textId="35D0D955" w:rsidR="00CD5DD2" w:rsidRDefault="00CD5DD2" w:rsidP="00F774FD">
      <w:pPr>
        <w:pStyle w:val="3-BodyText"/>
        <w:numPr>
          <w:ilvl w:val="0"/>
          <w:numId w:val="0"/>
        </w:numPr>
        <w:ind w:left="720"/>
      </w:pPr>
      <w:r w:rsidRPr="0039371F">
        <w:t xml:space="preserve">The DUSC </w:t>
      </w:r>
      <w:r>
        <w:t xml:space="preserve">previously </w:t>
      </w:r>
      <w:r w:rsidRPr="0039371F">
        <w:t xml:space="preserve">considered that there are several risk minimisation strategies that have been employed in the United Stated of America (USA) to inform health practitioners and consumers of the risks involved with mavacamten.  The DUSC noted similar strategies or training programs should also be considered for Australia. </w:t>
      </w:r>
    </w:p>
    <w:p w14:paraId="282E674D" w14:textId="35E93432" w:rsidR="00291F02" w:rsidRDefault="00291F02" w:rsidP="00291F02">
      <w:pPr>
        <w:pStyle w:val="3-BodyText"/>
      </w:pPr>
      <w:r w:rsidRPr="00541454">
        <w:rPr>
          <w:iCs/>
        </w:rPr>
        <w:t>The ESC noted the</w:t>
      </w:r>
      <w:r w:rsidR="00016E24" w:rsidRPr="00541454">
        <w:rPr>
          <w:iCs/>
        </w:rPr>
        <w:t xml:space="preserve"> increased</w:t>
      </w:r>
      <w:r w:rsidRPr="00541454">
        <w:rPr>
          <w:iCs/>
        </w:rPr>
        <w:t xml:space="preserve"> risk of heart failure due to systolic dysfunction </w:t>
      </w:r>
      <w:r w:rsidR="005D3C6E" w:rsidRPr="00541454">
        <w:rPr>
          <w:iCs/>
        </w:rPr>
        <w:t>associated</w:t>
      </w:r>
      <w:r w:rsidR="00016E24" w:rsidRPr="00541454">
        <w:rPr>
          <w:iCs/>
        </w:rPr>
        <w:t xml:space="preserve"> with mavacamten </w:t>
      </w:r>
      <w:r w:rsidRPr="00541454">
        <w:rPr>
          <w:iCs/>
        </w:rPr>
        <w:t xml:space="preserve">and the </w:t>
      </w:r>
      <w:r w:rsidR="00016E24" w:rsidRPr="00541454">
        <w:rPr>
          <w:iCs/>
        </w:rPr>
        <w:t xml:space="preserve">complex and demanding titration schedule with multiple echocardiograms </w:t>
      </w:r>
      <w:r w:rsidR="005D3C6E" w:rsidRPr="00541454">
        <w:rPr>
          <w:iCs/>
        </w:rPr>
        <w:t xml:space="preserve">that is required </w:t>
      </w:r>
      <w:r w:rsidR="00016E24" w:rsidRPr="00541454">
        <w:rPr>
          <w:iCs/>
        </w:rPr>
        <w:t>to manage the risk of reduced LVEF.</w:t>
      </w:r>
      <w:r w:rsidR="005D3C6E" w:rsidRPr="00541454">
        <w:rPr>
          <w:iCs/>
        </w:rPr>
        <w:t xml:space="preserve"> The ESC noted that </w:t>
      </w:r>
      <w:r w:rsidR="006857A7" w:rsidRPr="00541454">
        <w:rPr>
          <w:iCs/>
        </w:rPr>
        <w:t xml:space="preserve">the number of </w:t>
      </w:r>
      <w:r w:rsidR="005D3C6E" w:rsidRPr="00541454">
        <w:rPr>
          <w:iCs/>
        </w:rPr>
        <w:t>repeated echocardiograms</w:t>
      </w:r>
      <w:r w:rsidR="006857A7" w:rsidRPr="00541454">
        <w:rPr>
          <w:iCs/>
        </w:rPr>
        <w:t xml:space="preserve"> required</w:t>
      </w:r>
      <w:r w:rsidR="005D3C6E" w:rsidRPr="00541454">
        <w:rPr>
          <w:iCs/>
        </w:rPr>
        <w:t xml:space="preserve"> may lead to an equity issue in some </w:t>
      </w:r>
      <w:r w:rsidR="00D974DB" w:rsidRPr="00541454">
        <w:rPr>
          <w:iCs/>
        </w:rPr>
        <w:t>districts</w:t>
      </w:r>
      <w:r w:rsidR="005D3C6E" w:rsidRPr="00541454">
        <w:rPr>
          <w:iCs/>
        </w:rPr>
        <w:t xml:space="preserve"> across Australia, where </w:t>
      </w:r>
      <w:proofErr w:type="gramStart"/>
      <w:r w:rsidR="005D3C6E" w:rsidRPr="00541454">
        <w:rPr>
          <w:iCs/>
        </w:rPr>
        <w:t>a number of</w:t>
      </w:r>
      <w:proofErr w:type="gramEnd"/>
      <w:r w:rsidR="005D3C6E" w:rsidRPr="00541454">
        <w:rPr>
          <w:iCs/>
        </w:rPr>
        <w:t xml:space="preserve"> patients may have difficulty accessing </w:t>
      </w:r>
      <w:r w:rsidR="006A0001" w:rsidRPr="00541454">
        <w:rPr>
          <w:iCs/>
        </w:rPr>
        <w:t>the required</w:t>
      </w:r>
      <w:r w:rsidR="005D3C6E" w:rsidRPr="00541454">
        <w:rPr>
          <w:iCs/>
        </w:rPr>
        <w:t xml:space="preserve"> number of echocardiograms per year.</w:t>
      </w:r>
      <w:r w:rsidR="00D974DB" w:rsidRPr="00541454">
        <w:rPr>
          <w:iCs/>
        </w:rPr>
        <w:t xml:space="preserve"> </w:t>
      </w:r>
      <w:r w:rsidR="00B8284A" w:rsidRPr="00541454">
        <w:rPr>
          <w:iCs/>
        </w:rPr>
        <w:t xml:space="preserve">The number of </w:t>
      </w:r>
      <w:r w:rsidR="00B863F4" w:rsidRPr="00541454">
        <w:rPr>
          <w:iCs/>
        </w:rPr>
        <w:t>e</w:t>
      </w:r>
      <w:r w:rsidR="00B8284A" w:rsidRPr="00541454">
        <w:rPr>
          <w:iCs/>
        </w:rPr>
        <w:t xml:space="preserve">chocardiograms required would also </w:t>
      </w:r>
      <w:r w:rsidR="00D974DB" w:rsidRPr="00541454">
        <w:rPr>
          <w:iCs/>
        </w:rPr>
        <w:t xml:space="preserve">be an increase </w:t>
      </w:r>
      <w:r w:rsidR="00B8284A" w:rsidRPr="00541454">
        <w:rPr>
          <w:iCs/>
        </w:rPr>
        <w:t xml:space="preserve">in </w:t>
      </w:r>
      <w:r w:rsidR="00D974DB" w:rsidRPr="00541454">
        <w:rPr>
          <w:iCs/>
        </w:rPr>
        <w:t xml:space="preserve">patient burden. </w:t>
      </w:r>
      <w:r w:rsidR="00B8284A" w:rsidRPr="00541454">
        <w:rPr>
          <w:iCs/>
        </w:rPr>
        <w:t xml:space="preserve"> The ESC also noted that there is a wide variation in the cost to patients of </w:t>
      </w:r>
      <w:r w:rsidR="00B863F4" w:rsidRPr="00541454">
        <w:rPr>
          <w:iCs/>
        </w:rPr>
        <w:t>e</w:t>
      </w:r>
      <w:r w:rsidR="00B8284A" w:rsidRPr="00541454">
        <w:rPr>
          <w:iCs/>
        </w:rPr>
        <w:t xml:space="preserve">chocardiograms throughout Australia and that this may also lead to equity issues especially in rural and regional Australia where there are fewer </w:t>
      </w:r>
      <w:r w:rsidR="00B863F4" w:rsidRPr="00541454">
        <w:rPr>
          <w:iCs/>
        </w:rPr>
        <w:t>c</w:t>
      </w:r>
      <w:r w:rsidR="00B8284A" w:rsidRPr="00541454">
        <w:rPr>
          <w:iCs/>
        </w:rPr>
        <w:t>ardiologists.</w:t>
      </w:r>
    </w:p>
    <w:p w14:paraId="4B565631" w14:textId="77777777" w:rsidR="00636080" w:rsidRPr="0042146D" w:rsidRDefault="00636080" w:rsidP="0042146D">
      <w:pPr>
        <w:pStyle w:val="4-SubsectionHeading"/>
      </w:pPr>
      <w:bookmarkStart w:id="104" w:name="_Toc22897649"/>
      <w:bookmarkStart w:id="105" w:name="_Toc107927635"/>
      <w:bookmarkStart w:id="106" w:name="_Toc135223335"/>
      <w:r w:rsidRPr="00C9624D">
        <w:t>Financial Management – Risk Sharing Arrangements</w:t>
      </w:r>
      <w:bookmarkEnd w:id="104"/>
      <w:bookmarkEnd w:id="105"/>
      <w:bookmarkEnd w:id="106"/>
    </w:p>
    <w:p w14:paraId="4A356E71" w14:textId="5CA5A88D" w:rsidR="003755F1" w:rsidRPr="003755F1" w:rsidRDefault="003755F1" w:rsidP="003755F1">
      <w:pPr>
        <w:pStyle w:val="3-BodyText"/>
      </w:pPr>
      <w:r w:rsidRPr="003755F1">
        <w:t xml:space="preserve">The PBAC </w:t>
      </w:r>
      <w:r w:rsidR="00C54F3D" w:rsidRPr="00541454">
        <w:rPr>
          <w:iCs/>
        </w:rPr>
        <w:t>previously</w:t>
      </w:r>
      <w:r w:rsidR="00C54F3D">
        <w:t xml:space="preserve"> </w:t>
      </w:r>
      <w:r w:rsidRPr="003755F1">
        <w:t>considered that an RSA would be required to manage the remaining uncertainties related to the financial impact of mavacamten on the PBS/RPBS. The key issues pertaining to uncertainty in the financial estimates included (</w:t>
      </w:r>
      <w:r w:rsidR="00F55FEF" w:rsidRPr="00F55FEF">
        <w:t>para. 7.10, mavacamten, Public Summary Document, November 2022 PBAC meeting</w:t>
      </w:r>
      <w:r w:rsidRPr="003755F1">
        <w:t xml:space="preserve">; p110 of the resubmission): </w:t>
      </w:r>
    </w:p>
    <w:p w14:paraId="7EDABA51" w14:textId="77777777" w:rsidR="003755F1" w:rsidRPr="003755F1" w:rsidRDefault="003755F1" w:rsidP="00206BC1">
      <w:pPr>
        <w:pStyle w:val="ListParagraph"/>
        <w:numPr>
          <w:ilvl w:val="0"/>
          <w:numId w:val="3"/>
        </w:numPr>
        <w:ind w:left="1134"/>
      </w:pPr>
      <w:r w:rsidRPr="003755F1">
        <w:t xml:space="preserve">The possibility for mavacamten monotherapy to replace SOC treatment, rather than being used as an add-on therapy due to poor tolerability of BB or CCB or patient preference. </w:t>
      </w:r>
    </w:p>
    <w:p w14:paraId="282AAA64" w14:textId="77777777" w:rsidR="003755F1" w:rsidRPr="00541454" w:rsidRDefault="003755F1" w:rsidP="00206BC1">
      <w:pPr>
        <w:pStyle w:val="ListParagraph"/>
        <w:numPr>
          <w:ilvl w:val="0"/>
          <w:numId w:val="3"/>
        </w:numPr>
        <w:ind w:left="1134"/>
        <w:rPr>
          <w:iCs/>
        </w:rPr>
      </w:pPr>
      <w:r w:rsidRPr="003755F1">
        <w:t xml:space="preserve">A high risk of use outside the restriction in patients with less severe disease, due to peak LVOT gradient being a highly variable measurement in clinical practice. </w:t>
      </w:r>
    </w:p>
    <w:p w14:paraId="13FB0B26" w14:textId="20A3523C" w:rsidR="002A60BD" w:rsidRPr="00541454" w:rsidRDefault="002A60BD" w:rsidP="006A0001">
      <w:pPr>
        <w:pStyle w:val="ListBullet"/>
        <w:tabs>
          <w:tab w:val="clear" w:pos="360"/>
          <w:tab w:val="num" w:pos="1080"/>
        </w:tabs>
        <w:ind w:left="1080"/>
        <w:rPr>
          <w:iCs/>
        </w:rPr>
      </w:pPr>
      <w:r w:rsidRPr="00541454">
        <w:rPr>
          <w:iCs/>
        </w:rPr>
        <w:t xml:space="preserve">The ESC also noted that </w:t>
      </w:r>
      <w:proofErr w:type="gramStart"/>
      <w:r w:rsidRPr="00541454">
        <w:rPr>
          <w:iCs/>
        </w:rPr>
        <w:t>a number of</w:t>
      </w:r>
      <w:proofErr w:type="gramEnd"/>
      <w:r w:rsidRPr="00541454">
        <w:rPr>
          <w:iCs/>
        </w:rPr>
        <w:t xml:space="preserve"> patients, particularly older patients with asymmetric </w:t>
      </w:r>
      <w:r w:rsidR="00563734" w:rsidRPr="00541454">
        <w:rPr>
          <w:iCs/>
        </w:rPr>
        <w:t>left ventricular hypertrophy (</w:t>
      </w:r>
      <w:r w:rsidRPr="00541454">
        <w:rPr>
          <w:iCs/>
        </w:rPr>
        <w:t>LVH</w:t>
      </w:r>
      <w:r w:rsidR="00563734" w:rsidRPr="00541454">
        <w:rPr>
          <w:iCs/>
        </w:rPr>
        <w:t>)</w:t>
      </w:r>
      <w:r w:rsidRPr="00541454">
        <w:rPr>
          <w:iCs/>
        </w:rPr>
        <w:t xml:space="preserve"> secondary to hypertension, can have a phenotypic appearance of HCM</w:t>
      </w:r>
      <w:r w:rsidR="00563734" w:rsidRPr="00541454">
        <w:rPr>
          <w:iCs/>
        </w:rPr>
        <w:t>,</w:t>
      </w:r>
      <w:r w:rsidRPr="00541454">
        <w:rPr>
          <w:iCs/>
        </w:rPr>
        <w:t xml:space="preserve"> including the presence of </w:t>
      </w:r>
      <w:r w:rsidR="005D3C6E" w:rsidRPr="00541454">
        <w:rPr>
          <w:iCs/>
        </w:rPr>
        <w:t>high</w:t>
      </w:r>
      <w:r w:rsidRPr="00541454">
        <w:rPr>
          <w:iCs/>
        </w:rPr>
        <w:t xml:space="preserve"> LVOT gradient at rest or on provocation. These patients can be very difficult to exclude phenotypically from those with genetic HCM.  The ESC</w:t>
      </w:r>
      <w:r w:rsidR="00563734" w:rsidRPr="00541454">
        <w:rPr>
          <w:iCs/>
        </w:rPr>
        <w:t xml:space="preserve"> therefore considered</w:t>
      </w:r>
      <w:r w:rsidR="005D3C6E" w:rsidRPr="00541454">
        <w:rPr>
          <w:iCs/>
        </w:rPr>
        <w:t xml:space="preserve"> </w:t>
      </w:r>
      <w:r w:rsidRPr="00541454">
        <w:rPr>
          <w:iCs/>
        </w:rPr>
        <w:t>that this also posed a significant risk of leakage.</w:t>
      </w:r>
    </w:p>
    <w:p w14:paraId="07D786A3" w14:textId="1DF1A20E" w:rsidR="00CD5DD2" w:rsidRPr="00541454" w:rsidRDefault="00525B77" w:rsidP="00E727D4">
      <w:pPr>
        <w:pStyle w:val="3-BodyText"/>
      </w:pPr>
      <w:r w:rsidRPr="00525B77">
        <w:t xml:space="preserve">The resubmission </w:t>
      </w:r>
      <w:proofErr w:type="gramStart"/>
      <w:r w:rsidRPr="00525B77">
        <w:t>stated  that</w:t>
      </w:r>
      <w:proofErr w:type="gramEnd"/>
      <w:r w:rsidRPr="00525B77">
        <w:t xml:space="preserve"> in order to reflect the shared nature intended by an RSA, it was proposed that any expenditure over and above the subsidisation cap be subject to a </w:t>
      </w:r>
      <w:r w:rsidR="00F5190C" w:rsidRPr="00F84C70">
        <w:rPr>
          <w:color w:val="000000"/>
          <w:w w:val="15"/>
          <w:shd w:val="solid" w:color="000000" w:fill="000000"/>
          <w:fitText w:val="-20" w:id="-1167926009"/>
          <w14:textFill>
            <w14:solidFill>
              <w14:srgbClr w14:val="000000">
                <w14:alpha w14:val="100000"/>
              </w14:srgbClr>
            </w14:solidFill>
          </w14:textFill>
        </w:rPr>
        <w:t xml:space="preserve">|  </w:t>
      </w:r>
      <w:r w:rsidR="00F5190C" w:rsidRPr="00F84C70">
        <w:rPr>
          <w:color w:val="000000"/>
          <w:spacing w:val="-69"/>
          <w:w w:val="15"/>
          <w:shd w:val="solid" w:color="000000" w:fill="000000"/>
          <w:fitText w:val="-20" w:id="-1167926009"/>
          <w14:textFill>
            <w14:solidFill>
              <w14:srgbClr w14:val="000000">
                <w14:alpha w14:val="100000"/>
              </w14:srgbClr>
            </w14:solidFill>
          </w14:textFill>
        </w:rPr>
        <w:t>|</w:t>
      </w:r>
      <w:r w:rsidRPr="00525B77">
        <w:t xml:space="preserve">% rebate to Government. </w:t>
      </w:r>
      <w:r w:rsidR="00CD5DD2" w:rsidRPr="00BF5BC7">
        <w:rPr>
          <w:iCs/>
        </w:rPr>
        <w:t xml:space="preserve">The risks identified above would potentially </w:t>
      </w:r>
      <w:r w:rsidR="00CD5DD2" w:rsidRPr="00BF5BC7">
        <w:rPr>
          <w:iCs/>
        </w:rPr>
        <w:lastRenderedPageBreak/>
        <w:t xml:space="preserve">lead to use in a patient population not assessed for cost effectiveness and therefore the proposed RSA is asking the Government to take on </w:t>
      </w:r>
      <w:proofErr w:type="gramStart"/>
      <w:r w:rsidR="00F5190C" w:rsidRPr="00F84C70">
        <w:rPr>
          <w:iCs/>
          <w:color w:val="000000"/>
          <w:w w:val="15"/>
          <w:shd w:val="solid" w:color="000000" w:fill="000000"/>
          <w:fitText w:val="-20" w:id="-1167926008"/>
          <w14:textFill>
            <w14:solidFill>
              <w14:srgbClr w14:val="000000">
                <w14:alpha w14:val="100000"/>
              </w14:srgbClr>
            </w14:solidFill>
          </w14:textFill>
        </w:rPr>
        <w:t xml:space="preserve">|  </w:t>
      </w:r>
      <w:r w:rsidR="00F5190C" w:rsidRPr="00F84C70">
        <w:rPr>
          <w:iCs/>
          <w:color w:val="000000"/>
          <w:spacing w:val="-69"/>
          <w:w w:val="15"/>
          <w:shd w:val="solid" w:color="000000" w:fill="000000"/>
          <w:fitText w:val="-20" w:id="-1167926008"/>
          <w14:textFill>
            <w14:solidFill>
              <w14:srgbClr w14:val="000000">
                <w14:alpha w14:val="100000"/>
              </w14:srgbClr>
            </w14:solidFill>
          </w14:textFill>
        </w:rPr>
        <w:t>|</w:t>
      </w:r>
      <w:proofErr w:type="gramEnd"/>
      <w:r w:rsidR="00CD5DD2" w:rsidRPr="00BF5BC7">
        <w:rPr>
          <w:iCs/>
        </w:rPr>
        <w:t>% of that financial risk.</w:t>
      </w:r>
      <w:r w:rsidR="00B8284A">
        <w:rPr>
          <w:iCs/>
        </w:rPr>
        <w:t xml:space="preserve"> </w:t>
      </w:r>
      <w:r w:rsidR="00B8284A" w:rsidRPr="00541454">
        <w:t xml:space="preserve">The ESC felt that this RSA and proposed rebate was likely inadequate and posed an unreasonable proportion of the financial risk on Government. </w:t>
      </w:r>
    </w:p>
    <w:p w14:paraId="7254D98D" w14:textId="45CE49B8" w:rsidR="00854A7C" w:rsidRPr="00541454" w:rsidRDefault="00525B77" w:rsidP="00E727D4">
      <w:pPr>
        <w:pStyle w:val="3-BodyText"/>
      </w:pPr>
      <w:r w:rsidRPr="00525B77">
        <w:t xml:space="preserve">The resubmission’s values for the proposed cap are presented in </w:t>
      </w:r>
      <w:r w:rsidR="00E341E0">
        <w:fldChar w:fldCharType="begin"/>
      </w:r>
      <w:r w:rsidR="00E341E0">
        <w:instrText xml:space="preserve"> REF _Ref132318800 \h </w:instrText>
      </w:r>
      <w:r w:rsidR="00E341E0">
        <w:fldChar w:fldCharType="separate"/>
      </w:r>
      <w:r w:rsidR="00F84C70">
        <w:t xml:space="preserve">Table </w:t>
      </w:r>
      <w:r w:rsidR="00F84C70">
        <w:rPr>
          <w:noProof/>
        </w:rPr>
        <w:t>21</w:t>
      </w:r>
      <w:r w:rsidR="00E341E0">
        <w:fldChar w:fldCharType="end"/>
      </w:r>
      <w:r w:rsidRPr="00525B77">
        <w:t xml:space="preserve">. </w:t>
      </w:r>
      <w:r w:rsidRPr="00BF5BC7">
        <w:rPr>
          <w:iCs/>
        </w:rPr>
        <w:t xml:space="preserve">These financial estimates cover a </w:t>
      </w:r>
      <w:r w:rsidR="00EB5443" w:rsidRPr="00BF5BC7">
        <w:rPr>
          <w:iCs/>
        </w:rPr>
        <w:t>5</w:t>
      </w:r>
      <w:r w:rsidRPr="00BF5BC7">
        <w:rPr>
          <w:iCs/>
        </w:rPr>
        <w:t>-year time period from 2023 to 2027 (totalling $</w:t>
      </w:r>
      <w:r w:rsidR="006A1C29">
        <w:rPr>
          <w:iCs/>
        </w:rPr>
        <w:t>300 million to &lt; $400million</w:t>
      </w:r>
      <w:r w:rsidRPr="00BF5BC7">
        <w:rPr>
          <w:iCs/>
        </w:rPr>
        <w:t xml:space="preserve"> over 5 years).</w:t>
      </w:r>
      <w:r w:rsidRPr="00525B77">
        <w:t xml:space="preserve"> </w:t>
      </w:r>
      <w:r w:rsidRPr="00BF5BC7">
        <w:rPr>
          <w:iCs/>
        </w:rPr>
        <w:t>The financial impact is forecast to be $</w:t>
      </w:r>
      <w:r w:rsidR="006A1C29">
        <w:rPr>
          <w:iCs/>
        </w:rPr>
        <w:t>400 million to &lt; $500</w:t>
      </w:r>
      <w:r w:rsidRPr="00BF5BC7">
        <w:rPr>
          <w:iCs/>
        </w:rPr>
        <w:t xml:space="preserve"> million over </w:t>
      </w:r>
      <w:r w:rsidR="00EB5443" w:rsidRPr="00BF5BC7">
        <w:rPr>
          <w:iCs/>
        </w:rPr>
        <w:t xml:space="preserve">6 </w:t>
      </w:r>
      <w:r w:rsidRPr="00BF5BC7">
        <w:rPr>
          <w:iCs/>
        </w:rPr>
        <w:t>years.</w:t>
      </w:r>
    </w:p>
    <w:p w14:paraId="3C2AFB39" w14:textId="77777777" w:rsidR="00525B77" w:rsidRPr="00BF5BC7" w:rsidRDefault="00854A7C" w:rsidP="00854A7C">
      <w:pPr>
        <w:jc w:val="left"/>
        <w:rPr>
          <w:rFonts w:asciiTheme="minorHAnsi" w:hAnsiTheme="minorHAnsi"/>
          <w:iCs/>
          <w:snapToGrid w:val="0"/>
        </w:rPr>
      </w:pPr>
      <w:r w:rsidRPr="00BF5BC7">
        <w:rPr>
          <w:iCs/>
        </w:rPr>
        <w:br w:type="page"/>
      </w:r>
    </w:p>
    <w:p w14:paraId="57F47D11" w14:textId="4934C3CA" w:rsidR="00E727D4" w:rsidRPr="000B35A1" w:rsidRDefault="00E727D4" w:rsidP="00E727D4">
      <w:pPr>
        <w:pStyle w:val="Caption"/>
        <w:rPr>
          <w:rStyle w:val="CommentReference"/>
          <w:b/>
          <w:szCs w:val="18"/>
        </w:rPr>
      </w:pPr>
      <w:bookmarkStart w:id="107" w:name="_Ref132318800"/>
      <w:r>
        <w:lastRenderedPageBreak/>
        <w:t xml:space="preserve">Table </w:t>
      </w:r>
      <w:fldSimple w:instr=" SEQ Table \* ARABIC ">
        <w:r w:rsidR="00F84C70">
          <w:rPr>
            <w:noProof/>
          </w:rPr>
          <w:t>21</w:t>
        </w:r>
      </w:fldSimple>
      <w:bookmarkEnd w:id="107"/>
      <w:r>
        <w:t>:</w:t>
      </w:r>
      <w:r w:rsidRPr="00606FBA">
        <w:rPr>
          <w:rStyle w:val="CommentReference"/>
          <w:b/>
          <w:szCs w:val="24"/>
        </w:rPr>
        <w:t xml:space="preserve"> </w:t>
      </w:r>
      <w:r>
        <w:t>Proposed risk sharing arrangement subsidisation cap</w:t>
      </w:r>
      <w:r w:rsidR="00E33494">
        <w:t xml:space="preserve"> </w:t>
      </w:r>
      <w:r w:rsidR="00E33494" w:rsidRPr="00541454">
        <w:rPr>
          <w:iCs/>
        </w:rPr>
        <w:t xml:space="preserve">proposed in the </w:t>
      </w:r>
      <w:proofErr w:type="gramStart"/>
      <w:r w:rsidR="00E33494" w:rsidRPr="00541454">
        <w:rPr>
          <w:iCs/>
        </w:rPr>
        <w:t>resubmission</w:t>
      </w:r>
      <w:proofErr w:type="gramEnd"/>
    </w:p>
    <w:tbl>
      <w:tblPr>
        <w:tblStyle w:val="TableGrid"/>
        <w:tblW w:w="4818" w:type="pct"/>
        <w:tblLook w:val="04A0" w:firstRow="1" w:lastRow="0" w:firstColumn="1" w:lastColumn="0" w:noHBand="0" w:noVBand="1"/>
      </w:tblPr>
      <w:tblGrid>
        <w:gridCol w:w="1312"/>
        <w:gridCol w:w="1549"/>
        <w:gridCol w:w="1366"/>
        <w:gridCol w:w="1366"/>
        <w:gridCol w:w="1548"/>
        <w:gridCol w:w="1548"/>
      </w:tblGrid>
      <w:tr w:rsidR="006A0001" w:rsidRPr="00B73C04" w14:paraId="347040DA" w14:textId="77777777" w:rsidTr="006A0001">
        <w:tc>
          <w:tcPr>
            <w:tcW w:w="754" w:type="pct"/>
            <w:tcBorders>
              <w:bottom w:val="single" w:sz="4" w:space="0" w:color="auto"/>
            </w:tcBorders>
          </w:tcPr>
          <w:p w14:paraId="596EDA54" w14:textId="77777777" w:rsidR="006A0001" w:rsidRPr="000B35A1" w:rsidRDefault="006A0001" w:rsidP="00F774FD">
            <w:pPr>
              <w:jc w:val="left"/>
              <w:rPr>
                <w:rFonts w:ascii="Arial Narrow" w:hAnsi="Arial Narrow" w:cs="Times New Roman"/>
                <w:b/>
                <w:sz w:val="18"/>
                <w:szCs w:val="18"/>
              </w:rPr>
            </w:pPr>
          </w:p>
        </w:tc>
        <w:tc>
          <w:tcPr>
            <w:tcW w:w="891" w:type="pct"/>
          </w:tcPr>
          <w:p w14:paraId="0CBAAA9A" w14:textId="77777777" w:rsidR="006A0001" w:rsidRPr="000B35A1" w:rsidRDefault="006A0001" w:rsidP="00F774FD">
            <w:pPr>
              <w:jc w:val="center"/>
              <w:rPr>
                <w:rFonts w:ascii="Arial Narrow" w:hAnsi="Arial Narrow" w:cs="Times New Roman"/>
                <w:b/>
                <w:sz w:val="20"/>
                <w:szCs w:val="20"/>
              </w:rPr>
            </w:pPr>
            <w:r>
              <w:rPr>
                <w:rFonts w:ascii="Arial Narrow" w:hAnsi="Arial Narrow" w:cs="Times New Roman"/>
                <w:b/>
                <w:sz w:val="20"/>
                <w:szCs w:val="20"/>
              </w:rPr>
              <w:t>2023</w:t>
            </w:r>
            <w:r>
              <w:rPr>
                <w:rFonts w:ascii="Arial Narrow" w:hAnsi="Arial Narrow" w:cs="Times New Roman"/>
                <w:b/>
                <w:sz w:val="20"/>
                <w:szCs w:val="20"/>
              </w:rPr>
              <w:br/>
            </w:r>
            <w:r w:rsidRPr="00BF5BC7">
              <w:rPr>
                <w:rFonts w:ascii="Arial Narrow" w:hAnsi="Arial Narrow" w:cs="Times New Roman"/>
                <w:b/>
                <w:iCs/>
                <w:sz w:val="20"/>
                <w:szCs w:val="20"/>
              </w:rPr>
              <w:t>Year 1</w:t>
            </w:r>
          </w:p>
        </w:tc>
        <w:tc>
          <w:tcPr>
            <w:tcW w:w="786" w:type="pct"/>
          </w:tcPr>
          <w:p w14:paraId="702F8081" w14:textId="77777777" w:rsidR="006A0001" w:rsidRPr="000B35A1" w:rsidRDefault="006A0001" w:rsidP="00F774FD">
            <w:pPr>
              <w:jc w:val="center"/>
              <w:rPr>
                <w:rFonts w:ascii="Arial Narrow" w:hAnsi="Arial Narrow" w:cs="Times New Roman"/>
                <w:b/>
                <w:sz w:val="20"/>
                <w:szCs w:val="20"/>
              </w:rPr>
            </w:pPr>
            <w:r>
              <w:rPr>
                <w:rFonts w:ascii="Arial Narrow" w:hAnsi="Arial Narrow" w:cs="Times New Roman"/>
                <w:b/>
                <w:sz w:val="20"/>
                <w:szCs w:val="20"/>
              </w:rPr>
              <w:t xml:space="preserve">2024 </w:t>
            </w:r>
            <w:r>
              <w:rPr>
                <w:rFonts w:ascii="Arial Narrow" w:hAnsi="Arial Narrow" w:cs="Times New Roman"/>
                <w:b/>
                <w:sz w:val="20"/>
                <w:szCs w:val="20"/>
              </w:rPr>
              <w:br/>
            </w:r>
            <w:r w:rsidRPr="00BF5BC7">
              <w:rPr>
                <w:rFonts w:ascii="Arial Narrow" w:hAnsi="Arial Narrow" w:cs="Times New Roman"/>
                <w:b/>
                <w:iCs/>
                <w:sz w:val="20"/>
                <w:szCs w:val="20"/>
              </w:rPr>
              <w:t>Year 2</w:t>
            </w:r>
          </w:p>
        </w:tc>
        <w:tc>
          <w:tcPr>
            <w:tcW w:w="786" w:type="pct"/>
          </w:tcPr>
          <w:p w14:paraId="6961B54B" w14:textId="77777777" w:rsidR="006A0001" w:rsidRPr="000B35A1" w:rsidRDefault="006A0001" w:rsidP="00F774FD">
            <w:pPr>
              <w:jc w:val="center"/>
              <w:rPr>
                <w:rFonts w:ascii="Arial Narrow" w:hAnsi="Arial Narrow" w:cs="Times New Roman"/>
                <w:b/>
                <w:sz w:val="20"/>
                <w:szCs w:val="20"/>
              </w:rPr>
            </w:pPr>
            <w:r>
              <w:rPr>
                <w:rFonts w:ascii="Arial Narrow" w:hAnsi="Arial Narrow" w:cs="Times New Roman"/>
                <w:b/>
                <w:sz w:val="20"/>
                <w:szCs w:val="20"/>
              </w:rPr>
              <w:t xml:space="preserve">2025 </w:t>
            </w:r>
            <w:r>
              <w:rPr>
                <w:rFonts w:ascii="Arial Narrow" w:hAnsi="Arial Narrow" w:cs="Times New Roman"/>
                <w:b/>
                <w:sz w:val="20"/>
                <w:szCs w:val="20"/>
              </w:rPr>
              <w:br/>
            </w:r>
            <w:r w:rsidRPr="00BF5BC7">
              <w:rPr>
                <w:rFonts w:ascii="Arial Narrow" w:hAnsi="Arial Narrow" w:cs="Times New Roman"/>
                <w:b/>
                <w:iCs/>
                <w:sz w:val="20"/>
                <w:szCs w:val="20"/>
              </w:rPr>
              <w:t>Year 3</w:t>
            </w:r>
          </w:p>
        </w:tc>
        <w:tc>
          <w:tcPr>
            <w:tcW w:w="891" w:type="pct"/>
          </w:tcPr>
          <w:p w14:paraId="6474F5C1" w14:textId="77777777" w:rsidR="006A0001" w:rsidRPr="000B35A1" w:rsidRDefault="006A0001" w:rsidP="00F774FD">
            <w:pPr>
              <w:jc w:val="center"/>
              <w:rPr>
                <w:rFonts w:ascii="Arial Narrow" w:hAnsi="Arial Narrow" w:cs="Times New Roman"/>
                <w:b/>
                <w:sz w:val="20"/>
                <w:szCs w:val="20"/>
              </w:rPr>
            </w:pPr>
            <w:r>
              <w:rPr>
                <w:rFonts w:ascii="Arial Narrow" w:hAnsi="Arial Narrow" w:cs="Times New Roman"/>
                <w:b/>
                <w:sz w:val="20"/>
                <w:szCs w:val="20"/>
              </w:rPr>
              <w:t xml:space="preserve">2026 </w:t>
            </w:r>
            <w:r>
              <w:rPr>
                <w:rFonts w:ascii="Arial Narrow" w:hAnsi="Arial Narrow" w:cs="Times New Roman"/>
                <w:b/>
                <w:sz w:val="20"/>
                <w:szCs w:val="20"/>
              </w:rPr>
              <w:br/>
            </w:r>
            <w:r w:rsidRPr="00BF5BC7">
              <w:rPr>
                <w:rFonts w:ascii="Arial Narrow" w:hAnsi="Arial Narrow" w:cs="Times New Roman"/>
                <w:b/>
                <w:iCs/>
                <w:sz w:val="20"/>
                <w:szCs w:val="20"/>
              </w:rPr>
              <w:t>Year 4</w:t>
            </w:r>
          </w:p>
        </w:tc>
        <w:tc>
          <w:tcPr>
            <w:tcW w:w="891" w:type="pct"/>
          </w:tcPr>
          <w:p w14:paraId="7604E273" w14:textId="77777777" w:rsidR="006A0001" w:rsidRPr="000B35A1" w:rsidRDefault="006A0001" w:rsidP="00F774FD">
            <w:pPr>
              <w:jc w:val="center"/>
              <w:rPr>
                <w:rFonts w:ascii="Arial Narrow" w:hAnsi="Arial Narrow" w:cs="Times New Roman"/>
                <w:b/>
                <w:sz w:val="20"/>
                <w:szCs w:val="20"/>
              </w:rPr>
            </w:pPr>
            <w:r>
              <w:rPr>
                <w:rFonts w:ascii="Arial Narrow" w:hAnsi="Arial Narrow" w:cs="Times New Roman"/>
                <w:b/>
                <w:sz w:val="20"/>
                <w:szCs w:val="20"/>
              </w:rPr>
              <w:t xml:space="preserve">2027 </w:t>
            </w:r>
            <w:r>
              <w:rPr>
                <w:rFonts w:ascii="Arial Narrow" w:hAnsi="Arial Narrow" w:cs="Times New Roman"/>
                <w:b/>
                <w:sz w:val="20"/>
                <w:szCs w:val="20"/>
              </w:rPr>
              <w:br/>
            </w:r>
            <w:r w:rsidRPr="00BF5BC7">
              <w:rPr>
                <w:rFonts w:ascii="Arial Narrow" w:hAnsi="Arial Narrow" w:cs="Times New Roman"/>
                <w:b/>
                <w:iCs/>
                <w:sz w:val="20"/>
                <w:szCs w:val="20"/>
              </w:rPr>
              <w:t>Year 5</w:t>
            </w:r>
          </w:p>
        </w:tc>
      </w:tr>
      <w:tr w:rsidR="006A0001" w:rsidRPr="006A0001" w14:paraId="4DFFF3D6" w14:textId="77777777" w:rsidTr="006A0001">
        <w:tc>
          <w:tcPr>
            <w:tcW w:w="754" w:type="pct"/>
          </w:tcPr>
          <w:p w14:paraId="5174B466" w14:textId="77777777" w:rsidR="006A0001" w:rsidRPr="00FA09C6" w:rsidRDefault="006A0001" w:rsidP="00F774FD">
            <w:pPr>
              <w:pStyle w:val="TableText0"/>
              <w:keepNext w:val="0"/>
              <w:ind w:right="-109"/>
              <w:rPr>
                <w:b/>
                <w:bCs w:val="0"/>
              </w:rPr>
            </w:pPr>
            <w:r w:rsidRPr="00FA09C6">
              <w:rPr>
                <w:b/>
                <w:bCs w:val="0"/>
              </w:rPr>
              <w:t>Base case</w:t>
            </w:r>
          </w:p>
        </w:tc>
        <w:tc>
          <w:tcPr>
            <w:tcW w:w="891" w:type="pct"/>
            <w:vAlign w:val="center"/>
          </w:tcPr>
          <w:p w14:paraId="053998A8" w14:textId="5B162AC1" w:rsidR="006A0001" w:rsidRPr="001A046A" w:rsidRDefault="00B63528" w:rsidP="00F774FD">
            <w:pPr>
              <w:pStyle w:val="TableText0"/>
              <w:keepNext w:val="0"/>
              <w:ind w:left="-65" w:right="-122"/>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1A046A">
              <w:rPr>
                <w:vertAlign w:val="superscript"/>
                <w:lang w:val="en-US"/>
              </w:rPr>
              <w:t>1</w:t>
            </w:r>
          </w:p>
        </w:tc>
        <w:tc>
          <w:tcPr>
            <w:tcW w:w="786" w:type="pct"/>
            <w:vAlign w:val="center"/>
          </w:tcPr>
          <w:p w14:paraId="0DA21237" w14:textId="6C211DCC" w:rsidR="006A0001" w:rsidRPr="001A046A" w:rsidRDefault="00B63528" w:rsidP="00F774FD">
            <w:pPr>
              <w:pStyle w:val="TableText0"/>
              <w:keepNext w:val="0"/>
              <w:ind w:left="-65" w:right="-122"/>
              <w:jc w:val="center"/>
              <w:rPr>
                <w:highlight w:val="darkGray"/>
              </w:rPr>
            </w:pPr>
            <w:r w:rsidRPr="00B63528">
              <w:t>$</w:t>
            </w:r>
            <w:r w:rsidR="00F5190C" w:rsidRPr="00F84C70">
              <w:rPr>
                <w:rFonts w:hint="eastAsia"/>
                <w:color w:val="000000"/>
                <w:w w:val="15"/>
                <w:shd w:val="solid" w:color="000000" w:fill="000000"/>
                <w:fitText w:val="22" w:id="-1167926007"/>
                <w14:textFill>
                  <w14:solidFill>
                    <w14:srgbClr w14:val="000000">
                      <w14:alpha w14:val="100000"/>
                    </w14:srgbClr>
                  </w14:solidFill>
                </w14:textFill>
              </w:rPr>
              <w:t xml:space="preserve">　</w:t>
            </w:r>
            <w:r w:rsidR="00F5190C" w:rsidRPr="00F84C70">
              <w:rPr>
                <w:color w:val="000000"/>
                <w:w w:val="15"/>
                <w:shd w:val="solid" w:color="000000" w:fill="000000"/>
                <w:fitText w:val="22" w:id="-1167926007"/>
                <w14:textFill>
                  <w14:solidFill>
                    <w14:srgbClr w14:val="000000">
                      <w14:alpha w14:val="100000"/>
                    </w14:srgbClr>
                  </w14:solidFill>
                </w14:textFill>
              </w:rPr>
              <w:t>|</w:t>
            </w:r>
            <w:r w:rsidR="00F5190C" w:rsidRPr="00F84C70">
              <w:rPr>
                <w:rFonts w:hint="eastAsia"/>
                <w:color w:val="000000"/>
                <w:spacing w:val="-43"/>
                <w:w w:val="15"/>
                <w:shd w:val="solid" w:color="000000" w:fill="000000"/>
                <w:fitText w:val="22" w:id="-1167926007"/>
                <w14:textFill>
                  <w14:solidFill>
                    <w14:srgbClr w14:val="000000">
                      <w14:alpha w14:val="100000"/>
                    </w14:srgbClr>
                  </w14:solidFill>
                </w14:textFill>
              </w:rPr>
              <w:t xml:space="preserve">　</w:t>
            </w:r>
            <w:r w:rsidR="001A046A">
              <w:rPr>
                <w:vertAlign w:val="superscript"/>
                <w:lang w:val="en-US"/>
              </w:rPr>
              <w:t>1</w:t>
            </w:r>
          </w:p>
        </w:tc>
        <w:tc>
          <w:tcPr>
            <w:tcW w:w="786" w:type="pct"/>
            <w:vAlign w:val="center"/>
          </w:tcPr>
          <w:p w14:paraId="1DA18FC4" w14:textId="03D353B6" w:rsidR="006A0001" w:rsidRPr="001A046A" w:rsidRDefault="00B63528" w:rsidP="00F774FD">
            <w:pPr>
              <w:pStyle w:val="TableText0"/>
              <w:keepNext w:val="0"/>
              <w:ind w:left="-65" w:right="-122"/>
              <w:jc w:val="center"/>
              <w:rPr>
                <w:highlight w:val="darkGray"/>
              </w:rPr>
            </w:pPr>
            <w:r w:rsidRPr="00B63528">
              <w:t>$</w:t>
            </w:r>
            <w:r w:rsidR="00F5190C" w:rsidRPr="00F84C70">
              <w:rPr>
                <w:rFonts w:hint="eastAsia"/>
                <w:color w:val="000000"/>
                <w:w w:val="15"/>
                <w:shd w:val="solid" w:color="000000" w:fill="000000"/>
                <w:fitText w:val="22" w:id="-1167926006"/>
                <w14:textFill>
                  <w14:solidFill>
                    <w14:srgbClr w14:val="000000">
                      <w14:alpha w14:val="100000"/>
                    </w14:srgbClr>
                  </w14:solidFill>
                </w14:textFill>
              </w:rPr>
              <w:t xml:space="preserve">　</w:t>
            </w:r>
            <w:r w:rsidR="00F5190C" w:rsidRPr="00F84C70">
              <w:rPr>
                <w:color w:val="000000"/>
                <w:w w:val="15"/>
                <w:shd w:val="solid" w:color="000000" w:fill="000000"/>
                <w:fitText w:val="22" w:id="-1167926006"/>
                <w14:textFill>
                  <w14:solidFill>
                    <w14:srgbClr w14:val="000000">
                      <w14:alpha w14:val="100000"/>
                    </w14:srgbClr>
                  </w14:solidFill>
                </w14:textFill>
              </w:rPr>
              <w:t>|</w:t>
            </w:r>
            <w:r w:rsidR="00F5190C" w:rsidRPr="00F84C70">
              <w:rPr>
                <w:rFonts w:hint="eastAsia"/>
                <w:color w:val="000000"/>
                <w:spacing w:val="-43"/>
                <w:w w:val="15"/>
                <w:shd w:val="solid" w:color="000000" w:fill="000000"/>
                <w:fitText w:val="22" w:id="-1167926006"/>
                <w14:textFill>
                  <w14:solidFill>
                    <w14:srgbClr w14:val="000000">
                      <w14:alpha w14:val="100000"/>
                    </w14:srgbClr>
                  </w14:solidFill>
                </w14:textFill>
              </w:rPr>
              <w:t xml:space="preserve">　</w:t>
            </w:r>
            <w:r w:rsidR="001A046A">
              <w:rPr>
                <w:vertAlign w:val="superscript"/>
                <w:lang w:val="en-US"/>
              </w:rPr>
              <w:t>1</w:t>
            </w:r>
          </w:p>
        </w:tc>
        <w:tc>
          <w:tcPr>
            <w:tcW w:w="891" w:type="pct"/>
            <w:vAlign w:val="center"/>
          </w:tcPr>
          <w:p w14:paraId="5A150621" w14:textId="5D4D67CC" w:rsidR="006A0001" w:rsidRPr="001A046A" w:rsidRDefault="00B63528" w:rsidP="00F774FD">
            <w:pPr>
              <w:pStyle w:val="TableText0"/>
              <w:keepNext w:val="0"/>
              <w:ind w:left="-65" w:right="-122"/>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1A046A">
              <w:rPr>
                <w:vertAlign w:val="superscript"/>
                <w:lang w:val="en-US"/>
              </w:rPr>
              <w:t>1</w:t>
            </w:r>
          </w:p>
        </w:tc>
        <w:tc>
          <w:tcPr>
            <w:tcW w:w="891" w:type="pct"/>
            <w:vAlign w:val="center"/>
          </w:tcPr>
          <w:p w14:paraId="7398F51B" w14:textId="440491BF" w:rsidR="006A0001" w:rsidRPr="001A046A" w:rsidRDefault="00B63528" w:rsidP="00F774FD">
            <w:pPr>
              <w:pStyle w:val="TableText0"/>
              <w:keepNext w:val="0"/>
              <w:ind w:left="-65" w:right="-122"/>
              <w:jc w:val="center"/>
              <w:rPr>
                <w:highlight w:val="darkGray"/>
              </w:rPr>
            </w:pPr>
            <w:r w:rsidRPr="00B63528">
              <w:t>$</w:t>
            </w:r>
            <w:r w:rsidR="00F5190C" w:rsidRPr="00F5190C">
              <w:rPr>
                <w:color w:val="000000"/>
                <w:shd w:val="solid" w:color="000000" w:fill="000000"/>
                <w14:textFill>
                  <w14:solidFill>
                    <w14:srgbClr w14:val="000000">
                      <w14:alpha w14:val="100000"/>
                    </w14:srgbClr>
                  </w14:solidFill>
                </w14:textFill>
              </w:rPr>
              <w:t>|</w:t>
            </w:r>
            <w:r w:rsidR="001A046A">
              <w:rPr>
                <w:vertAlign w:val="superscript"/>
                <w:lang w:val="en-US"/>
              </w:rPr>
              <w:t>1</w:t>
            </w:r>
          </w:p>
        </w:tc>
      </w:tr>
      <w:tr w:rsidR="006A0001" w:rsidRPr="00B73C04" w14:paraId="393AAD86" w14:textId="2FA977B8" w:rsidTr="006A0001">
        <w:tc>
          <w:tcPr>
            <w:tcW w:w="754" w:type="pct"/>
            <w:tcBorders>
              <w:bottom w:val="single" w:sz="4" w:space="0" w:color="auto"/>
            </w:tcBorders>
            <w:vAlign w:val="center"/>
          </w:tcPr>
          <w:p w14:paraId="48221B1A" w14:textId="477D7C23" w:rsidR="006A0001" w:rsidRPr="00FA09C6" w:rsidRDefault="006A0001" w:rsidP="006A0001">
            <w:pPr>
              <w:pStyle w:val="TableText0"/>
              <w:keepNext w:val="0"/>
              <w:ind w:right="-109"/>
              <w:rPr>
                <w:b/>
                <w:bCs w:val="0"/>
              </w:rPr>
            </w:pPr>
            <w:r w:rsidRPr="00541454">
              <w:rPr>
                <w:iCs/>
                <w:szCs w:val="20"/>
              </w:rPr>
              <w:t>PSCR (resubmission)</w:t>
            </w:r>
          </w:p>
        </w:tc>
        <w:tc>
          <w:tcPr>
            <w:tcW w:w="891" w:type="pct"/>
          </w:tcPr>
          <w:p w14:paraId="5F768D89" w14:textId="64FB2801" w:rsidR="006A0001" w:rsidRPr="006A1C29" w:rsidRDefault="00B63528" w:rsidP="006A0001">
            <w:pPr>
              <w:pStyle w:val="TableText0"/>
              <w:keepNext w:val="0"/>
              <w:ind w:left="-65" w:right="-122"/>
              <w:jc w:val="center"/>
              <w:rPr>
                <w:highlight w:val="darkGray"/>
              </w:rPr>
            </w:pPr>
            <w:r w:rsidRPr="00B63528">
              <w:rPr>
                <w:iCs/>
                <w:szCs w:val="20"/>
              </w:rPr>
              <w:t>$</w:t>
            </w:r>
            <w:r w:rsidR="00F5190C" w:rsidRPr="00F5190C">
              <w:rPr>
                <w:iCs/>
                <w:color w:val="000000"/>
                <w:szCs w:val="20"/>
                <w:shd w:val="solid" w:color="000000" w:fill="000000"/>
                <w14:textFill>
                  <w14:solidFill>
                    <w14:srgbClr w14:val="000000">
                      <w14:alpha w14:val="100000"/>
                    </w14:srgbClr>
                  </w14:solidFill>
                </w14:textFill>
              </w:rPr>
              <w:t>|</w:t>
            </w:r>
            <w:r w:rsidR="001A046A">
              <w:rPr>
                <w:vertAlign w:val="superscript"/>
                <w:lang w:val="en-US"/>
              </w:rPr>
              <w:t>2</w:t>
            </w:r>
          </w:p>
        </w:tc>
        <w:tc>
          <w:tcPr>
            <w:tcW w:w="786" w:type="pct"/>
          </w:tcPr>
          <w:p w14:paraId="6220997C" w14:textId="5B9B5847" w:rsidR="006A0001" w:rsidRPr="006A1C29" w:rsidRDefault="00B63528" w:rsidP="006A0001">
            <w:pPr>
              <w:pStyle w:val="TableText0"/>
              <w:keepNext w:val="0"/>
              <w:ind w:left="-65" w:right="-122"/>
              <w:jc w:val="center"/>
              <w:rPr>
                <w:highlight w:val="darkGray"/>
              </w:rPr>
            </w:pPr>
            <w:r w:rsidRPr="00B63528">
              <w:rPr>
                <w:iCs/>
                <w:szCs w:val="20"/>
              </w:rPr>
              <w:t>$</w:t>
            </w:r>
            <w:r w:rsidR="00F5190C" w:rsidRPr="00F84C70">
              <w:rPr>
                <w:rFonts w:hint="eastAsia"/>
                <w:iCs/>
                <w:color w:val="000000"/>
                <w:w w:val="15"/>
                <w:szCs w:val="20"/>
                <w:shd w:val="solid" w:color="000000" w:fill="000000"/>
                <w:fitText w:val="22" w:id="-1167926005"/>
                <w14:textFill>
                  <w14:solidFill>
                    <w14:srgbClr w14:val="000000">
                      <w14:alpha w14:val="100000"/>
                    </w14:srgbClr>
                  </w14:solidFill>
                </w14:textFill>
              </w:rPr>
              <w:t xml:space="preserve">　</w:t>
            </w:r>
            <w:r w:rsidR="00F5190C" w:rsidRPr="00F84C70">
              <w:rPr>
                <w:iCs/>
                <w:color w:val="000000"/>
                <w:w w:val="15"/>
                <w:szCs w:val="20"/>
                <w:shd w:val="solid" w:color="000000" w:fill="000000"/>
                <w:fitText w:val="22" w:id="-1167926005"/>
                <w14:textFill>
                  <w14:solidFill>
                    <w14:srgbClr w14:val="000000">
                      <w14:alpha w14:val="100000"/>
                    </w14:srgbClr>
                  </w14:solidFill>
                </w14:textFill>
              </w:rPr>
              <w:t>|</w:t>
            </w:r>
            <w:r w:rsidR="00F5190C" w:rsidRPr="00F84C70">
              <w:rPr>
                <w:rFonts w:hint="eastAsia"/>
                <w:iCs/>
                <w:color w:val="000000"/>
                <w:spacing w:val="-43"/>
                <w:w w:val="15"/>
                <w:szCs w:val="20"/>
                <w:shd w:val="solid" w:color="000000" w:fill="000000"/>
                <w:fitText w:val="22" w:id="-1167926005"/>
                <w14:textFill>
                  <w14:solidFill>
                    <w14:srgbClr w14:val="000000">
                      <w14:alpha w14:val="100000"/>
                    </w14:srgbClr>
                  </w14:solidFill>
                </w14:textFill>
              </w:rPr>
              <w:t xml:space="preserve">　</w:t>
            </w:r>
            <w:r w:rsidR="001A046A">
              <w:rPr>
                <w:vertAlign w:val="superscript"/>
                <w:lang w:val="en-US"/>
              </w:rPr>
              <w:t>2</w:t>
            </w:r>
          </w:p>
        </w:tc>
        <w:tc>
          <w:tcPr>
            <w:tcW w:w="786" w:type="pct"/>
          </w:tcPr>
          <w:p w14:paraId="17AD0649" w14:textId="2AEEC2FA" w:rsidR="006A0001" w:rsidRPr="006A1C29" w:rsidRDefault="00B63528" w:rsidP="006A0001">
            <w:pPr>
              <w:pStyle w:val="TableText0"/>
              <w:keepNext w:val="0"/>
              <w:ind w:left="-65" w:right="-122"/>
              <w:jc w:val="center"/>
              <w:rPr>
                <w:highlight w:val="darkGray"/>
              </w:rPr>
            </w:pPr>
            <w:r w:rsidRPr="00B63528">
              <w:rPr>
                <w:iCs/>
                <w:szCs w:val="20"/>
              </w:rPr>
              <w:t>$</w:t>
            </w:r>
            <w:r w:rsidR="00F5190C" w:rsidRPr="00F84C70">
              <w:rPr>
                <w:rFonts w:hint="eastAsia"/>
                <w:iCs/>
                <w:color w:val="000000"/>
                <w:w w:val="15"/>
                <w:szCs w:val="20"/>
                <w:shd w:val="solid" w:color="000000" w:fill="000000"/>
                <w:fitText w:val="22" w:id="-1167926004"/>
                <w14:textFill>
                  <w14:solidFill>
                    <w14:srgbClr w14:val="000000">
                      <w14:alpha w14:val="100000"/>
                    </w14:srgbClr>
                  </w14:solidFill>
                </w14:textFill>
              </w:rPr>
              <w:t xml:space="preserve">　</w:t>
            </w:r>
            <w:r w:rsidR="00F5190C" w:rsidRPr="00F84C70">
              <w:rPr>
                <w:iCs/>
                <w:color w:val="000000"/>
                <w:w w:val="15"/>
                <w:szCs w:val="20"/>
                <w:shd w:val="solid" w:color="000000" w:fill="000000"/>
                <w:fitText w:val="22" w:id="-1167926004"/>
                <w14:textFill>
                  <w14:solidFill>
                    <w14:srgbClr w14:val="000000">
                      <w14:alpha w14:val="100000"/>
                    </w14:srgbClr>
                  </w14:solidFill>
                </w14:textFill>
              </w:rPr>
              <w:t>|</w:t>
            </w:r>
            <w:r w:rsidR="00F5190C" w:rsidRPr="00F84C70">
              <w:rPr>
                <w:rFonts w:hint="eastAsia"/>
                <w:iCs/>
                <w:color w:val="000000"/>
                <w:spacing w:val="-43"/>
                <w:w w:val="15"/>
                <w:szCs w:val="20"/>
                <w:shd w:val="solid" w:color="000000" w:fill="000000"/>
                <w:fitText w:val="22" w:id="-1167926004"/>
                <w14:textFill>
                  <w14:solidFill>
                    <w14:srgbClr w14:val="000000">
                      <w14:alpha w14:val="100000"/>
                    </w14:srgbClr>
                  </w14:solidFill>
                </w14:textFill>
              </w:rPr>
              <w:t xml:space="preserve">　</w:t>
            </w:r>
            <w:r w:rsidR="001A046A">
              <w:rPr>
                <w:vertAlign w:val="superscript"/>
                <w:lang w:val="en-US"/>
              </w:rPr>
              <w:t>3</w:t>
            </w:r>
          </w:p>
        </w:tc>
        <w:tc>
          <w:tcPr>
            <w:tcW w:w="891" w:type="pct"/>
          </w:tcPr>
          <w:p w14:paraId="63D6E8FF" w14:textId="290A5849" w:rsidR="006A0001" w:rsidRPr="006A1C29" w:rsidRDefault="00B63528" w:rsidP="006A0001">
            <w:pPr>
              <w:pStyle w:val="TableText0"/>
              <w:keepNext w:val="0"/>
              <w:ind w:left="-65" w:right="-122"/>
              <w:jc w:val="center"/>
              <w:rPr>
                <w:highlight w:val="darkGray"/>
              </w:rPr>
            </w:pPr>
            <w:r w:rsidRPr="00B63528">
              <w:rPr>
                <w:iCs/>
                <w:szCs w:val="20"/>
              </w:rPr>
              <w:t>$</w:t>
            </w:r>
            <w:r w:rsidR="00F5190C" w:rsidRPr="00F5190C">
              <w:rPr>
                <w:iCs/>
                <w:color w:val="000000"/>
                <w:szCs w:val="20"/>
                <w:shd w:val="solid" w:color="000000" w:fill="000000"/>
                <w14:textFill>
                  <w14:solidFill>
                    <w14:srgbClr w14:val="000000">
                      <w14:alpha w14:val="100000"/>
                    </w14:srgbClr>
                  </w14:solidFill>
                </w14:textFill>
              </w:rPr>
              <w:t>|</w:t>
            </w:r>
            <w:r w:rsidR="001A046A">
              <w:rPr>
                <w:vertAlign w:val="superscript"/>
                <w:lang w:val="en-US"/>
              </w:rPr>
              <w:t>3</w:t>
            </w:r>
          </w:p>
        </w:tc>
        <w:tc>
          <w:tcPr>
            <w:tcW w:w="891" w:type="pct"/>
          </w:tcPr>
          <w:p w14:paraId="46B56D9B" w14:textId="2223CF7F" w:rsidR="006A0001" w:rsidRPr="006A1C29" w:rsidRDefault="00B63528" w:rsidP="006A0001">
            <w:pPr>
              <w:pStyle w:val="TableText0"/>
              <w:keepNext w:val="0"/>
              <w:ind w:left="-65" w:right="-122"/>
              <w:jc w:val="center"/>
              <w:rPr>
                <w:highlight w:val="darkGray"/>
              </w:rPr>
            </w:pPr>
            <w:r w:rsidRPr="00B63528">
              <w:rPr>
                <w:iCs/>
                <w:szCs w:val="20"/>
              </w:rPr>
              <w:t>$</w:t>
            </w:r>
            <w:r w:rsidR="00F5190C" w:rsidRPr="00F5190C">
              <w:rPr>
                <w:iCs/>
                <w:color w:val="000000"/>
                <w:szCs w:val="20"/>
                <w:shd w:val="solid" w:color="000000" w:fill="000000"/>
                <w14:textFill>
                  <w14:solidFill>
                    <w14:srgbClr w14:val="000000">
                      <w14:alpha w14:val="100000"/>
                    </w14:srgbClr>
                  </w14:solidFill>
                </w14:textFill>
              </w:rPr>
              <w:t>|</w:t>
            </w:r>
            <w:r w:rsidR="001A046A">
              <w:rPr>
                <w:vertAlign w:val="superscript"/>
                <w:lang w:val="en-US"/>
              </w:rPr>
              <w:t>3</w:t>
            </w:r>
          </w:p>
        </w:tc>
      </w:tr>
      <w:tr w:rsidR="006A0001" w:rsidRPr="00541454" w14:paraId="2A2CABC6" w14:textId="77777777" w:rsidTr="006A0001">
        <w:tc>
          <w:tcPr>
            <w:tcW w:w="754" w:type="pct"/>
            <w:tcBorders>
              <w:bottom w:val="single" w:sz="4" w:space="0" w:color="auto"/>
            </w:tcBorders>
            <w:vAlign w:val="center"/>
          </w:tcPr>
          <w:p w14:paraId="53705AA6" w14:textId="45799799" w:rsidR="006A0001" w:rsidRPr="00541454" w:rsidRDefault="006A0001" w:rsidP="006A0001">
            <w:pPr>
              <w:pStyle w:val="TableText0"/>
              <w:keepNext w:val="0"/>
              <w:ind w:right="-109"/>
              <w:rPr>
                <w:iCs/>
                <w:szCs w:val="20"/>
              </w:rPr>
            </w:pPr>
            <w:r w:rsidRPr="00541454">
              <w:rPr>
                <w:szCs w:val="20"/>
              </w:rPr>
              <w:t>PSCR (resubmission) with removal of price inflation factor for initiation scripts and formula for annual discontinuation applied</w:t>
            </w:r>
          </w:p>
        </w:tc>
        <w:tc>
          <w:tcPr>
            <w:tcW w:w="891" w:type="pct"/>
            <w:vAlign w:val="center"/>
          </w:tcPr>
          <w:p w14:paraId="18526E2B" w14:textId="010BFF51" w:rsidR="006A0001" w:rsidRPr="006A1C29" w:rsidRDefault="00B63528" w:rsidP="006A0001">
            <w:pPr>
              <w:pStyle w:val="TableText0"/>
              <w:keepNext w:val="0"/>
              <w:ind w:left="-65" w:right="-122"/>
              <w:jc w:val="center"/>
              <w:rPr>
                <w:iCs/>
                <w:szCs w:val="20"/>
                <w:highlight w:val="darkGray"/>
              </w:rPr>
            </w:pPr>
            <w:r w:rsidRPr="00B63528">
              <w:rPr>
                <w:iCs/>
                <w:szCs w:val="20"/>
              </w:rPr>
              <w:t>$</w:t>
            </w:r>
            <w:r w:rsidR="00F5190C" w:rsidRPr="00F5190C">
              <w:rPr>
                <w:iCs/>
                <w:color w:val="000000"/>
                <w:szCs w:val="20"/>
                <w:shd w:val="solid" w:color="000000" w:fill="000000"/>
                <w14:textFill>
                  <w14:solidFill>
                    <w14:srgbClr w14:val="000000">
                      <w14:alpha w14:val="100000"/>
                    </w14:srgbClr>
                  </w14:solidFill>
                </w14:textFill>
              </w:rPr>
              <w:t>|</w:t>
            </w:r>
            <w:r w:rsidR="001A046A">
              <w:rPr>
                <w:vertAlign w:val="superscript"/>
                <w:lang w:val="en-US"/>
              </w:rPr>
              <w:t>2</w:t>
            </w:r>
          </w:p>
        </w:tc>
        <w:tc>
          <w:tcPr>
            <w:tcW w:w="786" w:type="pct"/>
            <w:vAlign w:val="center"/>
          </w:tcPr>
          <w:p w14:paraId="2D59359F" w14:textId="2DE86911" w:rsidR="006A0001" w:rsidRPr="006A1C29" w:rsidRDefault="00B63528" w:rsidP="006A0001">
            <w:pPr>
              <w:pStyle w:val="TableText0"/>
              <w:keepNext w:val="0"/>
              <w:ind w:left="-65" w:right="-122"/>
              <w:jc w:val="center"/>
              <w:rPr>
                <w:iCs/>
                <w:szCs w:val="20"/>
                <w:highlight w:val="darkGray"/>
              </w:rPr>
            </w:pPr>
            <w:r w:rsidRPr="00B63528">
              <w:rPr>
                <w:iCs/>
                <w:szCs w:val="20"/>
              </w:rPr>
              <w:t>$</w:t>
            </w:r>
            <w:r w:rsidR="00F5190C" w:rsidRPr="00F84C70">
              <w:rPr>
                <w:rFonts w:hint="eastAsia"/>
                <w:iCs/>
                <w:color w:val="000000"/>
                <w:w w:val="15"/>
                <w:szCs w:val="20"/>
                <w:shd w:val="solid" w:color="000000" w:fill="000000"/>
                <w:fitText w:val="22" w:id="-1167926003"/>
                <w14:textFill>
                  <w14:solidFill>
                    <w14:srgbClr w14:val="000000">
                      <w14:alpha w14:val="100000"/>
                    </w14:srgbClr>
                  </w14:solidFill>
                </w14:textFill>
              </w:rPr>
              <w:t xml:space="preserve">　</w:t>
            </w:r>
            <w:r w:rsidR="00F5190C" w:rsidRPr="00F84C70">
              <w:rPr>
                <w:iCs/>
                <w:color w:val="000000"/>
                <w:w w:val="15"/>
                <w:szCs w:val="20"/>
                <w:shd w:val="solid" w:color="000000" w:fill="000000"/>
                <w:fitText w:val="22" w:id="-1167926003"/>
                <w14:textFill>
                  <w14:solidFill>
                    <w14:srgbClr w14:val="000000">
                      <w14:alpha w14:val="100000"/>
                    </w14:srgbClr>
                  </w14:solidFill>
                </w14:textFill>
              </w:rPr>
              <w:t>|</w:t>
            </w:r>
            <w:r w:rsidR="00F5190C" w:rsidRPr="00F84C70">
              <w:rPr>
                <w:rFonts w:hint="eastAsia"/>
                <w:iCs/>
                <w:color w:val="000000"/>
                <w:spacing w:val="-43"/>
                <w:w w:val="15"/>
                <w:szCs w:val="20"/>
                <w:shd w:val="solid" w:color="000000" w:fill="000000"/>
                <w:fitText w:val="22" w:id="-1167926003"/>
                <w14:textFill>
                  <w14:solidFill>
                    <w14:srgbClr w14:val="000000">
                      <w14:alpha w14:val="100000"/>
                    </w14:srgbClr>
                  </w14:solidFill>
                </w14:textFill>
              </w:rPr>
              <w:t xml:space="preserve">　</w:t>
            </w:r>
            <w:r w:rsidR="001A046A">
              <w:rPr>
                <w:vertAlign w:val="superscript"/>
                <w:lang w:val="en-US"/>
              </w:rPr>
              <w:t>2</w:t>
            </w:r>
          </w:p>
        </w:tc>
        <w:tc>
          <w:tcPr>
            <w:tcW w:w="786" w:type="pct"/>
            <w:vAlign w:val="center"/>
          </w:tcPr>
          <w:p w14:paraId="526AF1F9" w14:textId="422C546B" w:rsidR="006A0001" w:rsidRPr="006A1C29" w:rsidRDefault="00B63528" w:rsidP="006A0001">
            <w:pPr>
              <w:pStyle w:val="TableText0"/>
              <w:keepNext w:val="0"/>
              <w:ind w:left="-65" w:right="-122"/>
              <w:jc w:val="center"/>
              <w:rPr>
                <w:iCs/>
                <w:szCs w:val="20"/>
                <w:highlight w:val="darkGray"/>
              </w:rPr>
            </w:pPr>
            <w:r w:rsidRPr="00B63528">
              <w:rPr>
                <w:iCs/>
                <w:szCs w:val="20"/>
              </w:rPr>
              <w:t>$</w:t>
            </w:r>
            <w:r w:rsidR="00F5190C" w:rsidRPr="00F84C70">
              <w:rPr>
                <w:rFonts w:hint="eastAsia"/>
                <w:iCs/>
                <w:color w:val="000000"/>
                <w:w w:val="15"/>
                <w:szCs w:val="20"/>
                <w:shd w:val="solid" w:color="000000" w:fill="000000"/>
                <w:fitText w:val="22" w:id="-1167926002"/>
                <w14:textFill>
                  <w14:solidFill>
                    <w14:srgbClr w14:val="000000">
                      <w14:alpha w14:val="100000"/>
                    </w14:srgbClr>
                  </w14:solidFill>
                </w14:textFill>
              </w:rPr>
              <w:t xml:space="preserve">　</w:t>
            </w:r>
            <w:r w:rsidR="00F5190C" w:rsidRPr="00F84C70">
              <w:rPr>
                <w:iCs/>
                <w:color w:val="000000"/>
                <w:w w:val="15"/>
                <w:szCs w:val="20"/>
                <w:shd w:val="solid" w:color="000000" w:fill="000000"/>
                <w:fitText w:val="22" w:id="-1167926002"/>
                <w14:textFill>
                  <w14:solidFill>
                    <w14:srgbClr w14:val="000000">
                      <w14:alpha w14:val="100000"/>
                    </w14:srgbClr>
                  </w14:solidFill>
                </w14:textFill>
              </w:rPr>
              <w:t>|</w:t>
            </w:r>
            <w:r w:rsidR="00F5190C" w:rsidRPr="00F84C70">
              <w:rPr>
                <w:rFonts w:hint="eastAsia"/>
                <w:iCs/>
                <w:color w:val="000000"/>
                <w:spacing w:val="-43"/>
                <w:w w:val="15"/>
                <w:szCs w:val="20"/>
                <w:shd w:val="solid" w:color="000000" w:fill="000000"/>
                <w:fitText w:val="22" w:id="-1167926002"/>
                <w14:textFill>
                  <w14:solidFill>
                    <w14:srgbClr w14:val="000000">
                      <w14:alpha w14:val="100000"/>
                    </w14:srgbClr>
                  </w14:solidFill>
                </w14:textFill>
              </w:rPr>
              <w:t xml:space="preserve">　</w:t>
            </w:r>
            <w:r w:rsidR="001A046A">
              <w:rPr>
                <w:vertAlign w:val="superscript"/>
                <w:lang w:val="en-US"/>
              </w:rPr>
              <w:t>3</w:t>
            </w:r>
          </w:p>
        </w:tc>
        <w:tc>
          <w:tcPr>
            <w:tcW w:w="891" w:type="pct"/>
            <w:vAlign w:val="center"/>
          </w:tcPr>
          <w:p w14:paraId="6BD1B5CC" w14:textId="469CF905" w:rsidR="006A0001" w:rsidRPr="006A1C29" w:rsidRDefault="00B63528" w:rsidP="006A0001">
            <w:pPr>
              <w:pStyle w:val="TableText0"/>
              <w:keepNext w:val="0"/>
              <w:ind w:left="-65" w:right="-122"/>
              <w:jc w:val="center"/>
              <w:rPr>
                <w:iCs/>
                <w:szCs w:val="20"/>
                <w:highlight w:val="darkGray"/>
              </w:rPr>
            </w:pPr>
            <w:r w:rsidRPr="00B63528">
              <w:rPr>
                <w:iCs/>
                <w:szCs w:val="20"/>
              </w:rPr>
              <w:t>$</w:t>
            </w:r>
            <w:r w:rsidR="00F5190C" w:rsidRPr="00F5190C">
              <w:rPr>
                <w:iCs/>
                <w:color w:val="000000"/>
                <w:szCs w:val="20"/>
                <w:shd w:val="solid" w:color="000000" w:fill="000000"/>
                <w14:textFill>
                  <w14:solidFill>
                    <w14:srgbClr w14:val="000000">
                      <w14:alpha w14:val="100000"/>
                    </w14:srgbClr>
                  </w14:solidFill>
                </w14:textFill>
              </w:rPr>
              <w:t>|</w:t>
            </w:r>
            <w:r w:rsidR="001A046A">
              <w:rPr>
                <w:vertAlign w:val="superscript"/>
                <w:lang w:val="en-US"/>
              </w:rPr>
              <w:t>3</w:t>
            </w:r>
          </w:p>
        </w:tc>
        <w:tc>
          <w:tcPr>
            <w:tcW w:w="891" w:type="pct"/>
            <w:vAlign w:val="center"/>
          </w:tcPr>
          <w:p w14:paraId="673832DE" w14:textId="0450E702" w:rsidR="006A0001" w:rsidRPr="006A1C29" w:rsidRDefault="00B63528" w:rsidP="006A0001">
            <w:pPr>
              <w:pStyle w:val="TableText0"/>
              <w:keepNext w:val="0"/>
              <w:ind w:left="-65" w:right="-122"/>
              <w:jc w:val="center"/>
              <w:rPr>
                <w:iCs/>
                <w:szCs w:val="20"/>
                <w:highlight w:val="darkGray"/>
              </w:rPr>
            </w:pPr>
            <w:r w:rsidRPr="00B63528">
              <w:rPr>
                <w:iCs/>
                <w:szCs w:val="20"/>
              </w:rPr>
              <w:t>$</w:t>
            </w:r>
            <w:r w:rsidR="00F5190C" w:rsidRPr="00F5190C">
              <w:rPr>
                <w:iCs/>
                <w:color w:val="000000"/>
                <w:szCs w:val="20"/>
                <w:shd w:val="solid" w:color="000000" w:fill="000000"/>
                <w14:textFill>
                  <w14:solidFill>
                    <w14:srgbClr w14:val="000000">
                      <w14:alpha w14:val="100000"/>
                    </w14:srgbClr>
                  </w14:solidFill>
                </w14:textFill>
              </w:rPr>
              <w:t>|</w:t>
            </w:r>
            <w:r w:rsidR="001A046A">
              <w:rPr>
                <w:vertAlign w:val="superscript"/>
                <w:lang w:val="en-US"/>
              </w:rPr>
              <w:t>3</w:t>
            </w:r>
          </w:p>
        </w:tc>
      </w:tr>
    </w:tbl>
    <w:p w14:paraId="6F3A294A" w14:textId="77777777" w:rsidR="00E727D4" w:rsidRDefault="00E727D4" w:rsidP="00E727D4">
      <w:pPr>
        <w:pStyle w:val="FooterTableFigure"/>
        <w:rPr>
          <w:szCs w:val="18"/>
        </w:rPr>
      </w:pPr>
      <w:r w:rsidRPr="00CB01A4">
        <w:rPr>
          <w:szCs w:val="18"/>
        </w:rPr>
        <w:t xml:space="preserve">Source: </w:t>
      </w:r>
      <w:r>
        <w:rPr>
          <w:szCs w:val="18"/>
        </w:rPr>
        <w:t>Table 81, p125 of the resubmission</w:t>
      </w:r>
    </w:p>
    <w:p w14:paraId="6F48CD62" w14:textId="4E85B112" w:rsidR="004133FC" w:rsidRDefault="000A799E" w:rsidP="000A799E">
      <w:pPr>
        <w:pStyle w:val="FooterTableFigure"/>
        <w:rPr>
          <w:snapToGrid/>
          <w:lang w:val="en-US"/>
        </w:rPr>
      </w:pPr>
      <w:r>
        <w:rPr>
          <w:snapToGrid/>
          <w:lang w:val="en-US"/>
        </w:rPr>
        <w:t>PSCR = pre-subcommittee response</w:t>
      </w:r>
    </w:p>
    <w:p w14:paraId="79E6D6FA" w14:textId="7185A906" w:rsidR="001A046A" w:rsidRPr="001A046A" w:rsidRDefault="001A046A" w:rsidP="000A799E">
      <w:pPr>
        <w:pStyle w:val="FooterTableFigure"/>
        <w:rPr>
          <w:i/>
          <w:iCs/>
          <w:snapToGrid/>
          <w:lang w:val="en-US"/>
        </w:rPr>
      </w:pPr>
      <w:r w:rsidRPr="001A046A">
        <w:rPr>
          <w:i/>
          <w:iCs/>
          <w:snapToGrid/>
          <w:lang w:val="en-US"/>
        </w:rPr>
        <w:t>The redacted values correspond to the following ranges:</w:t>
      </w:r>
    </w:p>
    <w:p w14:paraId="2FB24637" w14:textId="418632FA" w:rsidR="001A046A" w:rsidRPr="001A046A" w:rsidRDefault="001A046A" w:rsidP="000A799E">
      <w:pPr>
        <w:pStyle w:val="FooterTableFigure"/>
        <w:rPr>
          <w:i/>
          <w:iCs/>
          <w:snapToGrid/>
          <w:lang w:val="en-US"/>
        </w:rPr>
      </w:pPr>
      <w:r w:rsidRPr="001A046A">
        <w:rPr>
          <w:i/>
          <w:iCs/>
          <w:snapToGrid/>
          <w:vertAlign w:val="superscript"/>
          <w:lang w:val="en-US"/>
        </w:rPr>
        <w:t>1</w:t>
      </w:r>
      <w:r w:rsidRPr="001A046A">
        <w:rPr>
          <w:i/>
          <w:iCs/>
          <w:snapToGrid/>
          <w:lang w:val="en-US"/>
        </w:rPr>
        <w:t xml:space="preserve"> $70 million to &lt; $80 million</w:t>
      </w:r>
    </w:p>
    <w:p w14:paraId="545E6F7E" w14:textId="622DC103" w:rsidR="001A046A" w:rsidRPr="001A046A" w:rsidRDefault="001A046A" w:rsidP="000A799E">
      <w:pPr>
        <w:pStyle w:val="FooterTableFigure"/>
        <w:rPr>
          <w:i/>
          <w:iCs/>
          <w:snapToGrid/>
          <w:lang w:val="en-US"/>
        </w:rPr>
      </w:pPr>
      <w:r w:rsidRPr="001A046A">
        <w:rPr>
          <w:i/>
          <w:iCs/>
          <w:snapToGrid/>
          <w:vertAlign w:val="superscript"/>
          <w:lang w:val="en-US"/>
        </w:rPr>
        <w:t>2</w:t>
      </w:r>
      <w:r w:rsidRPr="001A046A">
        <w:rPr>
          <w:i/>
          <w:iCs/>
          <w:snapToGrid/>
          <w:lang w:val="en-US"/>
        </w:rPr>
        <w:t xml:space="preserve"> $60 million to &lt; $70 million</w:t>
      </w:r>
    </w:p>
    <w:p w14:paraId="1052765F" w14:textId="6A71511B" w:rsidR="001A046A" w:rsidRPr="001A046A" w:rsidRDefault="001A046A" w:rsidP="000A799E">
      <w:pPr>
        <w:pStyle w:val="FooterTableFigure"/>
        <w:rPr>
          <w:i/>
          <w:iCs/>
          <w:snapToGrid/>
          <w:lang w:val="en-US"/>
        </w:rPr>
      </w:pPr>
      <w:r w:rsidRPr="001A046A">
        <w:rPr>
          <w:i/>
          <w:iCs/>
          <w:snapToGrid/>
          <w:vertAlign w:val="superscript"/>
          <w:lang w:val="en-US"/>
        </w:rPr>
        <w:t>3</w:t>
      </w:r>
      <w:r w:rsidRPr="001A046A">
        <w:rPr>
          <w:i/>
          <w:iCs/>
          <w:snapToGrid/>
          <w:lang w:val="en-US"/>
        </w:rPr>
        <w:t xml:space="preserve"> $50 million to &lt; $60 million</w:t>
      </w:r>
    </w:p>
    <w:p w14:paraId="2E0825EC" w14:textId="77777777" w:rsidR="004133FC" w:rsidRDefault="004133FC" w:rsidP="004133FC">
      <w:pPr>
        <w:pStyle w:val="3-BodyText"/>
        <w:numPr>
          <w:ilvl w:val="0"/>
          <w:numId w:val="0"/>
        </w:numPr>
        <w:ind w:left="720" w:hanging="720"/>
        <w:rPr>
          <w:i/>
          <w:iCs/>
          <w:snapToGrid/>
          <w:lang w:val="en-US"/>
        </w:rPr>
      </w:pPr>
      <w:r w:rsidRPr="00E21322">
        <w:rPr>
          <w:i/>
          <w:iCs/>
          <w:snapToGrid/>
          <w:lang w:val="en-US"/>
        </w:rPr>
        <w:t>For more detail on PBAC’s view, see section 7 PBAC outcome.</w:t>
      </w:r>
    </w:p>
    <w:p w14:paraId="09A3AAD3" w14:textId="77777777" w:rsidR="004133FC" w:rsidRPr="0090150D" w:rsidRDefault="004133FC" w:rsidP="009A5E40">
      <w:pPr>
        <w:pStyle w:val="2-SectionHeading"/>
        <w:numPr>
          <w:ilvl w:val="0"/>
          <w:numId w:val="1"/>
        </w:numPr>
      </w:pPr>
      <w:bookmarkStart w:id="108" w:name="_Hlk76381249"/>
      <w:bookmarkStart w:id="109" w:name="_Hlk76377955"/>
      <w:r w:rsidRPr="0090150D">
        <w:t>PBAC Outcome</w:t>
      </w:r>
    </w:p>
    <w:p w14:paraId="677D128C" w14:textId="46EDB072" w:rsidR="00E97C43" w:rsidRPr="00CD2218" w:rsidRDefault="00E97C43" w:rsidP="004133FC">
      <w:pPr>
        <w:widowControl w:val="0"/>
        <w:numPr>
          <w:ilvl w:val="1"/>
          <w:numId w:val="1"/>
        </w:numPr>
        <w:spacing w:after="120"/>
        <w:rPr>
          <w:rFonts w:asciiTheme="minorHAnsi" w:hAnsiTheme="minorHAnsi"/>
          <w:snapToGrid w:val="0"/>
          <w:lang w:val="en-GB"/>
        </w:rPr>
      </w:pPr>
      <w:r w:rsidRPr="00E97C43">
        <w:rPr>
          <w:rFonts w:asciiTheme="minorHAnsi" w:hAnsiTheme="minorHAnsi"/>
          <w:snapToGrid w:val="0"/>
          <w:lang w:val="en-GB"/>
        </w:rPr>
        <w:t>The PBAC did not recommend the listing of mavacamten for the treatment of adults with symptomatic obstructive hypertrophic cardiomyopathy (HCM).</w:t>
      </w:r>
      <w:r>
        <w:t xml:space="preserve"> </w:t>
      </w:r>
      <w:r w:rsidRPr="00E97C43">
        <w:rPr>
          <w:rFonts w:asciiTheme="minorHAnsi" w:hAnsiTheme="minorHAnsi"/>
          <w:snapToGrid w:val="0"/>
          <w:lang w:val="en-GB"/>
        </w:rPr>
        <w:t xml:space="preserve">The PBAC considered that mavacamten ± beta blocker/calcium channel blocker (BB/CCB) provided a </w:t>
      </w:r>
      <w:r w:rsidRPr="008004EC">
        <w:rPr>
          <w:rFonts w:eastAsia="Calibri"/>
        </w:rPr>
        <w:t xml:space="preserve">moderate </w:t>
      </w:r>
      <w:r w:rsidRPr="00E97C43">
        <w:rPr>
          <w:rFonts w:asciiTheme="minorHAnsi" w:hAnsiTheme="minorHAnsi"/>
          <w:snapToGrid w:val="0"/>
          <w:lang w:val="en-GB"/>
        </w:rPr>
        <w:t xml:space="preserve">and important clinical benefit over standard of care (BB/CCB) in terms of symptomatic improvement, however considered </w:t>
      </w:r>
      <w:proofErr w:type="gramStart"/>
      <w:r w:rsidRPr="00E97C43">
        <w:rPr>
          <w:rFonts w:asciiTheme="minorHAnsi" w:hAnsiTheme="minorHAnsi"/>
          <w:snapToGrid w:val="0"/>
          <w:lang w:val="en-GB"/>
        </w:rPr>
        <w:t>a number of</w:t>
      </w:r>
      <w:proofErr w:type="gramEnd"/>
      <w:r w:rsidRPr="00E97C43">
        <w:rPr>
          <w:rFonts w:asciiTheme="minorHAnsi" w:hAnsiTheme="minorHAnsi"/>
          <w:snapToGrid w:val="0"/>
          <w:lang w:val="en-GB"/>
        </w:rPr>
        <w:t xml:space="preserve"> issues remained unresolved in the resubmission. </w:t>
      </w:r>
      <w:r w:rsidR="00020BBA" w:rsidRPr="00E97C43">
        <w:rPr>
          <w:rFonts w:asciiTheme="minorHAnsi" w:hAnsiTheme="minorHAnsi"/>
          <w:snapToGrid w:val="0"/>
          <w:lang w:val="en-GB"/>
        </w:rPr>
        <w:t>These issues included the proposed place in therapy,</w:t>
      </w:r>
      <w:r w:rsidR="00020BBA">
        <w:rPr>
          <w:rFonts w:asciiTheme="minorHAnsi" w:hAnsiTheme="minorHAnsi"/>
          <w:snapToGrid w:val="0"/>
          <w:lang w:val="en-GB"/>
        </w:rPr>
        <w:t xml:space="preserve"> the</w:t>
      </w:r>
      <w:r w:rsidR="00020BBA" w:rsidRPr="00E97C43">
        <w:rPr>
          <w:rFonts w:asciiTheme="minorHAnsi" w:hAnsiTheme="minorHAnsi"/>
          <w:snapToGrid w:val="0"/>
          <w:lang w:val="en-GB"/>
        </w:rPr>
        <w:t xml:space="preserve"> uncertain impact of mavacamten on long-term clinical endpoints, such as hospitalisations and mortality</w:t>
      </w:r>
      <w:r w:rsidR="00020BBA">
        <w:rPr>
          <w:rFonts w:asciiTheme="minorHAnsi" w:hAnsiTheme="minorHAnsi"/>
          <w:snapToGrid w:val="0"/>
          <w:lang w:val="en-GB"/>
        </w:rPr>
        <w:t xml:space="preserve">, and </w:t>
      </w:r>
      <w:r w:rsidR="00535D05">
        <w:rPr>
          <w:rFonts w:asciiTheme="minorHAnsi" w:hAnsiTheme="minorHAnsi"/>
          <w:snapToGrid w:val="0"/>
          <w:lang w:val="en-GB"/>
        </w:rPr>
        <w:t xml:space="preserve">a number of </w:t>
      </w:r>
      <w:r w:rsidR="00020BBA" w:rsidRPr="00E97C43">
        <w:rPr>
          <w:rFonts w:asciiTheme="minorHAnsi" w:hAnsiTheme="minorHAnsi"/>
          <w:snapToGrid w:val="0"/>
          <w:lang w:val="en-GB"/>
        </w:rPr>
        <w:t>optimistic assumptions related to clinical benefit</w:t>
      </w:r>
      <w:r w:rsidR="00020BBA">
        <w:rPr>
          <w:rFonts w:asciiTheme="minorHAnsi" w:hAnsiTheme="minorHAnsi"/>
          <w:snapToGrid w:val="0"/>
          <w:lang w:val="en-GB"/>
        </w:rPr>
        <w:t xml:space="preserve"> in the economic model that were not supported by clinical trial evidence</w:t>
      </w:r>
      <w:r w:rsidR="00535D05">
        <w:rPr>
          <w:rFonts w:asciiTheme="minorHAnsi" w:hAnsiTheme="minorHAnsi"/>
          <w:snapToGrid w:val="0"/>
          <w:lang w:val="en-GB"/>
        </w:rPr>
        <w:t xml:space="preserve">, </w:t>
      </w:r>
      <w:proofErr w:type="gramStart"/>
      <w:r w:rsidR="00535D05">
        <w:rPr>
          <w:rFonts w:asciiTheme="minorHAnsi" w:hAnsiTheme="minorHAnsi"/>
          <w:snapToGrid w:val="0"/>
          <w:lang w:val="en-GB"/>
        </w:rPr>
        <w:t>that</w:t>
      </w:r>
      <w:proofErr w:type="gramEnd"/>
      <w:r w:rsidR="00535D05">
        <w:rPr>
          <w:rFonts w:asciiTheme="minorHAnsi" w:hAnsiTheme="minorHAnsi"/>
          <w:snapToGrid w:val="0"/>
          <w:lang w:val="en-GB"/>
        </w:rPr>
        <w:t xml:space="preserve"> led to</w:t>
      </w:r>
      <w:r w:rsidR="00020BBA">
        <w:rPr>
          <w:rFonts w:asciiTheme="minorHAnsi" w:hAnsiTheme="minorHAnsi"/>
          <w:snapToGrid w:val="0"/>
          <w:lang w:val="en-GB"/>
        </w:rPr>
        <w:t xml:space="preserve"> an </w:t>
      </w:r>
      <w:r w:rsidR="00020BBA" w:rsidRPr="00E97C43">
        <w:rPr>
          <w:rFonts w:asciiTheme="minorHAnsi" w:hAnsiTheme="minorHAnsi"/>
          <w:snapToGrid w:val="0"/>
          <w:lang w:val="en-GB"/>
        </w:rPr>
        <w:t>uncertain and underestimated incremental cost-effectiveness ratio (ICER)</w:t>
      </w:r>
      <w:r w:rsidR="00020BBA">
        <w:rPr>
          <w:rFonts w:asciiTheme="minorHAnsi" w:hAnsiTheme="minorHAnsi"/>
          <w:snapToGrid w:val="0"/>
          <w:lang w:val="en-GB"/>
        </w:rPr>
        <w:t>.</w:t>
      </w:r>
    </w:p>
    <w:p w14:paraId="05A2EC9A" w14:textId="782D0467" w:rsidR="00BC5510" w:rsidRPr="00A550AE" w:rsidRDefault="00BC5510" w:rsidP="004133FC">
      <w:pPr>
        <w:widowControl w:val="0"/>
        <w:numPr>
          <w:ilvl w:val="1"/>
          <w:numId w:val="1"/>
        </w:numPr>
        <w:spacing w:after="120"/>
        <w:rPr>
          <w:rFonts w:asciiTheme="minorHAnsi" w:hAnsiTheme="minorHAnsi"/>
          <w:snapToGrid w:val="0"/>
          <w:lang w:val="en-GB"/>
        </w:rPr>
      </w:pPr>
      <w:r w:rsidRPr="00A550AE">
        <w:t xml:space="preserve">The primary reason for this outcome was due to the </w:t>
      </w:r>
      <w:r w:rsidR="00494BB4">
        <w:t>economic evaluation</w:t>
      </w:r>
      <w:r w:rsidRPr="00A550AE">
        <w:t>.</w:t>
      </w:r>
    </w:p>
    <w:p w14:paraId="265CF985" w14:textId="7A004FC6" w:rsidR="00CD2218" w:rsidRPr="0087713E" w:rsidRDefault="00CD2218" w:rsidP="004133FC">
      <w:pPr>
        <w:widowControl w:val="0"/>
        <w:numPr>
          <w:ilvl w:val="1"/>
          <w:numId w:val="1"/>
        </w:numPr>
        <w:spacing w:after="120"/>
        <w:rPr>
          <w:rFonts w:asciiTheme="minorHAnsi" w:hAnsiTheme="minorHAnsi"/>
          <w:snapToGrid w:val="0"/>
          <w:lang w:val="en-GB"/>
        </w:rPr>
      </w:pPr>
      <w:r>
        <w:rPr>
          <w:iCs/>
        </w:rPr>
        <w:t xml:space="preserve">The PBAC noted the </w:t>
      </w:r>
      <w:r w:rsidR="005131FC">
        <w:rPr>
          <w:iCs/>
        </w:rPr>
        <w:t xml:space="preserve">sponsor hearing and </w:t>
      </w:r>
      <w:r>
        <w:rPr>
          <w:iCs/>
        </w:rPr>
        <w:t xml:space="preserve">consumer comments highlighting the need for additional treatment options for this condition. The PBAC noted the </w:t>
      </w:r>
      <w:r w:rsidR="005131FC">
        <w:rPr>
          <w:iCs/>
        </w:rPr>
        <w:t xml:space="preserve">consumer </w:t>
      </w:r>
      <w:r>
        <w:rPr>
          <w:iCs/>
        </w:rPr>
        <w:t xml:space="preserve">comments highlighting the </w:t>
      </w:r>
      <w:r w:rsidR="00655212">
        <w:rPr>
          <w:iCs/>
        </w:rPr>
        <w:t>clinical and quality of life benefits expected with mavacamten therapy compared with standard of care and noted patients describe</w:t>
      </w:r>
      <w:r w:rsidR="00C87303">
        <w:rPr>
          <w:rFonts w:asciiTheme="minorHAnsi" w:hAnsiTheme="minorHAnsi"/>
          <w:bCs/>
          <w:snapToGrid w:val="0"/>
        </w:rPr>
        <w:t xml:space="preserve"> symptom relief</w:t>
      </w:r>
      <w:r w:rsidR="00655212" w:rsidRPr="001A07A6">
        <w:rPr>
          <w:rFonts w:asciiTheme="minorHAnsi" w:hAnsiTheme="minorHAnsi"/>
          <w:bCs/>
          <w:snapToGrid w:val="0"/>
        </w:rPr>
        <w:t xml:space="preserve"> and </w:t>
      </w:r>
      <w:r w:rsidR="00655212">
        <w:rPr>
          <w:rFonts w:asciiTheme="minorHAnsi" w:hAnsiTheme="minorHAnsi"/>
          <w:bCs/>
          <w:snapToGrid w:val="0"/>
        </w:rPr>
        <w:t xml:space="preserve">being </w:t>
      </w:r>
      <w:r w:rsidR="00655212" w:rsidRPr="001A07A6">
        <w:rPr>
          <w:rFonts w:asciiTheme="minorHAnsi" w:hAnsiTheme="minorHAnsi"/>
          <w:bCs/>
          <w:snapToGrid w:val="0"/>
        </w:rPr>
        <w:t>more able to</w:t>
      </w:r>
      <w:r w:rsidR="00655212">
        <w:rPr>
          <w:rFonts w:asciiTheme="minorHAnsi" w:hAnsiTheme="minorHAnsi"/>
          <w:bCs/>
          <w:snapToGrid w:val="0"/>
        </w:rPr>
        <w:t xml:space="preserve"> </w:t>
      </w:r>
      <w:r w:rsidR="00635748">
        <w:rPr>
          <w:rFonts w:asciiTheme="minorHAnsi" w:hAnsiTheme="minorHAnsi"/>
          <w:bCs/>
          <w:snapToGrid w:val="0"/>
        </w:rPr>
        <w:t xml:space="preserve">carry out daily activities, </w:t>
      </w:r>
      <w:r w:rsidR="00655212">
        <w:rPr>
          <w:rFonts w:asciiTheme="minorHAnsi" w:hAnsiTheme="minorHAnsi"/>
          <w:bCs/>
          <w:snapToGrid w:val="0"/>
        </w:rPr>
        <w:t>work</w:t>
      </w:r>
      <w:r w:rsidR="00635748">
        <w:rPr>
          <w:rFonts w:asciiTheme="minorHAnsi" w:hAnsiTheme="minorHAnsi"/>
          <w:bCs/>
          <w:snapToGrid w:val="0"/>
        </w:rPr>
        <w:t>,</w:t>
      </w:r>
      <w:r w:rsidR="00655212">
        <w:rPr>
          <w:rFonts w:asciiTheme="minorHAnsi" w:hAnsiTheme="minorHAnsi"/>
          <w:bCs/>
          <w:snapToGrid w:val="0"/>
        </w:rPr>
        <w:t xml:space="preserve"> engage in</w:t>
      </w:r>
      <w:r w:rsidR="00635748">
        <w:rPr>
          <w:rFonts w:asciiTheme="minorHAnsi" w:hAnsiTheme="minorHAnsi"/>
          <w:bCs/>
          <w:snapToGrid w:val="0"/>
        </w:rPr>
        <w:t xml:space="preserve"> exercise and</w:t>
      </w:r>
      <w:r w:rsidR="00655212">
        <w:rPr>
          <w:rFonts w:asciiTheme="minorHAnsi" w:hAnsiTheme="minorHAnsi"/>
          <w:bCs/>
          <w:snapToGrid w:val="0"/>
        </w:rPr>
        <w:t xml:space="preserve"> leisure activities </w:t>
      </w:r>
      <w:r w:rsidR="00655212" w:rsidRPr="001A07A6">
        <w:rPr>
          <w:rFonts w:asciiTheme="minorHAnsi" w:hAnsiTheme="minorHAnsi"/>
          <w:bCs/>
          <w:snapToGrid w:val="0"/>
        </w:rPr>
        <w:t>when taking mavacamten.</w:t>
      </w:r>
    </w:p>
    <w:p w14:paraId="776F7F6A" w14:textId="7B480D1F" w:rsidR="00B709EE" w:rsidRPr="00D9194F" w:rsidRDefault="00B709EE" w:rsidP="00D9194F">
      <w:pPr>
        <w:pStyle w:val="3-BodyText"/>
        <w:spacing w:before="120"/>
        <w:rPr>
          <w:color w:val="000000" w:themeColor="text1"/>
        </w:rPr>
      </w:pPr>
      <w:bookmarkStart w:id="110" w:name="_Ref142307347"/>
      <w:r>
        <w:t xml:space="preserve">The PBAC noted the resubmission </w:t>
      </w:r>
      <w:r w:rsidR="008866A3">
        <w:t>proposed</w:t>
      </w:r>
      <w:r w:rsidR="00D9194F">
        <w:t xml:space="preserve"> a revised</w:t>
      </w:r>
      <w:r>
        <w:t xml:space="preserve"> restriction</w:t>
      </w:r>
      <w:r w:rsidR="005507D2">
        <w:t xml:space="preserve"> </w:t>
      </w:r>
      <w:r w:rsidR="00D9194F">
        <w:rPr>
          <w:color w:val="000000" w:themeColor="text1"/>
        </w:rPr>
        <w:t xml:space="preserve">including a </w:t>
      </w:r>
      <w:r w:rsidR="00D9194F" w:rsidRPr="000B09B9">
        <w:rPr>
          <w:color w:val="000000" w:themeColor="text1"/>
        </w:rPr>
        <w:t>written authority listing for</w:t>
      </w:r>
      <w:r w:rsidR="00D9194F">
        <w:rPr>
          <w:color w:val="000000" w:themeColor="text1"/>
        </w:rPr>
        <w:t xml:space="preserve"> initial therapy and a </w:t>
      </w:r>
      <w:r w:rsidR="00D9194F" w:rsidRPr="000B09B9">
        <w:rPr>
          <w:color w:val="000000" w:themeColor="text1"/>
        </w:rPr>
        <w:t>telephone/online PBS authority</w:t>
      </w:r>
      <w:r w:rsidR="00D9194F">
        <w:rPr>
          <w:color w:val="000000" w:themeColor="text1"/>
        </w:rPr>
        <w:t xml:space="preserve"> for continuing therapy that included a requirement for clinical </w:t>
      </w:r>
      <w:r w:rsidR="00D9194F" w:rsidRPr="008D7B88">
        <w:rPr>
          <w:color w:val="000000" w:themeColor="text1"/>
        </w:rPr>
        <w:t xml:space="preserve">monitoring by cardiologists or </w:t>
      </w:r>
      <w:r w:rsidR="00D9194F" w:rsidRPr="008D7B88">
        <w:rPr>
          <w:color w:val="000000" w:themeColor="text1"/>
        </w:rPr>
        <w:lastRenderedPageBreak/>
        <w:t xml:space="preserve">consultant physicians with experience in the management of hypertrophic cardiomyopathy.  </w:t>
      </w:r>
      <w:r w:rsidR="00D9194F">
        <w:rPr>
          <w:color w:val="000000" w:themeColor="text1"/>
        </w:rPr>
        <w:t xml:space="preserve">The proposed restriction also </w:t>
      </w:r>
      <w:r w:rsidR="005507D2">
        <w:t>r</w:t>
      </w:r>
      <w:r>
        <w:t>emov</w:t>
      </w:r>
      <w:r w:rsidR="00D9194F">
        <w:t>ed a</w:t>
      </w:r>
      <w:r>
        <w:t xml:space="preserve"> criterion allowing </w:t>
      </w:r>
      <w:r w:rsidR="005507D2">
        <w:t xml:space="preserve">the </w:t>
      </w:r>
      <w:r>
        <w:t>use of mavacamten prior to BB treatment</w:t>
      </w:r>
      <w:r w:rsidR="005507D2">
        <w:t>. The PBAC considered th</w:t>
      </w:r>
      <w:r w:rsidR="008866A3">
        <w:t>ese amendments</w:t>
      </w:r>
      <w:r w:rsidR="005507D2">
        <w:t xml:space="preserve"> </w:t>
      </w:r>
      <w:r w:rsidR="008866A3">
        <w:t>were</w:t>
      </w:r>
      <w:r w:rsidR="005507D2">
        <w:t xml:space="preserve"> appropriate and aligned with previous advice.</w:t>
      </w:r>
      <w:r w:rsidR="00D9194F">
        <w:t xml:space="preserve"> However, the PBAC considered there remained </w:t>
      </w:r>
      <w:proofErr w:type="gramStart"/>
      <w:r w:rsidR="00D9194F">
        <w:t>a number of</w:t>
      </w:r>
      <w:proofErr w:type="gramEnd"/>
      <w:r w:rsidR="00D9194F">
        <w:t xml:space="preserve"> issues relat</w:t>
      </w:r>
      <w:r w:rsidR="008866A3">
        <w:t>ing</w:t>
      </w:r>
      <w:r w:rsidR="00D9194F">
        <w:t xml:space="preserve"> to the</w:t>
      </w:r>
      <w:r w:rsidR="000675FE">
        <w:t xml:space="preserve"> proposed restriction and </w:t>
      </w:r>
      <w:r w:rsidR="00D9194F">
        <w:t>place in therapy</w:t>
      </w:r>
      <w:r w:rsidR="000675FE">
        <w:t xml:space="preserve"> </w:t>
      </w:r>
      <w:r w:rsidR="005366E5">
        <w:t>for</w:t>
      </w:r>
      <w:r w:rsidR="000675FE">
        <w:t xml:space="preserve"> mavacamten</w:t>
      </w:r>
      <w:r w:rsidR="00D9194F">
        <w:t>.</w:t>
      </w:r>
      <w:bookmarkEnd w:id="110"/>
    </w:p>
    <w:p w14:paraId="146343B4" w14:textId="6AB68DE3" w:rsidR="00EB14AB" w:rsidRPr="00EB14AB" w:rsidRDefault="00361DD2" w:rsidP="00EB14AB">
      <w:pPr>
        <w:pStyle w:val="3-BodyText"/>
        <w:rPr>
          <w:color w:val="0066FF"/>
        </w:rPr>
      </w:pPr>
      <w:bookmarkStart w:id="111" w:name="_Ref141706139"/>
      <w:r>
        <w:rPr>
          <w:lang w:val="en-GB"/>
        </w:rPr>
        <w:t>The PBAC recalled it had</w:t>
      </w:r>
      <w:r w:rsidR="00A401A2">
        <w:rPr>
          <w:lang w:val="en-GB"/>
        </w:rPr>
        <w:t xml:space="preserve"> previously</w:t>
      </w:r>
      <w:r>
        <w:rPr>
          <w:lang w:val="en-GB"/>
        </w:rPr>
        <w:t xml:space="preserve"> </w:t>
      </w:r>
      <w:r w:rsidR="00A401A2">
        <w:rPr>
          <w:lang w:val="en-GB"/>
        </w:rPr>
        <w:t>advised</w:t>
      </w:r>
      <w:r>
        <w:rPr>
          <w:lang w:val="en-GB"/>
        </w:rPr>
        <w:t xml:space="preserve"> </w:t>
      </w:r>
      <w:r w:rsidRPr="001E02EF">
        <w:rPr>
          <w:iCs/>
        </w:rPr>
        <w:t xml:space="preserve">that the </w:t>
      </w:r>
      <w:r>
        <w:rPr>
          <w:iCs/>
        </w:rPr>
        <w:t xml:space="preserve">proposed </w:t>
      </w:r>
      <w:r w:rsidRPr="001E02EF">
        <w:rPr>
          <w:iCs/>
        </w:rPr>
        <w:t xml:space="preserve">restriction should reflect the peak </w:t>
      </w:r>
      <w:r w:rsidR="00903FEC" w:rsidRPr="008604D9">
        <w:rPr>
          <w:iCs/>
        </w:rPr>
        <w:t>left ventricular outflow tract</w:t>
      </w:r>
      <w:r w:rsidR="00903FEC" w:rsidRPr="008604D9">
        <w:rPr>
          <w:bCs/>
          <w:iCs/>
          <w:color w:val="000000"/>
        </w:rPr>
        <w:t xml:space="preserve"> </w:t>
      </w:r>
      <w:r w:rsidR="00903FEC">
        <w:rPr>
          <w:bCs/>
          <w:iCs/>
          <w:color w:val="000000"/>
        </w:rPr>
        <w:t>(</w:t>
      </w:r>
      <w:r w:rsidRPr="001E02EF">
        <w:rPr>
          <w:iCs/>
        </w:rPr>
        <w:t>LVOT</w:t>
      </w:r>
      <w:r w:rsidR="00903FEC">
        <w:rPr>
          <w:iCs/>
        </w:rPr>
        <w:t>)</w:t>
      </w:r>
      <w:r w:rsidRPr="001E02EF">
        <w:rPr>
          <w:iCs/>
        </w:rPr>
        <w:t xml:space="preserve"> gradient from the EXPLORER-HCM trial (</w:t>
      </w:r>
      <w:r w:rsidRPr="008337C9">
        <w:t>≥</w:t>
      </w:r>
      <w:r w:rsidRPr="001E02EF">
        <w:rPr>
          <w:iCs/>
        </w:rPr>
        <w:t xml:space="preserve"> 50 mm Hg</w:t>
      </w:r>
      <w:r w:rsidRPr="00C517A7">
        <w:t xml:space="preserve"> </w:t>
      </w:r>
      <w:r w:rsidRPr="008337C9">
        <w:t>at rest,</w:t>
      </w:r>
      <w:r w:rsidRPr="001E02EF">
        <w:rPr>
          <w:iCs/>
        </w:rPr>
        <w:t xml:space="preserve"> after Valsalva manoeuvre</w:t>
      </w:r>
      <w:r w:rsidRPr="008337C9">
        <w:t xml:space="preserve"> </w:t>
      </w:r>
      <w:r w:rsidRPr="001E02EF">
        <w:rPr>
          <w:iCs/>
        </w:rPr>
        <w:t>or exercise)</w:t>
      </w:r>
      <w:r>
        <w:rPr>
          <w:iCs/>
        </w:rPr>
        <w:t xml:space="preserve"> (paragraph</w:t>
      </w:r>
      <w:r w:rsidR="00A401A2">
        <w:rPr>
          <w:iCs/>
        </w:rPr>
        <w:t>s</w:t>
      </w:r>
      <w:r>
        <w:rPr>
          <w:iCs/>
        </w:rPr>
        <w:t xml:space="preserve"> 7.4</w:t>
      </w:r>
      <w:r w:rsidR="00A401A2">
        <w:rPr>
          <w:iCs/>
        </w:rPr>
        <w:t xml:space="preserve"> and 7.11</w:t>
      </w:r>
      <w:r>
        <w:rPr>
          <w:iCs/>
        </w:rPr>
        <w:t xml:space="preserve"> mavacamten</w:t>
      </w:r>
      <w:r w:rsidR="002F1760">
        <w:rPr>
          <w:iCs/>
        </w:rPr>
        <w:t>,</w:t>
      </w:r>
      <w:r>
        <w:rPr>
          <w:iCs/>
        </w:rPr>
        <w:t xml:space="preserve"> </w:t>
      </w:r>
      <w:r w:rsidR="002F1760">
        <w:rPr>
          <w:iCs/>
        </w:rPr>
        <w:t>public summary document</w:t>
      </w:r>
      <w:r>
        <w:rPr>
          <w:iCs/>
        </w:rPr>
        <w:t>, November 2022 PBAC meeting)</w:t>
      </w:r>
      <w:r w:rsidRPr="001E02EF">
        <w:rPr>
          <w:iCs/>
        </w:rPr>
        <w:t>.</w:t>
      </w:r>
      <w:r>
        <w:rPr>
          <w:iCs/>
          <w:color w:val="000000" w:themeColor="text1"/>
        </w:rPr>
        <w:t xml:space="preserve"> The PBAC agreed with the ESC that the arguments </w:t>
      </w:r>
      <w:r w:rsidR="00A401A2">
        <w:rPr>
          <w:iCs/>
          <w:color w:val="000000" w:themeColor="text1"/>
        </w:rPr>
        <w:t>made</w:t>
      </w:r>
      <w:r>
        <w:rPr>
          <w:iCs/>
          <w:color w:val="000000" w:themeColor="text1"/>
        </w:rPr>
        <w:t xml:space="preserve"> in the re-submission</w:t>
      </w:r>
      <w:r w:rsidR="00EC4544">
        <w:rPr>
          <w:iCs/>
          <w:color w:val="000000" w:themeColor="text1"/>
        </w:rPr>
        <w:t xml:space="preserve"> and</w:t>
      </w:r>
      <w:r w:rsidR="00A401A2">
        <w:rPr>
          <w:iCs/>
          <w:color w:val="000000" w:themeColor="text1"/>
        </w:rPr>
        <w:t xml:space="preserve"> </w:t>
      </w:r>
      <w:r w:rsidR="006A1C29">
        <w:rPr>
          <w:bCs/>
          <w:color w:val="000000"/>
        </w:rPr>
        <w:t>PSCR</w:t>
      </w:r>
      <w:r w:rsidR="00EC4544">
        <w:rPr>
          <w:bCs/>
          <w:color w:val="000000"/>
        </w:rPr>
        <w:t xml:space="preserve"> </w:t>
      </w:r>
      <w:r>
        <w:rPr>
          <w:iCs/>
          <w:color w:val="000000" w:themeColor="text1"/>
        </w:rPr>
        <w:t xml:space="preserve">did not adequately support the </w:t>
      </w:r>
      <w:r w:rsidR="00A401A2">
        <w:rPr>
          <w:iCs/>
          <w:color w:val="000000" w:themeColor="text1"/>
        </w:rPr>
        <w:t>inclusion</w:t>
      </w:r>
      <w:r w:rsidR="00903FEC">
        <w:rPr>
          <w:iCs/>
          <w:color w:val="000000" w:themeColor="text1"/>
        </w:rPr>
        <w:t xml:space="preserve"> of a </w:t>
      </w:r>
      <w:r w:rsidR="00EB14AB">
        <w:rPr>
          <w:iCs/>
          <w:color w:val="000000" w:themeColor="text1"/>
        </w:rPr>
        <w:t xml:space="preserve">peak </w:t>
      </w:r>
      <w:r w:rsidR="00903FEC" w:rsidRPr="00E92DAC">
        <w:rPr>
          <w:bCs/>
          <w:iCs/>
          <w:color w:val="000000"/>
        </w:rPr>
        <w:t>LVOT gradient criteri</w:t>
      </w:r>
      <w:r w:rsidR="00903FEC">
        <w:rPr>
          <w:bCs/>
          <w:iCs/>
          <w:color w:val="000000"/>
        </w:rPr>
        <w:t>on</w:t>
      </w:r>
      <w:r w:rsidR="00903FEC" w:rsidRPr="00E92DAC">
        <w:rPr>
          <w:bCs/>
          <w:iCs/>
          <w:color w:val="000000"/>
        </w:rPr>
        <w:t xml:space="preserve"> </w:t>
      </w:r>
      <w:r w:rsidR="00D5206E">
        <w:rPr>
          <w:bCs/>
          <w:iCs/>
          <w:color w:val="000000"/>
        </w:rPr>
        <w:t>of</w:t>
      </w:r>
      <w:r w:rsidR="00903FEC">
        <w:rPr>
          <w:bCs/>
          <w:iCs/>
          <w:color w:val="000000"/>
        </w:rPr>
        <w:t xml:space="preserve"> </w:t>
      </w:r>
      <w:r w:rsidR="00903FEC" w:rsidRPr="00E92DAC">
        <w:rPr>
          <w:bCs/>
          <w:iCs/>
          <w:color w:val="000000"/>
        </w:rPr>
        <w:t>≥ 30 mmHg (</w:t>
      </w:r>
      <w:r w:rsidR="00903FEC">
        <w:rPr>
          <w:bCs/>
          <w:iCs/>
          <w:color w:val="000000"/>
        </w:rPr>
        <w:t xml:space="preserve">at rest, </w:t>
      </w:r>
      <w:r w:rsidR="00903FEC" w:rsidRPr="00E92DAC">
        <w:rPr>
          <w:bCs/>
          <w:iCs/>
          <w:color w:val="000000"/>
        </w:rPr>
        <w:t>after Valsalva manoeuvre, or exercise)</w:t>
      </w:r>
      <w:r w:rsidR="00EC4544">
        <w:rPr>
          <w:bCs/>
          <w:iCs/>
          <w:color w:val="000000"/>
        </w:rPr>
        <w:t xml:space="preserve"> for reasons outlined by the ESC </w:t>
      </w:r>
      <w:r w:rsidR="00EC4544">
        <w:rPr>
          <w:iCs/>
          <w:color w:val="000000" w:themeColor="text1"/>
        </w:rPr>
        <w:t xml:space="preserve">(paragraph </w:t>
      </w:r>
      <w:r w:rsidR="00EC4544">
        <w:rPr>
          <w:iCs/>
          <w:color w:val="000000" w:themeColor="text1"/>
        </w:rPr>
        <w:fldChar w:fldCharType="begin"/>
      </w:r>
      <w:r w:rsidR="00EC4544">
        <w:rPr>
          <w:iCs/>
          <w:color w:val="000000" w:themeColor="text1"/>
        </w:rPr>
        <w:instrText xml:space="preserve"> REF _Ref137640251 \r \h </w:instrText>
      </w:r>
      <w:r w:rsidR="00EC4544">
        <w:rPr>
          <w:iCs/>
          <w:color w:val="000000" w:themeColor="text1"/>
        </w:rPr>
      </w:r>
      <w:r w:rsidR="00EC4544">
        <w:rPr>
          <w:iCs/>
          <w:color w:val="000000" w:themeColor="text1"/>
        </w:rPr>
        <w:fldChar w:fldCharType="separate"/>
      </w:r>
      <w:r w:rsidR="00F84C70">
        <w:rPr>
          <w:iCs/>
          <w:color w:val="000000" w:themeColor="text1"/>
        </w:rPr>
        <w:t>3.4</w:t>
      </w:r>
      <w:r w:rsidR="00EC4544">
        <w:rPr>
          <w:iCs/>
          <w:color w:val="000000" w:themeColor="text1"/>
        </w:rPr>
        <w:fldChar w:fldCharType="end"/>
      </w:r>
      <w:r w:rsidR="00EC4544">
        <w:rPr>
          <w:iCs/>
          <w:color w:val="000000" w:themeColor="text1"/>
        </w:rPr>
        <w:t>)</w:t>
      </w:r>
      <w:r w:rsidR="00903FEC">
        <w:rPr>
          <w:bCs/>
          <w:iCs/>
          <w:color w:val="000000"/>
        </w:rPr>
        <w:t xml:space="preserve">. </w:t>
      </w:r>
      <w:r w:rsidR="00D5206E">
        <w:rPr>
          <w:bCs/>
          <w:iCs/>
          <w:color w:val="000000"/>
        </w:rPr>
        <w:t>T</w:t>
      </w:r>
      <w:r w:rsidR="00903FEC">
        <w:rPr>
          <w:bCs/>
          <w:iCs/>
          <w:color w:val="000000"/>
        </w:rPr>
        <w:t xml:space="preserve">he PBAC </w:t>
      </w:r>
      <w:r w:rsidR="00EC4544">
        <w:rPr>
          <w:bCs/>
          <w:iCs/>
          <w:color w:val="000000"/>
        </w:rPr>
        <w:t>reaffirmed</w:t>
      </w:r>
      <w:r w:rsidR="00903FEC">
        <w:rPr>
          <w:bCs/>
          <w:iCs/>
          <w:color w:val="000000"/>
        </w:rPr>
        <w:t xml:space="preserve"> that</w:t>
      </w:r>
      <w:r w:rsidR="00EC4544">
        <w:rPr>
          <w:bCs/>
          <w:iCs/>
          <w:color w:val="000000"/>
        </w:rPr>
        <w:t xml:space="preserve"> </w:t>
      </w:r>
      <w:r w:rsidR="005366E5">
        <w:rPr>
          <w:bCs/>
          <w:iCs/>
          <w:color w:val="000000"/>
        </w:rPr>
        <w:t xml:space="preserve">peak </w:t>
      </w:r>
      <w:r w:rsidR="00EC4544" w:rsidRPr="00BF5BC7">
        <w:rPr>
          <w:bCs/>
          <w:color w:val="000000"/>
        </w:rPr>
        <w:t>LVOT gradient is a highly variable measure of disease severity</w:t>
      </w:r>
      <w:r w:rsidR="005366E5">
        <w:rPr>
          <w:bCs/>
          <w:color w:val="000000"/>
        </w:rPr>
        <w:t xml:space="preserve"> and that</w:t>
      </w:r>
      <w:r w:rsidR="00EC4544">
        <w:rPr>
          <w:bCs/>
          <w:color w:val="000000"/>
        </w:rPr>
        <w:t xml:space="preserve"> </w:t>
      </w:r>
      <w:r w:rsidR="005366E5">
        <w:rPr>
          <w:bCs/>
          <w:color w:val="000000"/>
        </w:rPr>
        <w:t>a</w:t>
      </w:r>
      <w:r w:rsidR="00EC4544">
        <w:rPr>
          <w:bCs/>
          <w:color w:val="000000"/>
        </w:rPr>
        <w:t xml:space="preserve"> </w:t>
      </w:r>
      <w:r w:rsidR="00EC4544" w:rsidRPr="00E92DAC">
        <w:rPr>
          <w:bCs/>
          <w:iCs/>
          <w:color w:val="000000"/>
        </w:rPr>
        <w:t xml:space="preserve">gradient </w:t>
      </w:r>
      <w:r w:rsidR="00EC4544">
        <w:rPr>
          <w:bCs/>
          <w:iCs/>
          <w:color w:val="000000"/>
        </w:rPr>
        <w:t>lower than</w:t>
      </w:r>
      <w:r w:rsidR="00EB14AB">
        <w:rPr>
          <w:bCs/>
          <w:iCs/>
          <w:color w:val="000000"/>
        </w:rPr>
        <w:t xml:space="preserve"> the inclusion criteria of</w:t>
      </w:r>
      <w:r w:rsidR="00EC4544">
        <w:rPr>
          <w:bCs/>
          <w:iCs/>
          <w:color w:val="000000"/>
        </w:rPr>
        <w:t xml:space="preserve"> </w:t>
      </w:r>
      <w:r w:rsidR="00EB14AB">
        <w:rPr>
          <w:bCs/>
          <w:iCs/>
          <w:color w:val="000000"/>
        </w:rPr>
        <w:t>the</w:t>
      </w:r>
      <w:r w:rsidR="00EC4544">
        <w:rPr>
          <w:bCs/>
          <w:iCs/>
          <w:color w:val="000000"/>
        </w:rPr>
        <w:t xml:space="preserve"> pivotal trial</w:t>
      </w:r>
      <w:r w:rsidR="00EB14AB">
        <w:rPr>
          <w:bCs/>
          <w:iCs/>
          <w:color w:val="000000"/>
        </w:rPr>
        <w:t xml:space="preserve"> </w:t>
      </w:r>
      <w:r w:rsidR="00EB14AB" w:rsidRPr="00BF5BC7">
        <w:rPr>
          <w:bCs/>
          <w:color w:val="000000"/>
        </w:rPr>
        <w:t>(EXPLORER-HCM)</w:t>
      </w:r>
      <w:r w:rsidR="00EC4544">
        <w:rPr>
          <w:bCs/>
          <w:iCs/>
          <w:color w:val="000000"/>
        </w:rPr>
        <w:t xml:space="preserve"> would </w:t>
      </w:r>
      <w:r w:rsidR="00AF28C0">
        <w:rPr>
          <w:bCs/>
          <w:iCs/>
          <w:color w:val="000000"/>
        </w:rPr>
        <w:t>create</w:t>
      </w:r>
      <w:r w:rsidR="002F1760">
        <w:rPr>
          <w:bCs/>
          <w:iCs/>
          <w:color w:val="000000"/>
        </w:rPr>
        <w:t xml:space="preserve"> the</w:t>
      </w:r>
      <w:r w:rsidR="00AF28C0">
        <w:rPr>
          <w:bCs/>
          <w:iCs/>
          <w:color w:val="000000"/>
        </w:rPr>
        <w:t xml:space="preserve"> potential for access to</w:t>
      </w:r>
      <w:r w:rsidR="00EB14AB">
        <w:rPr>
          <w:bCs/>
          <w:color w:val="000000"/>
        </w:rPr>
        <w:t xml:space="preserve"> </w:t>
      </w:r>
      <w:r w:rsidR="00EB14AB" w:rsidRPr="00BF5BC7">
        <w:rPr>
          <w:bCs/>
          <w:color w:val="000000"/>
        </w:rPr>
        <w:t>patients with less severe disease</w:t>
      </w:r>
      <w:r w:rsidR="005366E5">
        <w:rPr>
          <w:bCs/>
          <w:color w:val="000000"/>
        </w:rPr>
        <w:t>,</w:t>
      </w:r>
      <w:r w:rsidR="00EB14AB" w:rsidRPr="00EB14AB">
        <w:rPr>
          <w:iCs/>
        </w:rPr>
        <w:t xml:space="preserve"> </w:t>
      </w:r>
      <w:r w:rsidR="00EB14AB" w:rsidRPr="00541454">
        <w:rPr>
          <w:iCs/>
        </w:rPr>
        <w:t xml:space="preserve">in whom effectiveness </w:t>
      </w:r>
      <w:r w:rsidR="00EB14AB">
        <w:rPr>
          <w:iCs/>
        </w:rPr>
        <w:t xml:space="preserve">and safety </w:t>
      </w:r>
      <w:r w:rsidR="00EB14AB" w:rsidRPr="00541454">
        <w:rPr>
          <w:iCs/>
        </w:rPr>
        <w:t>has not been demonstrated.</w:t>
      </w:r>
      <w:bookmarkEnd w:id="111"/>
      <w:r w:rsidR="005366E5">
        <w:rPr>
          <w:iCs/>
        </w:rPr>
        <w:t xml:space="preserve"> </w:t>
      </w:r>
      <w:r w:rsidR="001D3DA9">
        <w:rPr>
          <w:iCs/>
        </w:rPr>
        <w:t xml:space="preserve">The PBAC considered that continuing treatment with mavacamten would require demonstration of ongoing clinical response. </w:t>
      </w:r>
    </w:p>
    <w:p w14:paraId="59138856" w14:textId="2EE7DC06" w:rsidR="00144801" w:rsidRPr="003B3361" w:rsidRDefault="004F017A" w:rsidP="003B3361">
      <w:pPr>
        <w:widowControl w:val="0"/>
        <w:numPr>
          <w:ilvl w:val="1"/>
          <w:numId w:val="1"/>
        </w:numPr>
        <w:spacing w:after="120"/>
        <w:rPr>
          <w:rFonts w:asciiTheme="minorHAnsi" w:hAnsiTheme="minorHAnsi"/>
          <w:snapToGrid w:val="0"/>
          <w:lang w:val="en-GB"/>
        </w:rPr>
      </w:pPr>
      <w:bookmarkStart w:id="112" w:name="_Ref141706196"/>
      <w:bookmarkStart w:id="113" w:name="_Ref142056755"/>
      <w:r>
        <w:rPr>
          <w:rFonts w:cstheme="minorHAnsi"/>
          <w:iCs/>
        </w:rPr>
        <w:t>The</w:t>
      </w:r>
      <w:r w:rsidR="00903FEC" w:rsidRPr="003B3361">
        <w:rPr>
          <w:rFonts w:cstheme="minorHAnsi"/>
          <w:iCs/>
        </w:rPr>
        <w:t xml:space="preserve"> PBAC </w:t>
      </w:r>
      <w:r w:rsidR="003B3361">
        <w:rPr>
          <w:rFonts w:cstheme="minorHAnsi"/>
          <w:iCs/>
        </w:rPr>
        <w:t xml:space="preserve">agreed with the ESC </w:t>
      </w:r>
      <w:r w:rsidR="00903FEC" w:rsidRPr="003B3361">
        <w:rPr>
          <w:rFonts w:cstheme="minorHAnsi"/>
          <w:iCs/>
        </w:rPr>
        <w:t xml:space="preserve">that </w:t>
      </w:r>
      <w:r w:rsidR="00903FEC">
        <w:t>i</w:t>
      </w:r>
      <w:r w:rsidR="00D72329" w:rsidRPr="00541454">
        <w:t xml:space="preserve">t would be more appropriate to position mavacamten after a patient remained symptomatic after previously receiving trials of </w:t>
      </w:r>
      <w:r w:rsidR="00D72329" w:rsidRPr="003B3361">
        <w:rPr>
          <w:u w:val="single"/>
        </w:rPr>
        <w:t>both</w:t>
      </w:r>
      <w:r w:rsidR="00D72329" w:rsidRPr="00541454">
        <w:t xml:space="preserve"> a CCB and a BB </w:t>
      </w:r>
      <w:r w:rsidR="00D72329" w:rsidRPr="003B3361">
        <w:rPr>
          <w:iCs/>
        </w:rPr>
        <w:t>(unless intolerant/contraindicated to one or both) rather than after a trial of either a BB or CCB</w:t>
      </w:r>
      <w:r w:rsidR="00144801" w:rsidRPr="003B3361">
        <w:rPr>
          <w:iCs/>
        </w:rPr>
        <w:t>.</w:t>
      </w:r>
      <w:r w:rsidR="003B3361" w:rsidRPr="003B3361">
        <w:rPr>
          <w:lang w:val="en-GB"/>
        </w:rPr>
        <w:t xml:space="preserve"> </w:t>
      </w:r>
      <w:r w:rsidR="003B3361" w:rsidRPr="00903FEC">
        <w:rPr>
          <w:lang w:val="en-GB"/>
        </w:rPr>
        <w:t xml:space="preserve">The PBAC </w:t>
      </w:r>
      <w:r w:rsidR="00A2461F">
        <w:rPr>
          <w:lang w:val="en-GB"/>
        </w:rPr>
        <w:t xml:space="preserve">also </w:t>
      </w:r>
      <w:r w:rsidR="003B3361" w:rsidRPr="003B3361">
        <w:rPr>
          <w:lang w:val="en-GB"/>
        </w:rPr>
        <w:t xml:space="preserve">advised that the </w:t>
      </w:r>
      <w:r w:rsidR="003B3361" w:rsidRPr="003B3361">
        <w:rPr>
          <w:rFonts w:cstheme="minorHAnsi"/>
          <w:iCs/>
        </w:rPr>
        <w:t>proposed restriction should include a definition of familial HCM (</w:t>
      </w:r>
      <w:proofErr w:type="gramStart"/>
      <w:r w:rsidR="001D3DA9">
        <w:rPr>
          <w:rFonts w:cstheme="minorHAnsi"/>
          <w:iCs/>
        </w:rPr>
        <w:t>i.e</w:t>
      </w:r>
      <w:r w:rsidR="003B3361" w:rsidRPr="003B3361">
        <w:rPr>
          <w:rFonts w:cstheme="minorHAnsi"/>
          <w:iCs/>
        </w:rPr>
        <w:t>.</w:t>
      </w:r>
      <w:proofErr w:type="gramEnd"/>
      <w:r w:rsidR="003B3361" w:rsidRPr="003B3361">
        <w:rPr>
          <w:rFonts w:cstheme="minorHAnsi"/>
          <w:iCs/>
        </w:rPr>
        <w:t xml:space="preserve"> first degree relatives).</w:t>
      </w:r>
      <w:bookmarkEnd w:id="112"/>
      <w:bookmarkEnd w:id="113"/>
    </w:p>
    <w:p w14:paraId="7797CC03" w14:textId="0D59E99B" w:rsidR="006139C3" w:rsidRPr="006139C3" w:rsidRDefault="00A2461F" w:rsidP="00396985">
      <w:pPr>
        <w:widowControl w:val="0"/>
        <w:numPr>
          <w:ilvl w:val="1"/>
          <w:numId w:val="1"/>
        </w:numPr>
        <w:spacing w:after="120"/>
        <w:rPr>
          <w:rFonts w:asciiTheme="minorHAnsi" w:hAnsiTheme="minorHAnsi"/>
          <w:snapToGrid w:val="0"/>
          <w:u w:val="single"/>
          <w:lang w:val="en-GB"/>
        </w:rPr>
      </w:pPr>
      <w:r>
        <w:rPr>
          <w:rFonts w:asciiTheme="minorHAnsi" w:hAnsiTheme="minorHAnsi"/>
          <w:snapToGrid w:val="0"/>
          <w:lang w:val="en-GB"/>
        </w:rPr>
        <w:t xml:space="preserve">The resubmission was based on </w:t>
      </w:r>
      <w:r w:rsidR="005269F2">
        <w:t xml:space="preserve">the EXPLORER-HCM clinical trial (N=251) comparing </w:t>
      </w:r>
      <w:r w:rsidR="005269F2" w:rsidRPr="005269F2">
        <w:rPr>
          <w:lang w:val="en-US"/>
        </w:rPr>
        <w:t>mavacamten (</w:t>
      </w:r>
      <w:r w:rsidR="005269F2">
        <w:t>+/-</w:t>
      </w:r>
      <w:r w:rsidR="0049014F">
        <w:t xml:space="preserve"> </w:t>
      </w:r>
      <w:r w:rsidR="005269F2">
        <w:t>BB/CCB)</w:t>
      </w:r>
      <w:r w:rsidR="005269F2" w:rsidRPr="005269F2">
        <w:rPr>
          <w:rFonts w:cs="Tahoma"/>
        </w:rPr>
        <w:t xml:space="preserve"> </w:t>
      </w:r>
      <w:r w:rsidR="005269F2" w:rsidRPr="005269F2">
        <w:rPr>
          <w:lang w:val="en-US"/>
        </w:rPr>
        <w:t>with placebo (</w:t>
      </w:r>
      <w:r w:rsidR="005269F2">
        <w:t xml:space="preserve">+/- BB/CCB) in patients with </w:t>
      </w:r>
      <w:r w:rsidR="005269F2" w:rsidRPr="005269F2">
        <w:rPr>
          <w:lang w:val="en-US"/>
        </w:rPr>
        <w:t>symptomatic obstructive HCM (</w:t>
      </w:r>
      <w:r w:rsidR="00F63EFC" w:rsidRPr="00316DBA">
        <w:t>New York Heart Association</w:t>
      </w:r>
      <w:r w:rsidR="00F63EFC" w:rsidRPr="005269F2">
        <w:rPr>
          <w:lang w:val="en-US"/>
        </w:rPr>
        <w:t xml:space="preserve"> </w:t>
      </w:r>
      <w:r w:rsidR="00F63EFC">
        <w:rPr>
          <w:lang w:val="en-US"/>
        </w:rPr>
        <w:t>[</w:t>
      </w:r>
      <w:r w:rsidR="005269F2" w:rsidRPr="005269F2">
        <w:rPr>
          <w:lang w:val="en-US"/>
        </w:rPr>
        <w:t>NYH</w:t>
      </w:r>
      <w:r w:rsidR="00F63EFC">
        <w:rPr>
          <w:lang w:val="en-US"/>
        </w:rPr>
        <w:t>A]</w:t>
      </w:r>
      <w:r w:rsidR="005269F2" w:rsidRPr="005269F2">
        <w:rPr>
          <w:lang w:val="en-US"/>
        </w:rPr>
        <w:t xml:space="preserve"> II-III and </w:t>
      </w:r>
      <w:r w:rsidR="001C1B4F">
        <w:rPr>
          <w:lang w:val="en-US"/>
        </w:rPr>
        <w:t xml:space="preserve">peak </w:t>
      </w:r>
      <w:r w:rsidR="005269F2" w:rsidRPr="005269F2">
        <w:rPr>
          <w:lang w:val="en-US"/>
        </w:rPr>
        <w:t>LVOT ≥ 50 mmHg).</w:t>
      </w:r>
      <w:r w:rsidR="00254CED">
        <w:rPr>
          <w:lang w:val="en-US"/>
        </w:rPr>
        <w:t xml:space="preserve"> The PBAC recalled that </w:t>
      </w:r>
      <w:r w:rsidR="00254CED" w:rsidRPr="003D2A58">
        <w:rPr>
          <w:rFonts w:eastAsia="Calibri"/>
        </w:rPr>
        <w:t xml:space="preserve">the pivotal trial </w:t>
      </w:r>
      <w:r w:rsidR="00254CED" w:rsidRPr="00CF0C33">
        <w:rPr>
          <w:szCs w:val="20"/>
        </w:rPr>
        <w:t>was small (N=251)</w:t>
      </w:r>
      <w:r w:rsidR="00536EA0">
        <w:rPr>
          <w:szCs w:val="20"/>
        </w:rPr>
        <w:t xml:space="preserve"> and</w:t>
      </w:r>
      <w:r w:rsidR="00254CED">
        <w:rPr>
          <w:szCs w:val="20"/>
        </w:rPr>
        <w:t xml:space="preserve"> </w:t>
      </w:r>
      <w:r w:rsidR="00254CED" w:rsidRPr="00CF0C33">
        <w:rPr>
          <w:szCs w:val="20"/>
        </w:rPr>
        <w:t>had a short d</w:t>
      </w:r>
      <w:r w:rsidR="00254CED" w:rsidRPr="003D2A58">
        <w:rPr>
          <w:szCs w:val="20"/>
        </w:rPr>
        <w:t>uration of comparative follow-up (30 weeks)</w:t>
      </w:r>
      <w:r w:rsidR="00254CED" w:rsidRPr="003D2A58">
        <w:rPr>
          <w:rFonts w:eastAsia="Calibri"/>
        </w:rPr>
        <w:t>.</w:t>
      </w:r>
      <w:r w:rsidR="005269F2" w:rsidRPr="005269F2">
        <w:rPr>
          <w:lang w:val="en-US"/>
        </w:rPr>
        <w:t xml:space="preserve"> </w:t>
      </w:r>
      <w:r w:rsidR="005269F2" w:rsidRPr="00254CED">
        <w:rPr>
          <w:rFonts w:eastAsia="Calibri"/>
        </w:rPr>
        <w:t xml:space="preserve">The PBAC recalled it had </w:t>
      </w:r>
      <w:r w:rsidR="0038736B">
        <w:rPr>
          <w:rFonts w:eastAsia="Calibri"/>
        </w:rPr>
        <w:t xml:space="preserve">previously </w:t>
      </w:r>
      <w:r w:rsidR="005269F2" w:rsidRPr="00254CED">
        <w:rPr>
          <w:rFonts w:eastAsia="Calibri"/>
        </w:rPr>
        <w:t xml:space="preserve">considered that based on the pivotal trial, </w:t>
      </w:r>
      <w:r w:rsidR="005269F2" w:rsidRPr="00254CED">
        <w:rPr>
          <w:szCs w:val="20"/>
        </w:rPr>
        <w:t xml:space="preserve">mavacamten provided only a </w:t>
      </w:r>
      <w:r w:rsidR="005269F2" w:rsidRPr="00BE53CD">
        <w:rPr>
          <w:szCs w:val="20"/>
        </w:rPr>
        <w:t>moderate</w:t>
      </w:r>
      <w:r w:rsidR="005269F2" w:rsidRPr="00254CED">
        <w:rPr>
          <w:szCs w:val="20"/>
        </w:rPr>
        <w:t xml:space="preserve"> improvement in </w:t>
      </w:r>
      <w:r w:rsidR="00D8735D">
        <w:rPr>
          <w:szCs w:val="20"/>
        </w:rPr>
        <w:t xml:space="preserve">symptomatic </w:t>
      </w:r>
      <w:r w:rsidR="005269F2" w:rsidRPr="00254CED">
        <w:rPr>
          <w:szCs w:val="20"/>
        </w:rPr>
        <w:t>outcomes, with 63.4% of mavacamten patients failing to meet the primary endpoint; 35% did not improve NYHA class; and 49% remained NYHA II/III (</w:t>
      </w:r>
      <w:proofErr w:type="gramStart"/>
      <w:r w:rsidR="005269F2" w:rsidRPr="00254CED">
        <w:rPr>
          <w:szCs w:val="20"/>
        </w:rPr>
        <w:t>i.e.</w:t>
      </w:r>
      <w:proofErr w:type="gramEnd"/>
      <w:r w:rsidR="005269F2" w:rsidRPr="00254CED">
        <w:rPr>
          <w:szCs w:val="20"/>
        </w:rPr>
        <w:t xml:space="preserve"> symptomatic). </w:t>
      </w:r>
      <w:r w:rsidR="00943B58">
        <w:rPr>
          <w:szCs w:val="20"/>
        </w:rPr>
        <w:t>The PBAC noted that</w:t>
      </w:r>
      <w:r w:rsidR="001056EA">
        <w:rPr>
          <w:szCs w:val="20"/>
        </w:rPr>
        <w:t xml:space="preserve"> mavacamten provided improvement </w:t>
      </w:r>
      <w:r w:rsidR="00FB1621">
        <w:rPr>
          <w:szCs w:val="20"/>
        </w:rPr>
        <w:t>in</w:t>
      </w:r>
      <w:r w:rsidR="001056EA">
        <w:rPr>
          <w:szCs w:val="20"/>
        </w:rPr>
        <w:t xml:space="preserve"> all secondary </w:t>
      </w:r>
      <w:r w:rsidR="005A6512">
        <w:rPr>
          <w:szCs w:val="20"/>
        </w:rPr>
        <w:t>outcomes</w:t>
      </w:r>
      <w:r w:rsidR="00536EA0">
        <w:rPr>
          <w:szCs w:val="20"/>
        </w:rPr>
        <w:t xml:space="preserve"> </w:t>
      </w:r>
      <w:r w:rsidR="00FB1621">
        <w:rPr>
          <w:szCs w:val="20"/>
        </w:rPr>
        <w:t xml:space="preserve">of </w:t>
      </w:r>
      <w:r w:rsidR="00FB1621">
        <w:t xml:space="preserve">the EXPLORER-HCM clinical trial </w:t>
      </w:r>
      <w:r w:rsidR="00536EA0">
        <w:rPr>
          <w:szCs w:val="20"/>
        </w:rPr>
        <w:t>and considered</w:t>
      </w:r>
      <w:r w:rsidR="00FB1621">
        <w:rPr>
          <w:szCs w:val="20"/>
        </w:rPr>
        <w:t xml:space="preserve"> that</w:t>
      </w:r>
      <w:r w:rsidR="00536EA0">
        <w:rPr>
          <w:szCs w:val="20"/>
        </w:rPr>
        <w:t xml:space="preserve"> the reduction in </w:t>
      </w:r>
      <w:r w:rsidR="00536EA0" w:rsidRPr="00536EA0">
        <w:rPr>
          <w:szCs w:val="20"/>
        </w:rPr>
        <w:t>brain natriuretic peptide (</w:t>
      </w:r>
      <w:r w:rsidR="00536EA0">
        <w:rPr>
          <w:szCs w:val="20"/>
        </w:rPr>
        <w:t>BNP)</w:t>
      </w:r>
      <w:r w:rsidR="001056EA" w:rsidRPr="001056EA">
        <w:rPr>
          <w:szCs w:val="20"/>
        </w:rPr>
        <w:t xml:space="preserve"> </w:t>
      </w:r>
      <w:r w:rsidR="00396985">
        <w:rPr>
          <w:szCs w:val="20"/>
        </w:rPr>
        <w:t xml:space="preserve">may be indicative of </w:t>
      </w:r>
      <w:r w:rsidR="001056EA">
        <w:rPr>
          <w:szCs w:val="20"/>
        </w:rPr>
        <w:t>disease modification.</w:t>
      </w:r>
      <w:r w:rsidR="006139C3">
        <w:rPr>
          <w:szCs w:val="20"/>
        </w:rPr>
        <w:t xml:space="preserve"> The Committee also </w:t>
      </w:r>
      <w:r w:rsidR="00A20164">
        <w:rPr>
          <w:szCs w:val="20"/>
        </w:rPr>
        <w:t>noted</w:t>
      </w:r>
      <w:r w:rsidR="006139C3">
        <w:rPr>
          <w:szCs w:val="20"/>
        </w:rPr>
        <w:t xml:space="preserve"> that </w:t>
      </w:r>
      <w:r w:rsidR="00391727">
        <w:rPr>
          <w:szCs w:val="20"/>
        </w:rPr>
        <w:t xml:space="preserve">based on </w:t>
      </w:r>
      <w:r w:rsidR="00A20164">
        <w:rPr>
          <w:szCs w:val="20"/>
        </w:rPr>
        <w:t xml:space="preserve">a </w:t>
      </w:r>
      <w:r w:rsidR="00391727">
        <w:rPr>
          <w:szCs w:val="20"/>
        </w:rPr>
        <w:t xml:space="preserve">secondary </w:t>
      </w:r>
      <w:r w:rsidR="005A6512">
        <w:rPr>
          <w:szCs w:val="20"/>
        </w:rPr>
        <w:t>outcome</w:t>
      </w:r>
      <w:r w:rsidR="00A20164">
        <w:rPr>
          <w:szCs w:val="20"/>
        </w:rPr>
        <w:t xml:space="preserve"> analysis</w:t>
      </w:r>
      <w:r w:rsidR="00391727">
        <w:rPr>
          <w:szCs w:val="20"/>
        </w:rPr>
        <w:t xml:space="preserve">, </w:t>
      </w:r>
      <w:r w:rsidR="006139C3">
        <w:rPr>
          <w:szCs w:val="20"/>
        </w:rPr>
        <w:t xml:space="preserve">improvement in NYHA </w:t>
      </w:r>
      <w:r w:rsidR="005A6512">
        <w:rPr>
          <w:szCs w:val="20"/>
        </w:rPr>
        <w:t xml:space="preserve">functional </w:t>
      </w:r>
      <w:r w:rsidR="006139C3">
        <w:rPr>
          <w:szCs w:val="20"/>
        </w:rPr>
        <w:t>class remain</w:t>
      </w:r>
      <w:r w:rsidR="00A20164">
        <w:rPr>
          <w:szCs w:val="20"/>
        </w:rPr>
        <w:t>ed</w:t>
      </w:r>
      <w:r w:rsidR="006139C3">
        <w:rPr>
          <w:szCs w:val="20"/>
        </w:rPr>
        <w:t xml:space="preserve"> relatively stable over time</w:t>
      </w:r>
      <w:r w:rsidR="005A6512">
        <w:rPr>
          <w:szCs w:val="20"/>
        </w:rPr>
        <w:t xml:space="preserve"> (up to week 180)</w:t>
      </w:r>
      <w:r w:rsidR="00391727">
        <w:rPr>
          <w:szCs w:val="20"/>
        </w:rPr>
        <w:t xml:space="preserve"> for mavacamten patients</w:t>
      </w:r>
      <w:r w:rsidR="00B73E05">
        <w:rPr>
          <w:szCs w:val="20"/>
        </w:rPr>
        <w:t xml:space="preserve"> compared with SOC</w:t>
      </w:r>
      <w:r w:rsidR="006139C3">
        <w:rPr>
          <w:szCs w:val="20"/>
        </w:rPr>
        <w:t>, however</w:t>
      </w:r>
      <w:r w:rsidR="00B73E05">
        <w:rPr>
          <w:szCs w:val="20"/>
        </w:rPr>
        <w:t xml:space="preserve"> noted</w:t>
      </w:r>
      <w:r w:rsidR="006139C3">
        <w:rPr>
          <w:szCs w:val="20"/>
        </w:rPr>
        <w:t xml:space="preserve"> </w:t>
      </w:r>
      <w:r w:rsidR="005A6512">
        <w:rPr>
          <w:szCs w:val="20"/>
        </w:rPr>
        <w:t>this</w:t>
      </w:r>
      <w:r w:rsidR="00391727">
        <w:rPr>
          <w:szCs w:val="20"/>
        </w:rPr>
        <w:t xml:space="preserve"> </w:t>
      </w:r>
      <w:r w:rsidR="005A6512">
        <w:rPr>
          <w:szCs w:val="20"/>
        </w:rPr>
        <w:t>analysis</w:t>
      </w:r>
      <w:r w:rsidR="00391727">
        <w:rPr>
          <w:szCs w:val="20"/>
        </w:rPr>
        <w:t xml:space="preserve"> </w:t>
      </w:r>
      <w:r w:rsidR="005A6512">
        <w:rPr>
          <w:szCs w:val="20"/>
        </w:rPr>
        <w:t>was based on</w:t>
      </w:r>
      <w:r w:rsidR="006139C3">
        <w:rPr>
          <w:szCs w:val="20"/>
        </w:rPr>
        <w:t xml:space="preserve"> </w:t>
      </w:r>
      <w:r w:rsidR="00A20164">
        <w:rPr>
          <w:szCs w:val="20"/>
        </w:rPr>
        <w:t xml:space="preserve">a </w:t>
      </w:r>
      <w:r w:rsidR="006139C3">
        <w:rPr>
          <w:szCs w:val="20"/>
        </w:rPr>
        <w:t>small</w:t>
      </w:r>
      <w:r w:rsidR="00A20164">
        <w:rPr>
          <w:szCs w:val="20"/>
        </w:rPr>
        <w:t xml:space="preserve"> number of</w:t>
      </w:r>
      <w:r w:rsidR="006139C3">
        <w:rPr>
          <w:szCs w:val="20"/>
        </w:rPr>
        <w:t xml:space="preserve"> patient</w:t>
      </w:r>
      <w:r w:rsidR="00E76058">
        <w:rPr>
          <w:szCs w:val="20"/>
        </w:rPr>
        <w:t>s</w:t>
      </w:r>
      <w:r w:rsidR="006139C3">
        <w:rPr>
          <w:szCs w:val="20"/>
        </w:rPr>
        <w:t xml:space="preserve"> </w:t>
      </w:r>
      <w:r w:rsidR="005A6512">
        <w:rPr>
          <w:szCs w:val="20"/>
        </w:rPr>
        <w:t>(n=13</w:t>
      </w:r>
      <w:r w:rsidR="00A20164">
        <w:rPr>
          <w:szCs w:val="20"/>
        </w:rPr>
        <w:t xml:space="preserve"> at baseline</w:t>
      </w:r>
      <w:r w:rsidR="005A6512">
        <w:rPr>
          <w:szCs w:val="20"/>
        </w:rPr>
        <w:t xml:space="preserve">) </w:t>
      </w:r>
      <w:r w:rsidR="006139C3">
        <w:rPr>
          <w:szCs w:val="20"/>
        </w:rPr>
        <w:t>and</w:t>
      </w:r>
      <w:r w:rsidR="00391727">
        <w:rPr>
          <w:szCs w:val="20"/>
        </w:rPr>
        <w:t xml:space="preserve"> </w:t>
      </w:r>
      <w:r w:rsidR="00E76058">
        <w:rPr>
          <w:szCs w:val="20"/>
        </w:rPr>
        <w:t xml:space="preserve">therefore </w:t>
      </w:r>
      <w:r w:rsidR="006139C3">
        <w:rPr>
          <w:szCs w:val="20"/>
        </w:rPr>
        <w:t>considered the results</w:t>
      </w:r>
      <w:r w:rsidR="00A20164">
        <w:rPr>
          <w:szCs w:val="20"/>
        </w:rPr>
        <w:t xml:space="preserve"> </w:t>
      </w:r>
      <w:r w:rsidR="006139C3">
        <w:rPr>
          <w:szCs w:val="20"/>
        </w:rPr>
        <w:t>inconclusive.</w:t>
      </w:r>
      <w:r w:rsidR="001056EA">
        <w:rPr>
          <w:szCs w:val="20"/>
        </w:rPr>
        <w:t xml:space="preserve"> </w:t>
      </w:r>
      <w:r w:rsidR="00E93640">
        <w:rPr>
          <w:szCs w:val="20"/>
        </w:rPr>
        <w:t xml:space="preserve"> The PBAC also noted the lack of improvement in </w:t>
      </w:r>
      <w:proofErr w:type="gramStart"/>
      <w:r w:rsidR="00E93640">
        <w:rPr>
          <w:szCs w:val="20"/>
        </w:rPr>
        <w:t>quality of life</w:t>
      </w:r>
      <w:proofErr w:type="gramEnd"/>
      <w:r w:rsidR="00E93640">
        <w:rPr>
          <w:szCs w:val="20"/>
        </w:rPr>
        <w:t xml:space="preserve"> measures.</w:t>
      </w:r>
    </w:p>
    <w:p w14:paraId="6E83AAF1" w14:textId="49859E5A" w:rsidR="001C1B4F" w:rsidRPr="00A2095B" w:rsidRDefault="006139C3" w:rsidP="00A2095B">
      <w:pPr>
        <w:widowControl w:val="0"/>
        <w:numPr>
          <w:ilvl w:val="1"/>
          <w:numId w:val="1"/>
        </w:numPr>
        <w:spacing w:after="120"/>
        <w:rPr>
          <w:rFonts w:asciiTheme="minorHAnsi" w:hAnsiTheme="minorHAnsi"/>
          <w:snapToGrid w:val="0"/>
          <w:u w:val="single"/>
          <w:lang w:val="en-GB"/>
        </w:rPr>
      </w:pPr>
      <w:r w:rsidRPr="00E76058">
        <w:rPr>
          <w:rFonts w:asciiTheme="minorHAnsi" w:hAnsiTheme="minorHAnsi"/>
          <w:snapToGrid w:val="0"/>
          <w:lang w:val="en-GB"/>
        </w:rPr>
        <w:t xml:space="preserve">The </w:t>
      </w:r>
      <w:r w:rsidR="00822B1E">
        <w:rPr>
          <w:rFonts w:asciiTheme="minorHAnsi" w:hAnsiTheme="minorHAnsi"/>
          <w:snapToGrid w:val="0"/>
          <w:lang w:val="en-GB"/>
        </w:rPr>
        <w:t xml:space="preserve">PBAC noted updated data provided in the resubmission for two supporting trials: MAVA-LTE (N=231) and VALOR-HCM (N=112). For </w:t>
      </w:r>
      <w:r w:rsidR="00E76058" w:rsidRPr="00E76058">
        <w:rPr>
          <w:rFonts w:asciiTheme="minorHAnsi" w:hAnsiTheme="minorHAnsi"/>
          <w:snapToGrid w:val="0"/>
          <w:lang w:val="en-GB"/>
        </w:rPr>
        <w:t>VALOR-H</w:t>
      </w:r>
      <w:r w:rsidR="00822B1E">
        <w:rPr>
          <w:rFonts w:asciiTheme="minorHAnsi" w:hAnsiTheme="minorHAnsi"/>
          <w:snapToGrid w:val="0"/>
          <w:lang w:val="en-GB"/>
        </w:rPr>
        <w:t xml:space="preserve">CM, </w:t>
      </w:r>
      <w:r w:rsidR="0037370C">
        <w:rPr>
          <w:iCs/>
        </w:rPr>
        <w:t>t</w:t>
      </w:r>
      <w:r w:rsidR="0037370C" w:rsidRPr="00541454">
        <w:rPr>
          <w:iCs/>
        </w:rPr>
        <w:t>he</w:t>
      </w:r>
      <w:r w:rsidR="0037370C">
        <w:rPr>
          <w:iCs/>
        </w:rPr>
        <w:t xml:space="preserve"> PBAC</w:t>
      </w:r>
      <w:r w:rsidR="0037370C" w:rsidRPr="00541454">
        <w:rPr>
          <w:iCs/>
        </w:rPr>
        <w:t xml:space="preserve"> noted that </w:t>
      </w:r>
      <w:r w:rsidR="0037370C" w:rsidRPr="00541454">
        <w:rPr>
          <w:iCs/>
        </w:rPr>
        <w:lastRenderedPageBreak/>
        <w:t>despite 43 patients (76.8%) in the placebo group meeting the primary outcome (</w:t>
      </w:r>
      <w:r w:rsidR="0037370C" w:rsidRPr="00541454">
        <w:rPr>
          <w:rFonts w:cs="Times New Roman"/>
          <w:iCs/>
          <w:szCs w:val="20"/>
        </w:rPr>
        <w:t>either through decision to proceed to SRT or remained guideline eligible for SRT) only 2 patients (3.6%) elected to proceed with SRT</w:t>
      </w:r>
      <w:r w:rsidR="00B73E05">
        <w:rPr>
          <w:rFonts w:cs="Times New Roman"/>
          <w:iCs/>
          <w:szCs w:val="20"/>
        </w:rPr>
        <w:t xml:space="preserve"> (the same number that elected to proceed to SRT in the mavacamten arm)</w:t>
      </w:r>
      <w:r w:rsidR="0037370C" w:rsidRPr="00541454">
        <w:rPr>
          <w:rFonts w:cs="Times New Roman"/>
          <w:iCs/>
          <w:szCs w:val="20"/>
        </w:rPr>
        <w:t>.</w:t>
      </w:r>
      <w:r w:rsidR="0037370C">
        <w:rPr>
          <w:rFonts w:cs="Times New Roman"/>
          <w:iCs/>
          <w:szCs w:val="20"/>
        </w:rPr>
        <w:t xml:space="preserve"> The PBAC considered that </w:t>
      </w:r>
      <w:proofErr w:type="gramStart"/>
      <w:r w:rsidR="0037370C">
        <w:rPr>
          <w:rFonts w:cs="Times New Roman"/>
          <w:iCs/>
          <w:szCs w:val="20"/>
        </w:rPr>
        <w:t>this illustrated patients</w:t>
      </w:r>
      <w:proofErr w:type="gramEnd"/>
      <w:r w:rsidR="0037370C">
        <w:rPr>
          <w:rFonts w:cs="Times New Roman"/>
          <w:iCs/>
          <w:szCs w:val="20"/>
        </w:rPr>
        <w:t xml:space="preserve"> </w:t>
      </w:r>
      <w:r w:rsidR="00B73E05">
        <w:rPr>
          <w:rFonts w:cs="Times New Roman"/>
          <w:iCs/>
          <w:szCs w:val="20"/>
        </w:rPr>
        <w:t>remain</w:t>
      </w:r>
      <w:r w:rsidR="0037370C">
        <w:rPr>
          <w:rFonts w:cs="Times New Roman"/>
          <w:iCs/>
          <w:szCs w:val="20"/>
        </w:rPr>
        <w:t xml:space="preserve"> resistant to</w:t>
      </w:r>
      <w:r w:rsidR="00B73E05">
        <w:rPr>
          <w:rFonts w:cs="Times New Roman"/>
          <w:iCs/>
          <w:szCs w:val="20"/>
        </w:rPr>
        <w:t xml:space="preserve"> undergo</w:t>
      </w:r>
      <w:r w:rsidR="0037370C">
        <w:rPr>
          <w:rFonts w:cs="Times New Roman"/>
          <w:iCs/>
          <w:szCs w:val="20"/>
        </w:rPr>
        <w:t xml:space="preserve"> SRT </w:t>
      </w:r>
      <w:r w:rsidR="001A6974">
        <w:rPr>
          <w:rFonts w:cs="Times New Roman"/>
          <w:iCs/>
          <w:szCs w:val="20"/>
        </w:rPr>
        <w:t>d</w:t>
      </w:r>
      <w:r w:rsidR="00B73E05">
        <w:rPr>
          <w:rFonts w:cs="Times New Roman"/>
          <w:iCs/>
          <w:szCs w:val="20"/>
        </w:rPr>
        <w:t>espite</w:t>
      </w:r>
      <w:r w:rsidR="001A6974">
        <w:rPr>
          <w:rFonts w:cs="Times New Roman"/>
          <w:iCs/>
          <w:szCs w:val="20"/>
        </w:rPr>
        <w:t xml:space="preserve"> eligibility</w:t>
      </w:r>
      <w:r w:rsidR="00B73E05">
        <w:rPr>
          <w:rFonts w:cs="Times New Roman"/>
          <w:iCs/>
          <w:szCs w:val="20"/>
        </w:rPr>
        <w:t xml:space="preserve"> and </w:t>
      </w:r>
      <w:r w:rsidR="007E2E72">
        <w:rPr>
          <w:rFonts w:cs="Times New Roman"/>
          <w:iCs/>
          <w:szCs w:val="20"/>
        </w:rPr>
        <w:t xml:space="preserve">considered the assumption that </w:t>
      </w:r>
      <w:r w:rsidR="00B73E05">
        <w:rPr>
          <w:rFonts w:cs="Times New Roman"/>
          <w:iCs/>
          <w:szCs w:val="20"/>
        </w:rPr>
        <w:t xml:space="preserve">mavacamten </w:t>
      </w:r>
      <w:r w:rsidR="007E2E72">
        <w:rPr>
          <w:rFonts w:cs="Times New Roman"/>
          <w:iCs/>
          <w:szCs w:val="20"/>
        </w:rPr>
        <w:t>would reduce</w:t>
      </w:r>
      <w:r w:rsidR="00B73E05">
        <w:rPr>
          <w:rFonts w:cs="Times New Roman"/>
          <w:iCs/>
          <w:szCs w:val="20"/>
        </w:rPr>
        <w:t xml:space="preserve"> the </w:t>
      </w:r>
      <w:r w:rsidR="007E2E72">
        <w:rPr>
          <w:rFonts w:cs="Times New Roman"/>
          <w:iCs/>
          <w:szCs w:val="20"/>
        </w:rPr>
        <w:t>number</w:t>
      </w:r>
      <w:r w:rsidR="00B73E05">
        <w:rPr>
          <w:rFonts w:cs="Times New Roman"/>
          <w:iCs/>
          <w:szCs w:val="20"/>
        </w:rPr>
        <w:t xml:space="preserve"> of patients proceeding with SRT was uncertain. </w:t>
      </w:r>
      <w:r w:rsidRPr="00A2095B">
        <w:rPr>
          <w:szCs w:val="20"/>
        </w:rPr>
        <w:t>Further</w:t>
      </w:r>
      <w:r w:rsidR="00A2095B">
        <w:rPr>
          <w:szCs w:val="20"/>
        </w:rPr>
        <w:t>more</w:t>
      </w:r>
      <w:r w:rsidR="00536EA0" w:rsidRPr="00A2095B">
        <w:rPr>
          <w:szCs w:val="20"/>
        </w:rPr>
        <w:t>, the</w:t>
      </w:r>
      <w:r w:rsidR="00D8735D" w:rsidRPr="00A2095B">
        <w:rPr>
          <w:szCs w:val="20"/>
        </w:rPr>
        <w:t xml:space="preserve"> PBAC </w:t>
      </w:r>
      <w:r w:rsidR="00536EA0" w:rsidRPr="00A2095B">
        <w:rPr>
          <w:szCs w:val="20"/>
        </w:rPr>
        <w:t>reaffirmed</w:t>
      </w:r>
      <w:r w:rsidR="00D8735D" w:rsidRPr="00A2095B">
        <w:rPr>
          <w:szCs w:val="20"/>
        </w:rPr>
        <w:t xml:space="preserve"> that there remained no evidence that hospitalisations or deaths would be reduced with mavacamten and </w:t>
      </w:r>
      <w:r w:rsidR="0083759B">
        <w:rPr>
          <w:szCs w:val="20"/>
        </w:rPr>
        <w:t xml:space="preserve">considered </w:t>
      </w:r>
      <w:r w:rsidR="00D8735D" w:rsidRPr="00A2095B">
        <w:rPr>
          <w:szCs w:val="20"/>
        </w:rPr>
        <w:t>that patients with HCM are expected to have normal life expectancy.</w:t>
      </w:r>
    </w:p>
    <w:p w14:paraId="1F00533F" w14:textId="15E33153" w:rsidR="00A900D1" w:rsidRPr="002D425B" w:rsidRDefault="001C1B4F" w:rsidP="00E76D51">
      <w:pPr>
        <w:widowControl w:val="0"/>
        <w:numPr>
          <w:ilvl w:val="1"/>
          <w:numId w:val="1"/>
        </w:numPr>
        <w:spacing w:after="120"/>
        <w:rPr>
          <w:rFonts w:asciiTheme="minorHAnsi" w:hAnsiTheme="minorHAnsi"/>
          <w:snapToGrid w:val="0"/>
          <w:u w:val="single"/>
          <w:lang w:val="en-GB"/>
        </w:rPr>
      </w:pPr>
      <w:r w:rsidRPr="001C1B4F">
        <w:rPr>
          <w:szCs w:val="20"/>
        </w:rPr>
        <w:t xml:space="preserve">The PBAC </w:t>
      </w:r>
      <w:r>
        <w:rPr>
          <w:szCs w:val="20"/>
        </w:rPr>
        <w:t xml:space="preserve">recalled that it previously considered </w:t>
      </w:r>
      <w:r w:rsidR="00E76D51">
        <w:rPr>
          <w:szCs w:val="20"/>
        </w:rPr>
        <w:t xml:space="preserve">that </w:t>
      </w:r>
      <w:r>
        <w:t xml:space="preserve">the </w:t>
      </w:r>
      <w:r w:rsidRPr="00F72968">
        <w:rPr>
          <w:iCs/>
        </w:rPr>
        <w:t xml:space="preserve">primary adverse event of concern was </w:t>
      </w:r>
      <w:r w:rsidR="00214ACE">
        <w:rPr>
          <w:iCs/>
        </w:rPr>
        <w:t xml:space="preserve">the risk of </w:t>
      </w:r>
      <w:r w:rsidRPr="00F72968">
        <w:rPr>
          <w:iCs/>
        </w:rPr>
        <w:t>reduced left ventricular ejection fraction (LVE</w:t>
      </w:r>
      <w:r>
        <w:rPr>
          <w:iCs/>
        </w:rPr>
        <w:t>F</w:t>
      </w:r>
      <w:r w:rsidRPr="00F72968">
        <w:rPr>
          <w:iCs/>
        </w:rPr>
        <w:t>)</w:t>
      </w:r>
      <w:r>
        <w:rPr>
          <w:iCs/>
        </w:rPr>
        <w:t xml:space="preserve"> and </w:t>
      </w:r>
      <w:r w:rsidR="0038736B">
        <w:rPr>
          <w:iCs/>
        </w:rPr>
        <w:t>the ongoing requirement</w:t>
      </w:r>
      <w:r w:rsidR="00214ACE">
        <w:rPr>
          <w:iCs/>
        </w:rPr>
        <w:t xml:space="preserve"> for monitoring with multiple </w:t>
      </w:r>
      <w:r w:rsidR="00214ACE" w:rsidRPr="00541454">
        <w:t>echocardiograms</w:t>
      </w:r>
      <w:r w:rsidR="00214ACE">
        <w:t xml:space="preserve"> per year. It was also noted</w:t>
      </w:r>
      <w:r w:rsidR="0038736B">
        <w:rPr>
          <w:iCs/>
        </w:rPr>
        <w:t xml:space="preserve"> </w:t>
      </w:r>
      <w:r>
        <w:rPr>
          <w:iCs/>
        </w:rPr>
        <w:t>that the long</w:t>
      </w:r>
      <w:r>
        <w:rPr>
          <w:iCs/>
        </w:rPr>
        <w:noBreakHyphen/>
        <w:t>term consequences of treatment compared with SOC were unknown</w:t>
      </w:r>
      <w:r>
        <w:rPr>
          <w:szCs w:val="20"/>
        </w:rPr>
        <w:t xml:space="preserve">. </w:t>
      </w:r>
      <w:r w:rsidR="00A900D1" w:rsidRPr="00E76D51">
        <w:rPr>
          <w:szCs w:val="20"/>
        </w:rPr>
        <w:t xml:space="preserve">The PBAC noted that the clinical claim was revised in the resubmission to inferior comparative safety versus SOC. </w:t>
      </w:r>
      <w:r w:rsidR="00A900D1">
        <w:t xml:space="preserve">The PBAC considered that this was appropriate and </w:t>
      </w:r>
      <w:r w:rsidR="00E76D51">
        <w:t xml:space="preserve">aligned with the clinical evidence and </w:t>
      </w:r>
      <w:r w:rsidR="00A900D1">
        <w:t>with previous advice (</w:t>
      </w:r>
      <w:r w:rsidR="00A900D1" w:rsidRPr="00E76D51">
        <w:rPr>
          <w:iCs/>
        </w:rPr>
        <w:t xml:space="preserve">paragraphs 7.7, mavacamten PBAC </w:t>
      </w:r>
      <w:r w:rsidR="006A1C29">
        <w:rPr>
          <w:iCs/>
        </w:rPr>
        <w:t>PSD</w:t>
      </w:r>
      <w:r w:rsidR="00A900D1" w:rsidRPr="00E76D51">
        <w:rPr>
          <w:iCs/>
        </w:rPr>
        <w:t>, November 2022 PBAC meeting)</w:t>
      </w:r>
      <w:r w:rsidR="00A900D1">
        <w:t xml:space="preserve">. </w:t>
      </w:r>
    </w:p>
    <w:p w14:paraId="5672C008" w14:textId="05A7393E" w:rsidR="006D0400" w:rsidRPr="006D0400" w:rsidRDefault="002D425B" w:rsidP="00E76D51">
      <w:pPr>
        <w:widowControl w:val="0"/>
        <w:numPr>
          <w:ilvl w:val="1"/>
          <w:numId w:val="1"/>
        </w:numPr>
        <w:spacing w:after="120"/>
        <w:rPr>
          <w:rFonts w:asciiTheme="minorHAnsi" w:hAnsiTheme="minorHAnsi"/>
          <w:snapToGrid w:val="0"/>
          <w:u w:val="single"/>
          <w:lang w:val="en-GB"/>
        </w:rPr>
      </w:pPr>
      <w:bookmarkStart w:id="114" w:name="_Ref141706465"/>
      <w:r>
        <w:t>The PBAC noted that the resubmission provided an economic model with a re-specified base case that incorporated</w:t>
      </w:r>
      <w:r w:rsidR="00B22F32">
        <w:t xml:space="preserve"> a reduced time horizon (from 25 years to 20 years), a revised data truncation point for the SOC arm (from 46 weeks to 38 weeks), removal of disopyramide, </w:t>
      </w:r>
      <w:r w:rsidR="00DE241D">
        <w:t>increased discontinuation rates for mavacamten patients due to SAEs at week 30 (from 1.6% to 5.0%) and annually (from 2.8% to 8.53%), a reduced cost for cardiovascular hospitalisation (from $27,780 to $12,486)</w:t>
      </w:r>
      <w:r w:rsidR="00A478E3">
        <w:t xml:space="preserve"> and mavacamten (from $</w:t>
      </w:r>
      <w:r w:rsidR="00F5190C" w:rsidRPr="00F84C70">
        <w:rPr>
          <w:color w:val="000000"/>
          <w:w w:val="15"/>
          <w:shd w:val="solid" w:color="000000" w:fill="000000"/>
          <w:fitText w:val="-20" w:id="-1167926001"/>
          <w14:textFill>
            <w14:solidFill>
              <w14:srgbClr w14:val="000000">
                <w14:alpha w14:val="100000"/>
              </w14:srgbClr>
            </w14:solidFill>
          </w14:textFill>
        </w:rPr>
        <w:t xml:space="preserve">|  </w:t>
      </w:r>
      <w:r w:rsidR="00F5190C" w:rsidRPr="00F84C70">
        <w:rPr>
          <w:color w:val="000000"/>
          <w:spacing w:val="-69"/>
          <w:w w:val="15"/>
          <w:shd w:val="solid" w:color="000000" w:fill="000000"/>
          <w:fitText w:val="-20" w:id="-1167926001"/>
          <w14:textFill>
            <w14:solidFill>
              <w14:srgbClr w14:val="000000">
                <w14:alpha w14:val="100000"/>
              </w14:srgbClr>
            </w14:solidFill>
          </w14:textFill>
        </w:rPr>
        <w:t>|</w:t>
      </w:r>
      <w:r w:rsidR="00B63528" w:rsidRPr="00B63528">
        <w:t xml:space="preserve"> </w:t>
      </w:r>
      <w:r w:rsidR="00A478E3">
        <w:t>to $</w:t>
      </w:r>
      <w:r w:rsidR="00F5190C" w:rsidRPr="00F84C70">
        <w:rPr>
          <w:color w:val="000000"/>
          <w:w w:val="15"/>
          <w:shd w:val="solid" w:color="000000" w:fill="000000"/>
          <w:fitText w:val="-20" w:id="-1167926000"/>
          <w14:textFill>
            <w14:solidFill>
              <w14:srgbClr w14:val="000000">
                <w14:alpha w14:val="100000"/>
              </w14:srgbClr>
            </w14:solidFill>
          </w14:textFill>
        </w:rPr>
        <w:t xml:space="preserve">|  </w:t>
      </w:r>
      <w:r w:rsidR="00F5190C" w:rsidRPr="00F84C70">
        <w:rPr>
          <w:color w:val="000000"/>
          <w:spacing w:val="-69"/>
          <w:w w:val="15"/>
          <w:shd w:val="solid" w:color="000000" w:fill="000000"/>
          <w:fitText w:val="-20" w:id="-1167926000"/>
          <w14:textFill>
            <w14:solidFill>
              <w14:srgbClr w14:val="000000">
                <w14:alpha w14:val="100000"/>
              </w14:srgbClr>
            </w14:solidFill>
          </w14:textFill>
        </w:rPr>
        <w:t>|</w:t>
      </w:r>
      <w:r w:rsidR="00B63528" w:rsidRPr="00B63528">
        <w:t xml:space="preserve"> </w:t>
      </w:r>
      <w:r w:rsidR="00A478E3">
        <w:t>DPMQ)</w:t>
      </w:r>
      <w:r w:rsidR="00DE241D">
        <w:t>.</w:t>
      </w:r>
      <w:r w:rsidR="00A14D2B">
        <w:t xml:space="preserve"> However, the revised base case did not implement several of the PBAC’s recommended changes for </w:t>
      </w:r>
      <w:r w:rsidR="0083759B">
        <w:t>a</w:t>
      </w:r>
      <w:r w:rsidR="00A14D2B">
        <w:t xml:space="preserve"> respecified base case (</w:t>
      </w:r>
      <w:r w:rsidR="00DD530A">
        <w:t>paragraph</w:t>
      </w:r>
      <w:r w:rsidR="006D0400">
        <w:t>s</w:t>
      </w:r>
      <w:r w:rsidR="00DD530A">
        <w:t xml:space="preserve"> 7.8</w:t>
      </w:r>
      <w:r w:rsidR="006D0400">
        <w:t xml:space="preserve"> and 7.9</w:t>
      </w:r>
      <w:r w:rsidR="00DD530A">
        <w:t xml:space="preserve">, mavacamten </w:t>
      </w:r>
      <w:r w:rsidR="0083759B">
        <w:t>public summary document</w:t>
      </w:r>
      <w:r w:rsidR="00DD530A">
        <w:t>, November 2022 PBAC meeting)</w:t>
      </w:r>
      <w:r w:rsidR="00AE4BE2">
        <w:t xml:space="preserve">. The PBAC </w:t>
      </w:r>
      <w:r w:rsidR="006D0400">
        <w:t xml:space="preserve">acknowledged the ESC’s advice that </w:t>
      </w:r>
      <w:r w:rsidR="00AE4BE2" w:rsidRPr="00541454">
        <w:rPr>
          <w:iCs/>
        </w:rPr>
        <w:t xml:space="preserve">a longer time horizon than 10 years would be appropriate for a treatment such as mavacamten and </w:t>
      </w:r>
      <w:r w:rsidR="00AE4BE2">
        <w:rPr>
          <w:iCs/>
        </w:rPr>
        <w:t>agreed</w:t>
      </w:r>
      <w:r w:rsidR="00AE4BE2" w:rsidRPr="00541454">
        <w:rPr>
          <w:iCs/>
        </w:rPr>
        <w:t xml:space="preserve"> that the proposed </w:t>
      </w:r>
      <w:proofErr w:type="gramStart"/>
      <w:r w:rsidR="00AE4BE2" w:rsidRPr="00541454">
        <w:rPr>
          <w:iCs/>
        </w:rPr>
        <w:t>20 year</w:t>
      </w:r>
      <w:proofErr w:type="gramEnd"/>
      <w:r w:rsidR="00AE4BE2" w:rsidRPr="00541454">
        <w:rPr>
          <w:iCs/>
        </w:rPr>
        <w:t xml:space="preserve"> time horizon could be justified, noting that this increased uncertainty over the extrapolated period. The </w:t>
      </w:r>
      <w:r w:rsidR="00AE4BE2">
        <w:rPr>
          <w:iCs/>
        </w:rPr>
        <w:t xml:space="preserve">PBAC also agreed </w:t>
      </w:r>
      <w:r w:rsidR="00AE4BE2" w:rsidRPr="00541454">
        <w:rPr>
          <w:iCs/>
        </w:rPr>
        <w:t xml:space="preserve">that </w:t>
      </w:r>
      <w:r w:rsidR="00DB3992">
        <w:rPr>
          <w:iCs/>
        </w:rPr>
        <w:t xml:space="preserve">given </w:t>
      </w:r>
      <w:r w:rsidR="00AE4BE2" w:rsidRPr="00541454">
        <w:rPr>
          <w:iCs/>
        </w:rPr>
        <w:t xml:space="preserve">the uncertainty associated with the long extrapolation in the economic model beyond the short time frame of the EXPLORER-HCM </w:t>
      </w:r>
      <w:r w:rsidR="00DB3992">
        <w:rPr>
          <w:iCs/>
        </w:rPr>
        <w:t xml:space="preserve">it was </w:t>
      </w:r>
      <w:r w:rsidR="00DB3992" w:rsidRPr="009C33ED">
        <w:rPr>
          <w:iCs/>
        </w:rPr>
        <w:t>important that overall PBS expenditure was tightly controlled with a risk sharing arrangement (RSA) with a 100% rebate over the caps</w:t>
      </w:r>
      <w:r w:rsidR="00AE4BE2" w:rsidRPr="00541454">
        <w:rPr>
          <w:iCs/>
        </w:rPr>
        <w:t>.</w:t>
      </w:r>
      <w:bookmarkEnd w:id="114"/>
    </w:p>
    <w:p w14:paraId="6B74DE66" w14:textId="07BE7783" w:rsidR="00C67FBA" w:rsidRPr="00C67FBA" w:rsidRDefault="00517938" w:rsidP="00C67FBA">
      <w:pPr>
        <w:widowControl w:val="0"/>
        <w:numPr>
          <w:ilvl w:val="1"/>
          <w:numId w:val="1"/>
        </w:numPr>
        <w:spacing w:after="120"/>
        <w:rPr>
          <w:rFonts w:asciiTheme="minorHAnsi" w:hAnsiTheme="minorHAnsi"/>
          <w:snapToGrid w:val="0"/>
          <w:u w:val="single"/>
          <w:lang w:val="en-GB"/>
        </w:rPr>
      </w:pPr>
      <w:bookmarkStart w:id="115" w:name="_Ref141715941"/>
      <w:r>
        <w:t>T</w:t>
      </w:r>
      <w:r w:rsidR="00AE4BE2">
        <w:t xml:space="preserve">he PBAC considered </w:t>
      </w:r>
      <w:r w:rsidR="006D0400">
        <w:t xml:space="preserve">the revised </w:t>
      </w:r>
      <w:r w:rsidR="00C01102">
        <w:t xml:space="preserve">base case </w:t>
      </w:r>
      <w:r w:rsidR="006D0400">
        <w:t>ICER</w:t>
      </w:r>
      <w:r w:rsidR="00C01102">
        <w:t xml:space="preserve"> of the resubmission</w:t>
      </w:r>
      <w:r w:rsidR="006D0400">
        <w:t xml:space="preserve"> ($</w:t>
      </w:r>
      <w:r w:rsidR="006A1C29">
        <w:t>35,000 to &lt; $45,000</w:t>
      </w:r>
      <w:r w:rsidR="006D0400">
        <w:t xml:space="preserve"> per QALY gained) remained underestimated due to optimistic assumptions </w:t>
      </w:r>
      <w:r w:rsidR="00111D90">
        <w:t xml:space="preserve">associated with </w:t>
      </w:r>
      <w:r w:rsidR="00AF2995">
        <w:t xml:space="preserve">data truncation, </w:t>
      </w:r>
      <w:r>
        <w:t>mortality</w:t>
      </w:r>
      <w:r w:rsidR="00111D90">
        <w:t xml:space="preserve">, </w:t>
      </w:r>
      <w:r>
        <w:t>hospitalisation</w:t>
      </w:r>
      <w:r w:rsidR="00111D90">
        <w:t xml:space="preserve"> and SRT</w:t>
      </w:r>
      <w:r w:rsidR="0083759B">
        <w:t xml:space="preserve"> rates</w:t>
      </w:r>
      <w:r w:rsidR="00111D90">
        <w:t xml:space="preserve">. </w:t>
      </w:r>
      <w:r>
        <w:t xml:space="preserve">The PBAC acknowledged that the pre-PBAC response accepted a data truncation point of </w:t>
      </w:r>
      <w:r w:rsidR="0062676D">
        <w:t>30 </w:t>
      </w:r>
      <w:r>
        <w:t>weeks in both arms of the economic mod</w:t>
      </w:r>
      <w:r w:rsidR="00D43EBD">
        <w:t>el</w:t>
      </w:r>
      <w:r w:rsidR="00111D90">
        <w:t>.</w:t>
      </w:r>
      <w:r w:rsidR="00C01102">
        <w:t xml:space="preserve"> The PBAC </w:t>
      </w:r>
      <w:r w:rsidR="00AF2995">
        <w:t>considered a respecified base case should also include</w:t>
      </w:r>
      <w:r w:rsidR="00C01102">
        <w:t xml:space="preserve"> </w:t>
      </w:r>
      <w:r w:rsidR="00AF2995">
        <w:t>more conservative</w:t>
      </w:r>
      <w:r w:rsidR="00C01102">
        <w:t xml:space="preserve"> assumptions for mortality, hospitalisation and SRT</w:t>
      </w:r>
      <w:r w:rsidR="00AF2995">
        <w:t xml:space="preserve"> rates. </w:t>
      </w:r>
      <w:r w:rsidR="00D43EBD">
        <w:t>A respecified base case was estimated during</w:t>
      </w:r>
      <w:r w:rsidR="00AF2995">
        <w:t xml:space="preserve"> PBAC</w:t>
      </w:r>
      <w:r w:rsidR="00D43EBD">
        <w:t xml:space="preserve"> consideration using parameters the PBAC advised should be applied </w:t>
      </w:r>
      <w:r w:rsidR="0083759B">
        <w:t xml:space="preserve">to </w:t>
      </w:r>
      <w:r w:rsidR="00D43EBD">
        <w:t xml:space="preserve">the economic </w:t>
      </w:r>
      <w:r w:rsidR="00D43EBD">
        <w:lastRenderedPageBreak/>
        <w:t>model and increased the</w:t>
      </w:r>
      <w:r w:rsidR="00C01102">
        <w:t xml:space="preserve"> ICER to $</w:t>
      </w:r>
      <w:r w:rsidR="006A1C29">
        <w:t>135,000 to &lt; $155,000</w:t>
      </w:r>
      <w:r w:rsidR="00C01102">
        <w:t xml:space="preserve"> </w:t>
      </w:r>
      <w:r w:rsidR="00D43EBD">
        <w:t>(</w:t>
      </w:r>
      <w:r w:rsidR="00D43EBD" w:rsidRPr="00541454">
        <w:rPr>
          <w:iCs/>
          <w:kern w:val="2"/>
          <w:lang w:eastAsia="en-US"/>
          <w14:ligatures w14:val="standardContextual"/>
        </w:rPr>
        <w:fldChar w:fldCharType="begin"/>
      </w:r>
      <w:r w:rsidR="00D43EBD" w:rsidRPr="00541454">
        <w:rPr>
          <w:iCs/>
          <w:kern w:val="2"/>
          <w:lang w:eastAsia="en-US"/>
          <w14:ligatures w14:val="standardContextual"/>
        </w:rPr>
        <w:instrText xml:space="preserve"> REF _Ref104804865 \h  \* MERGEFORMAT </w:instrText>
      </w:r>
      <w:r w:rsidR="00D43EBD" w:rsidRPr="00541454">
        <w:rPr>
          <w:iCs/>
          <w:kern w:val="2"/>
          <w:lang w:eastAsia="en-US"/>
          <w14:ligatures w14:val="standardContextual"/>
        </w:rPr>
      </w:r>
      <w:r w:rsidR="00D43EBD" w:rsidRPr="00541454">
        <w:rPr>
          <w:iCs/>
          <w:kern w:val="2"/>
          <w:lang w:eastAsia="en-US"/>
          <w14:ligatures w14:val="standardContextual"/>
        </w:rPr>
        <w:fldChar w:fldCharType="separate"/>
      </w:r>
      <w:r w:rsidR="00F84C70" w:rsidRPr="00F84C70">
        <w:rPr>
          <w:iCs/>
        </w:rPr>
        <w:t xml:space="preserve">Table </w:t>
      </w:r>
      <w:r w:rsidR="00F84C70" w:rsidRPr="00F84C70">
        <w:rPr>
          <w:iCs/>
          <w:noProof/>
        </w:rPr>
        <w:t>16</w:t>
      </w:r>
      <w:r w:rsidR="00D43EBD" w:rsidRPr="00541454">
        <w:rPr>
          <w:iCs/>
          <w:kern w:val="2"/>
          <w:lang w:eastAsia="en-US"/>
          <w14:ligatures w14:val="standardContextual"/>
        </w:rPr>
        <w:fldChar w:fldCharType="end"/>
      </w:r>
      <w:r w:rsidR="00D43EBD">
        <w:rPr>
          <w:iCs/>
          <w:kern w:val="2"/>
          <w:lang w:eastAsia="en-US"/>
          <w14:ligatures w14:val="standardContextual"/>
        </w:rPr>
        <w:t>).</w:t>
      </w:r>
      <w:bookmarkEnd w:id="115"/>
    </w:p>
    <w:p w14:paraId="690633DF" w14:textId="51EC1A0B" w:rsidR="00EA5082" w:rsidRDefault="00A73F73" w:rsidP="00EA5082">
      <w:pPr>
        <w:pStyle w:val="3-BodyText"/>
      </w:pPr>
      <w:r w:rsidRPr="00C67FBA">
        <w:rPr>
          <w:lang w:val="en-GB"/>
        </w:rPr>
        <w:t xml:space="preserve">The PBAC considered </w:t>
      </w:r>
      <w:r w:rsidR="00DB3992">
        <w:rPr>
          <w:lang w:val="en-GB"/>
        </w:rPr>
        <w:t>revisions to the</w:t>
      </w:r>
      <w:r w:rsidRPr="00C67FBA">
        <w:rPr>
          <w:lang w:val="en-GB"/>
        </w:rPr>
        <w:t xml:space="preserve"> financial estimates provided in the PSCR</w:t>
      </w:r>
      <w:r w:rsidR="00C67FBA" w:rsidRPr="00C67FBA">
        <w:rPr>
          <w:lang w:val="en-GB"/>
        </w:rPr>
        <w:t xml:space="preserve"> were </w:t>
      </w:r>
      <w:r w:rsidR="00DB3992">
        <w:rPr>
          <w:lang w:val="en-GB"/>
        </w:rPr>
        <w:t>appropriate</w:t>
      </w:r>
      <w:r w:rsidR="00830D31">
        <w:rPr>
          <w:lang w:val="en-GB"/>
        </w:rPr>
        <w:t xml:space="preserve">, but </w:t>
      </w:r>
      <w:r w:rsidR="00DB3992">
        <w:rPr>
          <w:lang w:val="en-GB"/>
        </w:rPr>
        <w:t xml:space="preserve">the estimates remained </w:t>
      </w:r>
      <w:r w:rsidR="00830D31">
        <w:rPr>
          <w:lang w:val="en-GB"/>
        </w:rPr>
        <w:t xml:space="preserve">high </w:t>
      </w:r>
      <w:r w:rsidR="00DB3992">
        <w:rPr>
          <w:lang w:val="en-GB"/>
        </w:rPr>
        <w:t>for a drug with moderate clinical benefit</w:t>
      </w:r>
      <w:proofErr w:type="gramStart"/>
      <w:r w:rsidR="00DB3992">
        <w:rPr>
          <w:lang w:val="en-GB"/>
        </w:rPr>
        <w:t xml:space="preserve">.  </w:t>
      </w:r>
      <w:proofErr w:type="gramEnd"/>
      <w:r w:rsidR="00DB3992">
        <w:rPr>
          <w:lang w:val="en-GB"/>
        </w:rPr>
        <w:t xml:space="preserve">There was also a risk of leakage into a patient population with less severe disease given the LVOT gradient required in the restriction is a variable measure and the </w:t>
      </w:r>
      <w:r w:rsidR="00DB3992">
        <w:t>possibility for mavacamten monotherapy to replace SOC treatment for many patients, rather than being used as an add-on therapy</w:t>
      </w:r>
      <w:r w:rsidR="00DB3992">
        <w:rPr>
          <w:lang w:val="en-GB"/>
        </w:rPr>
        <w:t xml:space="preserve"> </w:t>
      </w:r>
      <w:r w:rsidR="00DB3992" w:rsidRPr="003755F1">
        <w:t>(</w:t>
      </w:r>
      <w:r w:rsidR="00DB3992">
        <w:t xml:space="preserve">see </w:t>
      </w:r>
      <w:r w:rsidR="00DB3992" w:rsidRPr="00F55FEF">
        <w:t>para</w:t>
      </w:r>
      <w:r w:rsidR="00DB3992">
        <w:t>graph</w:t>
      </w:r>
      <w:r w:rsidR="00DB3992" w:rsidRPr="00F55FEF">
        <w:t xml:space="preserve"> 7.10 mavacamten</w:t>
      </w:r>
      <w:r w:rsidR="00DB3992">
        <w:t>,</w:t>
      </w:r>
      <w:r w:rsidR="00DB3992" w:rsidRPr="002B368A">
        <w:t xml:space="preserve"> </w:t>
      </w:r>
      <w:r w:rsidR="00DB3992">
        <w:t>Public Summary Document</w:t>
      </w:r>
      <w:r w:rsidR="00DB3992" w:rsidRPr="00F55FEF">
        <w:t>, November 2022 PBAC meeting</w:t>
      </w:r>
      <w:r w:rsidR="00DB3992">
        <w:t>)</w:t>
      </w:r>
      <w:r w:rsidR="00DB3992" w:rsidRPr="003755F1">
        <w:t>.</w:t>
      </w:r>
      <w:r w:rsidR="00DB3992">
        <w:t xml:space="preserve"> </w:t>
      </w:r>
      <w:r w:rsidR="00DB3992">
        <w:rPr>
          <w:lang w:val="en-GB"/>
        </w:rPr>
        <w:t xml:space="preserve">The PBAC noted a price reduction would </w:t>
      </w:r>
      <w:proofErr w:type="gramStart"/>
      <w:r w:rsidR="00DB3992">
        <w:rPr>
          <w:lang w:val="en-GB"/>
        </w:rPr>
        <w:t>be required</w:t>
      </w:r>
      <w:proofErr w:type="gramEnd"/>
      <w:r w:rsidR="00DB3992">
        <w:rPr>
          <w:lang w:val="en-GB"/>
        </w:rPr>
        <w:t xml:space="preserve"> to achieve cost-effectiveness which will reduce the financial estimates. However, the Committee</w:t>
      </w:r>
      <w:r w:rsidR="00830D31">
        <w:rPr>
          <w:lang w:val="en-GB"/>
        </w:rPr>
        <w:t xml:space="preserve"> </w:t>
      </w:r>
      <w:r w:rsidR="002B368A">
        <w:rPr>
          <w:lang w:val="en-GB"/>
        </w:rPr>
        <w:t xml:space="preserve">reaffirmed its previous advice that </w:t>
      </w:r>
      <w:r w:rsidR="002B368A" w:rsidRPr="003755F1">
        <w:t xml:space="preserve">an RSA would </w:t>
      </w:r>
      <w:proofErr w:type="gramStart"/>
      <w:r w:rsidR="002B368A" w:rsidRPr="003755F1">
        <w:t>be required</w:t>
      </w:r>
      <w:proofErr w:type="gramEnd"/>
      <w:r w:rsidR="00DF03F2">
        <w:t>, as this will</w:t>
      </w:r>
      <w:r w:rsidR="002B368A" w:rsidRPr="003755F1">
        <w:t xml:space="preserve"> manage the</w:t>
      </w:r>
      <w:r w:rsidR="00DB3992">
        <w:t xml:space="preserve"> risk of leakage</w:t>
      </w:r>
      <w:r w:rsidR="002B368A" w:rsidRPr="003755F1">
        <w:t>.</w:t>
      </w:r>
      <w:r w:rsidR="002B368A">
        <w:t xml:space="preserve"> The PBAC agreed with the ESC that the resubmission’s proposed RSA (</w:t>
      </w:r>
      <w:r w:rsidR="002B368A">
        <w:fldChar w:fldCharType="begin"/>
      </w:r>
      <w:r w:rsidR="002B368A">
        <w:instrText xml:space="preserve"> REF _Ref132318800 \h </w:instrText>
      </w:r>
      <w:r w:rsidR="002B368A">
        <w:fldChar w:fldCharType="separate"/>
      </w:r>
      <w:r w:rsidR="00F84C70">
        <w:t xml:space="preserve">Table </w:t>
      </w:r>
      <w:r w:rsidR="00F84C70">
        <w:rPr>
          <w:noProof/>
        </w:rPr>
        <w:t>21</w:t>
      </w:r>
      <w:r w:rsidR="002B368A">
        <w:fldChar w:fldCharType="end"/>
      </w:r>
      <w:r w:rsidR="002B368A">
        <w:t>)</w:t>
      </w:r>
      <w:r w:rsidR="002B368A" w:rsidRPr="002B368A">
        <w:t xml:space="preserve"> </w:t>
      </w:r>
      <w:r w:rsidR="002B368A">
        <w:t>was inadequate and posed an unreasonable proportion of the financial risk on Government.</w:t>
      </w:r>
    </w:p>
    <w:p w14:paraId="1C41BB3C" w14:textId="4EBB000D" w:rsidR="00C67FBA" w:rsidRPr="00616D0F" w:rsidRDefault="00616D0F" w:rsidP="000A385C">
      <w:pPr>
        <w:pStyle w:val="3-BodyText"/>
        <w:rPr>
          <w:lang w:val="en-GB"/>
        </w:rPr>
      </w:pPr>
      <w:r>
        <w:t xml:space="preserve">The PBAC considered the outstanding issues could be easily resolved in a simple resubmission for mavacamten using the early re-entry pathway. If the sponsor accepts this pathway, the following changes may address these outstanding issues without requiring further re-evaluation: </w:t>
      </w:r>
    </w:p>
    <w:p w14:paraId="76FDD314" w14:textId="408B8AD5" w:rsidR="00616D0F" w:rsidRDefault="00C42A2A" w:rsidP="00616D0F">
      <w:pPr>
        <w:pStyle w:val="3-BodyText"/>
        <w:numPr>
          <w:ilvl w:val="0"/>
          <w:numId w:val="41"/>
        </w:numPr>
        <w:rPr>
          <w:lang w:val="en-GB"/>
        </w:rPr>
      </w:pPr>
      <w:r>
        <w:rPr>
          <w:lang w:val="en-GB"/>
        </w:rPr>
        <w:t>r</w:t>
      </w:r>
      <w:r w:rsidR="00830D31">
        <w:rPr>
          <w:lang w:val="en-GB"/>
        </w:rPr>
        <w:t xml:space="preserve">evision to the restriction as outlined in paragraphs </w:t>
      </w:r>
      <w:r w:rsidR="001D3DA9">
        <w:rPr>
          <w:lang w:val="en-GB"/>
        </w:rPr>
        <w:fldChar w:fldCharType="begin"/>
      </w:r>
      <w:r w:rsidR="001D3DA9">
        <w:rPr>
          <w:lang w:val="en-GB"/>
        </w:rPr>
        <w:instrText xml:space="preserve"> REF _Ref142307347 \r \h </w:instrText>
      </w:r>
      <w:r w:rsidR="001D3DA9">
        <w:rPr>
          <w:lang w:val="en-GB"/>
        </w:rPr>
      </w:r>
      <w:r w:rsidR="001D3DA9">
        <w:rPr>
          <w:lang w:val="en-GB"/>
        </w:rPr>
        <w:fldChar w:fldCharType="separate"/>
      </w:r>
      <w:r w:rsidR="00F84C70">
        <w:rPr>
          <w:lang w:val="en-GB"/>
        </w:rPr>
        <w:t>7.4</w:t>
      </w:r>
      <w:r w:rsidR="001D3DA9">
        <w:rPr>
          <w:lang w:val="en-GB"/>
        </w:rPr>
        <w:fldChar w:fldCharType="end"/>
      </w:r>
      <w:r w:rsidR="0083759B">
        <w:rPr>
          <w:lang w:val="en-GB"/>
        </w:rPr>
        <w:fldChar w:fldCharType="begin"/>
      </w:r>
      <w:r w:rsidR="0083759B">
        <w:rPr>
          <w:lang w:val="en-GB"/>
        </w:rPr>
        <w:instrText xml:space="preserve"> REF _Ref141706139 \r \h </w:instrText>
      </w:r>
      <w:r w:rsidR="0083759B">
        <w:rPr>
          <w:lang w:val="en-GB"/>
        </w:rPr>
      </w:r>
      <w:r w:rsidR="00F84C70">
        <w:rPr>
          <w:lang w:val="en-GB"/>
        </w:rPr>
        <w:fldChar w:fldCharType="separate"/>
      </w:r>
      <w:r w:rsidR="00F84C70">
        <w:rPr>
          <w:lang w:val="en-GB"/>
        </w:rPr>
        <w:t>7.5</w:t>
      </w:r>
      <w:r w:rsidR="0083759B">
        <w:rPr>
          <w:lang w:val="en-GB"/>
        </w:rPr>
        <w:fldChar w:fldCharType="end"/>
      </w:r>
      <w:r w:rsidR="0083759B">
        <w:rPr>
          <w:lang w:val="en-GB"/>
        </w:rPr>
        <w:t xml:space="preserve"> </w:t>
      </w:r>
      <w:r>
        <w:rPr>
          <w:lang w:val="en-GB"/>
        </w:rPr>
        <w:fldChar w:fldCharType="begin"/>
      </w:r>
      <w:r>
        <w:rPr>
          <w:lang w:val="en-GB"/>
        </w:rPr>
        <w:instrText xml:space="preserve"> REF _Ref141706139 \r \p \h </w:instrText>
      </w:r>
      <w:r>
        <w:rPr>
          <w:lang w:val="en-GB"/>
        </w:rPr>
      </w:r>
      <w:r w:rsidR="00F84C70">
        <w:rPr>
          <w:lang w:val="en-GB"/>
        </w:rPr>
        <w:fldChar w:fldCharType="separate"/>
      </w:r>
      <w:r w:rsidR="00F84C70">
        <w:rPr>
          <w:lang w:val="en-GB"/>
        </w:rPr>
        <w:t>7.5 above</w:t>
      </w:r>
      <w:r>
        <w:rPr>
          <w:lang w:val="en-GB"/>
        </w:rPr>
        <w:fldChar w:fldCharType="end"/>
      </w:r>
      <w:r>
        <w:rPr>
          <w:rFonts w:cstheme="minorHAnsi"/>
          <w:lang w:val="en-GB"/>
        </w:rPr>
        <w:t>−</w:t>
      </w:r>
      <w:r w:rsidR="009C33ED">
        <w:rPr>
          <w:lang w:val="en-GB"/>
        </w:rPr>
        <w:fldChar w:fldCharType="begin"/>
      </w:r>
      <w:r w:rsidR="009C33ED">
        <w:rPr>
          <w:rFonts w:cstheme="minorHAnsi"/>
          <w:lang w:val="en-GB"/>
        </w:rPr>
        <w:instrText xml:space="preserve"> REF _Ref142056755 \r \h </w:instrText>
      </w:r>
      <w:r w:rsidR="009C33ED">
        <w:rPr>
          <w:lang w:val="en-GB"/>
        </w:rPr>
      </w:r>
      <w:r w:rsidR="009C33ED">
        <w:rPr>
          <w:lang w:val="en-GB"/>
        </w:rPr>
        <w:fldChar w:fldCharType="separate"/>
      </w:r>
      <w:r w:rsidR="00F84C70">
        <w:rPr>
          <w:rFonts w:cstheme="minorHAnsi"/>
          <w:lang w:val="en-GB"/>
        </w:rPr>
        <w:t>7.6</w:t>
      </w:r>
      <w:r w:rsidR="009C33ED">
        <w:rPr>
          <w:lang w:val="en-GB"/>
        </w:rPr>
        <w:fldChar w:fldCharType="end"/>
      </w:r>
      <w:r>
        <w:rPr>
          <w:lang w:val="en-GB"/>
        </w:rPr>
        <w:t>;</w:t>
      </w:r>
    </w:p>
    <w:p w14:paraId="13A90CA5" w14:textId="46BAB004" w:rsidR="00C42A2A" w:rsidRDefault="00C42A2A" w:rsidP="00616D0F">
      <w:pPr>
        <w:pStyle w:val="3-BodyText"/>
        <w:numPr>
          <w:ilvl w:val="0"/>
          <w:numId w:val="41"/>
        </w:numPr>
        <w:rPr>
          <w:lang w:val="en-GB"/>
        </w:rPr>
      </w:pPr>
      <w:r>
        <w:rPr>
          <w:lang w:val="en-GB"/>
        </w:rPr>
        <w:t>revision to the economic model as outlined in paragraph</w:t>
      </w:r>
      <w:r w:rsidR="0083759B">
        <w:rPr>
          <w:lang w:val="en-GB"/>
        </w:rPr>
        <w:t xml:space="preserve"> </w:t>
      </w:r>
      <w:r w:rsidR="0083759B">
        <w:rPr>
          <w:lang w:val="en-GB"/>
        </w:rPr>
        <w:fldChar w:fldCharType="begin"/>
      </w:r>
      <w:r w:rsidR="0083759B">
        <w:rPr>
          <w:lang w:val="en-GB"/>
        </w:rPr>
        <w:instrText xml:space="preserve"> REF _Ref141715941 \r \h </w:instrText>
      </w:r>
      <w:r w:rsidR="0083759B">
        <w:rPr>
          <w:lang w:val="en-GB"/>
        </w:rPr>
      </w:r>
      <w:r w:rsidR="0083759B">
        <w:rPr>
          <w:lang w:val="en-GB"/>
        </w:rPr>
        <w:fldChar w:fldCharType="separate"/>
      </w:r>
      <w:r w:rsidR="00F84C70">
        <w:rPr>
          <w:lang w:val="en-GB"/>
        </w:rPr>
        <w:t>7.11</w:t>
      </w:r>
      <w:r w:rsidR="0083759B">
        <w:rPr>
          <w:lang w:val="en-GB"/>
        </w:rPr>
        <w:fldChar w:fldCharType="end"/>
      </w:r>
      <w:r>
        <w:rPr>
          <w:lang w:val="en-GB"/>
        </w:rPr>
        <w:t>;</w:t>
      </w:r>
    </w:p>
    <w:p w14:paraId="25792E2E" w14:textId="556B2195" w:rsidR="00C42A2A" w:rsidRDefault="00DF73EC" w:rsidP="00616D0F">
      <w:pPr>
        <w:pStyle w:val="3-BodyText"/>
        <w:numPr>
          <w:ilvl w:val="0"/>
          <w:numId w:val="41"/>
        </w:numPr>
        <w:rPr>
          <w:lang w:val="en-GB"/>
        </w:rPr>
      </w:pPr>
      <w:r>
        <w:rPr>
          <w:lang w:val="en-GB"/>
        </w:rPr>
        <w:t xml:space="preserve">a </w:t>
      </w:r>
      <w:r w:rsidR="00C42A2A">
        <w:rPr>
          <w:lang w:val="en-GB"/>
        </w:rPr>
        <w:t xml:space="preserve">price reduction that results in an ICER of not more than $45,000 per QALY </w:t>
      </w:r>
      <w:proofErr w:type="gramStart"/>
      <w:r w:rsidR="00C42A2A">
        <w:rPr>
          <w:lang w:val="en-GB"/>
        </w:rPr>
        <w:t>gained;</w:t>
      </w:r>
      <w:proofErr w:type="gramEnd"/>
    </w:p>
    <w:p w14:paraId="11BD3801" w14:textId="1CD067AB" w:rsidR="00C42A2A" w:rsidRPr="00DF73EC" w:rsidRDefault="00DF73EC" w:rsidP="00DF73EC">
      <w:pPr>
        <w:pStyle w:val="3-BodyText"/>
        <w:numPr>
          <w:ilvl w:val="0"/>
          <w:numId w:val="41"/>
        </w:numPr>
        <w:rPr>
          <w:lang w:val="en-GB"/>
        </w:rPr>
      </w:pPr>
      <w:r w:rsidRPr="00525B77">
        <w:t>a</w:t>
      </w:r>
      <w:r>
        <w:t xml:space="preserve"> revised RSA inclusive of a</w:t>
      </w:r>
      <w:r w:rsidRPr="00525B77">
        <w:t xml:space="preserve"> </w:t>
      </w:r>
      <w:r>
        <w:t>10</w:t>
      </w:r>
      <w:r w:rsidRPr="00525B77">
        <w:t>0% rebate to Government</w:t>
      </w:r>
      <w:r>
        <w:rPr>
          <w:lang w:val="en-GB"/>
        </w:rPr>
        <w:t xml:space="preserve"> </w:t>
      </w:r>
      <w:r>
        <w:t xml:space="preserve">for </w:t>
      </w:r>
      <w:r w:rsidRPr="00525B77">
        <w:t xml:space="preserve">expenditure over </w:t>
      </w:r>
      <w:r w:rsidR="0083759B">
        <w:t>the</w:t>
      </w:r>
      <w:r w:rsidRPr="00525B77">
        <w:t xml:space="preserve"> subsidisation </w:t>
      </w:r>
      <w:r>
        <w:t>cap</w:t>
      </w:r>
      <w:r w:rsidR="00DB3992">
        <w:t xml:space="preserve"> using the revised financial estimates with a reduced drug price</w:t>
      </w:r>
      <w:r>
        <w:t>.</w:t>
      </w:r>
    </w:p>
    <w:p w14:paraId="3C877006" w14:textId="4F542CB7" w:rsidR="00616D0F" w:rsidRDefault="00616D0F" w:rsidP="00616D0F">
      <w:pPr>
        <w:widowControl w:val="0"/>
        <w:spacing w:after="120"/>
        <w:ind w:left="720"/>
        <w:rPr>
          <w:rFonts w:asciiTheme="minorHAnsi" w:hAnsiTheme="minorHAnsi"/>
          <w:snapToGrid w:val="0"/>
          <w:lang w:val="en-GB"/>
        </w:rPr>
      </w:pPr>
      <w:r w:rsidRPr="00783D74">
        <w:rPr>
          <w:rFonts w:asciiTheme="minorHAnsi" w:hAnsiTheme="minorHAnsi"/>
          <w:snapToGrid w:val="0"/>
          <w:lang w:val="en-GB"/>
        </w:rPr>
        <w:t xml:space="preserve">The early re-entry resubmission must be lodged by week </w:t>
      </w:r>
      <w:proofErr w:type="gramStart"/>
      <w:r w:rsidRPr="00783D74">
        <w:rPr>
          <w:rFonts w:asciiTheme="minorHAnsi" w:hAnsiTheme="minorHAnsi"/>
          <w:snapToGrid w:val="0"/>
          <w:lang w:val="en-GB"/>
        </w:rPr>
        <w:t>7</w:t>
      </w:r>
      <w:proofErr w:type="gramEnd"/>
      <w:r w:rsidRPr="00783D74">
        <w:rPr>
          <w:rFonts w:asciiTheme="minorHAnsi" w:hAnsiTheme="minorHAnsi"/>
          <w:snapToGrid w:val="0"/>
          <w:lang w:val="en-GB"/>
        </w:rPr>
        <w:t xml:space="preserve"> of the current PBAC cycle or the next cycle. If the issues cannot </w:t>
      </w:r>
      <w:proofErr w:type="gramStart"/>
      <w:r w:rsidRPr="00783D74">
        <w:rPr>
          <w:rFonts w:asciiTheme="minorHAnsi" w:hAnsiTheme="minorHAnsi"/>
          <w:snapToGrid w:val="0"/>
          <w:lang w:val="en-GB"/>
        </w:rPr>
        <w:t>be addressed</w:t>
      </w:r>
      <w:proofErr w:type="gramEnd"/>
      <w:r w:rsidRPr="00783D74">
        <w:rPr>
          <w:rFonts w:asciiTheme="minorHAnsi" w:hAnsiTheme="minorHAnsi"/>
          <w:snapToGrid w:val="0"/>
          <w:lang w:val="en-GB"/>
        </w:rPr>
        <w:t xml:space="preserve"> by the sponsor in a simple resubmission and the early re-entry timing is not acceptable, a standard re-entry pathway is available.</w:t>
      </w:r>
      <w:r w:rsidR="00DF73EC">
        <w:rPr>
          <w:rFonts w:asciiTheme="minorHAnsi" w:hAnsiTheme="minorHAnsi"/>
          <w:snapToGrid w:val="0"/>
          <w:lang w:val="en-GB"/>
        </w:rPr>
        <w:t xml:space="preserve"> The PBAC considered </w:t>
      </w:r>
      <w:r w:rsidR="0083759B">
        <w:rPr>
          <w:rFonts w:asciiTheme="minorHAnsi" w:hAnsiTheme="minorHAnsi"/>
          <w:snapToGrid w:val="0"/>
          <w:lang w:val="en-GB"/>
        </w:rPr>
        <w:t>a standard re-entry resubmission</w:t>
      </w:r>
      <w:r w:rsidR="001A30D2">
        <w:rPr>
          <w:rFonts w:asciiTheme="minorHAnsi" w:hAnsiTheme="minorHAnsi"/>
          <w:snapToGrid w:val="0"/>
          <w:lang w:val="en-GB"/>
        </w:rPr>
        <w:t xml:space="preserve"> that requested</w:t>
      </w:r>
      <w:r w:rsidR="0083759B">
        <w:rPr>
          <w:rFonts w:asciiTheme="minorHAnsi" w:hAnsiTheme="minorHAnsi"/>
          <w:snapToGrid w:val="0"/>
          <w:lang w:val="en-GB"/>
        </w:rPr>
        <w:t xml:space="preserve"> </w:t>
      </w:r>
      <w:r w:rsidR="00DF73EC">
        <w:rPr>
          <w:rFonts w:asciiTheme="minorHAnsi" w:hAnsiTheme="minorHAnsi"/>
          <w:snapToGrid w:val="0"/>
          <w:lang w:val="en-GB"/>
        </w:rPr>
        <w:t xml:space="preserve">mavacamten </w:t>
      </w:r>
      <w:r w:rsidR="001A30D2">
        <w:rPr>
          <w:rFonts w:asciiTheme="minorHAnsi" w:hAnsiTheme="minorHAnsi"/>
          <w:snapToGrid w:val="0"/>
          <w:lang w:val="en-GB"/>
        </w:rPr>
        <w:t xml:space="preserve">be PBS listed </w:t>
      </w:r>
      <w:r w:rsidR="00DF73EC">
        <w:rPr>
          <w:rFonts w:asciiTheme="minorHAnsi" w:hAnsiTheme="minorHAnsi"/>
          <w:snapToGrid w:val="0"/>
          <w:lang w:val="en-GB"/>
        </w:rPr>
        <w:t>at the current proposed price</w:t>
      </w:r>
      <w:r w:rsidR="0083759B">
        <w:rPr>
          <w:rFonts w:asciiTheme="minorHAnsi" w:hAnsiTheme="minorHAnsi"/>
          <w:snapToGrid w:val="0"/>
          <w:lang w:val="en-GB"/>
        </w:rPr>
        <w:t xml:space="preserve"> would need to reflect a</w:t>
      </w:r>
      <w:r w:rsidR="00DF73EC">
        <w:rPr>
          <w:rFonts w:asciiTheme="minorHAnsi" w:hAnsiTheme="minorHAnsi"/>
          <w:snapToGrid w:val="0"/>
          <w:lang w:val="en-GB"/>
        </w:rPr>
        <w:t xml:space="preserve"> smaller and high</w:t>
      </w:r>
      <w:r w:rsidR="0083759B">
        <w:rPr>
          <w:rFonts w:asciiTheme="minorHAnsi" w:hAnsiTheme="minorHAnsi"/>
          <w:snapToGrid w:val="0"/>
          <w:lang w:val="en-GB"/>
        </w:rPr>
        <w:t>er</w:t>
      </w:r>
      <w:r w:rsidR="00DF73EC">
        <w:rPr>
          <w:rFonts w:asciiTheme="minorHAnsi" w:hAnsiTheme="minorHAnsi"/>
          <w:snapToGrid w:val="0"/>
          <w:lang w:val="en-GB"/>
        </w:rPr>
        <w:t xml:space="preserve"> risk subgroup </w:t>
      </w:r>
      <w:r w:rsidR="0083759B">
        <w:rPr>
          <w:rFonts w:asciiTheme="minorHAnsi" w:hAnsiTheme="minorHAnsi"/>
          <w:snapToGrid w:val="0"/>
          <w:lang w:val="en-GB"/>
        </w:rPr>
        <w:t xml:space="preserve">than the </w:t>
      </w:r>
      <w:r w:rsidR="00DF73EC">
        <w:rPr>
          <w:rFonts w:asciiTheme="minorHAnsi" w:hAnsiTheme="minorHAnsi"/>
          <w:snapToGrid w:val="0"/>
          <w:lang w:val="en-GB"/>
        </w:rPr>
        <w:t>patient population</w:t>
      </w:r>
      <w:r w:rsidR="001A30D2">
        <w:rPr>
          <w:rFonts w:asciiTheme="minorHAnsi" w:hAnsiTheme="minorHAnsi"/>
          <w:snapToGrid w:val="0"/>
          <w:lang w:val="en-GB"/>
        </w:rPr>
        <w:t xml:space="preserve"> suggested by PBAC for the early re-entry resubmission</w:t>
      </w:r>
      <w:r w:rsidR="00DF73EC">
        <w:rPr>
          <w:rFonts w:asciiTheme="minorHAnsi" w:hAnsiTheme="minorHAnsi"/>
          <w:snapToGrid w:val="0"/>
          <w:lang w:val="en-GB"/>
        </w:rPr>
        <w:t>.</w:t>
      </w:r>
    </w:p>
    <w:p w14:paraId="32E15964" w14:textId="77777777" w:rsidR="00616D0F" w:rsidRPr="00403996" w:rsidRDefault="00616D0F" w:rsidP="00616D0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this submission is eligible for an Independent Review. </w:t>
      </w:r>
    </w:p>
    <w:p w14:paraId="4CE93F95" w14:textId="77777777" w:rsidR="004133FC" w:rsidRPr="00525B39" w:rsidRDefault="004133FC" w:rsidP="004133F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B390F19" w14:textId="1C43A551" w:rsidR="004133FC" w:rsidRPr="00525B39" w:rsidRDefault="004133FC" w:rsidP="004133FC">
      <w:pPr>
        <w:rPr>
          <w:rFonts w:asciiTheme="minorHAnsi" w:hAnsiTheme="minorHAnsi"/>
          <w:bCs/>
          <w:snapToGrid w:val="0"/>
          <w:lang w:val="en-GB"/>
        </w:rPr>
      </w:pPr>
      <w:r>
        <w:rPr>
          <w:rFonts w:asciiTheme="minorHAnsi" w:hAnsiTheme="minorHAnsi"/>
          <w:bCs/>
          <w:snapToGrid w:val="0"/>
          <w:lang w:val="en-GB"/>
        </w:rPr>
        <w:t>Not recommended</w:t>
      </w:r>
    </w:p>
    <w:p w14:paraId="4704EF00" w14:textId="77777777" w:rsidR="004133FC" w:rsidRPr="00525B39" w:rsidRDefault="004133FC" w:rsidP="004133FC">
      <w:pPr>
        <w:widowControl w:val="0"/>
        <w:rPr>
          <w:rFonts w:asciiTheme="minorHAnsi" w:hAnsiTheme="minorHAnsi"/>
          <w:b/>
          <w:bCs/>
          <w:snapToGrid w:val="0"/>
        </w:rPr>
      </w:pPr>
    </w:p>
    <w:bookmarkEnd w:id="108"/>
    <w:bookmarkEnd w:id="109"/>
    <w:p w14:paraId="659A3F2C" w14:textId="4BD65664" w:rsidR="009A5E40" w:rsidRPr="009A5E40" w:rsidRDefault="009A5E40" w:rsidP="009A5E40">
      <w:pPr>
        <w:pStyle w:val="2-SectionHeading"/>
        <w:numPr>
          <w:ilvl w:val="0"/>
          <w:numId w:val="1"/>
        </w:numPr>
      </w:pPr>
      <w:r w:rsidRPr="00C07617">
        <w:lastRenderedPageBreak/>
        <w:t>Context for Decision</w:t>
      </w:r>
    </w:p>
    <w:p w14:paraId="69766096" w14:textId="77777777" w:rsidR="009A5E40" w:rsidRPr="007129F2" w:rsidRDefault="009A5E40" w:rsidP="009A5E40">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7D644004" w14:textId="4E24A77C" w:rsidR="009A5E40" w:rsidRPr="009A5E40" w:rsidRDefault="009A5E40" w:rsidP="009A5E40">
      <w:pPr>
        <w:pStyle w:val="2-SectionHeading"/>
        <w:numPr>
          <w:ilvl w:val="0"/>
          <w:numId w:val="1"/>
        </w:numPr>
      </w:pPr>
      <w:r>
        <w:t>Sponsor’s Comment</w:t>
      </w:r>
    </w:p>
    <w:p w14:paraId="75B2571F" w14:textId="77777777" w:rsidR="006D6A5C" w:rsidRPr="006D6A5C" w:rsidRDefault="006D6A5C" w:rsidP="006D6A5C">
      <w:pPr>
        <w:pStyle w:val="3-BodyText"/>
        <w:numPr>
          <w:ilvl w:val="0"/>
          <w:numId w:val="0"/>
        </w:numPr>
        <w:ind w:left="720"/>
        <w:rPr>
          <w:snapToGrid/>
          <w:lang w:val="en-GB"/>
        </w:rPr>
      </w:pPr>
      <w:r w:rsidRPr="006D6A5C">
        <w:rPr>
          <w:snapToGrid/>
          <w:lang w:val="en-GB"/>
        </w:rPr>
        <w:t>Bristol-Myers Squibb Australia welcomes the PBAC's decision to resubmit via an early re-entry pathway and looks forward to continuing to work with the PBAC and the Department of Health to provide access to mavacamten for the treatment of adults with symptomatic obstructive hypertrophic cardiomyopathy (HCM).</w:t>
      </w:r>
    </w:p>
    <w:p w14:paraId="54D3FD23" w14:textId="15699125" w:rsidR="00D3212D" w:rsidRPr="00020BBA" w:rsidRDefault="00D3212D" w:rsidP="00491BB3">
      <w:pPr>
        <w:widowControl w:val="0"/>
        <w:spacing w:after="120"/>
        <w:rPr>
          <w:rFonts w:asciiTheme="minorHAnsi" w:hAnsiTheme="minorHAnsi"/>
          <w:snapToGrid w:val="0"/>
          <w:lang w:val="en-GB"/>
        </w:rPr>
      </w:pPr>
    </w:p>
    <w:sectPr w:rsidR="00D3212D" w:rsidRPr="00020BBA" w:rsidSect="00251006">
      <w:headerReference w:type="default" r:id="rId13"/>
      <w:footerReference w:type="defaul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1A47" w14:textId="77777777" w:rsidR="007D1E35" w:rsidRDefault="007D1E35" w:rsidP="00124A51">
      <w:r>
        <w:separator/>
      </w:r>
    </w:p>
    <w:p w14:paraId="25CCDA0E" w14:textId="77777777" w:rsidR="007D1E35" w:rsidRDefault="007D1E35"/>
  </w:endnote>
  <w:endnote w:type="continuationSeparator" w:id="0">
    <w:p w14:paraId="354E2C8F" w14:textId="77777777" w:rsidR="007D1E35" w:rsidRDefault="007D1E35" w:rsidP="00124A51">
      <w:r>
        <w:continuationSeparator/>
      </w:r>
    </w:p>
    <w:p w14:paraId="13103F5F" w14:textId="77777777" w:rsidR="007D1E35" w:rsidRDefault="007D1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Pro Cond Light">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3E4B" w14:textId="77777777" w:rsidR="009F1C09" w:rsidRDefault="009F1C09" w:rsidP="00753B29">
    <w:pPr>
      <w:pStyle w:val="Footer"/>
      <w:jc w:val="center"/>
    </w:pPr>
  </w:p>
  <w:bookmarkStart w:id="117" w:name="_Hlk76375156"/>
  <w:p w14:paraId="1FC58C9A" w14:textId="71030F34" w:rsidR="009F1C09" w:rsidRPr="007C1CD9" w:rsidRDefault="004B7249" w:rsidP="004B7249">
    <w:pPr>
      <w:pStyle w:val="Footer"/>
      <w:jc w:val="cente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1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25E1" w14:textId="77777777" w:rsidR="007D1E35" w:rsidRDefault="007D1E35" w:rsidP="00124A51">
      <w:r>
        <w:separator/>
      </w:r>
    </w:p>
    <w:p w14:paraId="0E37EBF4" w14:textId="77777777" w:rsidR="007D1E35" w:rsidRDefault="007D1E35"/>
  </w:footnote>
  <w:footnote w:type="continuationSeparator" w:id="0">
    <w:p w14:paraId="1310EC1A" w14:textId="77777777" w:rsidR="007D1E35" w:rsidRDefault="007D1E35" w:rsidP="00124A51">
      <w:r>
        <w:continuationSeparator/>
      </w:r>
    </w:p>
    <w:p w14:paraId="0B3E4B42" w14:textId="77777777" w:rsidR="007D1E35" w:rsidRDefault="007D1E35"/>
  </w:footnote>
  <w:footnote w:id="1">
    <w:p w14:paraId="0A3A8EDF" w14:textId="77777777" w:rsidR="009F1C09" w:rsidRDefault="009F1C09" w:rsidP="00215718">
      <w:pPr>
        <w:pStyle w:val="FootnoteText"/>
      </w:pPr>
      <w:r>
        <w:rPr>
          <w:rStyle w:val="FootnoteReference"/>
        </w:rPr>
        <w:footnoteRef/>
      </w:r>
      <w:r>
        <w:t xml:space="preserve"> </w:t>
      </w:r>
      <w:r>
        <w:rPr>
          <w:rStyle w:val="cf01"/>
        </w:rPr>
        <w:t xml:space="preserve">Maron, M. S., Olivotto, I., Zenovich, A. G., Link, M. S., Pandian, N. G., Kuvin, J. T., Nistri, S., Cecchi, F., Udelson, J. E., &amp; Maron, B. J. (2006). Hypertrophic cardiomyopathy is predominantly a disease of left ventricular outflow tract obstruction. </w:t>
      </w:r>
      <w:r>
        <w:rPr>
          <w:rStyle w:val="cf11"/>
        </w:rPr>
        <w:t>Circulation</w:t>
      </w:r>
      <w:r>
        <w:rPr>
          <w:rStyle w:val="cf01"/>
        </w:rPr>
        <w:t xml:space="preserve">, </w:t>
      </w:r>
      <w:r>
        <w:rPr>
          <w:rStyle w:val="cf11"/>
        </w:rPr>
        <w:t>114</w:t>
      </w:r>
      <w:r>
        <w:rPr>
          <w:rStyle w:val="cf01"/>
        </w:rPr>
        <w:t>(21), 2232–2239. https://doi.org/10.1161/CIRCULATIONAHA.106.644682</w:t>
      </w:r>
    </w:p>
  </w:footnote>
  <w:footnote w:id="2">
    <w:p w14:paraId="50014213" w14:textId="55DC319D" w:rsidR="00A2033E" w:rsidRDefault="00A2033E" w:rsidP="00BA2FAC">
      <w:pPr>
        <w:pStyle w:val="FootnoteText"/>
      </w:pPr>
      <w:r>
        <w:rPr>
          <w:rStyle w:val="FootnoteReference"/>
        </w:rPr>
        <w:footnoteRef/>
      </w:r>
      <w:r>
        <w:t xml:space="preserve"> Mas</w:t>
      </w:r>
      <w:r w:rsidR="00BA2FAC">
        <w:t>ri et al. 2023. Long-term safety and efficacy of mavacamten in patients with symptomatic obstructive hypertrophic cardiomyopathy: updated results from the PIONEER-OLE study. Poster 1066-07. American College of Cardiology (ACC)/World Congress of Cardiology (WCC).</w:t>
      </w:r>
    </w:p>
  </w:footnote>
  <w:footnote w:id="3">
    <w:p w14:paraId="36FEFE8E" w14:textId="484003C3" w:rsidR="009F1C09" w:rsidRDefault="009F1C09">
      <w:pPr>
        <w:pStyle w:val="FootnoteText"/>
      </w:pPr>
      <w:r>
        <w:rPr>
          <w:rStyle w:val="FootnoteReference"/>
        </w:rPr>
        <w:footnoteRef/>
      </w:r>
      <w:r>
        <w:t xml:space="preserve"> </w:t>
      </w:r>
      <w:r w:rsidRPr="00C52A32">
        <w:t xml:space="preserve">Fiuzat, M., Lowy, N., Stockbridge, N., Sbolli, M., Latta, F., Lindenfeld, J., Lewis, E. F., Abraham, W. T., Teerlink, J., Walsh, M., Heidenreich, P., Bozkurt, B., Starling, R. C., Solomon, S., Felker, G. M., Butler, J., Yancy, C., Stevenson, L. W., O’Connor, C., … McMurray, J. (2020). Endpoints in Heart Failure Drug Development: History and Future. JACC Heart Fail, 8(6), 429–440. </w:t>
      </w:r>
      <w:hyperlink r:id="rId1" w:history="1">
        <w:r w:rsidRPr="00B938A9">
          <w:rPr>
            <w:rStyle w:val="Hyperlink"/>
          </w:rPr>
          <w:t>https://doi.org/10.1016/j.jchf.2019.12.011</w:t>
        </w:r>
      </w:hyperlink>
      <w:r>
        <w:t xml:space="preserve"> </w:t>
      </w:r>
    </w:p>
  </w:footnote>
  <w:footnote w:id="4">
    <w:p w14:paraId="7B2A1DBF" w14:textId="5233F15E" w:rsidR="009F1C09" w:rsidRDefault="009F1C09">
      <w:pPr>
        <w:pStyle w:val="FootnoteText"/>
      </w:pPr>
      <w:r>
        <w:rPr>
          <w:rStyle w:val="FootnoteReference"/>
        </w:rPr>
        <w:footnoteRef/>
      </w:r>
      <w:r>
        <w:t xml:space="preserve"> Karapolat, H., Eyigor, S., Durmaz, B., Nalbantgil, S., Yagdi, T., &amp; Zoghi, M. (2008). The effect of functional performance, respiratory function and osteopenia on the quality of life after heart transplantation. Int J Cardiol, 124(3), 381–383. </w:t>
      </w:r>
      <w:hyperlink r:id="rId2" w:history="1">
        <w:r w:rsidRPr="00B938A9">
          <w:rPr>
            <w:rStyle w:val="Hyperlink"/>
          </w:rPr>
          <w:t>https://doi.org/10.1016/j.ijcard.2006.12.053</w:t>
        </w:r>
      </w:hyperlink>
      <w:r>
        <w:t xml:space="preserve"> </w:t>
      </w:r>
    </w:p>
  </w:footnote>
  <w:footnote w:id="5">
    <w:p w14:paraId="039A8C24" w14:textId="39517DC7" w:rsidR="009F1C09" w:rsidRDefault="009F1C09">
      <w:pPr>
        <w:pStyle w:val="FootnoteText"/>
      </w:pPr>
      <w:r>
        <w:rPr>
          <w:rStyle w:val="FootnoteReference"/>
        </w:rPr>
        <w:footnoteRef/>
      </w:r>
      <w:r>
        <w:t xml:space="preserve"> </w:t>
      </w:r>
      <w:r w:rsidRPr="00460E23">
        <w:t xml:space="preserve">Tompkins, J. D. v, Day, S. M., Jacoby, D. L., Colan, S. D., Olivotto, I., Ashley, E. A., Sehnert, A. J., Ho, C. Y., &amp; null, null. (2018). Abstract 14251: Peak Oxygen Consumption is an Independent Predictor of Survival and Outcomes in Obstructive and Non-Obstructive Hypertrophic Cardiomyopathy (HCM) Patients: Results </w:t>
      </w:r>
      <w:proofErr w:type="gramStart"/>
      <w:r w:rsidRPr="00460E23">
        <w:t>From</w:t>
      </w:r>
      <w:proofErr w:type="gramEnd"/>
      <w:r w:rsidRPr="00460E23">
        <w:t xml:space="preserve"> the International Sarcomeric Human Cardiomyopathies Registry (SHaRe). Circulation, 138(Suppl_1), A14251–A14251. </w:t>
      </w:r>
      <w:hyperlink r:id="rId3" w:history="1">
        <w:r w:rsidRPr="00B938A9">
          <w:rPr>
            <w:rStyle w:val="Hyperlink"/>
          </w:rPr>
          <w:t>https://doi.org/10.1161/circ.138.suppl_1.14251</w:t>
        </w:r>
      </w:hyperlink>
      <w:r>
        <w:t xml:space="preserve"> </w:t>
      </w:r>
    </w:p>
  </w:footnote>
  <w:footnote w:id="6">
    <w:p w14:paraId="014C905B" w14:textId="6471F293" w:rsidR="009F1C09" w:rsidRDefault="009F1C09">
      <w:pPr>
        <w:pStyle w:val="FootnoteText"/>
      </w:pPr>
      <w:r>
        <w:rPr>
          <w:rStyle w:val="FootnoteReference"/>
        </w:rPr>
        <w:footnoteRef/>
      </w:r>
      <w:r>
        <w:t xml:space="preserve"> </w:t>
      </w:r>
      <w:r w:rsidRPr="00C24092">
        <w:t xml:space="preserve">Bennett, J. A., Riegel, B., Bittner, V., &amp; Nichols, J. (2002). Validity and reliability of the NYHA classes for measuring research outcomes in patients with cardiac disease. Heart Lung, 31(4), 262–270. </w:t>
      </w:r>
      <w:hyperlink r:id="rId4" w:history="1">
        <w:r w:rsidRPr="00B938A9">
          <w:rPr>
            <w:rStyle w:val="Hyperlink"/>
          </w:rPr>
          <w:t>https://doi.org/10.1067/mhl.2002.124554</w:t>
        </w:r>
      </w:hyperlink>
      <w:r>
        <w:t xml:space="preserve"> </w:t>
      </w:r>
    </w:p>
  </w:footnote>
  <w:footnote w:id="7">
    <w:p w14:paraId="4AC592ED" w14:textId="7662780D" w:rsidR="009F1C09" w:rsidRDefault="009F1C09">
      <w:pPr>
        <w:pStyle w:val="FootnoteText"/>
      </w:pPr>
      <w:r>
        <w:rPr>
          <w:rStyle w:val="FootnoteReference"/>
        </w:rPr>
        <w:footnoteRef/>
      </w:r>
      <w:r>
        <w:t xml:space="preserve"> </w:t>
      </w:r>
      <w:r w:rsidRPr="000C40CC">
        <w:t xml:space="preserve">Lakdawala, N., Saberi, S., Day, S., Ingles, J., Semsarian, C., Olivotto, I., Ho, C., Fine, J., Xu, Y., Sutton, M., Xie, J., &amp; Wang, Y. (2022). New York Heart Association Functional Class </w:t>
      </w:r>
      <w:proofErr w:type="gramStart"/>
      <w:r w:rsidRPr="000C40CC">
        <w:t>And</w:t>
      </w:r>
      <w:proofErr w:type="gramEnd"/>
      <w:r w:rsidRPr="000C40CC">
        <w:t xml:space="preserve"> Mortality In Obstructive Hypertrophic Cardiomyopathy. Journal of Cardiac Failure, 28(5, Supplement), S37–S38. </w:t>
      </w:r>
      <w:hyperlink r:id="rId5" w:history="1">
        <w:r w:rsidRPr="00B938A9">
          <w:rPr>
            <w:rStyle w:val="Hyperlink"/>
          </w:rPr>
          <w:t>https://doi.org/https://doi.org/10.1016/j.cardfail.2022.03.101</w:t>
        </w:r>
      </w:hyperlink>
      <w:r>
        <w:t xml:space="preserve"> </w:t>
      </w:r>
    </w:p>
  </w:footnote>
  <w:footnote w:id="8">
    <w:p w14:paraId="4143D9C8" w14:textId="4090CC60" w:rsidR="009F1C09" w:rsidRDefault="009F1C09">
      <w:pPr>
        <w:pStyle w:val="FootnoteText"/>
      </w:pPr>
      <w:r>
        <w:rPr>
          <w:rStyle w:val="FootnoteReference"/>
        </w:rPr>
        <w:footnoteRef/>
      </w:r>
      <w:r>
        <w:t xml:space="preserve"> </w:t>
      </w:r>
      <w:r w:rsidRPr="005A41C5">
        <w:t xml:space="preserve">Gallagher, A. M., Lucas, R., &amp; Cowie, M. R. (2019). Assessing health-related quality of life in heart failure patients attending an outpatient clinic: a pragmatic approach. ESC Heart Fail, 6(1), 3–9. </w:t>
      </w:r>
      <w:hyperlink r:id="rId6" w:history="1">
        <w:r w:rsidRPr="00B938A9">
          <w:rPr>
            <w:rStyle w:val="Hyperlink"/>
          </w:rPr>
          <w:t>https://doi.org/10.1002/ehf2.12363</w:t>
        </w:r>
      </w:hyperlink>
      <w:r>
        <w:t xml:space="preserve"> </w:t>
      </w:r>
    </w:p>
  </w:footnote>
  <w:footnote w:id="9">
    <w:p w14:paraId="2903D380" w14:textId="4CB9F021" w:rsidR="009F1C09" w:rsidRDefault="009F1C09">
      <w:pPr>
        <w:pStyle w:val="FootnoteText"/>
      </w:pPr>
      <w:r>
        <w:rPr>
          <w:rStyle w:val="FootnoteReference"/>
        </w:rPr>
        <w:footnoteRef/>
      </w:r>
      <w:r>
        <w:t xml:space="preserve"> </w:t>
      </w:r>
      <w:r w:rsidRPr="00EC298D">
        <w:t xml:space="preserve">Wang, Y., Li, S., Gao, W., Jiang, J., Wei, Z., Sandler, B., Li, X., &amp; Zema, C. (2022). OUTCOMES BY NEW YORK HEART ASSOCIATION CLASS AMONG PATIENTS WITH OBSTRUCTIVE HYPERTROPHIC CARDIOMYOPATHY. Journal of the American College of Cardiology, 79(9_Supplement), 238. </w:t>
      </w:r>
      <w:hyperlink r:id="rId7" w:history="1">
        <w:r w:rsidRPr="00B938A9">
          <w:rPr>
            <w:rStyle w:val="Hyperlink"/>
          </w:rPr>
          <w:t>https://doi.org/10.1016/S0735-1097(22)01229-3</w:t>
        </w:r>
      </w:hyperlink>
      <w:r>
        <w:t xml:space="preserve"> </w:t>
      </w:r>
    </w:p>
  </w:footnote>
  <w:footnote w:id="10">
    <w:p w14:paraId="6AB5F6FE" w14:textId="1F45471F" w:rsidR="009F1C09" w:rsidRDefault="009F1C09">
      <w:pPr>
        <w:pStyle w:val="FootnoteText"/>
      </w:pPr>
      <w:r>
        <w:rPr>
          <w:rStyle w:val="FootnoteReference"/>
        </w:rPr>
        <w:footnoteRef/>
      </w:r>
      <w:r>
        <w:t xml:space="preserve"> </w:t>
      </w:r>
      <w:r w:rsidRPr="0099476D">
        <w:t>Jacobsen M-H B, Petersen J K, Modin D et al. Long-term mortality in patients with hypertrophic cardiomyopathy – A Danish nationwide study. American Heart Journal Plus: Cardiology Research and Practice 25(2023) 100244.</w:t>
      </w:r>
    </w:p>
  </w:footnote>
  <w:footnote w:id="11">
    <w:p w14:paraId="1EAFB516" w14:textId="77777777" w:rsidR="009F1C09" w:rsidRPr="00053B86" w:rsidRDefault="009F1C09" w:rsidP="00053B86">
      <w:pPr>
        <w:rPr>
          <w:sz w:val="20"/>
          <w:szCs w:val="20"/>
        </w:rPr>
      </w:pPr>
      <w:r>
        <w:rPr>
          <w:rStyle w:val="FootnoteReference"/>
        </w:rPr>
        <w:footnoteRef/>
      </w:r>
      <w:r>
        <w:t xml:space="preserve"> </w:t>
      </w:r>
      <w:r w:rsidRPr="00053B86">
        <w:rPr>
          <w:sz w:val="20"/>
          <w:szCs w:val="20"/>
        </w:rPr>
        <w:t xml:space="preserve">Zampieri, M., Salvi, </w:t>
      </w:r>
      <w:proofErr w:type="gramStart"/>
      <w:r w:rsidRPr="00053B86">
        <w:rPr>
          <w:sz w:val="20"/>
          <w:szCs w:val="20"/>
        </w:rPr>
        <w:t>S,.</w:t>
      </w:r>
      <w:proofErr w:type="gramEnd"/>
      <w:r w:rsidRPr="00053B86">
        <w:rPr>
          <w:sz w:val="20"/>
          <w:szCs w:val="20"/>
        </w:rPr>
        <w:t xml:space="preserve"> Fumagalli, C, et al., Clinical scenarios of HCM-related mortality: Relevance of age and stage of disease at presentation, International Journal of Cardiology (2023), https://doi.org/10.1016/j.ijcard.2022.12.056.</w:t>
      </w:r>
    </w:p>
    <w:p w14:paraId="1CB3C967" w14:textId="55C2C497" w:rsidR="009F1C09" w:rsidRDefault="009F1C09">
      <w:pPr>
        <w:pStyle w:val="FootnoteText"/>
      </w:pPr>
    </w:p>
  </w:footnote>
  <w:footnote w:id="12">
    <w:p w14:paraId="0387C2F4" w14:textId="77777777" w:rsidR="009F1C09" w:rsidRPr="00AB22B0" w:rsidRDefault="009F1C09" w:rsidP="00865BE3">
      <w:pPr>
        <w:pStyle w:val="FootnoteText"/>
        <w:rPr>
          <w:sz w:val="18"/>
          <w:szCs w:val="18"/>
        </w:rPr>
      </w:pPr>
      <w:r w:rsidRPr="00AB22B0">
        <w:rPr>
          <w:rStyle w:val="FootnoteReference"/>
          <w:sz w:val="18"/>
          <w:szCs w:val="18"/>
        </w:rPr>
        <w:footnoteRef/>
      </w:r>
      <w:r w:rsidRPr="00AB22B0">
        <w:rPr>
          <w:sz w:val="18"/>
          <w:szCs w:val="18"/>
        </w:rPr>
        <w:t xml:space="preserve"> Australian Institute of Health and Welfare. Hospital Performance: Costs of acute admitted patients in public hospitals in 2011–12.  2015; Available from: </w:t>
      </w:r>
      <w:hyperlink r:id="rId8" w:history="1">
        <w:r w:rsidRPr="00AB22B0">
          <w:rPr>
            <w:rStyle w:val="Hyperlink"/>
            <w:sz w:val="18"/>
            <w:szCs w:val="18"/>
          </w:rPr>
          <w:t>https://www.aihw.gov.au/reports/hospitals/hospital-performance-costs-acute-patients-2011-12/contents/key-findings</w:t>
        </w:r>
      </w:hyperlink>
      <w:r w:rsidRPr="00AB22B0">
        <w:rPr>
          <w:sz w:val="18"/>
          <w:szCs w:val="18"/>
        </w:rPr>
        <w:t>. [Accessed August 2022].</w:t>
      </w:r>
    </w:p>
  </w:footnote>
  <w:footnote w:id="13">
    <w:p w14:paraId="212A431F" w14:textId="6D5DAE29" w:rsidR="00AB22B0" w:rsidRPr="00544E1D" w:rsidRDefault="00AB22B0">
      <w:pPr>
        <w:pStyle w:val="FootnoteText"/>
        <w:rPr>
          <w:sz w:val="18"/>
          <w:szCs w:val="18"/>
        </w:rPr>
      </w:pPr>
      <w:r w:rsidRPr="00544E1D">
        <w:rPr>
          <w:rStyle w:val="FootnoteReference"/>
          <w:sz w:val="18"/>
          <w:szCs w:val="18"/>
        </w:rPr>
        <w:footnoteRef/>
      </w:r>
      <w:r w:rsidRPr="00544E1D">
        <w:rPr>
          <w:sz w:val="18"/>
          <w:szCs w:val="18"/>
        </w:rPr>
        <w:t xml:space="preserve"> Osman F, Zema C, Hurst M et al. Long-term cardiovascular outcomes and events by New York Heart Association class in patients with obstructive hypertrophic cardiomyopathy in England. May 2023 ESC-HFA Presentation 60737.</w:t>
      </w:r>
    </w:p>
  </w:footnote>
  <w:footnote w:id="14">
    <w:p w14:paraId="225E61A4" w14:textId="6A07B240" w:rsidR="00AB22B0" w:rsidRDefault="00AB22B0">
      <w:pPr>
        <w:pStyle w:val="FootnoteText"/>
      </w:pPr>
      <w:r w:rsidRPr="00544E1D">
        <w:rPr>
          <w:rStyle w:val="FootnoteReference"/>
          <w:sz w:val="18"/>
          <w:szCs w:val="18"/>
        </w:rPr>
        <w:footnoteRef/>
      </w:r>
      <w:r w:rsidRPr="00544E1D">
        <w:rPr>
          <w:sz w:val="18"/>
          <w:szCs w:val="18"/>
        </w:rPr>
        <w:t xml:space="preserve"> Charron P, Zema C, Cotte F-E et al. Clinical burden of obstructive hypertrophic cardiomyopathy: insights from a nationwide study in France. May 2023 European Society of Cardiology – Heart Failure Association Presentation 60869.</w:t>
      </w:r>
    </w:p>
  </w:footnote>
  <w:footnote w:id="15">
    <w:p w14:paraId="4A053291" w14:textId="1A8B9814" w:rsidR="006E006C" w:rsidRPr="006E006C" w:rsidRDefault="006E006C">
      <w:pPr>
        <w:pStyle w:val="FootnoteText"/>
        <w:rPr>
          <w:sz w:val="18"/>
          <w:szCs w:val="18"/>
        </w:rPr>
      </w:pPr>
      <w:r w:rsidRPr="006E006C">
        <w:rPr>
          <w:rStyle w:val="FootnoteReference"/>
          <w:sz w:val="18"/>
          <w:szCs w:val="18"/>
        </w:rPr>
        <w:footnoteRef/>
      </w:r>
      <w:r w:rsidRPr="006E006C">
        <w:rPr>
          <w:sz w:val="18"/>
          <w:szCs w:val="18"/>
        </w:rPr>
        <w:t xml:space="preserve"> Wang Y, Gao W, Gao S et al. Healthcare resource utilization and costs associated with New York Heart Association functional class in patients with obstructive hypertrophic cardiomyopathy in the United States. Submitted abstract to AHA 2023</w:t>
      </w:r>
    </w:p>
  </w:footnote>
  <w:footnote w:id="16">
    <w:p w14:paraId="0420970F" w14:textId="5DBB8FE5" w:rsidR="00823CBD" w:rsidRPr="00AB22B0" w:rsidRDefault="00823CBD">
      <w:pPr>
        <w:pStyle w:val="FootnoteText"/>
        <w:rPr>
          <w:sz w:val="18"/>
          <w:szCs w:val="18"/>
        </w:rPr>
      </w:pPr>
      <w:r w:rsidRPr="00AB22B0">
        <w:rPr>
          <w:rStyle w:val="FootnoteReference"/>
          <w:sz w:val="18"/>
          <w:szCs w:val="18"/>
        </w:rPr>
        <w:footnoteRef/>
      </w:r>
      <w:r w:rsidRPr="00AB22B0">
        <w:rPr>
          <w:sz w:val="18"/>
          <w:szCs w:val="18"/>
        </w:rPr>
        <w:t xml:space="preserve"> </w:t>
      </w:r>
      <w:r w:rsidR="004E5462" w:rsidRPr="00AB22B0">
        <w:rPr>
          <w:sz w:val="18"/>
          <w:szCs w:val="18"/>
        </w:rPr>
        <w:t>Sun, D. Schaff H. V., Van Houten, H. K., et al. (2022) Longitudinal Cost of Septal Myectomy Versus Alcohol Septal Ablation for Hypertrophic Cardiomyopathy. Mayo Clin Proc. 97(9), 1656-1663.</w:t>
      </w:r>
    </w:p>
  </w:footnote>
  <w:footnote w:id="17">
    <w:p w14:paraId="4A169ED4" w14:textId="77777777" w:rsidR="004E5462" w:rsidRPr="00AB22B0" w:rsidRDefault="004E5462" w:rsidP="004E5462">
      <w:pPr>
        <w:pStyle w:val="FootnoteText"/>
        <w:rPr>
          <w:sz w:val="18"/>
          <w:szCs w:val="18"/>
        </w:rPr>
      </w:pPr>
      <w:r w:rsidRPr="00AB22B0">
        <w:rPr>
          <w:rStyle w:val="FootnoteReference"/>
          <w:sz w:val="18"/>
          <w:szCs w:val="18"/>
        </w:rPr>
        <w:footnoteRef/>
      </w:r>
      <w:r w:rsidRPr="00AB22B0">
        <w:rPr>
          <w:sz w:val="18"/>
          <w:szCs w:val="18"/>
        </w:rPr>
        <w:t xml:space="preserve"> Sun, D. Schaff H. V., Van Houten, H. K., et al. (2022) Longitudinal Cost of Septal Myectomy Versus Alcohol Septal Ablation for Hypertrophic Cardiomyopathy. Mayo Clin Proc. 97(9), 1656-1663.</w:t>
      </w:r>
    </w:p>
  </w:footnote>
  <w:footnote w:id="18">
    <w:p w14:paraId="5FD49165" w14:textId="44632BEE" w:rsidR="004E5462" w:rsidRDefault="004E5462">
      <w:pPr>
        <w:pStyle w:val="FootnoteText"/>
      </w:pPr>
      <w:r w:rsidRPr="00AB22B0">
        <w:rPr>
          <w:rStyle w:val="FootnoteReference"/>
          <w:sz w:val="18"/>
          <w:szCs w:val="18"/>
        </w:rPr>
        <w:footnoteRef/>
      </w:r>
      <w:r w:rsidRPr="00AB22B0">
        <w:rPr>
          <w:sz w:val="18"/>
          <w:szCs w:val="18"/>
        </w:rPr>
        <w:t xml:space="preserve"> Nagueh, S. F., Groves B. M., Schwartz L et al (2011). Alcohol septal ablation for the treatment of hypertrophic obstructive cardiomyopathy. A multicenter North American registry. J Am Coll Cardiol, 58(22), 2322-2328.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09C3" w14:textId="098A5276" w:rsidR="004B7249" w:rsidRPr="00056684" w:rsidRDefault="009A5E40" w:rsidP="004B7249">
    <w:pPr>
      <w:pStyle w:val="Header"/>
      <w:ind w:left="360"/>
      <w:rPr>
        <w:rFonts w:asciiTheme="minorHAnsi" w:hAnsiTheme="minorHAnsi"/>
        <w:i/>
        <w:color w:val="808080"/>
      </w:rPr>
    </w:pPr>
    <w:bookmarkStart w:id="116" w:name="_Hlk76375146"/>
    <w:r>
      <w:rPr>
        <w:rFonts w:asciiTheme="minorHAnsi" w:hAnsiTheme="minorHAnsi"/>
        <w:i/>
        <w:color w:val="808080"/>
      </w:rPr>
      <w:t>Public Summary Document</w:t>
    </w:r>
    <w:r w:rsidR="00E958E4">
      <w:rPr>
        <w:rFonts w:asciiTheme="minorHAnsi" w:hAnsiTheme="minorHAnsi"/>
        <w:i/>
        <w:color w:val="808080"/>
      </w:rPr>
      <w:t xml:space="preserve"> </w:t>
    </w:r>
    <w:r w:rsidR="004B7249" w:rsidRPr="00056684">
      <w:rPr>
        <w:rFonts w:asciiTheme="minorHAnsi" w:hAnsiTheme="minorHAnsi"/>
        <w:i/>
        <w:color w:val="808080"/>
      </w:rPr>
      <w:t xml:space="preserve">– </w:t>
    </w:r>
    <w:r w:rsidR="004B7249">
      <w:rPr>
        <w:rFonts w:asciiTheme="minorHAnsi" w:hAnsiTheme="minorHAnsi"/>
        <w:i/>
        <w:color w:val="808080"/>
      </w:rPr>
      <w:t>July 2023</w:t>
    </w:r>
    <w:r w:rsidR="004B7249" w:rsidRPr="00056684">
      <w:rPr>
        <w:rFonts w:asciiTheme="minorHAnsi" w:hAnsiTheme="minorHAnsi"/>
        <w:i/>
        <w:color w:val="808080"/>
      </w:rPr>
      <w:t xml:space="preserve"> PBAC Meeting</w:t>
    </w:r>
  </w:p>
  <w:bookmarkEnd w:id="116"/>
  <w:p w14:paraId="277D3A0B" w14:textId="77777777" w:rsidR="009F1C09" w:rsidRPr="008C7ECB" w:rsidRDefault="009F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B820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F3621"/>
    <w:multiLevelType w:val="hybridMultilevel"/>
    <w:tmpl w:val="D5466232"/>
    <w:lvl w:ilvl="0" w:tplc="B50C2A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13A"/>
    <w:multiLevelType w:val="hybridMultilevel"/>
    <w:tmpl w:val="056679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9E34779"/>
    <w:multiLevelType w:val="multilevel"/>
    <w:tmpl w:val="EDB01700"/>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E301BD"/>
    <w:multiLevelType w:val="hybridMultilevel"/>
    <w:tmpl w:val="163C3912"/>
    <w:lvl w:ilvl="0" w:tplc="B50C2A1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1B6F79"/>
    <w:multiLevelType w:val="hybridMultilevel"/>
    <w:tmpl w:val="746CC5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06907DA"/>
    <w:multiLevelType w:val="hybridMultilevel"/>
    <w:tmpl w:val="B1E2C0E8"/>
    <w:lvl w:ilvl="0" w:tplc="0C090001">
      <w:start w:val="1"/>
      <w:numFmt w:val="bullet"/>
      <w:lvlText w:val=""/>
      <w:lvlJc w:val="left"/>
      <w:pPr>
        <w:ind w:left="884" w:hanging="360"/>
      </w:pPr>
      <w:rPr>
        <w:rFonts w:ascii="Symbol" w:hAnsi="Symbol" w:hint="default"/>
      </w:rPr>
    </w:lvl>
    <w:lvl w:ilvl="1" w:tplc="0C090003">
      <w:start w:val="1"/>
      <w:numFmt w:val="bullet"/>
      <w:lvlText w:val="o"/>
      <w:lvlJc w:val="left"/>
      <w:pPr>
        <w:ind w:left="1604" w:hanging="360"/>
      </w:pPr>
      <w:rPr>
        <w:rFonts w:ascii="Courier New" w:hAnsi="Courier New" w:cs="Courier New" w:hint="default"/>
      </w:rPr>
    </w:lvl>
    <w:lvl w:ilvl="2" w:tplc="0C090005">
      <w:start w:val="1"/>
      <w:numFmt w:val="bullet"/>
      <w:lvlText w:val=""/>
      <w:lvlJc w:val="left"/>
      <w:pPr>
        <w:ind w:left="2324" w:hanging="360"/>
      </w:pPr>
      <w:rPr>
        <w:rFonts w:ascii="Wingdings" w:hAnsi="Wingdings" w:hint="default"/>
      </w:rPr>
    </w:lvl>
    <w:lvl w:ilvl="3" w:tplc="0C090001">
      <w:start w:val="1"/>
      <w:numFmt w:val="bullet"/>
      <w:lvlText w:val=""/>
      <w:lvlJc w:val="left"/>
      <w:pPr>
        <w:ind w:left="3044" w:hanging="360"/>
      </w:pPr>
      <w:rPr>
        <w:rFonts w:ascii="Symbol" w:hAnsi="Symbol" w:hint="default"/>
      </w:rPr>
    </w:lvl>
    <w:lvl w:ilvl="4" w:tplc="0C090003">
      <w:start w:val="1"/>
      <w:numFmt w:val="bullet"/>
      <w:lvlText w:val="o"/>
      <w:lvlJc w:val="left"/>
      <w:pPr>
        <w:ind w:left="3764" w:hanging="360"/>
      </w:pPr>
      <w:rPr>
        <w:rFonts w:ascii="Courier New" w:hAnsi="Courier New" w:cs="Courier New" w:hint="default"/>
      </w:rPr>
    </w:lvl>
    <w:lvl w:ilvl="5" w:tplc="0C090005">
      <w:start w:val="1"/>
      <w:numFmt w:val="bullet"/>
      <w:lvlText w:val=""/>
      <w:lvlJc w:val="left"/>
      <w:pPr>
        <w:ind w:left="4484" w:hanging="360"/>
      </w:pPr>
      <w:rPr>
        <w:rFonts w:ascii="Wingdings" w:hAnsi="Wingdings" w:hint="default"/>
      </w:rPr>
    </w:lvl>
    <w:lvl w:ilvl="6" w:tplc="0C090001">
      <w:start w:val="1"/>
      <w:numFmt w:val="bullet"/>
      <w:lvlText w:val=""/>
      <w:lvlJc w:val="left"/>
      <w:pPr>
        <w:ind w:left="5204" w:hanging="360"/>
      </w:pPr>
      <w:rPr>
        <w:rFonts w:ascii="Symbol" w:hAnsi="Symbol" w:hint="default"/>
      </w:rPr>
    </w:lvl>
    <w:lvl w:ilvl="7" w:tplc="0C090003">
      <w:start w:val="1"/>
      <w:numFmt w:val="bullet"/>
      <w:lvlText w:val="o"/>
      <w:lvlJc w:val="left"/>
      <w:pPr>
        <w:ind w:left="5924" w:hanging="360"/>
      </w:pPr>
      <w:rPr>
        <w:rFonts w:ascii="Courier New" w:hAnsi="Courier New" w:cs="Courier New" w:hint="default"/>
      </w:rPr>
    </w:lvl>
    <w:lvl w:ilvl="8" w:tplc="0C090005">
      <w:start w:val="1"/>
      <w:numFmt w:val="bullet"/>
      <w:lvlText w:val=""/>
      <w:lvlJc w:val="left"/>
      <w:pPr>
        <w:ind w:left="6644"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536FE7"/>
    <w:multiLevelType w:val="multilevel"/>
    <w:tmpl w:val="1A5EF37A"/>
    <w:lvl w:ilvl="0">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auto"/>
        <w:sz w:val="22"/>
        <w:szCs w:val="22"/>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2"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7828C4"/>
    <w:multiLevelType w:val="hybridMultilevel"/>
    <w:tmpl w:val="1F82020A"/>
    <w:lvl w:ilvl="0" w:tplc="188E73E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2667D"/>
    <w:multiLevelType w:val="hybridMultilevel"/>
    <w:tmpl w:val="C444E674"/>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44788D"/>
    <w:multiLevelType w:val="hybridMultilevel"/>
    <w:tmpl w:val="0EFAD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79006D"/>
    <w:multiLevelType w:val="hybridMultilevel"/>
    <w:tmpl w:val="217E26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AB5679E"/>
    <w:multiLevelType w:val="hybridMultilevel"/>
    <w:tmpl w:val="694855A0"/>
    <w:lvl w:ilvl="0" w:tplc="B50C2A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703B9B"/>
    <w:multiLevelType w:val="hybridMultilevel"/>
    <w:tmpl w:val="B20ADA9E"/>
    <w:lvl w:ilvl="0" w:tplc="18CEDA90">
      <w:start w:val="1"/>
      <w:numFmt w:val="upperLetter"/>
      <w:pStyle w:val="Bullet0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52B15"/>
    <w:multiLevelType w:val="hybridMultilevel"/>
    <w:tmpl w:val="FEE4209C"/>
    <w:lvl w:ilvl="0" w:tplc="830ABD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11661"/>
    <w:multiLevelType w:val="hybridMultilevel"/>
    <w:tmpl w:val="2F285680"/>
    <w:lvl w:ilvl="0" w:tplc="04DE1FF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8D67A6"/>
    <w:multiLevelType w:val="hybridMultilevel"/>
    <w:tmpl w:val="0930F4AA"/>
    <w:lvl w:ilvl="0" w:tplc="E0B406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11964"/>
    <w:multiLevelType w:val="multilevel"/>
    <w:tmpl w:val="C1E886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746DDB"/>
    <w:multiLevelType w:val="hybridMultilevel"/>
    <w:tmpl w:val="53402A28"/>
    <w:lvl w:ilvl="0" w:tplc="B6C8C8A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5C0F76"/>
    <w:multiLevelType w:val="hybridMultilevel"/>
    <w:tmpl w:val="9C2A6236"/>
    <w:lvl w:ilvl="0" w:tplc="188E73EE">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05750A"/>
    <w:multiLevelType w:val="hybridMultilevel"/>
    <w:tmpl w:val="88D03C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19A3718"/>
    <w:multiLevelType w:val="hybridMultilevel"/>
    <w:tmpl w:val="C444E674"/>
    <w:lvl w:ilvl="0" w:tplc="B50C2A1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D9334F"/>
    <w:multiLevelType w:val="multilevel"/>
    <w:tmpl w:val="0444FA88"/>
    <w:lvl w:ilvl="0">
      <w:start w:val="1"/>
      <w:numFmt w:val="bullet"/>
      <w:lvlText w:val=""/>
      <w:lvlJc w:val="left"/>
      <w:pPr>
        <w:tabs>
          <w:tab w:val="num" w:pos="720"/>
        </w:tabs>
        <w:ind w:left="720" w:hanging="360"/>
      </w:pPr>
      <w:rPr>
        <w:rFonts w:ascii="Symbol" w:hAnsi="Symbol" w:hint="default"/>
        <w:b w:val="0"/>
        <w:i w:val="0"/>
        <w:caps w:val="0"/>
        <w:strike w:val="0"/>
        <w:dstrike w:val="0"/>
        <w:outline w:val="0"/>
        <w:shadow w:val="0"/>
        <w:emboss w:val="0"/>
        <w:imprint w:val="0"/>
        <w:vanish w:val="0"/>
        <w:color w:val="auto"/>
        <w:sz w:val="22"/>
        <w:szCs w:val="22"/>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4310800"/>
    <w:multiLevelType w:val="hybridMultilevel"/>
    <w:tmpl w:val="14C29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FA14DA"/>
    <w:multiLevelType w:val="multilevel"/>
    <w:tmpl w:val="C1E886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6F5ACE"/>
    <w:multiLevelType w:val="hybridMultilevel"/>
    <w:tmpl w:val="89C82882"/>
    <w:lvl w:ilvl="0" w:tplc="5316C4F0">
      <w:start w:val="1"/>
      <w:numFmt w:val="lowerRoman"/>
      <w:lvlText w:val="(%1)"/>
      <w:lvlJc w:val="left"/>
      <w:pPr>
        <w:ind w:left="1080" w:hanging="720"/>
      </w:pPr>
      <w:rPr>
        <w:rFonts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392D42"/>
    <w:multiLevelType w:val="hybridMultilevel"/>
    <w:tmpl w:val="D226A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63962"/>
    <w:multiLevelType w:val="hybridMultilevel"/>
    <w:tmpl w:val="353E1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986723"/>
    <w:multiLevelType w:val="hybridMultilevel"/>
    <w:tmpl w:val="59E86F9C"/>
    <w:lvl w:ilvl="0" w:tplc="1C927BDE">
      <w:start w:val="1"/>
      <w:numFmt w:val="lowerRoman"/>
      <w:lvlText w:val="(%1)"/>
      <w:lvlJc w:val="left"/>
      <w:pPr>
        <w:ind w:left="720" w:hanging="360"/>
      </w:pPr>
      <w:rPr>
        <w:rFonts w:hint="default"/>
        <w:b w:val="0"/>
        <w:bCs w:val="0"/>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703DAF"/>
    <w:multiLevelType w:val="hybridMultilevel"/>
    <w:tmpl w:val="20A49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8132450">
    <w:abstractNumId w:val="39"/>
  </w:num>
  <w:num w:numId="2" w16cid:durableId="489176627">
    <w:abstractNumId w:val="20"/>
  </w:num>
  <w:num w:numId="3" w16cid:durableId="1040935717">
    <w:abstractNumId w:val="22"/>
  </w:num>
  <w:num w:numId="4" w16cid:durableId="570503859">
    <w:abstractNumId w:val="0"/>
  </w:num>
  <w:num w:numId="5" w16cid:durableId="1913154097">
    <w:abstractNumId w:val="39"/>
  </w:num>
  <w:num w:numId="6" w16cid:durableId="827750864">
    <w:abstractNumId w:val="32"/>
  </w:num>
  <w:num w:numId="7" w16cid:durableId="15011182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297883">
    <w:abstractNumId w:val="40"/>
  </w:num>
  <w:num w:numId="9" w16cid:durableId="1434865493">
    <w:abstractNumId w:val="26"/>
  </w:num>
  <w:num w:numId="10" w16cid:durableId="36977022">
    <w:abstractNumId w:val="18"/>
  </w:num>
  <w:num w:numId="11" w16cid:durableId="975989338">
    <w:abstractNumId w:val="11"/>
  </w:num>
  <w:num w:numId="12" w16cid:durableId="2000763974">
    <w:abstractNumId w:val="15"/>
  </w:num>
  <w:num w:numId="13" w16cid:durableId="1051537929">
    <w:abstractNumId w:val="31"/>
  </w:num>
  <w:num w:numId="14" w16cid:durableId="2105032871">
    <w:abstractNumId w:val="37"/>
  </w:num>
  <w:num w:numId="15" w16cid:durableId="391395580">
    <w:abstractNumId w:val="35"/>
  </w:num>
  <w:num w:numId="16" w16cid:durableId="361516339">
    <w:abstractNumId w:val="2"/>
  </w:num>
  <w:num w:numId="17" w16cid:durableId="2054651132">
    <w:abstractNumId w:val="14"/>
  </w:num>
  <w:num w:numId="18" w16cid:durableId="482696122">
    <w:abstractNumId w:val="38"/>
  </w:num>
  <w:num w:numId="19" w16cid:durableId="1181117802">
    <w:abstractNumId w:val="24"/>
  </w:num>
  <w:num w:numId="20" w16cid:durableId="322660164">
    <w:abstractNumId w:val="25"/>
  </w:num>
  <w:num w:numId="21" w16cid:durableId="1678118302">
    <w:abstractNumId w:val="13"/>
  </w:num>
  <w:num w:numId="22" w16cid:durableId="1005783567">
    <w:abstractNumId w:val="36"/>
  </w:num>
  <w:num w:numId="23" w16cid:durableId="1513254153">
    <w:abstractNumId w:val="8"/>
  </w:num>
  <w:num w:numId="24" w16cid:durableId="1439255819">
    <w:abstractNumId w:val="28"/>
  </w:num>
  <w:num w:numId="25" w16cid:durableId="374936451">
    <w:abstractNumId w:val="3"/>
  </w:num>
  <w:num w:numId="26" w16cid:durableId="1248465575">
    <w:abstractNumId w:val="1"/>
  </w:num>
  <w:num w:numId="27" w16cid:durableId="862286989">
    <w:abstractNumId w:val="10"/>
  </w:num>
  <w:num w:numId="28" w16cid:durableId="1760367375">
    <w:abstractNumId w:val="9"/>
  </w:num>
  <w:num w:numId="29" w16cid:durableId="82270233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8033528">
    <w:abstractNumId w:val="33"/>
  </w:num>
  <w:num w:numId="31" w16cid:durableId="859390178">
    <w:abstractNumId w:val="7"/>
  </w:num>
  <w:num w:numId="32" w16cid:durableId="349796232">
    <w:abstractNumId w:val="27"/>
  </w:num>
  <w:num w:numId="33" w16cid:durableId="1638293990">
    <w:abstractNumId w:val="6"/>
  </w:num>
  <w:num w:numId="34" w16cid:durableId="165367705">
    <w:abstractNumId w:val="17"/>
  </w:num>
  <w:num w:numId="35" w16cid:durableId="318778850">
    <w:abstractNumId w:val="12"/>
  </w:num>
  <w:num w:numId="36" w16cid:durableId="1378238824">
    <w:abstractNumId w:val="39"/>
  </w:num>
  <w:num w:numId="37" w16cid:durableId="1072972499">
    <w:abstractNumId w:val="23"/>
  </w:num>
  <w:num w:numId="38" w16cid:durableId="1010454372">
    <w:abstractNumId w:val="34"/>
  </w:num>
  <w:num w:numId="39" w16cid:durableId="663095389">
    <w:abstractNumId w:val="5"/>
  </w:num>
  <w:num w:numId="40" w16cid:durableId="390468015">
    <w:abstractNumId w:val="4"/>
  </w:num>
  <w:num w:numId="41" w16cid:durableId="1105809941">
    <w:abstractNumId w:val="16"/>
  </w:num>
  <w:num w:numId="42" w16cid:durableId="1064331992">
    <w:abstractNumId w:val="19"/>
  </w:num>
  <w:num w:numId="43" w16cid:durableId="119568248">
    <w:abstractNumId w:val="21"/>
  </w:num>
  <w:num w:numId="44" w16cid:durableId="613169286">
    <w:abstractNumId w:val="39"/>
  </w:num>
  <w:num w:numId="45" w16cid:durableId="71978126">
    <w:abstractNumId w:val="39"/>
  </w:num>
  <w:num w:numId="46" w16cid:durableId="728655210">
    <w:abstractNumId w:val="39"/>
  </w:num>
  <w:num w:numId="47" w16cid:durableId="992948007">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0F"/>
    <w:rsid w:val="00000790"/>
    <w:rsid w:val="000007FE"/>
    <w:rsid w:val="00000B02"/>
    <w:rsid w:val="00000EEE"/>
    <w:rsid w:val="0000110B"/>
    <w:rsid w:val="00001497"/>
    <w:rsid w:val="00001BAF"/>
    <w:rsid w:val="00001C24"/>
    <w:rsid w:val="00002613"/>
    <w:rsid w:val="00002854"/>
    <w:rsid w:val="00002A30"/>
    <w:rsid w:val="00002B30"/>
    <w:rsid w:val="00002E72"/>
    <w:rsid w:val="00003358"/>
    <w:rsid w:val="00003499"/>
    <w:rsid w:val="000039B7"/>
    <w:rsid w:val="00003BD4"/>
    <w:rsid w:val="00003FA5"/>
    <w:rsid w:val="00004133"/>
    <w:rsid w:val="000056B9"/>
    <w:rsid w:val="00005887"/>
    <w:rsid w:val="000059FE"/>
    <w:rsid w:val="00005AFD"/>
    <w:rsid w:val="00005D16"/>
    <w:rsid w:val="00005E0B"/>
    <w:rsid w:val="0000610A"/>
    <w:rsid w:val="0000615E"/>
    <w:rsid w:val="000061D7"/>
    <w:rsid w:val="00006342"/>
    <w:rsid w:val="0000639A"/>
    <w:rsid w:val="0000642E"/>
    <w:rsid w:val="00007365"/>
    <w:rsid w:val="00007646"/>
    <w:rsid w:val="00007B65"/>
    <w:rsid w:val="00007DDE"/>
    <w:rsid w:val="00007DEC"/>
    <w:rsid w:val="00010177"/>
    <w:rsid w:val="00010220"/>
    <w:rsid w:val="00010704"/>
    <w:rsid w:val="0001081D"/>
    <w:rsid w:val="00010849"/>
    <w:rsid w:val="000108BD"/>
    <w:rsid w:val="00010A35"/>
    <w:rsid w:val="00010B7D"/>
    <w:rsid w:val="000113FF"/>
    <w:rsid w:val="0001177C"/>
    <w:rsid w:val="00011AC7"/>
    <w:rsid w:val="00012694"/>
    <w:rsid w:val="000126B3"/>
    <w:rsid w:val="00012733"/>
    <w:rsid w:val="00012856"/>
    <w:rsid w:val="00012BC5"/>
    <w:rsid w:val="00012C32"/>
    <w:rsid w:val="00012EDF"/>
    <w:rsid w:val="00012FB5"/>
    <w:rsid w:val="00013247"/>
    <w:rsid w:val="0001376A"/>
    <w:rsid w:val="00013DE0"/>
    <w:rsid w:val="00013F0D"/>
    <w:rsid w:val="00014234"/>
    <w:rsid w:val="0001434E"/>
    <w:rsid w:val="00014454"/>
    <w:rsid w:val="00014761"/>
    <w:rsid w:val="00014C47"/>
    <w:rsid w:val="00014F21"/>
    <w:rsid w:val="0001517A"/>
    <w:rsid w:val="000153AF"/>
    <w:rsid w:val="000154CA"/>
    <w:rsid w:val="000154FD"/>
    <w:rsid w:val="0001578E"/>
    <w:rsid w:val="000157D1"/>
    <w:rsid w:val="00015886"/>
    <w:rsid w:val="00015899"/>
    <w:rsid w:val="000158E8"/>
    <w:rsid w:val="00015937"/>
    <w:rsid w:val="00015FA4"/>
    <w:rsid w:val="000162EF"/>
    <w:rsid w:val="00016313"/>
    <w:rsid w:val="0001647F"/>
    <w:rsid w:val="000164B5"/>
    <w:rsid w:val="00016505"/>
    <w:rsid w:val="00016C27"/>
    <w:rsid w:val="00016E24"/>
    <w:rsid w:val="00017106"/>
    <w:rsid w:val="0001712B"/>
    <w:rsid w:val="00017162"/>
    <w:rsid w:val="0001732C"/>
    <w:rsid w:val="000174E7"/>
    <w:rsid w:val="000176AD"/>
    <w:rsid w:val="0001784E"/>
    <w:rsid w:val="00017EA9"/>
    <w:rsid w:val="000207C9"/>
    <w:rsid w:val="0002094D"/>
    <w:rsid w:val="00020BBA"/>
    <w:rsid w:val="00020CD0"/>
    <w:rsid w:val="00020DA1"/>
    <w:rsid w:val="00020E24"/>
    <w:rsid w:val="00021060"/>
    <w:rsid w:val="000211D2"/>
    <w:rsid w:val="0002182F"/>
    <w:rsid w:val="0002225F"/>
    <w:rsid w:val="000222CF"/>
    <w:rsid w:val="000227E9"/>
    <w:rsid w:val="00022AB8"/>
    <w:rsid w:val="00022C86"/>
    <w:rsid w:val="00022D4A"/>
    <w:rsid w:val="0002319E"/>
    <w:rsid w:val="00023244"/>
    <w:rsid w:val="00023405"/>
    <w:rsid w:val="0002355C"/>
    <w:rsid w:val="0002368E"/>
    <w:rsid w:val="00023763"/>
    <w:rsid w:val="00023A18"/>
    <w:rsid w:val="00023B09"/>
    <w:rsid w:val="00023B77"/>
    <w:rsid w:val="00024172"/>
    <w:rsid w:val="00024269"/>
    <w:rsid w:val="00024A20"/>
    <w:rsid w:val="00024C21"/>
    <w:rsid w:val="00024E89"/>
    <w:rsid w:val="00024EB5"/>
    <w:rsid w:val="0002526D"/>
    <w:rsid w:val="00025473"/>
    <w:rsid w:val="0002560F"/>
    <w:rsid w:val="0002562E"/>
    <w:rsid w:val="0002573C"/>
    <w:rsid w:val="00025775"/>
    <w:rsid w:val="000257F5"/>
    <w:rsid w:val="00025C25"/>
    <w:rsid w:val="0002633B"/>
    <w:rsid w:val="000264F5"/>
    <w:rsid w:val="000266B0"/>
    <w:rsid w:val="00026708"/>
    <w:rsid w:val="00026801"/>
    <w:rsid w:val="0002689C"/>
    <w:rsid w:val="00026B09"/>
    <w:rsid w:val="00026E4A"/>
    <w:rsid w:val="00026F70"/>
    <w:rsid w:val="00026FD2"/>
    <w:rsid w:val="0002709A"/>
    <w:rsid w:val="000271BA"/>
    <w:rsid w:val="000274B8"/>
    <w:rsid w:val="000277F8"/>
    <w:rsid w:val="000278F9"/>
    <w:rsid w:val="00027BBA"/>
    <w:rsid w:val="00030669"/>
    <w:rsid w:val="0003088B"/>
    <w:rsid w:val="00030A5F"/>
    <w:rsid w:val="000310F6"/>
    <w:rsid w:val="000313C7"/>
    <w:rsid w:val="000318E0"/>
    <w:rsid w:val="000319A2"/>
    <w:rsid w:val="00031FDD"/>
    <w:rsid w:val="0003201A"/>
    <w:rsid w:val="0003203C"/>
    <w:rsid w:val="000321E0"/>
    <w:rsid w:val="0003240F"/>
    <w:rsid w:val="00032430"/>
    <w:rsid w:val="00032855"/>
    <w:rsid w:val="000328C9"/>
    <w:rsid w:val="000328DA"/>
    <w:rsid w:val="00032B67"/>
    <w:rsid w:val="00033059"/>
    <w:rsid w:val="00033246"/>
    <w:rsid w:val="00033863"/>
    <w:rsid w:val="00033D43"/>
    <w:rsid w:val="00033D77"/>
    <w:rsid w:val="00033E43"/>
    <w:rsid w:val="0003402B"/>
    <w:rsid w:val="00034555"/>
    <w:rsid w:val="0003492C"/>
    <w:rsid w:val="00034944"/>
    <w:rsid w:val="00034D1D"/>
    <w:rsid w:val="00035BF6"/>
    <w:rsid w:val="00035C80"/>
    <w:rsid w:val="00035DC0"/>
    <w:rsid w:val="0003608D"/>
    <w:rsid w:val="00036138"/>
    <w:rsid w:val="000361E7"/>
    <w:rsid w:val="000363F7"/>
    <w:rsid w:val="00036402"/>
    <w:rsid w:val="0003677E"/>
    <w:rsid w:val="00036829"/>
    <w:rsid w:val="00036991"/>
    <w:rsid w:val="00036B65"/>
    <w:rsid w:val="00036D23"/>
    <w:rsid w:val="00036FED"/>
    <w:rsid w:val="00037198"/>
    <w:rsid w:val="000374F4"/>
    <w:rsid w:val="00037A96"/>
    <w:rsid w:val="00037ADD"/>
    <w:rsid w:val="00037AEE"/>
    <w:rsid w:val="00037D0C"/>
    <w:rsid w:val="000401AC"/>
    <w:rsid w:val="00040895"/>
    <w:rsid w:val="000410A0"/>
    <w:rsid w:val="000413D5"/>
    <w:rsid w:val="0004192D"/>
    <w:rsid w:val="00041A5F"/>
    <w:rsid w:val="00041A78"/>
    <w:rsid w:val="00041CD5"/>
    <w:rsid w:val="00042110"/>
    <w:rsid w:val="0004214D"/>
    <w:rsid w:val="00042151"/>
    <w:rsid w:val="00042234"/>
    <w:rsid w:val="00042240"/>
    <w:rsid w:val="00042A1A"/>
    <w:rsid w:val="00042DB1"/>
    <w:rsid w:val="0004310F"/>
    <w:rsid w:val="000431BE"/>
    <w:rsid w:val="000434FA"/>
    <w:rsid w:val="000435EE"/>
    <w:rsid w:val="0004381C"/>
    <w:rsid w:val="00043AE6"/>
    <w:rsid w:val="00043B73"/>
    <w:rsid w:val="00043C37"/>
    <w:rsid w:val="00043F2B"/>
    <w:rsid w:val="00043F48"/>
    <w:rsid w:val="00044047"/>
    <w:rsid w:val="0004407E"/>
    <w:rsid w:val="000446D8"/>
    <w:rsid w:val="00044810"/>
    <w:rsid w:val="00044B71"/>
    <w:rsid w:val="00044B8D"/>
    <w:rsid w:val="00044DC5"/>
    <w:rsid w:val="00045017"/>
    <w:rsid w:val="00045497"/>
    <w:rsid w:val="00045536"/>
    <w:rsid w:val="00045779"/>
    <w:rsid w:val="000457CB"/>
    <w:rsid w:val="00045A2B"/>
    <w:rsid w:val="00045CCF"/>
    <w:rsid w:val="00045D23"/>
    <w:rsid w:val="00045F03"/>
    <w:rsid w:val="000460BF"/>
    <w:rsid w:val="000461CC"/>
    <w:rsid w:val="00046202"/>
    <w:rsid w:val="000463B5"/>
    <w:rsid w:val="0004698F"/>
    <w:rsid w:val="00046B46"/>
    <w:rsid w:val="00046C48"/>
    <w:rsid w:val="00046D64"/>
    <w:rsid w:val="0004702C"/>
    <w:rsid w:val="000470D4"/>
    <w:rsid w:val="0004748A"/>
    <w:rsid w:val="000477A6"/>
    <w:rsid w:val="000479F4"/>
    <w:rsid w:val="00047AC8"/>
    <w:rsid w:val="0005002D"/>
    <w:rsid w:val="000508C2"/>
    <w:rsid w:val="00050ADA"/>
    <w:rsid w:val="00051209"/>
    <w:rsid w:val="00051297"/>
    <w:rsid w:val="000515B6"/>
    <w:rsid w:val="0005168D"/>
    <w:rsid w:val="00051829"/>
    <w:rsid w:val="00051BE3"/>
    <w:rsid w:val="0005244A"/>
    <w:rsid w:val="0005279C"/>
    <w:rsid w:val="000527C1"/>
    <w:rsid w:val="00052A92"/>
    <w:rsid w:val="00052B43"/>
    <w:rsid w:val="00052C97"/>
    <w:rsid w:val="00052F35"/>
    <w:rsid w:val="00053131"/>
    <w:rsid w:val="000531B5"/>
    <w:rsid w:val="00053828"/>
    <w:rsid w:val="00053960"/>
    <w:rsid w:val="000539D0"/>
    <w:rsid w:val="00053B86"/>
    <w:rsid w:val="00053F7D"/>
    <w:rsid w:val="0005419D"/>
    <w:rsid w:val="000545C5"/>
    <w:rsid w:val="00054601"/>
    <w:rsid w:val="00054621"/>
    <w:rsid w:val="000546D7"/>
    <w:rsid w:val="00054A8D"/>
    <w:rsid w:val="00054FEE"/>
    <w:rsid w:val="00055598"/>
    <w:rsid w:val="00055AB6"/>
    <w:rsid w:val="00055CE8"/>
    <w:rsid w:val="00055E18"/>
    <w:rsid w:val="00055E91"/>
    <w:rsid w:val="00055FD7"/>
    <w:rsid w:val="00056A81"/>
    <w:rsid w:val="00056AB2"/>
    <w:rsid w:val="00056BD3"/>
    <w:rsid w:val="00056C25"/>
    <w:rsid w:val="00056ECF"/>
    <w:rsid w:val="00057116"/>
    <w:rsid w:val="000574C8"/>
    <w:rsid w:val="00057623"/>
    <w:rsid w:val="0005791D"/>
    <w:rsid w:val="00057F9F"/>
    <w:rsid w:val="000604C3"/>
    <w:rsid w:val="000604DF"/>
    <w:rsid w:val="000608C6"/>
    <w:rsid w:val="000609A0"/>
    <w:rsid w:val="00060A1F"/>
    <w:rsid w:val="00060C04"/>
    <w:rsid w:val="00060FA3"/>
    <w:rsid w:val="000613BC"/>
    <w:rsid w:val="00061875"/>
    <w:rsid w:val="00061E89"/>
    <w:rsid w:val="00061EF5"/>
    <w:rsid w:val="00062286"/>
    <w:rsid w:val="00062324"/>
    <w:rsid w:val="000625F7"/>
    <w:rsid w:val="00062841"/>
    <w:rsid w:val="00062886"/>
    <w:rsid w:val="00062CDD"/>
    <w:rsid w:val="0006309F"/>
    <w:rsid w:val="00063818"/>
    <w:rsid w:val="0006392B"/>
    <w:rsid w:val="00063CEF"/>
    <w:rsid w:val="00063EB2"/>
    <w:rsid w:val="00064029"/>
    <w:rsid w:val="00064642"/>
    <w:rsid w:val="0006484B"/>
    <w:rsid w:val="00064865"/>
    <w:rsid w:val="00064C6B"/>
    <w:rsid w:val="00064F66"/>
    <w:rsid w:val="000653B5"/>
    <w:rsid w:val="00065585"/>
    <w:rsid w:val="00065821"/>
    <w:rsid w:val="00065C8E"/>
    <w:rsid w:val="00065D1C"/>
    <w:rsid w:val="000660E3"/>
    <w:rsid w:val="00066360"/>
    <w:rsid w:val="000668D4"/>
    <w:rsid w:val="00066ABB"/>
    <w:rsid w:val="00066ACE"/>
    <w:rsid w:val="00066AF8"/>
    <w:rsid w:val="00066B7D"/>
    <w:rsid w:val="00066CC7"/>
    <w:rsid w:val="00067232"/>
    <w:rsid w:val="000674D4"/>
    <w:rsid w:val="000675FE"/>
    <w:rsid w:val="0006772B"/>
    <w:rsid w:val="0007016E"/>
    <w:rsid w:val="000705CE"/>
    <w:rsid w:val="00070829"/>
    <w:rsid w:val="00070886"/>
    <w:rsid w:val="000708D0"/>
    <w:rsid w:val="00070D1A"/>
    <w:rsid w:val="00070DDC"/>
    <w:rsid w:val="00070F38"/>
    <w:rsid w:val="00071052"/>
    <w:rsid w:val="0007118C"/>
    <w:rsid w:val="00071213"/>
    <w:rsid w:val="00071248"/>
    <w:rsid w:val="00071570"/>
    <w:rsid w:val="00071C1B"/>
    <w:rsid w:val="000720B9"/>
    <w:rsid w:val="00072836"/>
    <w:rsid w:val="00072AA2"/>
    <w:rsid w:val="00072B1A"/>
    <w:rsid w:val="00072D85"/>
    <w:rsid w:val="000733FD"/>
    <w:rsid w:val="00073602"/>
    <w:rsid w:val="000737F7"/>
    <w:rsid w:val="0007404B"/>
    <w:rsid w:val="0007435E"/>
    <w:rsid w:val="00074565"/>
    <w:rsid w:val="00074672"/>
    <w:rsid w:val="0007485C"/>
    <w:rsid w:val="00074BD4"/>
    <w:rsid w:val="00074BF8"/>
    <w:rsid w:val="00074DDA"/>
    <w:rsid w:val="0007524C"/>
    <w:rsid w:val="000754A6"/>
    <w:rsid w:val="000757AF"/>
    <w:rsid w:val="00075C75"/>
    <w:rsid w:val="0007607F"/>
    <w:rsid w:val="0007614B"/>
    <w:rsid w:val="0007620F"/>
    <w:rsid w:val="000762B0"/>
    <w:rsid w:val="0007643E"/>
    <w:rsid w:val="00076585"/>
    <w:rsid w:val="0007672F"/>
    <w:rsid w:val="0007684C"/>
    <w:rsid w:val="00076879"/>
    <w:rsid w:val="000768AF"/>
    <w:rsid w:val="000769E3"/>
    <w:rsid w:val="00076B54"/>
    <w:rsid w:val="00076CB4"/>
    <w:rsid w:val="00076F43"/>
    <w:rsid w:val="0007743A"/>
    <w:rsid w:val="000774E7"/>
    <w:rsid w:val="000774F0"/>
    <w:rsid w:val="000777F0"/>
    <w:rsid w:val="00080568"/>
    <w:rsid w:val="0008071E"/>
    <w:rsid w:val="0008073E"/>
    <w:rsid w:val="00080859"/>
    <w:rsid w:val="00080909"/>
    <w:rsid w:val="00080B77"/>
    <w:rsid w:val="000810EE"/>
    <w:rsid w:val="000812CA"/>
    <w:rsid w:val="000814A2"/>
    <w:rsid w:val="00081892"/>
    <w:rsid w:val="00081DFD"/>
    <w:rsid w:val="00081E63"/>
    <w:rsid w:val="0008258D"/>
    <w:rsid w:val="00082868"/>
    <w:rsid w:val="00082A40"/>
    <w:rsid w:val="00082D57"/>
    <w:rsid w:val="00082F5A"/>
    <w:rsid w:val="00083BC0"/>
    <w:rsid w:val="00083E99"/>
    <w:rsid w:val="00083FC3"/>
    <w:rsid w:val="0008450B"/>
    <w:rsid w:val="00084788"/>
    <w:rsid w:val="000849D3"/>
    <w:rsid w:val="00084BB6"/>
    <w:rsid w:val="00084F8E"/>
    <w:rsid w:val="00084FA8"/>
    <w:rsid w:val="000850A6"/>
    <w:rsid w:val="000856C5"/>
    <w:rsid w:val="00085A23"/>
    <w:rsid w:val="00085A4F"/>
    <w:rsid w:val="00085C31"/>
    <w:rsid w:val="00085FC3"/>
    <w:rsid w:val="00086020"/>
    <w:rsid w:val="00086332"/>
    <w:rsid w:val="000863AE"/>
    <w:rsid w:val="0008640A"/>
    <w:rsid w:val="00086553"/>
    <w:rsid w:val="00086AAE"/>
    <w:rsid w:val="00086BD0"/>
    <w:rsid w:val="00086D39"/>
    <w:rsid w:val="0008713D"/>
    <w:rsid w:val="00087192"/>
    <w:rsid w:val="000871FD"/>
    <w:rsid w:val="00087863"/>
    <w:rsid w:val="00087A91"/>
    <w:rsid w:val="00087ACE"/>
    <w:rsid w:val="00087C89"/>
    <w:rsid w:val="00087E9D"/>
    <w:rsid w:val="00087F0C"/>
    <w:rsid w:val="000902D9"/>
    <w:rsid w:val="000902E2"/>
    <w:rsid w:val="00090373"/>
    <w:rsid w:val="0009049B"/>
    <w:rsid w:val="00090925"/>
    <w:rsid w:val="00090C7E"/>
    <w:rsid w:val="00090D49"/>
    <w:rsid w:val="0009115F"/>
    <w:rsid w:val="000911AC"/>
    <w:rsid w:val="00091399"/>
    <w:rsid w:val="00091466"/>
    <w:rsid w:val="000917EC"/>
    <w:rsid w:val="0009186E"/>
    <w:rsid w:val="00091CA0"/>
    <w:rsid w:val="00092158"/>
    <w:rsid w:val="0009237D"/>
    <w:rsid w:val="00092600"/>
    <w:rsid w:val="0009262B"/>
    <w:rsid w:val="00092A21"/>
    <w:rsid w:val="00092F69"/>
    <w:rsid w:val="00093310"/>
    <w:rsid w:val="0009386C"/>
    <w:rsid w:val="00093CBC"/>
    <w:rsid w:val="00094120"/>
    <w:rsid w:val="000942AD"/>
    <w:rsid w:val="0009445C"/>
    <w:rsid w:val="000945C8"/>
    <w:rsid w:val="00094801"/>
    <w:rsid w:val="00094B3E"/>
    <w:rsid w:val="00094EEF"/>
    <w:rsid w:val="00094F5D"/>
    <w:rsid w:val="00095200"/>
    <w:rsid w:val="00095499"/>
    <w:rsid w:val="000954BE"/>
    <w:rsid w:val="00095587"/>
    <w:rsid w:val="00095646"/>
    <w:rsid w:val="000957DE"/>
    <w:rsid w:val="00095E13"/>
    <w:rsid w:val="00095E26"/>
    <w:rsid w:val="00095EEB"/>
    <w:rsid w:val="00095FE5"/>
    <w:rsid w:val="000961C2"/>
    <w:rsid w:val="00096284"/>
    <w:rsid w:val="00096472"/>
    <w:rsid w:val="000965CB"/>
    <w:rsid w:val="00096642"/>
    <w:rsid w:val="00096B93"/>
    <w:rsid w:val="00096E17"/>
    <w:rsid w:val="00097683"/>
    <w:rsid w:val="00097870"/>
    <w:rsid w:val="0009794C"/>
    <w:rsid w:val="00097AFC"/>
    <w:rsid w:val="000A006C"/>
    <w:rsid w:val="000A0074"/>
    <w:rsid w:val="000A0138"/>
    <w:rsid w:val="000A01C3"/>
    <w:rsid w:val="000A06AF"/>
    <w:rsid w:val="000A0736"/>
    <w:rsid w:val="000A0853"/>
    <w:rsid w:val="000A0B52"/>
    <w:rsid w:val="000A0E3B"/>
    <w:rsid w:val="000A0ED8"/>
    <w:rsid w:val="000A11A6"/>
    <w:rsid w:val="000A13BC"/>
    <w:rsid w:val="000A17FA"/>
    <w:rsid w:val="000A183E"/>
    <w:rsid w:val="000A1998"/>
    <w:rsid w:val="000A19C1"/>
    <w:rsid w:val="000A1BC0"/>
    <w:rsid w:val="000A1D0E"/>
    <w:rsid w:val="000A1EC6"/>
    <w:rsid w:val="000A1EEF"/>
    <w:rsid w:val="000A22BD"/>
    <w:rsid w:val="000A2365"/>
    <w:rsid w:val="000A2406"/>
    <w:rsid w:val="000A250C"/>
    <w:rsid w:val="000A2577"/>
    <w:rsid w:val="000A2C11"/>
    <w:rsid w:val="000A2F9E"/>
    <w:rsid w:val="000A2FD5"/>
    <w:rsid w:val="000A3003"/>
    <w:rsid w:val="000A33E9"/>
    <w:rsid w:val="000A3555"/>
    <w:rsid w:val="000A385C"/>
    <w:rsid w:val="000A3E47"/>
    <w:rsid w:val="000A3E71"/>
    <w:rsid w:val="000A424D"/>
    <w:rsid w:val="000A427E"/>
    <w:rsid w:val="000A45CF"/>
    <w:rsid w:val="000A4771"/>
    <w:rsid w:val="000A49E9"/>
    <w:rsid w:val="000A4B31"/>
    <w:rsid w:val="000A4D54"/>
    <w:rsid w:val="000A4FCD"/>
    <w:rsid w:val="000A5011"/>
    <w:rsid w:val="000A522B"/>
    <w:rsid w:val="000A5BC3"/>
    <w:rsid w:val="000A5C67"/>
    <w:rsid w:val="000A5FF0"/>
    <w:rsid w:val="000A6039"/>
    <w:rsid w:val="000A60FE"/>
    <w:rsid w:val="000A62D2"/>
    <w:rsid w:val="000A6518"/>
    <w:rsid w:val="000A66D0"/>
    <w:rsid w:val="000A6EE5"/>
    <w:rsid w:val="000A70D3"/>
    <w:rsid w:val="000A73E7"/>
    <w:rsid w:val="000A7453"/>
    <w:rsid w:val="000A780A"/>
    <w:rsid w:val="000A799E"/>
    <w:rsid w:val="000A79EF"/>
    <w:rsid w:val="000A7AB3"/>
    <w:rsid w:val="000A7B31"/>
    <w:rsid w:val="000A7C23"/>
    <w:rsid w:val="000A7D08"/>
    <w:rsid w:val="000A7E9C"/>
    <w:rsid w:val="000A7ED5"/>
    <w:rsid w:val="000B0121"/>
    <w:rsid w:val="000B02DC"/>
    <w:rsid w:val="000B02E3"/>
    <w:rsid w:val="000B0670"/>
    <w:rsid w:val="000B0E75"/>
    <w:rsid w:val="000B0EF5"/>
    <w:rsid w:val="000B1046"/>
    <w:rsid w:val="000B149A"/>
    <w:rsid w:val="000B16A7"/>
    <w:rsid w:val="000B170F"/>
    <w:rsid w:val="000B17F8"/>
    <w:rsid w:val="000B2299"/>
    <w:rsid w:val="000B22B5"/>
    <w:rsid w:val="000B24F1"/>
    <w:rsid w:val="000B2549"/>
    <w:rsid w:val="000B28F0"/>
    <w:rsid w:val="000B2B0B"/>
    <w:rsid w:val="000B2B9D"/>
    <w:rsid w:val="000B2D1C"/>
    <w:rsid w:val="000B2D24"/>
    <w:rsid w:val="000B2DCB"/>
    <w:rsid w:val="000B2FDE"/>
    <w:rsid w:val="000B34C8"/>
    <w:rsid w:val="000B35A1"/>
    <w:rsid w:val="000B3779"/>
    <w:rsid w:val="000B38A7"/>
    <w:rsid w:val="000B3E4F"/>
    <w:rsid w:val="000B3F51"/>
    <w:rsid w:val="000B43CB"/>
    <w:rsid w:val="000B43D9"/>
    <w:rsid w:val="000B48D3"/>
    <w:rsid w:val="000B50AD"/>
    <w:rsid w:val="000B5149"/>
    <w:rsid w:val="000B52DF"/>
    <w:rsid w:val="000B58C1"/>
    <w:rsid w:val="000B5CE0"/>
    <w:rsid w:val="000B606F"/>
    <w:rsid w:val="000B60E8"/>
    <w:rsid w:val="000B6390"/>
    <w:rsid w:val="000B6540"/>
    <w:rsid w:val="000B65DD"/>
    <w:rsid w:val="000B66F8"/>
    <w:rsid w:val="000B6B64"/>
    <w:rsid w:val="000B6C7F"/>
    <w:rsid w:val="000B6CAC"/>
    <w:rsid w:val="000B6D58"/>
    <w:rsid w:val="000B6E5C"/>
    <w:rsid w:val="000B71B7"/>
    <w:rsid w:val="000B72F5"/>
    <w:rsid w:val="000B7612"/>
    <w:rsid w:val="000B78AE"/>
    <w:rsid w:val="000B7BEC"/>
    <w:rsid w:val="000C010C"/>
    <w:rsid w:val="000C0253"/>
    <w:rsid w:val="000C0678"/>
    <w:rsid w:val="000C091F"/>
    <w:rsid w:val="000C0C03"/>
    <w:rsid w:val="000C0E5A"/>
    <w:rsid w:val="000C0F42"/>
    <w:rsid w:val="000C0FC8"/>
    <w:rsid w:val="000C11E4"/>
    <w:rsid w:val="000C1B53"/>
    <w:rsid w:val="000C2108"/>
    <w:rsid w:val="000C21AA"/>
    <w:rsid w:val="000C2334"/>
    <w:rsid w:val="000C25CD"/>
    <w:rsid w:val="000C26CF"/>
    <w:rsid w:val="000C28C8"/>
    <w:rsid w:val="000C2954"/>
    <w:rsid w:val="000C2A36"/>
    <w:rsid w:val="000C2DC4"/>
    <w:rsid w:val="000C2F76"/>
    <w:rsid w:val="000C2FA5"/>
    <w:rsid w:val="000C3051"/>
    <w:rsid w:val="000C338A"/>
    <w:rsid w:val="000C3414"/>
    <w:rsid w:val="000C3B46"/>
    <w:rsid w:val="000C3B9D"/>
    <w:rsid w:val="000C3DCD"/>
    <w:rsid w:val="000C3DF9"/>
    <w:rsid w:val="000C3E40"/>
    <w:rsid w:val="000C3FDC"/>
    <w:rsid w:val="000C40CC"/>
    <w:rsid w:val="000C45A3"/>
    <w:rsid w:val="000C4857"/>
    <w:rsid w:val="000C49B4"/>
    <w:rsid w:val="000C4B1C"/>
    <w:rsid w:val="000C4CF2"/>
    <w:rsid w:val="000C50BB"/>
    <w:rsid w:val="000C5142"/>
    <w:rsid w:val="000C5342"/>
    <w:rsid w:val="000C568E"/>
    <w:rsid w:val="000C5F3D"/>
    <w:rsid w:val="000C5FCA"/>
    <w:rsid w:val="000C62F4"/>
    <w:rsid w:val="000C6713"/>
    <w:rsid w:val="000C6BA8"/>
    <w:rsid w:val="000C711A"/>
    <w:rsid w:val="000C7C8C"/>
    <w:rsid w:val="000C7FE1"/>
    <w:rsid w:val="000D016E"/>
    <w:rsid w:val="000D030F"/>
    <w:rsid w:val="000D03E4"/>
    <w:rsid w:val="000D07C2"/>
    <w:rsid w:val="000D0B09"/>
    <w:rsid w:val="000D1612"/>
    <w:rsid w:val="000D1695"/>
    <w:rsid w:val="000D16B0"/>
    <w:rsid w:val="000D1760"/>
    <w:rsid w:val="000D177F"/>
    <w:rsid w:val="000D189E"/>
    <w:rsid w:val="000D18FA"/>
    <w:rsid w:val="000D1BFC"/>
    <w:rsid w:val="000D1C7C"/>
    <w:rsid w:val="000D1D5D"/>
    <w:rsid w:val="000D229D"/>
    <w:rsid w:val="000D24B7"/>
    <w:rsid w:val="000D2558"/>
    <w:rsid w:val="000D281A"/>
    <w:rsid w:val="000D2848"/>
    <w:rsid w:val="000D2DAD"/>
    <w:rsid w:val="000D314D"/>
    <w:rsid w:val="000D326A"/>
    <w:rsid w:val="000D33B8"/>
    <w:rsid w:val="000D3851"/>
    <w:rsid w:val="000D3D81"/>
    <w:rsid w:val="000D409F"/>
    <w:rsid w:val="000D40C9"/>
    <w:rsid w:val="000D455F"/>
    <w:rsid w:val="000D478C"/>
    <w:rsid w:val="000D4DCC"/>
    <w:rsid w:val="000D4E62"/>
    <w:rsid w:val="000D4FD9"/>
    <w:rsid w:val="000D51FB"/>
    <w:rsid w:val="000D540C"/>
    <w:rsid w:val="000D5571"/>
    <w:rsid w:val="000D561D"/>
    <w:rsid w:val="000D62AC"/>
    <w:rsid w:val="000D65E4"/>
    <w:rsid w:val="000D679B"/>
    <w:rsid w:val="000D69C7"/>
    <w:rsid w:val="000D6D75"/>
    <w:rsid w:val="000D746D"/>
    <w:rsid w:val="000D75B4"/>
    <w:rsid w:val="000D79D7"/>
    <w:rsid w:val="000D7AFB"/>
    <w:rsid w:val="000D7B27"/>
    <w:rsid w:val="000E0191"/>
    <w:rsid w:val="000E0640"/>
    <w:rsid w:val="000E0716"/>
    <w:rsid w:val="000E0ACF"/>
    <w:rsid w:val="000E0CC5"/>
    <w:rsid w:val="000E135D"/>
    <w:rsid w:val="000E1788"/>
    <w:rsid w:val="000E1B52"/>
    <w:rsid w:val="000E1B93"/>
    <w:rsid w:val="000E1CDF"/>
    <w:rsid w:val="000E1DB0"/>
    <w:rsid w:val="000E2734"/>
    <w:rsid w:val="000E2D3D"/>
    <w:rsid w:val="000E3498"/>
    <w:rsid w:val="000E34EA"/>
    <w:rsid w:val="000E3E19"/>
    <w:rsid w:val="000E3FDD"/>
    <w:rsid w:val="000E4189"/>
    <w:rsid w:val="000E42BC"/>
    <w:rsid w:val="000E494E"/>
    <w:rsid w:val="000E4BF0"/>
    <w:rsid w:val="000E533B"/>
    <w:rsid w:val="000E546D"/>
    <w:rsid w:val="000E57BA"/>
    <w:rsid w:val="000E5B31"/>
    <w:rsid w:val="000E5F6E"/>
    <w:rsid w:val="000E5F7C"/>
    <w:rsid w:val="000E621F"/>
    <w:rsid w:val="000E656E"/>
    <w:rsid w:val="000E6ABC"/>
    <w:rsid w:val="000E6CDA"/>
    <w:rsid w:val="000E6D5C"/>
    <w:rsid w:val="000E71D0"/>
    <w:rsid w:val="000E7380"/>
    <w:rsid w:val="000E764B"/>
    <w:rsid w:val="000E78CF"/>
    <w:rsid w:val="000E7BB4"/>
    <w:rsid w:val="000E7F74"/>
    <w:rsid w:val="000E7FFD"/>
    <w:rsid w:val="000F00BA"/>
    <w:rsid w:val="000F0323"/>
    <w:rsid w:val="000F050F"/>
    <w:rsid w:val="000F16BD"/>
    <w:rsid w:val="000F1762"/>
    <w:rsid w:val="000F19CA"/>
    <w:rsid w:val="000F1BD6"/>
    <w:rsid w:val="000F1EE1"/>
    <w:rsid w:val="000F1F64"/>
    <w:rsid w:val="000F20C2"/>
    <w:rsid w:val="000F26F5"/>
    <w:rsid w:val="000F2733"/>
    <w:rsid w:val="000F2786"/>
    <w:rsid w:val="000F298D"/>
    <w:rsid w:val="000F316A"/>
    <w:rsid w:val="000F3178"/>
    <w:rsid w:val="000F32EE"/>
    <w:rsid w:val="000F3AC8"/>
    <w:rsid w:val="000F3BB3"/>
    <w:rsid w:val="000F3C74"/>
    <w:rsid w:val="000F41E9"/>
    <w:rsid w:val="000F429F"/>
    <w:rsid w:val="000F4414"/>
    <w:rsid w:val="000F44AD"/>
    <w:rsid w:val="000F454C"/>
    <w:rsid w:val="000F47B0"/>
    <w:rsid w:val="000F49A4"/>
    <w:rsid w:val="000F4BB8"/>
    <w:rsid w:val="000F4FA9"/>
    <w:rsid w:val="000F514E"/>
    <w:rsid w:val="000F52DC"/>
    <w:rsid w:val="000F53FB"/>
    <w:rsid w:val="000F545D"/>
    <w:rsid w:val="000F549B"/>
    <w:rsid w:val="000F5951"/>
    <w:rsid w:val="000F5B30"/>
    <w:rsid w:val="000F610E"/>
    <w:rsid w:val="000F63CD"/>
    <w:rsid w:val="000F668F"/>
    <w:rsid w:val="000F66AA"/>
    <w:rsid w:val="000F68BA"/>
    <w:rsid w:val="000F6C5F"/>
    <w:rsid w:val="000F7102"/>
    <w:rsid w:val="000F7127"/>
    <w:rsid w:val="000F74FD"/>
    <w:rsid w:val="000F7531"/>
    <w:rsid w:val="000F7B54"/>
    <w:rsid w:val="000F7D7C"/>
    <w:rsid w:val="000F7F8D"/>
    <w:rsid w:val="001000B3"/>
    <w:rsid w:val="00100350"/>
    <w:rsid w:val="00100542"/>
    <w:rsid w:val="0010070C"/>
    <w:rsid w:val="00100796"/>
    <w:rsid w:val="001007BB"/>
    <w:rsid w:val="001008AD"/>
    <w:rsid w:val="00100F8A"/>
    <w:rsid w:val="0010151D"/>
    <w:rsid w:val="001017A6"/>
    <w:rsid w:val="00101BD0"/>
    <w:rsid w:val="00101BFA"/>
    <w:rsid w:val="00101C1B"/>
    <w:rsid w:val="0010216B"/>
    <w:rsid w:val="001022ED"/>
    <w:rsid w:val="001023E8"/>
    <w:rsid w:val="00102554"/>
    <w:rsid w:val="00102569"/>
    <w:rsid w:val="0010263A"/>
    <w:rsid w:val="00102798"/>
    <w:rsid w:val="0010281F"/>
    <w:rsid w:val="0010291D"/>
    <w:rsid w:val="00102D8F"/>
    <w:rsid w:val="00103400"/>
    <w:rsid w:val="0010358A"/>
    <w:rsid w:val="001035A0"/>
    <w:rsid w:val="00103863"/>
    <w:rsid w:val="00103B55"/>
    <w:rsid w:val="00103E0C"/>
    <w:rsid w:val="001041AD"/>
    <w:rsid w:val="001042E8"/>
    <w:rsid w:val="0010452E"/>
    <w:rsid w:val="00104675"/>
    <w:rsid w:val="001047DF"/>
    <w:rsid w:val="00104A20"/>
    <w:rsid w:val="00104FA5"/>
    <w:rsid w:val="0010519D"/>
    <w:rsid w:val="001053EF"/>
    <w:rsid w:val="001056EA"/>
    <w:rsid w:val="00105806"/>
    <w:rsid w:val="00105A76"/>
    <w:rsid w:val="00105A79"/>
    <w:rsid w:val="00105A80"/>
    <w:rsid w:val="00105AE2"/>
    <w:rsid w:val="001060C6"/>
    <w:rsid w:val="0010639F"/>
    <w:rsid w:val="00106914"/>
    <w:rsid w:val="00106B03"/>
    <w:rsid w:val="00106B80"/>
    <w:rsid w:val="00107140"/>
    <w:rsid w:val="0010716C"/>
    <w:rsid w:val="00107233"/>
    <w:rsid w:val="001073A2"/>
    <w:rsid w:val="0010749F"/>
    <w:rsid w:val="00107C78"/>
    <w:rsid w:val="00107FD9"/>
    <w:rsid w:val="0011011E"/>
    <w:rsid w:val="0011032E"/>
    <w:rsid w:val="001103D6"/>
    <w:rsid w:val="001110E8"/>
    <w:rsid w:val="001111D0"/>
    <w:rsid w:val="00111397"/>
    <w:rsid w:val="00111671"/>
    <w:rsid w:val="001117B0"/>
    <w:rsid w:val="001117D7"/>
    <w:rsid w:val="00111D90"/>
    <w:rsid w:val="00112289"/>
    <w:rsid w:val="0011248B"/>
    <w:rsid w:val="00112A12"/>
    <w:rsid w:val="00112F61"/>
    <w:rsid w:val="00112FAC"/>
    <w:rsid w:val="0011348B"/>
    <w:rsid w:val="00113553"/>
    <w:rsid w:val="00113B4B"/>
    <w:rsid w:val="00113BAD"/>
    <w:rsid w:val="00113C7D"/>
    <w:rsid w:val="00113E56"/>
    <w:rsid w:val="00113EC5"/>
    <w:rsid w:val="001140EC"/>
    <w:rsid w:val="001142F8"/>
    <w:rsid w:val="00114426"/>
    <w:rsid w:val="00114ACB"/>
    <w:rsid w:val="00114B59"/>
    <w:rsid w:val="00114C1A"/>
    <w:rsid w:val="00114CA1"/>
    <w:rsid w:val="00114D28"/>
    <w:rsid w:val="00115246"/>
    <w:rsid w:val="001153FD"/>
    <w:rsid w:val="0011545E"/>
    <w:rsid w:val="001154D1"/>
    <w:rsid w:val="00115660"/>
    <w:rsid w:val="001157DB"/>
    <w:rsid w:val="00115834"/>
    <w:rsid w:val="00115982"/>
    <w:rsid w:val="00115A9C"/>
    <w:rsid w:val="0011604F"/>
    <w:rsid w:val="001168CB"/>
    <w:rsid w:val="00116C53"/>
    <w:rsid w:val="00117092"/>
    <w:rsid w:val="001172CB"/>
    <w:rsid w:val="001173F1"/>
    <w:rsid w:val="00117552"/>
    <w:rsid w:val="0011783F"/>
    <w:rsid w:val="00117849"/>
    <w:rsid w:val="00117DDB"/>
    <w:rsid w:val="00120145"/>
    <w:rsid w:val="001202C4"/>
    <w:rsid w:val="00121186"/>
    <w:rsid w:val="001212BE"/>
    <w:rsid w:val="00121799"/>
    <w:rsid w:val="00121912"/>
    <w:rsid w:val="00121D77"/>
    <w:rsid w:val="00121F41"/>
    <w:rsid w:val="001221BE"/>
    <w:rsid w:val="001222FC"/>
    <w:rsid w:val="00122816"/>
    <w:rsid w:val="0012291F"/>
    <w:rsid w:val="00122B17"/>
    <w:rsid w:val="00122B6B"/>
    <w:rsid w:val="001232F4"/>
    <w:rsid w:val="00123350"/>
    <w:rsid w:val="00123723"/>
    <w:rsid w:val="00123902"/>
    <w:rsid w:val="00123AA9"/>
    <w:rsid w:val="00123C68"/>
    <w:rsid w:val="00123D1A"/>
    <w:rsid w:val="00123FDB"/>
    <w:rsid w:val="001240E6"/>
    <w:rsid w:val="00124776"/>
    <w:rsid w:val="001248CE"/>
    <w:rsid w:val="001249D1"/>
    <w:rsid w:val="00124A29"/>
    <w:rsid w:val="00124A51"/>
    <w:rsid w:val="00124F93"/>
    <w:rsid w:val="00124FEF"/>
    <w:rsid w:val="00125056"/>
    <w:rsid w:val="0012525E"/>
    <w:rsid w:val="001254BE"/>
    <w:rsid w:val="00125519"/>
    <w:rsid w:val="001257AF"/>
    <w:rsid w:val="00125950"/>
    <w:rsid w:val="00125B53"/>
    <w:rsid w:val="00125E1B"/>
    <w:rsid w:val="001261C1"/>
    <w:rsid w:val="001261DB"/>
    <w:rsid w:val="001262CA"/>
    <w:rsid w:val="001263D7"/>
    <w:rsid w:val="001265AF"/>
    <w:rsid w:val="00126621"/>
    <w:rsid w:val="0012673C"/>
    <w:rsid w:val="00126956"/>
    <w:rsid w:val="001269BD"/>
    <w:rsid w:val="001269FC"/>
    <w:rsid w:val="00126A82"/>
    <w:rsid w:val="00126B1D"/>
    <w:rsid w:val="00126FE5"/>
    <w:rsid w:val="0012703C"/>
    <w:rsid w:val="001271BD"/>
    <w:rsid w:val="00127441"/>
    <w:rsid w:val="001274DB"/>
    <w:rsid w:val="0012763F"/>
    <w:rsid w:val="001278AA"/>
    <w:rsid w:val="00127F47"/>
    <w:rsid w:val="00127FCB"/>
    <w:rsid w:val="001301E9"/>
    <w:rsid w:val="0013046A"/>
    <w:rsid w:val="001308EA"/>
    <w:rsid w:val="00130A5E"/>
    <w:rsid w:val="00130D7F"/>
    <w:rsid w:val="00130ED4"/>
    <w:rsid w:val="00131056"/>
    <w:rsid w:val="0013117F"/>
    <w:rsid w:val="001319AD"/>
    <w:rsid w:val="00131D5D"/>
    <w:rsid w:val="00131D82"/>
    <w:rsid w:val="00131ECE"/>
    <w:rsid w:val="001326DF"/>
    <w:rsid w:val="001328D1"/>
    <w:rsid w:val="00132B22"/>
    <w:rsid w:val="00133153"/>
    <w:rsid w:val="0013384C"/>
    <w:rsid w:val="00133991"/>
    <w:rsid w:val="00133D36"/>
    <w:rsid w:val="00133F51"/>
    <w:rsid w:val="00134669"/>
    <w:rsid w:val="00134830"/>
    <w:rsid w:val="00134982"/>
    <w:rsid w:val="00134E36"/>
    <w:rsid w:val="0013525B"/>
    <w:rsid w:val="00135521"/>
    <w:rsid w:val="001355E2"/>
    <w:rsid w:val="00135888"/>
    <w:rsid w:val="00135B1E"/>
    <w:rsid w:val="00135B37"/>
    <w:rsid w:val="00135E36"/>
    <w:rsid w:val="00135FFF"/>
    <w:rsid w:val="00137645"/>
    <w:rsid w:val="001377A8"/>
    <w:rsid w:val="00137F45"/>
    <w:rsid w:val="0014015A"/>
    <w:rsid w:val="001401C8"/>
    <w:rsid w:val="001401E7"/>
    <w:rsid w:val="001409ED"/>
    <w:rsid w:val="00140E99"/>
    <w:rsid w:val="00140EB8"/>
    <w:rsid w:val="0014182F"/>
    <w:rsid w:val="00141A8D"/>
    <w:rsid w:val="00141F1B"/>
    <w:rsid w:val="0014230E"/>
    <w:rsid w:val="00142904"/>
    <w:rsid w:val="00142923"/>
    <w:rsid w:val="0014316B"/>
    <w:rsid w:val="001431E6"/>
    <w:rsid w:val="0014321E"/>
    <w:rsid w:val="00143268"/>
    <w:rsid w:val="0014331B"/>
    <w:rsid w:val="00143351"/>
    <w:rsid w:val="001435B4"/>
    <w:rsid w:val="0014388E"/>
    <w:rsid w:val="001438F7"/>
    <w:rsid w:val="00143AA7"/>
    <w:rsid w:val="00143F67"/>
    <w:rsid w:val="00144087"/>
    <w:rsid w:val="0014428D"/>
    <w:rsid w:val="00144801"/>
    <w:rsid w:val="0014482B"/>
    <w:rsid w:val="0014484C"/>
    <w:rsid w:val="00144A0A"/>
    <w:rsid w:val="00144CB7"/>
    <w:rsid w:val="00145130"/>
    <w:rsid w:val="001451DA"/>
    <w:rsid w:val="00145234"/>
    <w:rsid w:val="0014549F"/>
    <w:rsid w:val="00145540"/>
    <w:rsid w:val="001456B0"/>
    <w:rsid w:val="00145830"/>
    <w:rsid w:val="00145D9E"/>
    <w:rsid w:val="00145ECB"/>
    <w:rsid w:val="001465A0"/>
    <w:rsid w:val="00146BCF"/>
    <w:rsid w:val="00146D22"/>
    <w:rsid w:val="00146F1E"/>
    <w:rsid w:val="00147067"/>
    <w:rsid w:val="00147157"/>
    <w:rsid w:val="00147347"/>
    <w:rsid w:val="0014763A"/>
    <w:rsid w:val="00147902"/>
    <w:rsid w:val="00147AB6"/>
    <w:rsid w:val="00147DAC"/>
    <w:rsid w:val="0015020A"/>
    <w:rsid w:val="00150443"/>
    <w:rsid w:val="001505A3"/>
    <w:rsid w:val="0015060D"/>
    <w:rsid w:val="0015088B"/>
    <w:rsid w:val="001508CC"/>
    <w:rsid w:val="001510BF"/>
    <w:rsid w:val="00151268"/>
    <w:rsid w:val="00151BC9"/>
    <w:rsid w:val="0015207C"/>
    <w:rsid w:val="0015216C"/>
    <w:rsid w:val="001525DC"/>
    <w:rsid w:val="00152612"/>
    <w:rsid w:val="0015264A"/>
    <w:rsid w:val="0015291A"/>
    <w:rsid w:val="00152A1E"/>
    <w:rsid w:val="00152DC7"/>
    <w:rsid w:val="00153518"/>
    <w:rsid w:val="00153688"/>
    <w:rsid w:val="001537C6"/>
    <w:rsid w:val="00153ECB"/>
    <w:rsid w:val="00154043"/>
    <w:rsid w:val="001541EA"/>
    <w:rsid w:val="0015440C"/>
    <w:rsid w:val="001544D1"/>
    <w:rsid w:val="001545AF"/>
    <w:rsid w:val="001545B0"/>
    <w:rsid w:val="00154669"/>
    <w:rsid w:val="001547AB"/>
    <w:rsid w:val="00154860"/>
    <w:rsid w:val="001548CC"/>
    <w:rsid w:val="00154BDE"/>
    <w:rsid w:val="00154F12"/>
    <w:rsid w:val="0015505F"/>
    <w:rsid w:val="0015539F"/>
    <w:rsid w:val="001553BB"/>
    <w:rsid w:val="00155C16"/>
    <w:rsid w:val="00155F45"/>
    <w:rsid w:val="001564B0"/>
    <w:rsid w:val="00156853"/>
    <w:rsid w:val="00156A9A"/>
    <w:rsid w:val="00156AF9"/>
    <w:rsid w:val="00156D53"/>
    <w:rsid w:val="00156F8F"/>
    <w:rsid w:val="00156FEA"/>
    <w:rsid w:val="00157130"/>
    <w:rsid w:val="001576B1"/>
    <w:rsid w:val="00157732"/>
    <w:rsid w:val="00157E99"/>
    <w:rsid w:val="0016038D"/>
    <w:rsid w:val="0016047B"/>
    <w:rsid w:val="001608E9"/>
    <w:rsid w:val="00160A4C"/>
    <w:rsid w:val="00160B44"/>
    <w:rsid w:val="00160E9F"/>
    <w:rsid w:val="00161237"/>
    <w:rsid w:val="00161598"/>
    <w:rsid w:val="0016167E"/>
    <w:rsid w:val="001616FF"/>
    <w:rsid w:val="00161FE4"/>
    <w:rsid w:val="001625C9"/>
    <w:rsid w:val="00162913"/>
    <w:rsid w:val="00162AC8"/>
    <w:rsid w:val="00162B95"/>
    <w:rsid w:val="00163254"/>
    <w:rsid w:val="0016326A"/>
    <w:rsid w:val="0016343B"/>
    <w:rsid w:val="00163CD4"/>
    <w:rsid w:val="00163DE6"/>
    <w:rsid w:val="00163EFF"/>
    <w:rsid w:val="00163F66"/>
    <w:rsid w:val="001641BA"/>
    <w:rsid w:val="001641D6"/>
    <w:rsid w:val="001643C8"/>
    <w:rsid w:val="001645DB"/>
    <w:rsid w:val="0016478E"/>
    <w:rsid w:val="00164E07"/>
    <w:rsid w:val="00164F0C"/>
    <w:rsid w:val="00165033"/>
    <w:rsid w:val="00165169"/>
    <w:rsid w:val="00165199"/>
    <w:rsid w:val="0016519E"/>
    <w:rsid w:val="0016544C"/>
    <w:rsid w:val="00165A4E"/>
    <w:rsid w:val="00165AC2"/>
    <w:rsid w:val="00165B8F"/>
    <w:rsid w:val="00165CF7"/>
    <w:rsid w:val="00165EC4"/>
    <w:rsid w:val="00166086"/>
    <w:rsid w:val="001660AB"/>
    <w:rsid w:val="001661FB"/>
    <w:rsid w:val="001663C2"/>
    <w:rsid w:val="001663F6"/>
    <w:rsid w:val="00166408"/>
    <w:rsid w:val="00166541"/>
    <w:rsid w:val="00166784"/>
    <w:rsid w:val="001667A0"/>
    <w:rsid w:val="0016682D"/>
    <w:rsid w:val="00166DDB"/>
    <w:rsid w:val="00166F93"/>
    <w:rsid w:val="001671A0"/>
    <w:rsid w:val="001672DE"/>
    <w:rsid w:val="001673AE"/>
    <w:rsid w:val="0016748D"/>
    <w:rsid w:val="0016767F"/>
    <w:rsid w:val="00167732"/>
    <w:rsid w:val="0016797B"/>
    <w:rsid w:val="00167CD0"/>
    <w:rsid w:val="00167EE4"/>
    <w:rsid w:val="00170236"/>
    <w:rsid w:val="0017062B"/>
    <w:rsid w:val="001709D9"/>
    <w:rsid w:val="00170C7B"/>
    <w:rsid w:val="00170C7C"/>
    <w:rsid w:val="00170EEF"/>
    <w:rsid w:val="00171F79"/>
    <w:rsid w:val="00172B0B"/>
    <w:rsid w:val="00172D2F"/>
    <w:rsid w:val="00172EBA"/>
    <w:rsid w:val="0017306B"/>
    <w:rsid w:val="00173264"/>
    <w:rsid w:val="00173565"/>
    <w:rsid w:val="00173764"/>
    <w:rsid w:val="00173777"/>
    <w:rsid w:val="001739FA"/>
    <w:rsid w:val="00173A44"/>
    <w:rsid w:val="00173A72"/>
    <w:rsid w:val="00173B07"/>
    <w:rsid w:val="00173BD2"/>
    <w:rsid w:val="00174076"/>
    <w:rsid w:val="001740D6"/>
    <w:rsid w:val="00174254"/>
    <w:rsid w:val="00174638"/>
    <w:rsid w:val="00174824"/>
    <w:rsid w:val="00174E2D"/>
    <w:rsid w:val="00174F55"/>
    <w:rsid w:val="00175177"/>
    <w:rsid w:val="001751FA"/>
    <w:rsid w:val="00175441"/>
    <w:rsid w:val="00175A03"/>
    <w:rsid w:val="0017605E"/>
    <w:rsid w:val="001762CA"/>
    <w:rsid w:val="0017634C"/>
    <w:rsid w:val="0017652F"/>
    <w:rsid w:val="00176ACF"/>
    <w:rsid w:val="00177963"/>
    <w:rsid w:val="00177AC0"/>
    <w:rsid w:val="00177D24"/>
    <w:rsid w:val="00180554"/>
    <w:rsid w:val="001805ED"/>
    <w:rsid w:val="001807B6"/>
    <w:rsid w:val="00180E97"/>
    <w:rsid w:val="001810F0"/>
    <w:rsid w:val="001815C9"/>
    <w:rsid w:val="00181B69"/>
    <w:rsid w:val="00181BAA"/>
    <w:rsid w:val="00181C10"/>
    <w:rsid w:val="00181D9C"/>
    <w:rsid w:val="00181F0D"/>
    <w:rsid w:val="00181FDF"/>
    <w:rsid w:val="00182805"/>
    <w:rsid w:val="00182DF0"/>
    <w:rsid w:val="00182FF2"/>
    <w:rsid w:val="0018320B"/>
    <w:rsid w:val="0018361D"/>
    <w:rsid w:val="001837FF"/>
    <w:rsid w:val="00183A09"/>
    <w:rsid w:val="00183A5B"/>
    <w:rsid w:val="00183FD8"/>
    <w:rsid w:val="00184241"/>
    <w:rsid w:val="001842B3"/>
    <w:rsid w:val="00184466"/>
    <w:rsid w:val="00184992"/>
    <w:rsid w:val="001849F1"/>
    <w:rsid w:val="00184AC2"/>
    <w:rsid w:val="00184B0E"/>
    <w:rsid w:val="00184C4B"/>
    <w:rsid w:val="001851C1"/>
    <w:rsid w:val="001852D4"/>
    <w:rsid w:val="001853A5"/>
    <w:rsid w:val="00185949"/>
    <w:rsid w:val="00186496"/>
    <w:rsid w:val="00186B4F"/>
    <w:rsid w:val="00186C86"/>
    <w:rsid w:val="00187175"/>
    <w:rsid w:val="00187247"/>
    <w:rsid w:val="001874B1"/>
    <w:rsid w:val="0018752F"/>
    <w:rsid w:val="001877AB"/>
    <w:rsid w:val="00187877"/>
    <w:rsid w:val="00187AC0"/>
    <w:rsid w:val="00187B11"/>
    <w:rsid w:val="00187EB8"/>
    <w:rsid w:val="00190145"/>
    <w:rsid w:val="00190A72"/>
    <w:rsid w:val="00190EC7"/>
    <w:rsid w:val="00190F78"/>
    <w:rsid w:val="00190FC4"/>
    <w:rsid w:val="00191761"/>
    <w:rsid w:val="00191A09"/>
    <w:rsid w:val="00191ABC"/>
    <w:rsid w:val="00191FD2"/>
    <w:rsid w:val="00192E10"/>
    <w:rsid w:val="00193027"/>
    <w:rsid w:val="00193734"/>
    <w:rsid w:val="00193838"/>
    <w:rsid w:val="00193B53"/>
    <w:rsid w:val="001943F0"/>
    <w:rsid w:val="00194791"/>
    <w:rsid w:val="00194ACB"/>
    <w:rsid w:val="00194AD8"/>
    <w:rsid w:val="00194B5A"/>
    <w:rsid w:val="00194CAF"/>
    <w:rsid w:val="00194F55"/>
    <w:rsid w:val="00195222"/>
    <w:rsid w:val="00195452"/>
    <w:rsid w:val="00195DDE"/>
    <w:rsid w:val="001961C7"/>
    <w:rsid w:val="00196202"/>
    <w:rsid w:val="00196A7B"/>
    <w:rsid w:val="00196AED"/>
    <w:rsid w:val="00196B52"/>
    <w:rsid w:val="00196CE1"/>
    <w:rsid w:val="00196F22"/>
    <w:rsid w:val="00197274"/>
    <w:rsid w:val="001975D8"/>
    <w:rsid w:val="001A0414"/>
    <w:rsid w:val="001A046A"/>
    <w:rsid w:val="001A07A6"/>
    <w:rsid w:val="001A07F3"/>
    <w:rsid w:val="001A0D16"/>
    <w:rsid w:val="001A0FB4"/>
    <w:rsid w:val="001A0FB8"/>
    <w:rsid w:val="001A11BD"/>
    <w:rsid w:val="001A14EC"/>
    <w:rsid w:val="001A16E8"/>
    <w:rsid w:val="001A178E"/>
    <w:rsid w:val="001A17BE"/>
    <w:rsid w:val="001A1B2D"/>
    <w:rsid w:val="001A2190"/>
    <w:rsid w:val="001A2CA4"/>
    <w:rsid w:val="001A2E3A"/>
    <w:rsid w:val="001A2F89"/>
    <w:rsid w:val="001A2F94"/>
    <w:rsid w:val="001A3099"/>
    <w:rsid w:val="001A30D2"/>
    <w:rsid w:val="001A3122"/>
    <w:rsid w:val="001A34F2"/>
    <w:rsid w:val="001A3577"/>
    <w:rsid w:val="001A35FC"/>
    <w:rsid w:val="001A383A"/>
    <w:rsid w:val="001A3BE0"/>
    <w:rsid w:val="001A3E2C"/>
    <w:rsid w:val="001A3E3A"/>
    <w:rsid w:val="001A43FA"/>
    <w:rsid w:val="001A47C5"/>
    <w:rsid w:val="001A5214"/>
    <w:rsid w:val="001A53EB"/>
    <w:rsid w:val="001A5649"/>
    <w:rsid w:val="001A56B7"/>
    <w:rsid w:val="001A59FB"/>
    <w:rsid w:val="001A5E9E"/>
    <w:rsid w:val="001A60D0"/>
    <w:rsid w:val="001A61E5"/>
    <w:rsid w:val="001A6354"/>
    <w:rsid w:val="001A6366"/>
    <w:rsid w:val="001A640F"/>
    <w:rsid w:val="001A6944"/>
    <w:rsid w:val="001A6970"/>
    <w:rsid w:val="001A6974"/>
    <w:rsid w:val="001A73B7"/>
    <w:rsid w:val="001A7585"/>
    <w:rsid w:val="001A75F5"/>
    <w:rsid w:val="001A7A03"/>
    <w:rsid w:val="001A7AE8"/>
    <w:rsid w:val="001A7CE7"/>
    <w:rsid w:val="001B023B"/>
    <w:rsid w:val="001B02B3"/>
    <w:rsid w:val="001B02FB"/>
    <w:rsid w:val="001B0442"/>
    <w:rsid w:val="001B06C7"/>
    <w:rsid w:val="001B0B82"/>
    <w:rsid w:val="001B0D80"/>
    <w:rsid w:val="001B0DC2"/>
    <w:rsid w:val="001B14F9"/>
    <w:rsid w:val="001B15DB"/>
    <w:rsid w:val="001B16E0"/>
    <w:rsid w:val="001B1B81"/>
    <w:rsid w:val="001B1D41"/>
    <w:rsid w:val="001B1E47"/>
    <w:rsid w:val="001B204E"/>
    <w:rsid w:val="001B2372"/>
    <w:rsid w:val="001B2926"/>
    <w:rsid w:val="001B2977"/>
    <w:rsid w:val="001B29E4"/>
    <w:rsid w:val="001B2C09"/>
    <w:rsid w:val="001B3443"/>
    <w:rsid w:val="001B3452"/>
    <w:rsid w:val="001B370D"/>
    <w:rsid w:val="001B3A45"/>
    <w:rsid w:val="001B3F3B"/>
    <w:rsid w:val="001B4044"/>
    <w:rsid w:val="001B45EF"/>
    <w:rsid w:val="001B47DE"/>
    <w:rsid w:val="001B490C"/>
    <w:rsid w:val="001B4AF8"/>
    <w:rsid w:val="001B4D20"/>
    <w:rsid w:val="001B51A8"/>
    <w:rsid w:val="001B5961"/>
    <w:rsid w:val="001B6030"/>
    <w:rsid w:val="001B65C9"/>
    <w:rsid w:val="001B764F"/>
    <w:rsid w:val="001B7716"/>
    <w:rsid w:val="001B7726"/>
    <w:rsid w:val="001B7791"/>
    <w:rsid w:val="001B7D0D"/>
    <w:rsid w:val="001B7D64"/>
    <w:rsid w:val="001B7F84"/>
    <w:rsid w:val="001C00A4"/>
    <w:rsid w:val="001C087A"/>
    <w:rsid w:val="001C102D"/>
    <w:rsid w:val="001C1361"/>
    <w:rsid w:val="001C154F"/>
    <w:rsid w:val="001C16C8"/>
    <w:rsid w:val="001C1783"/>
    <w:rsid w:val="001C1B4F"/>
    <w:rsid w:val="001C1D66"/>
    <w:rsid w:val="001C20B4"/>
    <w:rsid w:val="001C2402"/>
    <w:rsid w:val="001C24DB"/>
    <w:rsid w:val="001C24F9"/>
    <w:rsid w:val="001C2712"/>
    <w:rsid w:val="001C287C"/>
    <w:rsid w:val="001C2A9B"/>
    <w:rsid w:val="001C2E7C"/>
    <w:rsid w:val="001C31B6"/>
    <w:rsid w:val="001C347A"/>
    <w:rsid w:val="001C36CD"/>
    <w:rsid w:val="001C371D"/>
    <w:rsid w:val="001C37BD"/>
    <w:rsid w:val="001C3DD6"/>
    <w:rsid w:val="001C3FCA"/>
    <w:rsid w:val="001C4299"/>
    <w:rsid w:val="001C43E1"/>
    <w:rsid w:val="001C4521"/>
    <w:rsid w:val="001C4874"/>
    <w:rsid w:val="001C4BB5"/>
    <w:rsid w:val="001C4F71"/>
    <w:rsid w:val="001C57E7"/>
    <w:rsid w:val="001C5CBB"/>
    <w:rsid w:val="001C5E5B"/>
    <w:rsid w:val="001C5E65"/>
    <w:rsid w:val="001C5F94"/>
    <w:rsid w:val="001C60D9"/>
    <w:rsid w:val="001C6DB7"/>
    <w:rsid w:val="001C6E66"/>
    <w:rsid w:val="001C712F"/>
    <w:rsid w:val="001C7207"/>
    <w:rsid w:val="001C728A"/>
    <w:rsid w:val="001C7C59"/>
    <w:rsid w:val="001C7CF1"/>
    <w:rsid w:val="001C7D0F"/>
    <w:rsid w:val="001C7F98"/>
    <w:rsid w:val="001D035A"/>
    <w:rsid w:val="001D0531"/>
    <w:rsid w:val="001D05EA"/>
    <w:rsid w:val="001D077E"/>
    <w:rsid w:val="001D07DF"/>
    <w:rsid w:val="001D0F6D"/>
    <w:rsid w:val="001D1100"/>
    <w:rsid w:val="001D1356"/>
    <w:rsid w:val="001D1391"/>
    <w:rsid w:val="001D1552"/>
    <w:rsid w:val="001D16CC"/>
    <w:rsid w:val="001D17F4"/>
    <w:rsid w:val="001D18E7"/>
    <w:rsid w:val="001D1B1C"/>
    <w:rsid w:val="001D20E1"/>
    <w:rsid w:val="001D2171"/>
    <w:rsid w:val="001D233B"/>
    <w:rsid w:val="001D23C8"/>
    <w:rsid w:val="001D25D7"/>
    <w:rsid w:val="001D2C9D"/>
    <w:rsid w:val="001D2F58"/>
    <w:rsid w:val="001D300B"/>
    <w:rsid w:val="001D3A4A"/>
    <w:rsid w:val="001D3C55"/>
    <w:rsid w:val="001D3DA9"/>
    <w:rsid w:val="001D3E75"/>
    <w:rsid w:val="001D48F1"/>
    <w:rsid w:val="001D4BF1"/>
    <w:rsid w:val="001D4F53"/>
    <w:rsid w:val="001D500E"/>
    <w:rsid w:val="001D50B2"/>
    <w:rsid w:val="001D5223"/>
    <w:rsid w:val="001D58DC"/>
    <w:rsid w:val="001D5920"/>
    <w:rsid w:val="001D5988"/>
    <w:rsid w:val="001D5A60"/>
    <w:rsid w:val="001D5E3A"/>
    <w:rsid w:val="001D61F2"/>
    <w:rsid w:val="001D631B"/>
    <w:rsid w:val="001D64CB"/>
    <w:rsid w:val="001D6558"/>
    <w:rsid w:val="001D6756"/>
    <w:rsid w:val="001D6E2A"/>
    <w:rsid w:val="001D6F3E"/>
    <w:rsid w:val="001D70C1"/>
    <w:rsid w:val="001D70ED"/>
    <w:rsid w:val="001D71B5"/>
    <w:rsid w:val="001D71F4"/>
    <w:rsid w:val="001D722C"/>
    <w:rsid w:val="001D7308"/>
    <w:rsid w:val="001D73D4"/>
    <w:rsid w:val="001D7645"/>
    <w:rsid w:val="001D77D2"/>
    <w:rsid w:val="001D78EB"/>
    <w:rsid w:val="001D7A8F"/>
    <w:rsid w:val="001D7C48"/>
    <w:rsid w:val="001D7C95"/>
    <w:rsid w:val="001D7CCA"/>
    <w:rsid w:val="001D7F4D"/>
    <w:rsid w:val="001E000A"/>
    <w:rsid w:val="001E01B5"/>
    <w:rsid w:val="001E098F"/>
    <w:rsid w:val="001E0C74"/>
    <w:rsid w:val="001E0CA2"/>
    <w:rsid w:val="001E0E87"/>
    <w:rsid w:val="001E14E8"/>
    <w:rsid w:val="001E187A"/>
    <w:rsid w:val="001E1DF1"/>
    <w:rsid w:val="001E1E86"/>
    <w:rsid w:val="001E238E"/>
    <w:rsid w:val="001E2483"/>
    <w:rsid w:val="001E27F3"/>
    <w:rsid w:val="001E2B1E"/>
    <w:rsid w:val="001E2BB4"/>
    <w:rsid w:val="001E2CFF"/>
    <w:rsid w:val="001E2F24"/>
    <w:rsid w:val="001E30D4"/>
    <w:rsid w:val="001E3185"/>
    <w:rsid w:val="001E34DF"/>
    <w:rsid w:val="001E3869"/>
    <w:rsid w:val="001E47A8"/>
    <w:rsid w:val="001E493D"/>
    <w:rsid w:val="001E497B"/>
    <w:rsid w:val="001E4C9D"/>
    <w:rsid w:val="001E4F88"/>
    <w:rsid w:val="001E52EB"/>
    <w:rsid w:val="001E551C"/>
    <w:rsid w:val="001E5573"/>
    <w:rsid w:val="001E57CC"/>
    <w:rsid w:val="001E5904"/>
    <w:rsid w:val="001E5EDA"/>
    <w:rsid w:val="001E60DF"/>
    <w:rsid w:val="001E61D2"/>
    <w:rsid w:val="001E6209"/>
    <w:rsid w:val="001E6348"/>
    <w:rsid w:val="001E642F"/>
    <w:rsid w:val="001E6809"/>
    <w:rsid w:val="001E6B14"/>
    <w:rsid w:val="001E6E51"/>
    <w:rsid w:val="001E7152"/>
    <w:rsid w:val="001E7202"/>
    <w:rsid w:val="001E740C"/>
    <w:rsid w:val="001E741D"/>
    <w:rsid w:val="001E745D"/>
    <w:rsid w:val="001E74B1"/>
    <w:rsid w:val="001E75C1"/>
    <w:rsid w:val="001E796F"/>
    <w:rsid w:val="001F051A"/>
    <w:rsid w:val="001F06B8"/>
    <w:rsid w:val="001F1235"/>
    <w:rsid w:val="001F17B5"/>
    <w:rsid w:val="001F19D2"/>
    <w:rsid w:val="001F1CB3"/>
    <w:rsid w:val="001F1F58"/>
    <w:rsid w:val="001F2042"/>
    <w:rsid w:val="001F26F0"/>
    <w:rsid w:val="001F2894"/>
    <w:rsid w:val="001F2A8D"/>
    <w:rsid w:val="001F2BA8"/>
    <w:rsid w:val="001F3357"/>
    <w:rsid w:val="001F3689"/>
    <w:rsid w:val="001F38B5"/>
    <w:rsid w:val="001F3C6A"/>
    <w:rsid w:val="001F3CA2"/>
    <w:rsid w:val="001F3F08"/>
    <w:rsid w:val="001F3F0F"/>
    <w:rsid w:val="001F4081"/>
    <w:rsid w:val="001F41C3"/>
    <w:rsid w:val="001F44B2"/>
    <w:rsid w:val="001F44D8"/>
    <w:rsid w:val="001F55B6"/>
    <w:rsid w:val="001F5ADD"/>
    <w:rsid w:val="001F648C"/>
    <w:rsid w:val="001F6680"/>
    <w:rsid w:val="001F6805"/>
    <w:rsid w:val="001F68E8"/>
    <w:rsid w:val="001F698B"/>
    <w:rsid w:val="001F6D1E"/>
    <w:rsid w:val="001F6D7D"/>
    <w:rsid w:val="001F6F06"/>
    <w:rsid w:val="001F7078"/>
    <w:rsid w:val="001F71A1"/>
    <w:rsid w:val="001F7303"/>
    <w:rsid w:val="001F7361"/>
    <w:rsid w:val="001F7539"/>
    <w:rsid w:val="001F753E"/>
    <w:rsid w:val="001F7942"/>
    <w:rsid w:val="001F7A51"/>
    <w:rsid w:val="001F7BA6"/>
    <w:rsid w:val="001F7C3F"/>
    <w:rsid w:val="00200823"/>
    <w:rsid w:val="002008A6"/>
    <w:rsid w:val="00200D59"/>
    <w:rsid w:val="00200EEA"/>
    <w:rsid w:val="00200FB4"/>
    <w:rsid w:val="002011B0"/>
    <w:rsid w:val="00201891"/>
    <w:rsid w:val="00201976"/>
    <w:rsid w:val="002021CD"/>
    <w:rsid w:val="002023F4"/>
    <w:rsid w:val="0020266B"/>
    <w:rsid w:val="0020294E"/>
    <w:rsid w:val="00202974"/>
    <w:rsid w:val="00202BCC"/>
    <w:rsid w:val="0020308C"/>
    <w:rsid w:val="00203181"/>
    <w:rsid w:val="002031C7"/>
    <w:rsid w:val="002032AD"/>
    <w:rsid w:val="002034C9"/>
    <w:rsid w:val="00203783"/>
    <w:rsid w:val="0020385F"/>
    <w:rsid w:val="002038A4"/>
    <w:rsid w:val="002039C6"/>
    <w:rsid w:val="00203D2F"/>
    <w:rsid w:val="00203D88"/>
    <w:rsid w:val="002041F4"/>
    <w:rsid w:val="002043B4"/>
    <w:rsid w:val="002047C6"/>
    <w:rsid w:val="002047EB"/>
    <w:rsid w:val="0020481C"/>
    <w:rsid w:val="00204ADC"/>
    <w:rsid w:val="00204FED"/>
    <w:rsid w:val="00204FF5"/>
    <w:rsid w:val="00205573"/>
    <w:rsid w:val="002056BA"/>
    <w:rsid w:val="00205917"/>
    <w:rsid w:val="002059CD"/>
    <w:rsid w:val="00205B76"/>
    <w:rsid w:val="00205C39"/>
    <w:rsid w:val="002061B1"/>
    <w:rsid w:val="00206265"/>
    <w:rsid w:val="002066C0"/>
    <w:rsid w:val="002067BE"/>
    <w:rsid w:val="002067DB"/>
    <w:rsid w:val="002068A0"/>
    <w:rsid w:val="002069B9"/>
    <w:rsid w:val="00206AE1"/>
    <w:rsid w:val="00206BC1"/>
    <w:rsid w:val="00206FF8"/>
    <w:rsid w:val="00207021"/>
    <w:rsid w:val="0020732F"/>
    <w:rsid w:val="00207649"/>
    <w:rsid w:val="0020783B"/>
    <w:rsid w:val="00207B24"/>
    <w:rsid w:val="00207B5A"/>
    <w:rsid w:val="00207CF3"/>
    <w:rsid w:val="00207D00"/>
    <w:rsid w:val="00207D32"/>
    <w:rsid w:val="002100FB"/>
    <w:rsid w:val="00210156"/>
    <w:rsid w:val="002101A6"/>
    <w:rsid w:val="0021027E"/>
    <w:rsid w:val="002105C1"/>
    <w:rsid w:val="00210772"/>
    <w:rsid w:val="00210E48"/>
    <w:rsid w:val="00210ED4"/>
    <w:rsid w:val="002112E6"/>
    <w:rsid w:val="00211604"/>
    <w:rsid w:val="002116FD"/>
    <w:rsid w:val="0021172F"/>
    <w:rsid w:val="00211AC5"/>
    <w:rsid w:val="00211ACA"/>
    <w:rsid w:val="00211B65"/>
    <w:rsid w:val="00211CF8"/>
    <w:rsid w:val="00211F01"/>
    <w:rsid w:val="002121A5"/>
    <w:rsid w:val="0021220B"/>
    <w:rsid w:val="002125E3"/>
    <w:rsid w:val="00212746"/>
    <w:rsid w:val="0021291A"/>
    <w:rsid w:val="00212AE6"/>
    <w:rsid w:val="00212FD3"/>
    <w:rsid w:val="002137C8"/>
    <w:rsid w:val="0021390A"/>
    <w:rsid w:val="00213EF5"/>
    <w:rsid w:val="00214700"/>
    <w:rsid w:val="00214976"/>
    <w:rsid w:val="00214ACE"/>
    <w:rsid w:val="00214B82"/>
    <w:rsid w:val="00214C1F"/>
    <w:rsid w:val="00214E29"/>
    <w:rsid w:val="002150C2"/>
    <w:rsid w:val="00215224"/>
    <w:rsid w:val="0021531C"/>
    <w:rsid w:val="0021531F"/>
    <w:rsid w:val="00215516"/>
    <w:rsid w:val="00215718"/>
    <w:rsid w:val="0021583E"/>
    <w:rsid w:val="00215BA0"/>
    <w:rsid w:val="00215F33"/>
    <w:rsid w:val="0021600F"/>
    <w:rsid w:val="002161B3"/>
    <w:rsid w:val="00216BF5"/>
    <w:rsid w:val="00217192"/>
    <w:rsid w:val="002174A5"/>
    <w:rsid w:val="002174C8"/>
    <w:rsid w:val="00217D3E"/>
    <w:rsid w:val="00217E8F"/>
    <w:rsid w:val="00217F77"/>
    <w:rsid w:val="00217FCF"/>
    <w:rsid w:val="002204B3"/>
    <w:rsid w:val="002205DC"/>
    <w:rsid w:val="00220A04"/>
    <w:rsid w:val="00220C49"/>
    <w:rsid w:val="00221045"/>
    <w:rsid w:val="00221295"/>
    <w:rsid w:val="002212D8"/>
    <w:rsid w:val="00221651"/>
    <w:rsid w:val="002216B0"/>
    <w:rsid w:val="00221896"/>
    <w:rsid w:val="00221AD6"/>
    <w:rsid w:val="00221D74"/>
    <w:rsid w:val="002221CF"/>
    <w:rsid w:val="002228C6"/>
    <w:rsid w:val="00222AA2"/>
    <w:rsid w:val="00222B10"/>
    <w:rsid w:val="00223114"/>
    <w:rsid w:val="0022330C"/>
    <w:rsid w:val="00223AA3"/>
    <w:rsid w:val="00223B49"/>
    <w:rsid w:val="00223D5A"/>
    <w:rsid w:val="00224244"/>
    <w:rsid w:val="00224756"/>
    <w:rsid w:val="00224CCF"/>
    <w:rsid w:val="00224DD4"/>
    <w:rsid w:val="00224DE2"/>
    <w:rsid w:val="00224E98"/>
    <w:rsid w:val="0022509B"/>
    <w:rsid w:val="0022524D"/>
    <w:rsid w:val="002253A7"/>
    <w:rsid w:val="002256A2"/>
    <w:rsid w:val="00225924"/>
    <w:rsid w:val="00225C0C"/>
    <w:rsid w:val="00225CCC"/>
    <w:rsid w:val="0022624C"/>
    <w:rsid w:val="002278A0"/>
    <w:rsid w:val="00227B4C"/>
    <w:rsid w:val="00227DF3"/>
    <w:rsid w:val="00227E64"/>
    <w:rsid w:val="00230207"/>
    <w:rsid w:val="002305B9"/>
    <w:rsid w:val="002308A2"/>
    <w:rsid w:val="002309CC"/>
    <w:rsid w:val="00230DA8"/>
    <w:rsid w:val="00230FCC"/>
    <w:rsid w:val="00231233"/>
    <w:rsid w:val="002312B9"/>
    <w:rsid w:val="0023173E"/>
    <w:rsid w:val="002318D9"/>
    <w:rsid w:val="00231BA9"/>
    <w:rsid w:val="00232066"/>
    <w:rsid w:val="0023209F"/>
    <w:rsid w:val="00232108"/>
    <w:rsid w:val="002321CA"/>
    <w:rsid w:val="0023243B"/>
    <w:rsid w:val="002325FE"/>
    <w:rsid w:val="00232CFB"/>
    <w:rsid w:val="00233436"/>
    <w:rsid w:val="0023346D"/>
    <w:rsid w:val="00233A77"/>
    <w:rsid w:val="00233C01"/>
    <w:rsid w:val="00233C22"/>
    <w:rsid w:val="0023413C"/>
    <w:rsid w:val="0023419E"/>
    <w:rsid w:val="0023457C"/>
    <w:rsid w:val="002346B8"/>
    <w:rsid w:val="002346F0"/>
    <w:rsid w:val="0023497D"/>
    <w:rsid w:val="00234FE1"/>
    <w:rsid w:val="002350C4"/>
    <w:rsid w:val="00235762"/>
    <w:rsid w:val="00235C1F"/>
    <w:rsid w:val="00235FD1"/>
    <w:rsid w:val="0023602C"/>
    <w:rsid w:val="0023629D"/>
    <w:rsid w:val="00236C9F"/>
    <w:rsid w:val="00236EB2"/>
    <w:rsid w:val="0023716E"/>
    <w:rsid w:val="00237255"/>
    <w:rsid w:val="00237484"/>
    <w:rsid w:val="002374E0"/>
    <w:rsid w:val="002377C7"/>
    <w:rsid w:val="002379FC"/>
    <w:rsid w:val="00237A20"/>
    <w:rsid w:val="00237B6B"/>
    <w:rsid w:val="00237DB5"/>
    <w:rsid w:val="002405CB"/>
    <w:rsid w:val="00240788"/>
    <w:rsid w:val="00240C6D"/>
    <w:rsid w:val="00241439"/>
    <w:rsid w:val="0024147F"/>
    <w:rsid w:val="00241610"/>
    <w:rsid w:val="00241875"/>
    <w:rsid w:val="00241AEF"/>
    <w:rsid w:val="00241E58"/>
    <w:rsid w:val="00241EA5"/>
    <w:rsid w:val="00242169"/>
    <w:rsid w:val="002424AF"/>
    <w:rsid w:val="00242547"/>
    <w:rsid w:val="0024268E"/>
    <w:rsid w:val="002427DD"/>
    <w:rsid w:val="0024292F"/>
    <w:rsid w:val="00242B29"/>
    <w:rsid w:val="00242CC7"/>
    <w:rsid w:val="00242FEC"/>
    <w:rsid w:val="00243113"/>
    <w:rsid w:val="002434BF"/>
    <w:rsid w:val="002436DE"/>
    <w:rsid w:val="002437F4"/>
    <w:rsid w:val="00243969"/>
    <w:rsid w:val="002439DC"/>
    <w:rsid w:val="00243B17"/>
    <w:rsid w:val="00243E45"/>
    <w:rsid w:val="00243EEC"/>
    <w:rsid w:val="002441D2"/>
    <w:rsid w:val="00244248"/>
    <w:rsid w:val="002449F8"/>
    <w:rsid w:val="00244DC8"/>
    <w:rsid w:val="00244E55"/>
    <w:rsid w:val="002451F4"/>
    <w:rsid w:val="0024525F"/>
    <w:rsid w:val="002452F4"/>
    <w:rsid w:val="00245372"/>
    <w:rsid w:val="002453D8"/>
    <w:rsid w:val="002455FD"/>
    <w:rsid w:val="0024589F"/>
    <w:rsid w:val="002458BA"/>
    <w:rsid w:val="002459B4"/>
    <w:rsid w:val="002459D1"/>
    <w:rsid w:val="00245A81"/>
    <w:rsid w:val="00245CE9"/>
    <w:rsid w:val="0024602B"/>
    <w:rsid w:val="0024627D"/>
    <w:rsid w:val="0024629E"/>
    <w:rsid w:val="0024636C"/>
    <w:rsid w:val="00246426"/>
    <w:rsid w:val="00246702"/>
    <w:rsid w:val="00246963"/>
    <w:rsid w:val="002469E8"/>
    <w:rsid w:val="00246C94"/>
    <w:rsid w:val="00247925"/>
    <w:rsid w:val="002479B3"/>
    <w:rsid w:val="00247C1C"/>
    <w:rsid w:val="00247D5F"/>
    <w:rsid w:val="002501CC"/>
    <w:rsid w:val="00250B6F"/>
    <w:rsid w:val="00251006"/>
    <w:rsid w:val="002510FD"/>
    <w:rsid w:val="002512E4"/>
    <w:rsid w:val="002513E8"/>
    <w:rsid w:val="002514B4"/>
    <w:rsid w:val="002514F4"/>
    <w:rsid w:val="00251700"/>
    <w:rsid w:val="0025197D"/>
    <w:rsid w:val="00251D0D"/>
    <w:rsid w:val="00251D89"/>
    <w:rsid w:val="002521B4"/>
    <w:rsid w:val="002524D5"/>
    <w:rsid w:val="00252F4F"/>
    <w:rsid w:val="002531E9"/>
    <w:rsid w:val="002537A6"/>
    <w:rsid w:val="00253815"/>
    <w:rsid w:val="00253B1D"/>
    <w:rsid w:val="00254287"/>
    <w:rsid w:val="0025452D"/>
    <w:rsid w:val="00254844"/>
    <w:rsid w:val="00254943"/>
    <w:rsid w:val="002549FC"/>
    <w:rsid w:val="00254CED"/>
    <w:rsid w:val="00254DCF"/>
    <w:rsid w:val="0025534B"/>
    <w:rsid w:val="0025581F"/>
    <w:rsid w:val="00255B14"/>
    <w:rsid w:val="00255BB7"/>
    <w:rsid w:val="00255C58"/>
    <w:rsid w:val="00255CF6"/>
    <w:rsid w:val="0025622E"/>
    <w:rsid w:val="0025640D"/>
    <w:rsid w:val="002564E4"/>
    <w:rsid w:val="0025650D"/>
    <w:rsid w:val="002565F6"/>
    <w:rsid w:val="0025673D"/>
    <w:rsid w:val="00256869"/>
    <w:rsid w:val="00256A95"/>
    <w:rsid w:val="00256BBC"/>
    <w:rsid w:val="00256CBC"/>
    <w:rsid w:val="00256E0C"/>
    <w:rsid w:val="00257175"/>
    <w:rsid w:val="002572F5"/>
    <w:rsid w:val="00257541"/>
    <w:rsid w:val="00257598"/>
    <w:rsid w:val="00257653"/>
    <w:rsid w:val="0025770F"/>
    <w:rsid w:val="002579CF"/>
    <w:rsid w:val="002579E7"/>
    <w:rsid w:val="00257A39"/>
    <w:rsid w:val="00257A3B"/>
    <w:rsid w:val="00257AC4"/>
    <w:rsid w:val="00257BBE"/>
    <w:rsid w:val="0026029B"/>
    <w:rsid w:val="0026061F"/>
    <w:rsid w:val="00260716"/>
    <w:rsid w:val="00260D3A"/>
    <w:rsid w:val="00260EA7"/>
    <w:rsid w:val="00261505"/>
    <w:rsid w:val="002616EA"/>
    <w:rsid w:val="00261889"/>
    <w:rsid w:val="00261898"/>
    <w:rsid w:val="002618C5"/>
    <w:rsid w:val="00261908"/>
    <w:rsid w:val="00261B12"/>
    <w:rsid w:val="00261EEF"/>
    <w:rsid w:val="002620D9"/>
    <w:rsid w:val="002623F3"/>
    <w:rsid w:val="002625C8"/>
    <w:rsid w:val="00262846"/>
    <w:rsid w:val="00262A1A"/>
    <w:rsid w:val="00262A87"/>
    <w:rsid w:val="00262BEF"/>
    <w:rsid w:val="00262D4E"/>
    <w:rsid w:val="00262E95"/>
    <w:rsid w:val="00263449"/>
    <w:rsid w:val="0026393B"/>
    <w:rsid w:val="00263D78"/>
    <w:rsid w:val="00264012"/>
    <w:rsid w:val="0026408C"/>
    <w:rsid w:val="00264B75"/>
    <w:rsid w:val="00264BC6"/>
    <w:rsid w:val="00264D26"/>
    <w:rsid w:val="00265378"/>
    <w:rsid w:val="00265514"/>
    <w:rsid w:val="00265892"/>
    <w:rsid w:val="00265AC4"/>
    <w:rsid w:val="0026606F"/>
    <w:rsid w:val="00266079"/>
    <w:rsid w:val="0026644C"/>
    <w:rsid w:val="00266A09"/>
    <w:rsid w:val="0026701D"/>
    <w:rsid w:val="002670DC"/>
    <w:rsid w:val="002672D7"/>
    <w:rsid w:val="00267566"/>
    <w:rsid w:val="00267642"/>
    <w:rsid w:val="0026783B"/>
    <w:rsid w:val="00267A8C"/>
    <w:rsid w:val="00267AEA"/>
    <w:rsid w:val="00267CC9"/>
    <w:rsid w:val="002700E6"/>
    <w:rsid w:val="002700FE"/>
    <w:rsid w:val="002701AB"/>
    <w:rsid w:val="00270305"/>
    <w:rsid w:val="002703B3"/>
    <w:rsid w:val="002708D6"/>
    <w:rsid w:val="002708E0"/>
    <w:rsid w:val="0027095D"/>
    <w:rsid w:val="00270DDE"/>
    <w:rsid w:val="00270DE7"/>
    <w:rsid w:val="00270FB5"/>
    <w:rsid w:val="00271537"/>
    <w:rsid w:val="00271ADC"/>
    <w:rsid w:val="00271C7A"/>
    <w:rsid w:val="00271CAA"/>
    <w:rsid w:val="00271CFF"/>
    <w:rsid w:val="0027294B"/>
    <w:rsid w:val="00272EFA"/>
    <w:rsid w:val="002731A9"/>
    <w:rsid w:val="002731F0"/>
    <w:rsid w:val="002734EA"/>
    <w:rsid w:val="00273512"/>
    <w:rsid w:val="002736AE"/>
    <w:rsid w:val="002737CC"/>
    <w:rsid w:val="00273EB4"/>
    <w:rsid w:val="00273F3E"/>
    <w:rsid w:val="002741C6"/>
    <w:rsid w:val="0027431A"/>
    <w:rsid w:val="00274682"/>
    <w:rsid w:val="00274F4D"/>
    <w:rsid w:val="00275158"/>
    <w:rsid w:val="00275234"/>
    <w:rsid w:val="00275251"/>
    <w:rsid w:val="00275365"/>
    <w:rsid w:val="00275C5A"/>
    <w:rsid w:val="00276203"/>
    <w:rsid w:val="002766EA"/>
    <w:rsid w:val="002767D6"/>
    <w:rsid w:val="00276EDD"/>
    <w:rsid w:val="0027727D"/>
    <w:rsid w:val="0027745D"/>
    <w:rsid w:val="0028011B"/>
    <w:rsid w:val="0028015E"/>
    <w:rsid w:val="00280260"/>
    <w:rsid w:val="00280686"/>
    <w:rsid w:val="002806AA"/>
    <w:rsid w:val="002806FB"/>
    <w:rsid w:val="002807BB"/>
    <w:rsid w:val="00280802"/>
    <w:rsid w:val="002809C8"/>
    <w:rsid w:val="00280E10"/>
    <w:rsid w:val="00281014"/>
    <w:rsid w:val="0028102A"/>
    <w:rsid w:val="0028218F"/>
    <w:rsid w:val="0028234E"/>
    <w:rsid w:val="002824AF"/>
    <w:rsid w:val="00283042"/>
    <w:rsid w:val="00283326"/>
    <w:rsid w:val="002833BE"/>
    <w:rsid w:val="00283657"/>
    <w:rsid w:val="0028419E"/>
    <w:rsid w:val="002841CD"/>
    <w:rsid w:val="0028465C"/>
    <w:rsid w:val="002846FA"/>
    <w:rsid w:val="002848B3"/>
    <w:rsid w:val="00284B64"/>
    <w:rsid w:val="00284CAA"/>
    <w:rsid w:val="0028501D"/>
    <w:rsid w:val="0028539F"/>
    <w:rsid w:val="002855AF"/>
    <w:rsid w:val="002856EC"/>
    <w:rsid w:val="0028584E"/>
    <w:rsid w:val="00285BCE"/>
    <w:rsid w:val="00285D21"/>
    <w:rsid w:val="00285FF9"/>
    <w:rsid w:val="00286279"/>
    <w:rsid w:val="002865CB"/>
    <w:rsid w:val="0028665D"/>
    <w:rsid w:val="002866BF"/>
    <w:rsid w:val="002869ED"/>
    <w:rsid w:val="00286D09"/>
    <w:rsid w:val="00286D1D"/>
    <w:rsid w:val="00286ED5"/>
    <w:rsid w:val="00286FEC"/>
    <w:rsid w:val="00287247"/>
    <w:rsid w:val="002873F7"/>
    <w:rsid w:val="0028744E"/>
    <w:rsid w:val="002874A2"/>
    <w:rsid w:val="002877FC"/>
    <w:rsid w:val="00287B4B"/>
    <w:rsid w:val="00287C45"/>
    <w:rsid w:val="00287F52"/>
    <w:rsid w:val="00290391"/>
    <w:rsid w:val="002905D9"/>
    <w:rsid w:val="0029068E"/>
    <w:rsid w:val="00290ACB"/>
    <w:rsid w:val="00290B05"/>
    <w:rsid w:val="00290D70"/>
    <w:rsid w:val="00290DA0"/>
    <w:rsid w:val="00290F14"/>
    <w:rsid w:val="002912E7"/>
    <w:rsid w:val="00291720"/>
    <w:rsid w:val="00291C4B"/>
    <w:rsid w:val="00291F02"/>
    <w:rsid w:val="002922C3"/>
    <w:rsid w:val="00292BF5"/>
    <w:rsid w:val="00292D06"/>
    <w:rsid w:val="00292F8C"/>
    <w:rsid w:val="002937C7"/>
    <w:rsid w:val="002939E0"/>
    <w:rsid w:val="002940BA"/>
    <w:rsid w:val="00294321"/>
    <w:rsid w:val="002949BB"/>
    <w:rsid w:val="00294B12"/>
    <w:rsid w:val="002951D8"/>
    <w:rsid w:val="00295202"/>
    <w:rsid w:val="00295916"/>
    <w:rsid w:val="0029591A"/>
    <w:rsid w:val="002968ED"/>
    <w:rsid w:val="00296FBA"/>
    <w:rsid w:val="002972D0"/>
    <w:rsid w:val="00297341"/>
    <w:rsid w:val="002975F9"/>
    <w:rsid w:val="00297EC8"/>
    <w:rsid w:val="00297FE3"/>
    <w:rsid w:val="002A0315"/>
    <w:rsid w:val="002A066E"/>
    <w:rsid w:val="002A06E8"/>
    <w:rsid w:val="002A09A9"/>
    <w:rsid w:val="002A0DED"/>
    <w:rsid w:val="002A0E46"/>
    <w:rsid w:val="002A1223"/>
    <w:rsid w:val="002A14AB"/>
    <w:rsid w:val="002A1598"/>
    <w:rsid w:val="002A17C2"/>
    <w:rsid w:val="002A1DD9"/>
    <w:rsid w:val="002A23AF"/>
    <w:rsid w:val="002A25EC"/>
    <w:rsid w:val="002A2AB2"/>
    <w:rsid w:val="002A2ADE"/>
    <w:rsid w:val="002A2BD8"/>
    <w:rsid w:val="002A2DCA"/>
    <w:rsid w:val="002A2F50"/>
    <w:rsid w:val="002A3743"/>
    <w:rsid w:val="002A3A19"/>
    <w:rsid w:val="002A3A27"/>
    <w:rsid w:val="002A3AC8"/>
    <w:rsid w:val="002A4029"/>
    <w:rsid w:val="002A47ED"/>
    <w:rsid w:val="002A4F37"/>
    <w:rsid w:val="002A50CA"/>
    <w:rsid w:val="002A5677"/>
    <w:rsid w:val="002A5CA3"/>
    <w:rsid w:val="002A5E08"/>
    <w:rsid w:val="002A60BD"/>
    <w:rsid w:val="002A6616"/>
    <w:rsid w:val="002A6659"/>
    <w:rsid w:val="002A66E9"/>
    <w:rsid w:val="002A6A89"/>
    <w:rsid w:val="002A72E1"/>
    <w:rsid w:val="002A7943"/>
    <w:rsid w:val="002A7A74"/>
    <w:rsid w:val="002A7B7F"/>
    <w:rsid w:val="002A7D5E"/>
    <w:rsid w:val="002A7F86"/>
    <w:rsid w:val="002B010D"/>
    <w:rsid w:val="002B01E9"/>
    <w:rsid w:val="002B05A1"/>
    <w:rsid w:val="002B09A4"/>
    <w:rsid w:val="002B0DB7"/>
    <w:rsid w:val="002B1521"/>
    <w:rsid w:val="002B163D"/>
    <w:rsid w:val="002B16FD"/>
    <w:rsid w:val="002B19BF"/>
    <w:rsid w:val="002B1A26"/>
    <w:rsid w:val="002B1C1F"/>
    <w:rsid w:val="002B1F1F"/>
    <w:rsid w:val="002B20FD"/>
    <w:rsid w:val="002B249D"/>
    <w:rsid w:val="002B2773"/>
    <w:rsid w:val="002B2849"/>
    <w:rsid w:val="002B28B3"/>
    <w:rsid w:val="002B2A8E"/>
    <w:rsid w:val="002B3508"/>
    <w:rsid w:val="002B368A"/>
    <w:rsid w:val="002B432F"/>
    <w:rsid w:val="002B487A"/>
    <w:rsid w:val="002B4B2A"/>
    <w:rsid w:val="002B4BA1"/>
    <w:rsid w:val="002B4D13"/>
    <w:rsid w:val="002B4DED"/>
    <w:rsid w:val="002B52EB"/>
    <w:rsid w:val="002B550B"/>
    <w:rsid w:val="002B5563"/>
    <w:rsid w:val="002B57D9"/>
    <w:rsid w:val="002B6011"/>
    <w:rsid w:val="002B62B3"/>
    <w:rsid w:val="002B65C9"/>
    <w:rsid w:val="002B6754"/>
    <w:rsid w:val="002B6BAA"/>
    <w:rsid w:val="002B6CCE"/>
    <w:rsid w:val="002B7107"/>
    <w:rsid w:val="002B72B2"/>
    <w:rsid w:val="002B72F9"/>
    <w:rsid w:val="002B7481"/>
    <w:rsid w:val="002B7D2A"/>
    <w:rsid w:val="002B7D9D"/>
    <w:rsid w:val="002C043B"/>
    <w:rsid w:val="002C0536"/>
    <w:rsid w:val="002C06B8"/>
    <w:rsid w:val="002C086B"/>
    <w:rsid w:val="002C0A55"/>
    <w:rsid w:val="002C0CCA"/>
    <w:rsid w:val="002C0E18"/>
    <w:rsid w:val="002C0EF0"/>
    <w:rsid w:val="002C12FA"/>
    <w:rsid w:val="002C143E"/>
    <w:rsid w:val="002C15BC"/>
    <w:rsid w:val="002C22FA"/>
    <w:rsid w:val="002C24BB"/>
    <w:rsid w:val="002C2510"/>
    <w:rsid w:val="002C255A"/>
    <w:rsid w:val="002C2775"/>
    <w:rsid w:val="002C27C1"/>
    <w:rsid w:val="002C289A"/>
    <w:rsid w:val="002C298F"/>
    <w:rsid w:val="002C2A3F"/>
    <w:rsid w:val="002C2B68"/>
    <w:rsid w:val="002C2B9C"/>
    <w:rsid w:val="002C2C62"/>
    <w:rsid w:val="002C2DE8"/>
    <w:rsid w:val="002C3083"/>
    <w:rsid w:val="002C31DD"/>
    <w:rsid w:val="002C36E3"/>
    <w:rsid w:val="002C373C"/>
    <w:rsid w:val="002C3A40"/>
    <w:rsid w:val="002C459B"/>
    <w:rsid w:val="002C45B9"/>
    <w:rsid w:val="002C48E1"/>
    <w:rsid w:val="002C4C84"/>
    <w:rsid w:val="002C4D39"/>
    <w:rsid w:val="002C4F1B"/>
    <w:rsid w:val="002C5099"/>
    <w:rsid w:val="002C52DD"/>
    <w:rsid w:val="002C538B"/>
    <w:rsid w:val="002C555B"/>
    <w:rsid w:val="002C5889"/>
    <w:rsid w:val="002C5FDA"/>
    <w:rsid w:val="002C60E4"/>
    <w:rsid w:val="002C61B9"/>
    <w:rsid w:val="002C6451"/>
    <w:rsid w:val="002C6607"/>
    <w:rsid w:val="002C6966"/>
    <w:rsid w:val="002C6EB9"/>
    <w:rsid w:val="002C71CE"/>
    <w:rsid w:val="002C7747"/>
    <w:rsid w:val="002C78BA"/>
    <w:rsid w:val="002C7B88"/>
    <w:rsid w:val="002C7E0D"/>
    <w:rsid w:val="002C7EF7"/>
    <w:rsid w:val="002D00A6"/>
    <w:rsid w:val="002D011A"/>
    <w:rsid w:val="002D0311"/>
    <w:rsid w:val="002D08F8"/>
    <w:rsid w:val="002D1602"/>
    <w:rsid w:val="002D1982"/>
    <w:rsid w:val="002D1997"/>
    <w:rsid w:val="002D233D"/>
    <w:rsid w:val="002D254A"/>
    <w:rsid w:val="002D2CEA"/>
    <w:rsid w:val="002D307A"/>
    <w:rsid w:val="002D35FA"/>
    <w:rsid w:val="002D3743"/>
    <w:rsid w:val="002D38DE"/>
    <w:rsid w:val="002D3B92"/>
    <w:rsid w:val="002D3C32"/>
    <w:rsid w:val="002D3F82"/>
    <w:rsid w:val="002D4227"/>
    <w:rsid w:val="002D425B"/>
    <w:rsid w:val="002D454D"/>
    <w:rsid w:val="002D45E1"/>
    <w:rsid w:val="002D474F"/>
    <w:rsid w:val="002D498B"/>
    <w:rsid w:val="002D4992"/>
    <w:rsid w:val="002D4AC3"/>
    <w:rsid w:val="002D500E"/>
    <w:rsid w:val="002D5188"/>
    <w:rsid w:val="002D548E"/>
    <w:rsid w:val="002D577C"/>
    <w:rsid w:val="002D57F7"/>
    <w:rsid w:val="002D5834"/>
    <w:rsid w:val="002D5B64"/>
    <w:rsid w:val="002D5DCF"/>
    <w:rsid w:val="002D612D"/>
    <w:rsid w:val="002D6243"/>
    <w:rsid w:val="002D6C11"/>
    <w:rsid w:val="002D6CBD"/>
    <w:rsid w:val="002D6F14"/>
    <w:rsid w:val="002D7832"/>
    <w:rsid w:val="002D7880"/>
    <w:rsid w:val="002D7A7C"/>
    <w:rsid w:val="002D7CA6"/>
    <w:rsid w:val="002D7EFA"/>
    <w:rsid w:val="002E0569"/>
    <w:rsid w:val="002E0BA7"/>
    <w:rsid w:val="002E1071"/>
    <w:rsid w:val="002E15B9"/>
    <w:rsid w:val="002E1C3E"/>
    <w:rsid w:val="002E214B"/>
    <w:rsid w:val="002E2158"/>
    <w:rsid w:val="002E22B7"/>
    <w:rsid w:val="002E2439"/>
    <w:rsid w:val="002E2A72"/>
    <w:rsid w:val="002E2B1D"/>
    <w:rsid w:val="002E2B35"/>
    <w:rsid w:val="002E2B8A"/>
    <w:rsid w:val="002E2CFB"/>
    <w:rsid w:val="002E3374"/>
    <w:rsid w:val="002E3568"/>
    <w:rsid w:val="002E3F2C"/>
    <w:rsid w:val="002E46C7"/>
    <w:rsid w:val="002E4F02"/>
    <w:rsid w:val="002E5533"/>
    <w:rsid w:val="002E5584"/>
    <w:rsid w:val="002E5E6C"/>
    <w:rsid w:val="002E6094"/>
    <w:rsid w:val="002E6667"/>
    <w:rsid w:val="002E682C"/>
    <w:rsid w:val="002E6B42"/>
    <w:rsid w:val="002E6E04"/>
    <w:rsid w:val="002E70CC"/>
    <w:rsid w:val="002E7515"/>
    <w:rsid w:val="002E7548"/>
    <w:rsid w:val="002E7622"/>
    <w:rsid w:val="002E7679"/>
    <w:rsid w:val="002E7722"/>
    <w:rsid w:val="002E7862"/>
    <w:rsid w:val="002E7BBB"/>
    <w:rsid w:val="002F01BC"/>
    <w:rsid w:val="002F0232"/>
    <w:rsid w:val="002F0251"/>
    <w:rsid w:val="002F070D"/>
    <w:rsid w:val="002F07BA"/>
    <w:rsid w:val="002F0B10"/>
    <w:rsid w:val="002F0DA9"/>
    <w:rsid w:val="002F1014"/>
    <w:rsid w:val="002F1280"/>
    <w:rsid w:val="002F1532"/>
    <w:rsid w:val="002F1760"/>
    <w:rsid w:val="002F1E3B"/>
    <w:rsid w:val="002F2257"/>
    <w:rsid w:val="002F2277"/>
    <w:rsid w:val="002F22F8"/>
    <w:rsid w:val="002F2468"/>
    <w:rsid w:val="002F2A46"/>
    <w:rsid w:val="002F2B6A"/>
    <w:rsid w:val="002F306A"/>
    <w:rsid w:val="002F322C"/>
    <w:rsid w:val="002F3254"/>
    <w:rsid w:val="002F3761"/>
    <w:rsid w:val="002F3D0A"/>
    <w:rsid w:val="002F3D81"/>
    <w:rsid w:val="002F3E01"/>
    <w:rsid w:val="002F4CA4"/>
    <w:rsid w:val="002F4D61"/>
    <w:rsid w:val="002F5205"/>
    <w:rsid w:val="002F5524"/>
    <w:rsid w:val="002F5BC9"/>
    <w:rsid w:val="002F5BFD"/>
    <w:rsid w:val="002F5D14"/>
    <w:rsid w:val="002F5D72"/>
    <w:rsid w:val="002F5E37"/>
    <w:rsid w:val="002F643C"/>
    <w:rsid w:val="002F64A7"/>
    <w:rsid w:val="002F6821"/>
    <w:rsid w:val="002F6855"/>
    <w:rsid w:val="002F68BB"/>
    <w:rsid w:val="002F6BBE"/>
    <w:rsid w:val="002F6DB4"/>
    <w:rsid w:val="002F6DFF"/>
    <w:rsid w:val="002F6EC5"/>
    <w:rsid w:val="002F6FC2"/>
    <w:rsid w:val="002F7107"/>
    <w:rsid w:val="002F71C0"/>
    <w:rsid w:val="002F74F1"/>
    <w:rsid w:val="002F76D8"/>
    <w:rsid w:val="002F793C"/>
    <w:rsid w:val="002F7A88"/>
    <w:rsid w:val="002F7ACF"/>
    <w:rsid w:val="00300887"/>
    <w:rsid w:val="003008FD"/>
    <w:rsid w:val="00300966"/>
    <w:rsid w:val="00300D48"/>
    <w:rsid w:val="00301017"/>
    <w:rsid w:val="003011BC"/>
    <w:rsid w:val="003013F8"/>
    <w:rsid w:val="00301493"/>
    <w:rsid w:val="0030155F"/>
    <w:rsid w:val="00301662"/>
    <w:rsid w:val="00301804"/>
    <w:rsid w:val="00301A08"/>
    <w:rsid w:val="00301B89"/>
    <w:rsid w:val="0030208F"/>
    <w:rsid w:val="0030227B"/>
    <w:rsid w:val="00302D68"/>
    <w:rsid w:val="00303067"/>
    <w:rsid w:val="00303CF0"/>
    <w:rsid w:val="0030419D"/>
    <w:rsid w:val="003043D5"/>
    <w:rsid w:val="003044AA"/>
    <w:rsid w:val="003046A8"/>
    <w:rsid w:val="00305232"/>
    <w:rsid w:val="00305724"/>
    <w:rsid w:val="0030587B"/>
    <w:rsid w:val="0030593A"/>
    <w:rsid w:val="00305FF6"/>
    <w:rsid w:val="003060E1"/>
    <w:rsid w:val="00306460"/>
    <w:rsid w:val="003069DE"/>
    <w:rsid w:val="00306D98"/>
    <w:rsid w:val="003070FA"/>
    <w:rsid w:val="003071D6"/>
    <w:rsid w:val="0030737B"/>
    <w:rsid w:val="003076B5"/>
    <w:rsid w:val="0030776B"/>
    <w:rsid w:val="0030786C"/>
    <w:rsid w:val="00307B52"/>
    <w:rsid w:val="003100DB"/>
    <w:rsid w:val="003100F4"/>
    <w:rsid w:val="0031031A"/>
    <w:rsid w:val="003103B3"/>
    <w:rsid w:val="0031060D"/>
    <w:rsid w:val="0031092C"/>
    <w:rsid w:val="00310981"/>
    <w:rsid w:val="003116B2"/>
    <w:rsid w:val="003117EF"/>
    <w:rsid w:val="00311872"/>
    <w:rsid w:val="00311D9B"/>
    <w:rsid w:val="00312102"/>
    <w:rsid w:val="0031215D"/>
    <w:rsid w:val="0031225B"/>
    <w:rsid w:val="003124D9"/>
    <w:rsid w:val="00312594"/>
    <w:rsid w:val="003128FA"/>
    <w:rsid w:val="00313092"/>
    <w:rsid w:val="0031320C"/>
    <w:rsid w:val="003133BE"/>
    <w:rsid w:val="00313E4F"/>
    <w:rsid w:val="00313F2E"/>
    <w:rsid w:val="003142DF"/>
    <w:rsid w:val="0031461F"/>
    <w:rsid w:val="003146EE"/>
    <w:rsid w:val="00314825"/>
    <w:rsid w:val="003148F6"/>
    <w:rsid w:val="00314C8D"/>
    <w:rsid w:val="00315110"/>
    <w:rsid w:val="003152D9"/>
    <w:rsid w:val="0031540B"/>
    <w:rsid w:val="00315498"/>
    <w:rsid w:val="00315C7A"/>
    <w:rsid w:val="00315DAB"/>
    <w:rsid w:val="00315F70"/>
    <w:rsid w:val="00316293"/>
    <w:rsid w:val="00316474"/>
    <w:rsid w:val="003165E6"/>
    <w:rsid w:val="00316962"/>
    <w:rsid w:val="0031713F"/>
    <w:rsid w:val="00317333"/>
    <w:rsid w:val="003173A6"/>
    <w:rsid w:val="00317506"/>
    <w:rsid w:val="003176BF"/>
    <w:rsid w:val="00317833"/>
    <w:rsid w:val="003178B6"/>
    <w:rsid w:val="00317F5F"/>
    <w:rsid w:val="00320A1E"/>
    <w:rsid w:val="00320BFF"/>
    <w:rsid w:val="00320CED"/>
    <w:rsid w:val="00320F5F"/>
    <w:rsid w:val="003211C5"/>
    <w:rsid w:val="00321729"/>
    <w:rsid w:val="003217A1"/>
    <w:rsid w:val="00321F0C"/>
    <w:rsid w:val="00322107"/>
    <w:rsid w:val="00322355"/>
    <w:rsid w:val="00322399"/>
    <w:rsid w:val="003226D8"/>
    <w:rsid w:val="00322846"/>
    <w:rsid w:val="00322D99"/>
    <w:rsid w:val="00322FDB"/>
    <w:rsid w:val="00323342"/>
    <w:rsid w:val="003240C8"/>
    <w:rsid w:val="003243F3"/>
    <w:rsid w:val="00324A4D"/>
    <w:rsid w:val="00324FF0"/>
    <w:rsid w:val="00325112"/>
    <w:rsid w:val="0032525D"/>
    <w:rsid w:val="00325626"/>
    <w:rsid w:val="00325720"/>
    <w:rsid w:val="0032573D"/>
    <w:rsid w:val="00325824"/>
    <w:rsid w:val="00325D16"/>
    <w:rsid w:val="00325E62"/>
    <w:rsid w:val="00326265"/>
    <w:rsid w:val="00326648"/>
    <w:rsid w:val="003267CD"/>
    <w:rsid w:val="00326DA7"/>
    <w:rsid w:val="003270AA"/>
    <w:rsid w:val="003270E4"/>
    <w:rsid w:val="0032731D"/>
    <w:rsid w:val="0032760B"/>
    <w:rsid w:val="0032786C"/>
    <w:rsid w:val="00327ABB"/>
    <w:rsid w:val="00327CFF"/>
    <w:rsid w:val="00327E88"/>
    <w:rsid w:val="00330694"/>
    <w:rsid w:val="0033072C"/>
    <w:rsid w:val="00330C29"/>
    <w:rsid w:val="00330DAA"/>
    <w:rsid w:val="00330F5C"/>
    <w:rsid w:val="0033118F"/>
    <w:rsid w:val="00331256"/>
    <w:rsid w:val="003314E1"/>
    <w:rsid w:val="00332188"/>
    <w:rsid w:val="00332394"/>
    <w:rsid w:val="00332A2C"/>
    <w:rsid w:val="00332AA4"/>
    <w:rsid w:val="00332AE6"/>
    <w:rsid w:val="00332CBB"/>
    <w:rsid w:val="00332F63"/>
    <w:rsid w:val="00332FB9"/>
    <w:rsid w:val="00333187"/>
    <w:rsid w:val="00333215"/>
    <w:rsid w:val="00333812"/>
    <w:rsid w:val="00333B15"/>
    <w:rsid w:val="00333E91"/>
    <w:rsid w:val="00333EDF"/>
    <w:rsid w:val="00333F05"/>
    <w:rsid w:val="00334237"/>
    <w:rsid w:val="00334490"/>
    <w:rsid w:val="003346D5"/>
    <w:rsid w:val="00334738"/>
    <w:rsid w:val="003349EE"/>
    <w:rsid w:val="00334AB3"/>
    <w:rsid w:val="00334B3A"/>
    <w:rsid w:val="00334B76"/>
    <w:rsid w:val="00334E19"/>
    <w:rsid w:val="00335440"/>
    <w:rsid w:val="00335557"/>
    <w:rsid w:val="003356FD"/>
    <w:rsid w:val="00335CBA"/>
    <w:rsid w:val="00335D6E"/>
    <w:rsid w:val="003360A0"/>
    <w:rsid w:val="003360D9"/>
    <w:rsid w:val="0033646C"/>
    <w:rsid w:val="003364F1"/>
    <w:rsid w:val="00336612"/>
    <w:rsid w:val="003366C9"/>
    <w:rsid w:val="00336D29"/>
    <w:rsid w:val="00336D77"/>
    <w:rsid w:val="00337015"/>
    <w:rsid w:val="003371B0"/>
    <w:rsid w:val="00337314"/>
    <w:rsid w:val="003374F8"/>
    <w:rsid w:val="0033776E"/>
    <w:rsid w:val="00340310"/>
    <w:rsid w:val="003403F9"/>
    <w:rsid w:val="003406E1"/>
    <w:rsid w:val="00340A25"/>
    <w:rsid w:val="00340DF1"/>
    <w:rsid w:val="00340ED1"/>
    <w:rsid w:val="00340F48"/>
    <w:rsid w:val="003411D4"/>
    <w:rsid w:val="0034132D"/>
    <w:rsid w:val="003413BD"/>
    <w:rsid w:val="00341422"/>
    <w:rsid w:val="00341782"/>
    <w:rsid w:val="003417B8"/>
    <w:rsid w:val="00342224"/>
    <w:rsid w:val="003424DE"/>
    <w:rsid w:val="00342669"/>
    <w:rsid w:val="00342E98"/>
    <w:rsid w:val="0034304E"/>
    <w:rsid w:val="00343195"/>
    <w:rsid w:val="00343B6C"/>
    <w:rsid w:val="00344028"/>
    <w:rsid w:val="00344043"/>
    <w:rsid w:val="003444A0"/>
    <w:rsid w:val="0034458B"/>
    <w:rsid w:val="0034463F"/>
    <w:rsid w:val="00345156"/>
    <w:rsid w:val="003452F3"/>
    <w:rsid w:val="003453F2"/>
    <w:rsid w:val="003455FB"/>
    <w:rsid w:val="00345F77"/>
    <w:rsid w:val="003461A7"/>
    <w:rsid w:val="003461E6"/>
    <w:rsid w:val="003464A4"/>
    <w:rsid w:val="00346500"/>
    <w:rsid w:val="00346C2F"/>
    <w:rsid w:val="00346EC8"/>
    <w:rsid w:val="003473C9"/>
    <w:rsid w:val="003477BE"/>
    <w:rsid w:val="003478B0"/>
    <w:rsid w:val="00347D47"/>
    <w:rsid w:val="00347D72"/>
    <w:rsid w:val="00347DFD"/>
    <w:rsid w:val="00350084"/>
    <w:rsid w:val="003504C0"/>
    <w:rsid w:val="00350780"/>
    <w:rsid w:val="00350CB9"/>
    <w:rsid w:val="00350F59"/>
    <w:rsid w:val="00350F7F"/>
    <w:rsid w:val="0035116D"/>
    <w:rsid w:val="00351372"/>
    <w:rsid w:val="003517F9"/>
    <w:rsid w:val="00351AD2"/>
    <w:rsid w:val="00351BA9"/>
    <w:rsid w:val="00351DA8"/>
    <w:rsid w:val="0035213F"/>
    <w:rsid w:val="00352171"/>
    <w:rsid w:val="003525B0"/>
    <w:rsid w:val="0035277F"/>
    <w:rsid w:val="00352F5E"/>
    <w:rsid w:val="00353133"/>
    <w:rsid w:val="00353C17"/>
    <w:rsid w:val="00353FB3"/>
    <w:rsid w:val="00354534"/>
    <w:rsid w:val="00354ADA"/>
    <w:rsid w:val="00354D4C"/>
    <w:rsid w:val="00354F64"/>
    <w:rsid w:val="00355155"/>
    <w:rsid w:val="003551B7"/>
    <w:rsid w:val="0035539B"/>
    <w:rsid w:val="00355582"/>
    <w:rsid w:val="00356035"/>
    <w:rsid w:val="00356165"/>
    <w:rsid w:val="0035620E"/>
    <w:rsid w:val="0035630A"/>
    <w:rsid w:val="0035656E"/>
    <w:rsid w:val="003569A8"/>
    <w:rsid w:val="003569C1"/>
    <w:rsid w:val="00356DA6"/>
    <w:rsid w:val="0035747D"/>
    <w:rsid w:val="003575BE"/>
    <w:rsid w:val="0035767D"/>
    <w:rsid w:val="00357947"/>
    <w:rsid w:val="00357961"/>
    <w:rsid w:val="003601B3"/>
    <w:rsid w:val="00360271"/>
    <w:rsid w:val="00360345"/>
    <w:rsid w:val="00360E71"/>
    <w:rsid w:val="00360F17"/>
    <w:rsid w:val="00361369"/>
    <w:rsid w:val="003618FE"/>
    <w:rsid w:val="00361A05"/>
    <w:rsid w:val="00361B5A"/>
    <w:rsid w:val="00361C9A"/>
    <w:rsid w:val="00361DD2"/>
    <w:rsid w:val="00361F2A"/>
    <w:rsid w:val="00362468"/>
    <w:rsid w:val="0036246D"/>
    <w:rsid w:val="003624C4"/>
    <w:rsid w:val="003625C3"/>
    <w:rsid w:val="00362889"/>
    <w:rsid w:val="0036339D"/>
    <w:rsid w:val="00363647"/>
    <w:rsid w:val="0036366D"/>
    <w:rsid w:val="00363671"/>
    <w:rsid w:val="00363A18"/>
    <w:rsid w:val="00363B00"/>
    <w:rsid w:val="00363C1B"/>
    <w:rsid w:val="00364270"/>
    <w:rsid w:val="00364640"/>
    <w:rsid w:val="00364D9C"/>
    <w:rsid w:val="00364E6D"/>
    <w:rsid w:val="003654AC"/>
    <w:rsid w:val="003654C2"/>
    <w:rsid w:val="0036554F"/>
    <w:rsid w:val="00365577"/>
    <w:rsid w:val="003655D5"/>
    <w:rsid w:val="003655E4"/>
    <w:rsid w:val="0036574A"/>
    <w:rsid w:val="00365A08"/>
    <w:rsid w:val="00365C47"/>
    <w:rsid w:val="00365E43"/>
    <w:rsid w:val="0036635A"/>
    <w:rsid w:val="0036635E"/>
    <w:rsid w:val="00366681"/>
    <w:rsid w:val="003667F8"/>
    <w:rsid w:val="00367130"/>
    <w:rsid w:val="003674BA"/>
    <w:rsid w:val="00367770"/>
    <w:rsid w:val="00367E57"/>
    <w:rsid w:val="00367FDA"/>
    <w:rsid w:val="00370118"/>
    <w:rsid w:val="0037022C"/>
    <w:rsid w:val="003703DC"/>
    <w:rsid w:val="003704C8"/>
    <w:rsid w:val="0037072D"/>
    <w:rsid w:val="00370908"/>
    <w:rsid w:val="003710CF"/>
    <w:rsid w:val="00371375"/>
    <w:rsid w:val="00371B0E"/>
    <w:rsid w:val="00371B3B"/>
    <w:rsid w:val="003721E7"/>
    <w:rsid w:val="0037292F"/>
    <w:rsid w:val="00372B39"/>
    <w:rsid w:val="00373280"/>
    <w:rsid w:val="00373284"/>
    <w:rsid w:val="00373337"/>
    <w:rsid w:val="0037358A"/>
    <w:rsid w:val="0037370C"/>
    <w:rsid w:val="003738A8"/>
    <w:rsid w:val="00373A5C"/>
    <w:rsid w:val="00373A83"/>
    <w:rsid w:val="00374110"/>
    <w:rsid w:val="00374432"/>
    <w:rsid w:val="003746B9"/>
    <w:rsid w:val="003747A9"/>
    <w:rsid w:val="003749B5"/>
    <w:rsid w:val="00374C81"/>
    <w:rsid w:val="003750F6"/>
    <w:rsid w:val="003752DC"/>
    <w:rsid w:val="003755F1"/>
    <w:rsid w:val="003756AA"/>
    <w:rsid w:val="00375869"/>
    <w:rsid w:val="00375940"/>
    <w:rsid w:val="00375CFC"/>
    <w:rsid w:val="00375FB0"/>
    <w:rsid w:val="003760FC"/>
    <w:rsid w:val="0037629F"/>
    <w:rsid w:val="0037692F"/>
    <w:rsid w:val="0037718C"/>
    <w:rsid w:val="0037721A"/>
    <w:rsid w:val="00377362"/>
    <w:rsid w:val="003776C7"/>
    <w:rsid w:val="00377C55"/>
    <w:rsid w:val="00380142"/>
    <w:rsid w:val="00380179"/>
    <w:rsid w:val="003801DE"/>
    <w:rsid w:val="00380432"/>
    <w:rsid w:val="00380B39"/>
    <w:rsid w:val="00381288"/>
    <w:rsid w:val="00381B4A"/>
    <w:rsid w:val="00382034"/>
    <w:rsid w:val="00382049"/>
    <w:rsid w:val="003821BA"/>
    <w:rsid w:val="003822B1"/>
    <w:rsid w:val="003822EE"/>
    <w:rsid w:val="003824E0"/>
    <w:rsid w:val="003826F0"/>
    <w:rsid w:val="0038295A"/>
    <w:rsid w:val="00382E94"/>
    <w:rsid w:val="00383081"/>
    <w:rsid w:val="00383627"/>
    <w:rsid w:val="0038365C"/>
    <w:rsid w:val="00383693"/>
    <w:rsid w:val="0038369B"/>
    <w:rsid w:val="003838CB"/>
    <w:rsid w:val="003839DA"/>
    <w:rsid w:val="00383A59"/>
    <w:rsid w:val="00383B78"/>
    <w:rsid w:val="00383BE9"/>
    <w:rsid w:val="00383CE0"/>
    <w:rsid w:val="00384640"/>
    <w:rsid w:val="00384A84"/>
    <w:rsid w:val="003851C4"/>
    <w:rsid w:val="00385620"/>
    <w:rsid w:val="00385623"/>
    <w:rsid w:val="00385876"/>
    <w:rsid w:val="003858B8"/>
    <w:rsid w:val="00385A20"/>
    <w:rsid w:val="00385A9D"/>
    <w:rsid w:val="00385B83"/>
    <w:rsid w:val="00386245"/>
    <w:rsid w:val="0038651F"/>
    <w:rsid w:val="00386A06"/>
    <w:rsid w:val="00386E11"/>
    <w:rsid w:val="00386E49"/>
    <w:rsid w:val="00387088"/>
    <w:rsid w:val="00387121"/>
    <w:rsid w:val="0038736B"/>
    <w:rsid w:val="0038744E"/>
    <w:rsid w:val="00387A5D"/>
    <w:rsid w:val="003902B1"/>
    <w:rsid w:val="003906C9"/>
    <w:rsid w:val="0039101A"/>
    <w:rsid w:val="0039141E"/>
    <w:rsid w:val="003914CA"/>
    <w:rsid w:val="0039159A"/>
    <w:rsid w:val="00391727"/>
    <w:rsid w:val="0039179C"/>
    <w:rsid w:val="0039200A"/>
    <w:rsid w:val="0039254D"/>
    <w:rsid w:val="00392890"/>
    <w:rsid w:val="00392BBD"/>
    <w:rsid w:val="00392F69"/>
    <w:rsid w:val="003932B3"/>
    <w:rsid w:val="00393370"/>
    <w:rsid w:val="0039338D"/>
    <w:rsid w:val="003935BA"/>
    <w:rsid w:val="0039361B"/>
    <w:rsid w:val="0039362D"/>
    <w:rsid w:val="00393D12"/>
    <w:rsid w:val="00393E49"/>
    <w:rsid w:val="00393F7F"/>
    <w:rsid w:val="0039414A"/>
    <w:rsid w:val="0039419D"/>
    <w:rsid w:val="003944AC"/>
    <w:rsid w:val="00394664"/>
    <w:rsid w:val="00394900"/>
    <w:rsid w:val="00394E2F"/>
    <w:rsid w:val="00394FD5"/>
    <w:rsid w:val="0039536A"/>
    <w:rsid w:val="00395870"/>
    <w:rsid w:val="00395B49"/>
    <w:rsid w:val="00395D04"/>
    <w:rsid w:val="003961B4"/>
    <w:rsid w:val="00396234"/>
    <w:rsid w:val="003963E6"/>
    <w:rsid w:val="0039685A"/>
    <w:rsid w:val="00396896"/>
    <w:rsid w:val="00396925"/>
    <w:rsid w:val="00396985"/>
    <w:rsid w:val="00396A8B"/>
    <w:rsid w:val="00396CDC"/>
    <w:rsid w:val="00396E5A"/>
    <w:rsid w:val="00396FD0"/>
    <w:rsid w:val="003971B5"/>
    <w:rsid w:val="00397AA2"/>
    <w:rsid w:val="00397D1F"/>
    <w:rsid w:val="00397D32"/>
    <w:rsid w:val="00397F9C"/>
    <w:rsid w:val="00397FD8"/>
    <w:rsid w:val="003A039A"/>
    <w:rsid w:val="003A04A1"/>
    <w:rsid w:val="003A0502"/>
    <w:rsid w:val="003A0603"/>
    <w:rsid w:val="003A063A"/>
    <w:rsid w:val="003A0808"/>
    <w:rsid w:val="003A0CE1"/>
    <w:rsid w:val="003A0EA6"/>
    <w:rsid w:val="003A0F66"/>
    <w:rsid w:val="003A13A2"/>
    <w:rsid w:val="003A17DA"/>
    <w:rsid w:val="003A1A7A"/>
    <w:rsid w:val="003A1F48"/>
    <w:rsid w:val="003A2392"/>
    <w:rsid w:val="003A24DC"/>
    <w:rsid w:val="003A25C0"/>
    <w:rsid w:val="003A2831"/>
    <w:rsid w:val="003A2923"/>
    <w:rsid w:val="003A29E0"/>
    <w:rsid w:val="003A2B0A"/>
    <w:rsid w:val="003A2DAD"/>
    <w:rsid w:val="003A371F"/>
    <w:rsid w:val="003A382B"/>
    <w:rsid w:val="003A3929"/>
    <w:rsid w:val="003A39C7"/>
    <w:rsid w:val="003A3B3E"/>
    <w:rsid w:val="003A3CB6"/>
    <w:rsid w:val="003A3ED1"/>
    <w:rsid w:val="003A40C2"/>
    <w:rsid w:val="003A40E7"/>
    <w:rsid w:val="003A44DB"/>
    <w:rsid w:val="003A450F"/>
    <w:rsid w:val="003A45C5"/>
    <w:rsid w:val="003A4710"/>
    <w:rsid w:val="003A49D5"/>
    <w:rsid w:val="003A4A1B"/>
    <w:rsid w:val="003A4C14"/>
    <w:rsid w:val="003A4C18"/>
    <w:rsid w:val="003A4CEB"/>
    <w:rsid w:val="003A4DC7"/>
    <w:rsid w:val="003A4E9C"/>
    <w:rsid w:val="003A4FF8"/>
    <w:rsid w:val="003A503F"/>
    <w:rsid w:val="003A5381"/>
    <w:rsid w:val="003A55EF"/>
    <w:rsid w:val="003A589F"/>
    <w:rsid w:val="003A59F1"/>
    <w:rsid w:val="003A5C74"/>
    <w:rsid w:val="003A5F32"/>
    <w:rsid w:val="003A6205"/>
    <w:rsid w:val="003A6574"/>
    <w:rsid w:val="003A6789"/>
    <w:rsid w:val="003A6F9B"/>
    <w:rsid w:val="003A7007"/>
    <w:rsid w:val="003A758F"/>
    <w:rsid w:val="003A76D8"/>
    <w:rsid w:val="003A7895"/>
    <w:rsid w:val="003B0204"/>
    <w:rsid w:val="003B0333"/>
    <w:rsid w:val="003B0693"/>
    <w:rsid w:val="003B0845"/>
    <w:rsid w:val="003B095B"/>
    <w:rsid w:val="003B0EB7"/>
    <w:rsid w:val="003B0F11"/>
    <w:rsid w:val="003B1549"/>
    <w:rsid w:val="003B1730"/>
    <w:rsid w:val="003B1B6B"/>
    <w:rsid w:val="003B1BA2"/>
    <w:rsid w:val="003B1DF3"/>
    <w:rsid w:val="003B1E15"/>
    <w:rsid w:val="003B21E9"/>
    <w:rsid w:val="003B22F8"/>
    <w:rsid w:val="003B24CC"/>
    <w:rsid w:val="003B306E"/>
    <w:rsid w:val="003B3361"/>
    <w:rsid w:val="003B34AA"/>
    <w:rsid w:val="003B3577"/>
    <w:rsid w:val="003B35E6"/>
    <w:rsid w:val="003B35F9"/>
    <w:rsid w:val="003B3841"/>
    <w:rsid w:val="003B3971"/>
    <w:rsid w:val="003B3B0C"/>
    <w:rsid w:val="003B3B47"/>
    <w:rsid w:val="003B462E"/>
    <w:rsid w:val="003B4B4E"/>
    <w:rsid w:val="003B4CC0"/>
    <w:rsid w:val="003B4F63"/>
    <w:rsid w:val="003B55D1"/>
    <w:rsid w:val="003B5B61"/>
    <w:rsid w:val="003B5EA1"/>
    <w:rsid w:val="003B6826"/>
    <w:rsid w:val="003B69BB"/>
    <w:rsid w:val="003B6D57"/>
    <w:rsid w:val="003B6E66"/>
    <w:rsid w:val="003B7338"/>
    <w:rsid w:val="003B739D"/>
    <w:rsid w:val="003B7502"/>
    <w:rsid w:val="003B7613"/>
    <w:rsid w:val="003B7805"/>
    <w:rsid w:val="003B7815"/>
    <w:rsid w:val="003B7AB3"/>
    <w:rsid w:val="003B7B84"/>
    <w:rsid w:val="003B7D75"/>
    <w:rsid w:val="003B7D99"/>
    <w:rsid w:val="003C013B"/>
    <w:rsid w:val="003C0192"/>
    <w:rsid w:val="003C0258"/>
    <w:rsid w:val="003C02A5"/>
    <w:rsid w:val="003C0322"/>
    <w:rsid w:val="003C06CB"/>
    <w:rsid w:val="003C0A84"/>
    <w:rsid w:val="003C0B9D"/>
    <w:rsid w:val="003C0BE3"/>
    <w:rsid w:val="003C11E3"/>
    <w:rsid w:val="003C1650"/>
    <w:rsid w:val="003C1654"/>
    <w:rsid w:val="003C17A3"/>
    <w:rsid w:val="003C1B89"/>
    <w:rsid w:val="003C1E39"/>
    <w:rsid w:val="003C2229"/>
    <w:rsid w:val="003C2685"/>
    <w:rsid w:val="003C270C"/>
    <w:rsid w:val="003C2CB4"/>
    <w:rsid w:val="003C30C4"/>
    <w:rsid w:val="003C31E4"/>
    <w:rsid w:val="003C3330"/>
    <w:rsid w:val="003C37FC"/>
    <w:rsid w:val="003C3A62"/>
    <w:rsid w:val="003C3DA7"/>
    <w:rsid w:val="003C3F96"/>
    <w:rsid w:val="003C4124"/>
    <w:rsid w:val="003C4974"/>
    <w:rsid w:val="003C4B50"/>
    <w:rsid w:val="003C4D60"/>
    <w:rsid w:val="003C4F8D"/>
    <w:rsid w:val="003C5542"/>
    <w:rsid w:val="003C592E"/>
    <w:rsid w:val="003C59C8"/>
    <w:rsid w:val="003C5B70"/>
    <w:rsid w:val="003C5FF9"/>
    <w:rsid w:val="003C6046"/>
    <w:rsid w:val="003C67B1"/>
    <w:rsid w:val="003C67D7"/>
    <w:rsid w:val="003C6868"/>
    <w:rsid w:val="003C6B2B"/>
    <w:rsid w:val="003C6C31"/>
    <w:rsid w:val="003C6C44"/>
    <w:rsid w:val="003C6D2A"/>
    <w:rsid w:val="003C76F9"/>
    <w:rsid w:val="003C7C15"/>
    <w:rsid w:val="003C7C93"/>
    <w:rsid w:val="003C7CDD"/>
    <w:rsid w:val="003C7CE2"/>
    <w:rsid w:val="003C7D19"/>
    <w:rsid w:val="003C7D2F"/>
    <w:rsid w:val="003C7D3B"/>
    <w:rsid w:val="003D0221"/>
    <w:rsid w:val="003D034E"/>
    <w:rsid w:val="003D04D0"/>
    <w:rsid w:val="003D0501"/>
    <w:rsid w:val="003D0595"/>
    <w:rsid w:val="003D06E9"/>
    <w:rsid w:val="003D0985"/>
    <w:rsid w:val="003D0C5A"/>
    <w:rsid w:val="003D0CAB"/>
    <w:rsid w:val="003D0D8B"/>
    <w:rsid w:val="003D144B"/>
    <w:rsid w:val="003D1828"/>
    <w:rsid w:val="003D1B76"/>
    <w:rsid w:val="003D1D6E"/>
    <w:rsid w:val="003D1DE4"/>
    <w:rsid w:val="003D1E9A"/>
    <w:rsid w:val="003D2161"/>
    <w:rsid w:val="003D2344"/>
    <w:rsid w:val="003D2422"/>
    <w:rsid w:val="003D25AA"/>
    <w:rsid w:val="003D28F1"/>
    <w:rsid w:val="003D2B5F"/>
    <w:rsid w:val="003D2FB8"/>
    <w:rsid w:val="003D311A"/>
    <w:rsid w:val="003D39A1"/>
    <w:rsid w:val="003D39D3"/>
    <w:rsid w:val="003D3FBF"/>
    <w:rsid w:val="003D44D0"/>
    <w:rsid w:val="003D4536"/>
    <w:rsid w:val="003D4A30"/>
    <w:rsid w:val="003D4A73"/>
    <w:rsid w:val="003D4E1E"/>
    <w:rsid w:val="003D4F68"/>
    <w:rsid w:val="003D5040"/>
    <w:rsid w:val="003D5796"/>
    <w:rsid w:val="003D59DD"/>
    <w:rsid w:val="003D5A3A"/>
    <w:rsid w:val="003D5F6D"/>
    <w:rsid w:val="003D6588"/>
    <w:rsid w:val="003D6683"/>
    <w:rsid w:val="003D6867"/>
    <w:rsid w:val="003D6BE0"/>
    <w:rsid w:val="003D6ECB"/>
    <w:rsid w:val="003D7452"/>
    <w:rsid w:val="003D7521"/>
    <w:rsid w:val="003D772D"/>
    <w:rsid w:val="003D773D"/>
    <w:rsid w:val="003D776B"/>
    <w:rsid w:val="003D783F"/>
    <w:rsid w:val="003D7842"/>
    <w:rsid w:val="003D79BB"/>
    <w:rsid w:val="003D7C72"/>
    <w:rsid w:val="003D7C98"/>
    <w:rsid w:val="003D7D9D"/>
    <w:rsid w:val="003E0327"/>
    <w:rsid w:val="003E0543"/>
    <w:rsid w:val="003E0854"/>
    <w:rsid w:val="003E0A70"/>
    <w:rsid w:val="003E0BF2"/>
    <w:rsid w:val="003E1138"/>
    <w:rsid w:val="003E15E3"/>
    <w:rsid w:val="003E1C39"/>
    <w:rsid w:val="003E1FB9"/>
    <w:rsid w:val="003E2104"/>
    <w:rsid w:val="003E2527"/>
    <w:rsid w:val="003E286E"/>
    <w:rsid w:val="003E28AC"/>
    <w:rsid w:val="003E2EE7"/>
    <w:rsid w:val="003E3958"/>
    <w:rsid w:val="003E3B46"/>
    <w:rsid w:val="003E44D2"/>
    <w:rsid w:val="003E4585"/>
    <w:rsid w:val="003E495F"/>
    <w:rsid w:val="003E4BF2"/>
    <w:rsid w:val="003E4F11"/>
    <w:rsid w:val="003E4F4E"/>
    <w:rsid w:val="003E5603"/>
    <w:rsid w:val="003E566A"/>
    <w:rsid w:val="003E579E"/>
    <w:rsid w:val="003E5DA4"/>
    <w:rsid w:val="003E60C7"/>
    <w:rsid w:val="003E6190"/>
    <w:rsid w:val="003E749E"/>
    <w:rsid w:val="003E7D26"/>
    <w:rsid w:val="003E7F60"/>
    <w:rsid w:val="003F0832"/>
    <w:rsid w:val="003F0E16"/>
    <w:rsid w:val="003F124F"/>
    <w:rsid w:val="003F16F5"/>
    <w:rsid w:val="003F19E6"/>
    <w:rsid w:val="003F22E0"/>
    <w:rsid w:val="003F27F9"/>
    <w:rsid w:val="003F2810"/>
    <w:rsid w:val="003F2823"/>
    <w:rsid w:val="003F2DC8"/>
    <w:rsid w:val="003F2EA0"/>
    <w:rsid w:val="003F2F37"/>
    <w:rsid w:val="003F317D"/>
    <w:rsid w:val="003F34B5"/>
    <w:rsid w:val="003F35D9"/>
    <w:rsid w:val="003F37B1"/>
    <w:rsid w:val="003F37F1"/>
    <w:rsid w:val="003F4156"/>
    <w:rsid w:val="003F456F"/>
    <w:rsid w:val="003F4783"/>
    <w:rsid w:val="003F4D1B"/>
    <w:rsid w:val="003F4E53"/>
    <w:rsid w:val="003F5020"/>
    <w:rsid w:val="003F59B8"/>
    <w:rsid w:val="003F5ADF"/>
    <w:rsid w:val="003F5B68"/>
    <w:rsid w:val="003F5B9D"/>
    <w:rsid w:val="003F5BBF"/>
    <w:rsid w:val="003F5D44"/>
    <w:rsid w:val="003F6078"/>
    <w:rsid w:val="003F60EB"/>
    <w:rsid w:val="003F72F4"/>
    <w:rsid w:val="003F72FF"/>
    <w:rsid w:val="003F74F0"/>
    <w:rsid w:val="003F7572"/>
    <w:rsid w:val="003F7665"/>
    <w:rsid w:val="003F784D"/>
    <w:rsid w:val="003F7904"/>
    <w:rsid w:val="003F7A3F"/>
    <w:rsid w:val="003F7C5C"/>
    <w:rsid w:val="003F7EE5"/>
    <w:rsid w:val="003F7FBF"/>
    <w:rsid w:val="003F7FE3"/>
    <w:rsid w:val="004006F1"/>
    <w:rsid w:val="0040080F"/>
    <w:rsid w:val="00400B29"/>
    <w:rsid w:val="00400B59"/>
    <w:rsid w:val="00400CBD"/>
    <w:rsid w:val="00400EAC"/>
    <w:rsid w:val="0040104F"/>
    <w:rsid w:val="00401512"/>
    <w:rsid w:val="00401B79"/>
    <w:rsid w:val="00402598"/>
    <w:rsid w:val="004026CA"/>
    <w:rsid w:val="004026E8"/>
    <w:rsid w:val="00402812"/>
    <w:rsid w:val="00402933"/>
    <w:rsid w:val="00402B99"/>
    <w:rsid w:val="00402BA4"/>
    <w:rsid w:val="00402DF1"/>
    <w:rsid w:val="004030F6"/>
    <w:rsid w:val="00403273"/>
    <w:rsid w:val="00403303"/>
    <w:rsid w:val="00403329"/>
    <w:rsid w:val="004033A0"/>
    <w:rsid w:val="00403521"/>
    <w:rsid w:val="00403AFA"/>
    <w:rsid w:val="00403C72"/>
    <w:rsid w:val="00403E1F"/>
    <w:rsid w:val="00403F4A"/>
    <w:rsid w:val="00403FA6"/>
    <w:rsid w:val="00404297"/>
    <w:rsid w:val="0040457E"/>
    <w:rsid w:val="004047DD"/>
    <w:rsid w:val="00404991"/>
    <w:rsid w:val="00404DF7"/>
    <w:rsid w:val="0040504B"/>
    <w:rsid w:val="00405085"/>
    <w:rsid w:val="00405677"/>
    <w:rsid w:val="004059F4"/>
    <w:rsid w:val="00405BEF"/>
    <w:rsid w:val="00405FF9"/>
    <w:rsid w:val="004061F7"/>
    <w:rsid w:val="004066A0"/>
    <w:rsid w:val="004069A0"/>
    <w:rsid w:val="00406AA1"/>
    <w:rsid w:val="00406DA0"/>
    <w:rsid w:val="00406FE7"/>
    <w:rsid w:val="00407078"/>
    <w:rsid w:val="00407158"/>
    <w:rsid w:val="004071B0"/>
    <w:rsid w:val="004071EE"/>
    <w:rsid w:val="0040744E"/>
    <w:rsid w:val="0040766F"/>
    <w:rsid w:val="00407753"/>
    <w:rsid w:val="00407FE5"/>
    <w:rsid w:val="004101B0"/>
    <w:rsid w:val="00410326"/>
    <w:rsid w:val="0041054F"/>
    <w:rsid w:val="004106E7"/>
    <w:rsid w:val="00410708"/>
    <w:rsid w:val="004108A3"/>
    <w:rsid w:val="00410D5A"/>
    <w:rsid w:val="00410EC7"/>
    <w:rsid w:val="004111EA"/>
    <w:rsid w:val="004115B6"/>
    <w:rsid w:val="004118B8"/>
    <w:rsid w:val="00411989"/>
    <w:rsid w:val="00411ACE"/>
    <w:rsid w:val="00411AD5"/>
    <w:rsid w:val="00411B39"/>
    <w:rsid w:val="00411BC6"/>
    <w:rsid w:val="00411C15"/>
    <w:rsid w:val="00411D9D"/>
    <w:rsid w:val="00411F54"/>
    <w:rsid w:val="00412327"/>
    <w:rsid w:val="00412366"/>
    <w:rsid w:val="00412385"/>
    <w:rsid w:val="00412404"/>
    <w:rsid w:val="004127A7"/>
    <w:rsid w:val="00412850"/>
    <w:rsid w:val="00412C2B"/>
    <w:rsid w:val="00412E6F"/>
    <w:rsid w:val="0041334E"/>
    <w:rsid w:val="004133FC"/>
    <w:rsid w:val="00413716"/>
    <w:rsid w:val="00413A1D"/>
    <w:rsid w:val="00413A1E"/>
    <w:rsid w:val="00413F6A"/>
    <w:rsid w:val="0041419E"/>
    <w:rsid w:val="00414476"/>
    <w:rsid w:val="0041450A"/>
    <w:rsid w:val="00414BAD"/>
    <w:rsid w:val="00414C2E"/>
    <w:rsid w:val="00415123"/>
    <w:rsid w:val="004151CF"/>
    <w:rsid w:val="0041573B"/>
    <w:rsid w:val="00416364"/>
    <w:rsid w:val="004163BD"/>
    <w:rsid w:val="0041650B"/>
    <w:rsid w:val="004167C5"/>
    <w:rsid w:val="00416B1F"/>
    <w:rsid w:val="00416BEA"/>
    <w:rsid w:val="00416D98"/>
    <w:rsid w:val="00416EB9"/>
    <w:rsid w:val="00417127"/>
    <w:rsid w:val="004175B6"/>
    <w:rsid w:val="00417733"/>
    <w:rsid w:val="004178E1"/>
    <w:rsid w:val="00417B39"/>
    <w:rsid w:val="004201B4"/>
    <w:rsid w:val="0042047F"/>
    <w:rsid w:val="004205CB"/>
    <w:rsid w:val="004208D1"/>
    <w:rsid w:val="00420AA6"/>
    <w:rsid w:val="00420B9F"/>
    <w:rsid w:val="00420D18"/>
    <w:rsid w:val="00420EFB"/>
    <w:rsid w:val="004211DF"/>
    <w:rsid w:val="00421340"/>
    <w:rsid w:val="00421454"/>
    <w:rsid w:val="0042146D"/>
    <w:rsid w:val="0042153B"/>
    <w:rsid w:val="0042192C"/>
    <w:rsid w:val="00421E13"/>
    <w:rsid w:val="00422260"/>
    <w:rsid w:val="004223B9"/>
    <w:rsid w:val="004226EC"/>
    <w:rsid w:val="00423565"/>
    <w:rsid w:val="00423EC4"/>
    <w:rsid w:val="00423F1F"/>
    <w:rsid w:val="0042413F"/>
    <w:rsid w:val="004244E6"/>
    <w:rsid w:val="00424572"/>
    <w:rsid w:val="00424B06"/>
    <w:rsid w:val="00424B4E"/>
    <w:rsid w:val="00424C19"/>
    <w:rsid w:val="0042516D"/>
    <w:rsid w:val="004251AC"/>
    <w:rsid w:val="00425407"/>
    <w:rsid w:val="004254E6"/>
    <w:rsid w:val="004258C4"/>
    <w:rsid w:val="00425939"/>
    <w:rsid w:val="004259F6"/>
    <w:rsid w:val="00425AC3"/>
    <w:rsid w:val="00425EBB"/>
    <w:rsid w:val="0042607A"/>
    <w:rsid w:val="004261BF"/>
    <w:rsid w:val="0042642B"/>
    <w:rsid w:val="0042683D"/>
    <w:rsid w:val="00426A9A"/>
    <w:rsid w:val="00426C88"/>
    <w:rsid w:val="00426EB7"/>
    <w:rsid w:val="0042784F"/>
    <w:rsid w:val="004278F0"/>
    <w:rsid w:val="00427B4D"/>
    <w:rsid w:val="004302E9"/>
    <w:rsid w:val="00430399"/>
    <w:rsid w:val="004304AC"/>
    <w:rsid w:val="00430562"/>
    <w:rsid w:val="0043059D"/>
    <w:rsid w:val="0043086B"/>
    <w:rsid w:val="00430D62"/>
    <w:rsid w:val="00430DD5"/>
    <w:rsid w:val="004315AA"/>
    <w:rsid w:val="0043192A"/>
    <w:rsid w:val="004319F8"/>
    <w:rsid w:val="00431AED"/>
    <w:rsid w:val="00431E55"/>
    <w:rsid w:val="004321F6"/>
    <w:rsid w:val="00432289"/>
    <w:rsid w:val="004327C0"/>
    <w:rsid w:val="00433044"/>
    <w:rsid w:val="004337BF"/>
    <w:rsid w:val="004338E3"/>
    <w:rsid w:val="00433935"/>
    <w:rsid w:val="00433F41"/>
    <w:rsid w:val="00434088"/>
    <w:rsid w:val="00434769"/>
    <w:rsid w:val="00434A10"/>
    <w:rsid w:val="00434C18"/>
    <w:rsid w:val="00434D69"/>
    <w:rsid w:val="00435178"/>
    <w:rsid w:val="0043532E"/>
    <w:rsid w:val="00435CF0"/>
    <w:rsid w:val="00435D6C"/>
    <w:rsid w:val="00435E95"/>
    <w:rsid w:val="004366A7"/>
    <w:rsid w:val="00436AC7"/>
    <w:rsid w:val="00436BBA"/>
    <w:rsid w:val="00436F85"/>
    <w:rsid w:val="004375B9"/>
    <w:rsid w:val="004378EC"/>
    <w:rsid w:val="004403ED"/>
    <w:rsid w:val="004408F6"/>
    <w:rsid w:val="00440954"/>
    <w:rsid w:val="00440987"/>
    <w:rsid w:val="00440CFA"/>
    <w:rsid w:val="00440D75"/>
    <w:rsid w:val="00441958"/>
    <w:rsid w:val="00441B75"/>
    <w:rsid w:val="00441F7F"/>
    <w:rsid w:val="0044205F"/>
    <w:rsid w:val="00442216"/>
    <w:rsid w:val="0044226F"/>
    <w:rsid w:val="00442328"/>
    <w:rsid w:val="00442466"/>
    <w:rsid w:val="004428D0"/>
    <w:rsid w:val="00442D70"/>
    <w:rsid w:val="00442FEC"/>
    <w:rsid w:val="0044301A"/>
    <w:rsid w:val="004434B5"/>
    <w:rsid w:val="00443516"/>
    <w:rsid w:val="00444185"/>
    <w:rsid w:val="004441BE"/>
    <w:rsid w:val="004443A7"/>
    <w:rsid w:val="0044442C"/>
    <w:rsid w:val="004444A9"/>
    <w:rsid w:val="0044453F"/>
    <w:rsid w:val="00444928"/>
    <w:rsid w:val="00444A59"/>
    <w:rsid w:val="00445233"/>
    <w:rsid w:val="00445646"/>
    <w:rsid w:val="00445941"/>
    <w:rsid w:val="00445E2D"/>
    <w:rsid w:val="00445E3E"/>
    <w:rsid w:val="004461F3"/>
    <w:rsid w:val="0044622F"/>
    <w:rsid w:val="004464EB"/>
    <w:rsid w:val="0044689D"/>
    <w:rsid w:val="004469DA"/>
    <w:rsid w:val="00446E54"/>
    <w:rsid w:val="00447564"/>
    <w:rsid w:val="00447843"/>
    <w:rsid w:val="00447C85"/>
    <w:rsid w:val="00447D26"/>
    <w:rsid w:val="00447DC8"/>
    <w:rsid w:val="00447DFC"/>
    <w:rsid w:val="004500E2"/>
    <w:rsid w:val="00450AE9"/>
    <w:rsid w:val="00450EF4"/>
    <w:rsid w:val="00450FB6"/>
    <w:rsid w:val="00451264"/>
    <w:rsid w:val="004517BA"/>
    <w:rsid w:val="004517E1"/>
    <w:rsid w:val="00451A8B"/>
    <w:rsid w:val="00451D39"/>
    <w:rsid w:val="00451F95"/>
    <w:rsid w:val="004520DF"/>
    <w:rsid w:val="00452293"/>
    <w:rsid w:val="00452803"/>
    <w:rsid w:val="004529A6"/>
    <w:rsid w:val="00452A4D"/>
    <w:rsid w:val="00452B77"/>
    <w:rsid w:val="00452CCD"/>
    <w:rsid w:val="0045324D"/>
    <w:rsid w:val="00453689"/>
    <w:rsid w:val="00454146"/>
    <w:rsid w:val="0045424C"/>
    <w:rsid w:val="004543B2"/>
    <w:rsid w:val="004549F4"/>
    <w:rsid w:val="00454B54"/>
    <w:rsid w:val="00455245"/>
    <w:rsid w:val="00455260"/>
    <w:rsid w:val="004553D4"/>
    <w:rsid w:val="00455667"/>
    <w:rsid w:val="00455885"/>
    <w:rsid w:val="00455A77"/>
    <w:rsid w:val="00455B65"/>
    <w:rsid w:val="00455D45"/>
    <w:rsid w:val="00456019"/>
    <w:rsid w:val="00456166"/>
    <w:rsid w:val="00456236"/>
    <w:rsid w:val="00456423"/>
    <w:rsid w:val="0045651B"/>
    <w:rsid w:val="00456E02"/>
    <w:rsid w:val="00457E3C"/>
    <w:rsid w:val="00457F07"/>
    <w:rsid w:val="0046001A"/>
    <w:rsid w:val="00460186"/>
    <w:rsid w:val="00460365"/>
    <w:rsid w:val="004604A7"/>
    <w:rsid w:val="00460769"/>
    <w:rsid w:val="00460D2F"/>
    <w:rsid w:val="00460DF9"/>
    <w:rsid w:val="00460E0E"/>
    <w:rsid w:val="00460E23"/>
    <w:rsid w:val="004612E3"/>
    <w:rsid w:val="00461E64"/>
    <w:rsid w:val="00461FFC"/>
    <w:rsid w:val="00462401"/>
    <w:rsid w:val="004628DE"/>
    <w:rsid w:val="00462932"/>
    <w:rsid w:val="0046334D"/>
    <w:rsid w:val="00463846"/>
    <w:rsid w:val="00463B92"/>
    <w:rsid w:val="00463F89"/>
    <w:rsid w:val="00464595"/>
    <w:rsid w:val="00464DFD"/>
    <w:rsid w:val="0046524E"/>
    <w:rsid w:val="00465346"/>
    <w:rsid w:val="00465360"/>
    <w:rsid w:val="004658B5"/>
    <w:rsid w:val="00465928"/>
    <w:rsid w:val="00465CED"/>
    <w:rsid w:val="00465E46"/>
    <w:rsid w:val="00465E5E"/>
    <w:rsid w:val="00465F85"/>
    <w:rsid w:val="004660A2"/>
    <w:rsid w:val="004666F2"/>
    <w:rsid w:val="004668FD"/>
    <w:rsid w:val="00466B03"/>
    <w:rsid w:val="00466D53"/>
    <w:rsid w:val="00466F12"/>
    <w:rsid w:val="00467111"/>
    <w:rsid w:val="00467245"/>
    <w:rsid w:val="0046746B"/>
    <w:rsid w:val="004675F0"/>
    <w:rsid w:val="0046782F"/>
    <w:rsid w:val="00467C6F"/>
    <w:rsid w:val="00467F4D"/>
    <w:rsid w:val="004701F6"/>
    <w:rsid w:val="00470723"/>
    <w:rsid w:val="004707E2"/>
    <w:rsid w:val="00470C2D"/>
    <w:rsid w:val="00470D4E"/>
    <w:rsid w:val="00470EF7"/>
    <w:rsid w:val="00471284"/>
    <w:rsid w:val="004712C4"/>
    <w:rsid w:val="004712DE"/>
    <w:rsid w:val="00471EA5"/>
    <w:rsid w:val="00471EFB"/>
    <w:rsid w:val="0047222B"/>
    <w:rsid w:val="00472257"/>
    <w:rsid w:val="004722E6"/>
    <w:rsid w:val="0047244E"/>
    <w:rsid w:val="00472490"/>
    <w:rsid w:val="0047270D"/>
    <w:rsid w:val="00472852"/>
    <w:rsid w:val="00472A79"/>
    <w:rsid w:val="00472B96"/>
    <w:rsid w:val="00472D3F"/>
    <w:rsid w:val="0047302E"/>
    <w:rsid w:val="004731AA"/>
    <w:rsid w:val="00473526"/>
    <w:rsid w:val="0047387C"/>
    <w:rsid w:val="00473C58"/>
    <w:rsid w:val="00473F19"/>
    <w:rsid w:val="00473F47"/>
    <w:rsid w:val="0047408F"/>
    <w:rsid w:val="004740F4"/>
    <w:rsid w:val="0047423A"/>
    <w:rsid w:val="00474499"/>
    <w:rsid w:val="0047464A"/>
    <w:rsid w:val="00474792"/>
    <w:rsid w:val="0047485F"/>
    <w:rsid w:val="00474B9C"/>
    <w:rsid w:val="00474CDA"/>
    <w:rsid w:val="00474DD2"/>
    <w:rsid w:val="0047514F"/>
    <w:rsid w:val="004754BA"/>
    <w:rsid w:val="0047554B"/>
    <w:rsid w:val="00475733"/>
    <w:rsid w:val="0047586A"/>
    <w:rsid w:val="00475AC1"/>
    <w:rsid w:val="00475E22"/>
    <w:rsid w:val="00476433"/>
    <w:rsid w:val="00476593"/>
    <w:rsid w:val="0047662B"/>
    <w:rsid w:val="00476BF2"/>
    <w:rsid w:val="00476CDB"/>
    <w:rsid w:val="004771F4"/>
    <w:rsid w:val="0047729C"/>
    <w:rsid w:val="00477420"/>
    <w:rsid w:val="00477E2C"/>
    <w:rsid w:val="00477F24"/>
    <w:rsid w:val="004801A4"/>
    <w:rsid w:val="004805B0"/>
    <w:rsid w:val="0048088E"/>
    <w:rsid w:val="004808D3"/>
    <w:rsid w:val="004809A3"/>
    <w:rsid w:val="00480C23"/>
    <w:rsid w:val="00480F2B"/>
    <w:rsid w:val="00480F6F"/>
    <w:rsid w:val="0048120B"/>
    <w:rsid w:val="0048128D"/>
    <w:rsid w:val="0048157A"/>
    <w:rsid w:val="0048159A"/>
    <w:rsid w:val="0048170F"/>
    <w:rsid w:val="00481AA4"/>
    <w:rsid w:val="004820A4"/>
    <w:rsid w:val="004825E2"/>
    <w:rsid w:val="00482720"/>
    <w:rsid w:val="00482DB1"/>
    <w:rsid w:val="00482DEA"/>
    <w:rsid w:val="00482F12"/>
    <w:rsid w:val="00483370"/>
    <w:rsid w:val="004835E7"/>
    <w:rsid w:val="00483861"/>
    <w:rsid w:val="00483884"/>
    <w:rsid w:val="00483C0B"/>
    <w:rsid w:val="00483E2B"/>
    <w:rsid w:val="00484010"/>
    <w:rsid w:val="00484271"/>
    <w:rsid w:val="0048456E"/>
    <w:rsid w:val="00484B77"/>
    <w:rsid w:val="004854CE"/>
    <w:rsid w:val="004859E1"/>
    <w:rsid w:val="00485AD5"/>
    <w:rsid w:val="00485C10"/>
    <w:rsid w:val="00485C72"/>
    <w:rsid w:val="00485EB8"/>
    <w:rsid w:val="00485F00"/>
    <w:rsid w:val="0048631A"/>
    <w:rsid w:val="004867E2"/>
    <w:rsid w:val="00486A3D"/>
    <w:rsid w:val="00486D79"/>
    <w:rsid w:val="00486FCE"/>
    <w:rsid w:val="00487B99"/>
    <w:rsid w:val="0049005C"/>
    <w:rsid w:val="0049014F"/>
    <w:rsid w:val="0049061F"/>
    <w:rsid w:val="00490B17"/>
    <w:rsid w:val="00490B46"/>
    <w:rsid w:val="004910D2"/>
    <w:rsid w:val="0049113A"/>
    <w:rsid w:val="0049134D"/>
    <w:rsid w:val="00491445"/>
    <w:rsid w:val="0049189E"/>
    <w:rsid w:val="00491B3A"/>
    <w:rsid w:val="00491BB3"/>
    <w:rsid w:val="004920F6"/>
    <w:rsid w:val="004922F7"/>
    <w:rsid w:val="004924BE"/>
    <w:rsid w:val="004925B1"/>
    <w:rsid w:val="00492916"/>
    <w:rsid w:val="00492A02"/>
    <w:rsid w:val="00492B4A"/>
    <w:rsid w:val="00492B94"/>
    <w:rsid w:val="00492CFD"/>
    <w:rsid w:val="00492EB9"/>
    <w:rsid w:val="0049357B"/>
    <w:rsid w:val="0049364D"/>
    <w:rsid w:val="00493C59"/>
    <w:rsid w:val="00493E0F"/>
    <w:rsid w:val="00494032"/>
    <w:rsid w:val="00494083"/>
    <w:rsid w:val="00494207"/>
    <w:rsid w:val="0049498F"/>
    <w:rsid w:val="00494BB4"/>
    <w:rsid w:val="00494DD5"/>
    <w:rsid w:val="00494F71"/>
    <w:rsid w:val="004952A7"/>
    <w:rsid w:val="00495497"/>
    <w:rsid w:val="00495738"/>
    <w:rsid w:val="0049576F"/>
    <w:rsid w:val="00495806"/>
    <w:rsid w:val="00495B29"/>
    <w:rsid w:val="00495EF4"/>
    <w:rsid w:val="00495F2C"/>
    <w:rsid w:val="004962D2"/>
    <w:rsid w:val="004964E7"/>
    <w:rsid w:val="0049659D"/>
    <w:rsid w:val="00496722"/>
    <w:rsid w:val="00496F89"/>
    <w:rsid w:val="004970C7"/>
    <w:rsid w:val="0049722C"/>
    <w:rsid w:val="00497573"/>
    <w:rsid w:val="00497586"/>
    <w:rsid w:val="00497B95"/>
    <w:rsid w:val="004A0662"/>
    <w:rsid w:val="004A072D"/>
    <w:rsid w:val="004A09E5"/>
    <w:rsid w:val="004A0D45"/>
    <w:rsid w:val="004A0DA1"/>
    <w:rsid w:val="004A0EE0"/>
    <w:rsid w:val="004A13D6"/>
    <w:rsid w:val="004A1643"/>
    <w:rsid w:val="004A1669"/>
    <w:rsid w:val="004A19CF"/>
    <w:rsid w:val="004A294D"/>
    <w:rsid w:val="004A2EB9"/>
    <w:rsid w:val="004A2F71"/>
    <w:rsid w:val="004A30B1"/>
    <w:rsid w:val="004A36B2"/>
    <w:rsid w:val="004A387F"/>
    <w:rsid w:val="004A3B5B"/>
    <w:rsid w:val="004A3D5A"/>
    <w:rsid w:val="004A432C"/>
    <w:rsid w:val="004A4420"/>
    <w:rsid w:val="004A46AD"/>
    <w:rsid w:val="004A4823"/>
    <w:rsid w:val="004A4FCD"/>
    <w:rsid w:val="004A52E9"/>
    <w:rsid w:val="004A5C1F"/>
    <w:rsid w:val="004A5FB8"/>
    <w:rsid w:val="004A6040"/>
    <w:rsid w:val="004A64F1"/>
    <w:rsid w:val="004A6597"/>
    <w:rsid w:val="004A65FE"/>
    <w:rsid w:val="004A6A30"/>
    <w:rsid w:val="004A6A47"/>
    <w:rsid w:val="004A6FF2"/>
    <w:rsid w:val="004A7848"/>
    <w:rsid w:val="004A793B"/>
    <w:rsid w:val="004A794C"/>
    <w:rsid w:val="004A7D12"/>
    <w:rsid w:val="004B000D"/>
    <w:rsid w:val="004B0039"/>
    <w:rsid w:val="004B011F"/>
    <w:rsid w:val="004B08A2"/>
    <w:rsid w:val="004B0FC6"/>
    <w:rsid w:val="004B101E"/>
    <w:rsid w:val="004B1576"/>
    <w:rsid w:val="004B1CB4"/>
    <w:rsid w:val="004B2230"/>
    <w:rsid w:val="004B2322"/>
    <w:rsid w:val="004B235E"/>
    <w:rsid w:val="004B26B5"/>
    <w:rsid w:val="004B2C99"/>
    <w:rsid w:val="004B2D21"/>
    <w:rsid w:val="004B2D24"/>
    <w:rsid w:val="004B2F18"/>
    <w:rsid w:val="004B2FB5"/>
    <w:rsid w:val="004B319F"/>
    <w:rsid w:val="004B3285"/>
    <w:rsid w:val="004B35DF"/>
    <w:rsid w:val="004B3B13"/>
    <w:rsid w:val="004B3DDB"/>
    <w:rsid w:val="004B44FD"/>
    <w:rsid w:val="004B4856"/>
    <w:rsid w:val="004B488A"/>
    <w:rsid w:val="004B5039"/>
    <w:rsid w:val="004B551B"/>
    <w:rsid w:val="004B590F"/>
    <w:rsid w:val="004B597A"/>
    <w:rsid w:val="004B59F5"/>
    <w:rsid w:val="004B5C24"/>
    <w:rsid w:val="004B5CFC"/>
    <w:rsid w:val="004B5F0B"/>
    <w:rsid w:val="004B6028"/>
    <w:rsid w:val="004B60C5"/>
    <w:rsid w:val="004B6475"/>
    <w:rsid w:val="004B6827"/>
    <w:rsid w:val="004B6F79"/>
    <w:rsid w:val="004B7249"/>
    <w:rsid w:val="004B73D7"/>
    <w:rsid w:val="004B774D"/>
    <w:rsid w:val="004B785E"/>
    <w:rsid w:val="004B7C40"/>
    <w:rsid w:val="004C0BE7"/>
    <w:rsid w:val="004C0D7F"/>
    <w:rsid w:val="004C12D9"/>
    <w:rsid w:val="004C152E"/>
    <w:rsid w:val="004C15CA"/>
    <w:rsid w:val="004C1C27"/>
    <w:rsid w:val="004C1FA3"/>
    <w:rsid w:val="004C24C5"/>
    <w:rsid w:val="004C2AC2"/>
    <w:rsid w:val="004C2B23"/>
    <w:rsid w:val="004C2BFD"/>
    <w:rsid w:val="004C2E78"/>
    <w:rsid w:val="004C2EA9"/>
    <w:rsid w:val="004C2F55"/>
    <w:rsid w:val="004C354C"/>
    <w:rsid w:val="004C35C6"/>
    <w:rsid w:val="004C383E"/>
    <w:rsid w:val="004C3CE1"/>
    <w:rsid w:val="004C3FB4"/>
    <w:rsid w:val="004C4469"/>
    <w:rsid w:val="004C47F9"/>
    <w:rsid w:val="004C4872"/>
    <w:rsid w:val="004C48F5"/>
    <w:rsid w:val="004C4AED"/>
    <w:rsid w:val="004C524B"/>
    <w:rsid w:val="004C524F"/>
    <w:rsid w:val="004C543F"/>
    <w:rsid w:val="004C5825"/>
    <w:rsid w:val="004C6038"/>
    <w:rsid w:val="004C6305"/>
    <w:rsid w:val="004C693D"/>
    <w:rsid w:val="004C699D"/>
    <w:rsid w:val="004C6D2F"/>
    <w:rsid w:val="004C7820"/>
    <w:rsid w:val="004C7B6E"/>
    <w:rsid w:val="004C7F7E"/>
    <w:rsid w:val="004D01BA"/>
    <w:rsid w:val="004D0429"/>
    <w:rsid w:val="004D12BF"/>
    <w:rsid w:val="004D1688"/>
    <w:rsid w:val="004D1713"/>
    <w:rsid w:val="004D17CE"/>
    <w:rsid w:val="004D1B12"/>
    <w:rsid w:val="004D1CEA"/>
    <w:rsid w:val="004D1DD8"/>
    <w:rsid w:val="004D21AB"/>
    <w:rsid w:val="004D2C2D"/>
    <w:rsid w:val="004D2D89"/>
    <w:rsid w:val="004D302F"/>
    <w:rsid w:val="004D3083"/>
    <w:rsid w:val="004D333E"/>
    <w:rsid w:val="004D3B04"/>
    <w:rsid w:val="004D3BA2"/>
    <w:rsid w:val="004D3BCF"/>
    <w:rsid w:val="004D3ECE"/>
    <w:rsid w:val="004D3F4E"/>
    <w:rsid w:val="004D40CC"/>
    <w:rsid w:val="004D46A2"/>
    <w:rsid w:val="004D4767"/>
    <w:rsid w:val="004D517D"/>
    <w:rsid w:val="004D5545"/>
    <w:rsid w:val="004D56A1"/>
    <w:rsid w:val="004D5A58"/>
    <w:rsid w:val="004D6039"/>
    <w:rsid w:val="004D6308"/>
    <w:rsid w:val="004D642F"/>
    <w:rsid w:val="004D69B5"/>
    <w:rsid w:val="004D6A1E"/>
    <w:rsid w:val="004D6CD0"/>
    <w:rsid w:val="004D7227"/>
    <w:rsid w:val="004D73A2"/>
    <w:rsid w:val="004D73ED"/>
    <w:rsid w:val="004D74BD"/>
    <w:rsid w:val="004D776F"/>
    <w:rsid w:val="004D7A00"/>
    <w:rsid w:val="004D7B5E"/>
    <w:rsid w:val="004D7CD0"/>
    <w:rsid w:val="004D7D97"/>
    <w:rsid w:val="004D7FAA"/>
    <w:rsid w:val="004E0004"/>
    <w:rsid w:val="004E02C4"/>
    <w:rsid w:val="004E058F"/>
    <w:rsid w:val="004E0614"/>
    <w:rsid w:val="004E0703"/>
    <w:rsid w:val="004E0935"/>
    <w:rsid w:val="004E0DB7"/>
    <w:rsid w:val="004E0E7F"/>
    <w:rsid w:val="004E0EB8"/>
    <w:rsid w:val="004E1632"/>
    <w:rsid w:val="004E18A3"/>
    <w:rsid w:val="004E18E9"/>
    <w:rsid w:val="004E1B98"/>
    <w:rsid w:val="004E2086"/>
    <w:rsid w:val="004E20DD"/>
    <w:rsid w:val="004E2ADC"/>
    <w:rsid w:val="004E2AEA"/>
    <w:rsid w:val="004E2E0D"/>
    <w:rsid w:val="004E2F7F"/>
    <w:rsid w:val="004E3131"/>
    <w:rsid w:val="004E31F9"/>
    <w:rsid w:val="004E32CE"/>
    <w:rsid w:val="004E32DB"/>
    <w:rsid w:val="004E3313"/>
    <w:rsid w:val="004E3490"/>
    <w:rsid w:val="004E3614"/>
    <w:rsid w:val="004E3E95"/>
    <w:rsid w:val="004E3EB6"/>
    <w:rsid w:val="004E4259"/>
    <w:rsid w:val="004E4271"/>
    <w:rsid w:val="004E4373"/>
    <w:rsid w:val="004E43B2"/>
    <w:rsid w:val="004E4493"/>
    <w:rsid w:val="004E47A6"/>
    <w:rsid w:val="004E4A1C"/>
    <w:rsid w:val="004E4B97"/>
    <w:rsid w:val="004E4BBA"/>
    <w:rsid w:val="004E4BD2"/>
    <w:rsid w:val="004E4C96"/>
    <w:rsid w:val="004E4FE8"/>
    <w:rsid w:val="004E4FFB"/>
    <w:rsid w:val="004E528E"/>
    <w:rsid w:val="004E5462"/>
    <w:rsid w:val="004E57A5"/>
    <w:rsid w:val="004E585A"/>
    <w:rsid w:val="004E587B"/>
    <w:rsid w:val="004E5C52"/>
    <w:rsid w:val="004E5DA7"/>
    <w:rsid w:val="004E644F"/>
    <w:rsid w:val="004E6DAB"/>
    <w:rsid w:val="004E716B"/>
    <w:rsid w:val="004E7326"/>
    <w:rsid w:val="004E78AF"/>
    <w:rsid w:val="004E7B5C"/>
    <w:rsid w:val="004F017A"/>
    <w:rsid w:val="004F053E"/>
    <w:rsid w:val="004F08BF"/>
    <w:rsid w:val="004F0D9E"/>
    <w:rsid w:val="004F11C2"/>
    <w:rsid w:val="004F167B"/>
    <w:rsid w:val="004F19D6"/>
    <w:rsid w:val="004F1AA3"/>
    <w:rsid w:val="004F1C74"/>
    <w:rsid w:val="004F1D02"/>
    <w:rsid w:val="004F1FDD"/>
    <w:rsid w:val="004F2258"/>
    <w:rsid w:val="004F2679"/>
    <w:rsid w:val="004F275C"/>
    <w:rsid w:val="004F2F21"/>
    <w:rsid w:val="004F30BA"/>
    <w:rsid w:val="004F31CE"/>
    <w:rsid w:val="004F359F"/>
    <w:rsid w:val="004F35C5"/>
    <w:rsid w:val="004F3DE5"/>
    <w:rsid w:val="004F4E3A"/>
    <w:rsid w:val="004F4F92"/>
    <w:rsid w:val="004F4FA8"/>
    <w:rsid w:val="004F516A"/>
    <w:rsid w:val="004F5539"/>
    <w:rsid w:val="004F5655"/>
    <w:rsid w:val="004F5751"/>
    <w:rsid w:val="004F59EB"/>
    <w:rsid w:val="004F5CC2"/>
    <w:rsid w:val="004F5E9F"/>
    <w:rsid w:val="004F5FF8"/>
    <w:rsid w:val="004F6290"/>
    <w:rsid w:val="004F6913"/>
    <w:rsid w:val="004F6A1D"/>
    <w:rsid w:val="004F6AA8"/>
    <w:rsid w:val="004F6C2A"/>
    <w:rsid w:val="004F6C65"/>
    <w:rsid w:val="004F6E02"/>
    <w:rsid w:val="004F6EED"/>
    <w:rsid w:val="004F755F"/>
    <w:rsid w:val="004F7865"/>
    <w:rsid w:val="004F7F1F"/>
    <w:rsid w:val="00500C8B"/>
    <w:rsid w:val="0050111D"/>
    <w:rsid w:val="0050124E"/>
    <w:rsid w:val="00501454"/>
    <w:rsid w:val="005016D1"/>
    <w:rsid w:val="0050174E"/>
    <w:rsid w:val="00501787"/>
    <w:rsid w:val="00501854"/>
    <w:rsid w:val="00501AB8"/>
    <w:rsid w:val="00501D48"/>
    <w:rsid w:val="00501DA0"/>
    <w:rsid w:val="0050219B"/>
    <w:rsid w:val="00502541"/>
    <w:rsid w:val="005025AA"/>
    <w:rsid w:val="0050263E"/>
    <w:rsid w:val="00502685"/>
    <w:rsid w:val="005028DC"/>
    <w:rsid w:val="00502A16"/>
    <w:rsid w:val="00502A9F"/>
    <w:rsid w:val="00503140"/>
    <w:rsid w:val="0050361D"/>
    <w:rsid w:val="005036C6"/>
    <w:rsid w:val="00503895"/>
    <w:rsid w:val="00503AB9"/>
    <w:rsid w:val="00503E33"/>
    <w:rsid w:val="00503F17"/>
    <w:rsid w:val="00503F3A"/>
    <w:rsid w:val="00504221"/>
    <w:rsid w:val="00504DCD"/>
    <w:rsid w:val="005052AA"/>
    <w:rsid w:val="0050534C"/>
    <w:rsid w:val="00505463"/>
    <w:rsid w:val="005067CD"/>
    <w:rsid w:val="005068B8"/>
    <w:rsid w:val="00506928"/>
    <w:rsid w:val="005069F6"/>
    <w:rsid w:val="00506B1F"/>
    <w:rsid w:val="00506FC0"/>
    <w:rsid w:val="00507559"/>
    <w:rsid w:val="005077BC"/>
    <w:rsid w:val="005077EF"/>
    <w:rsid w:val="00507808"/>
    <w:rsid w:val="005078CB"/>
    <w:rsid w:val="00507EC1"/>
    <w:rsid w:val="00507FAA"/>
    <w:rsid w:val="005104BC"/>
    <w:rsid w:val="005107BC"/>
    <w:rsid w:val="0051105A"/>
    <w:rsid w:val="00511233"/>
    <w:rsid w:val="005112AD"/>
    <w:rsid w:val="00511550"/>
    <w:rsid w:val="005117E5"/>
    <w:rsid w:val="005118D3"/>
    <w:rsid w:val="00511AD5"/>
    <w:rsid w:val="00511DC7"/>
    <w:rsid w:val="0051220B"/>
    <w:rsid w:val="00512501"/>
    <w:rsid w:val="00512BBB"/>
    <w:rsid w:val="0051305B"/>
    <w:rsid w:val="005131FC"/>
    <w:rsid w:val="00513289"/>
    <w:rsid w:val="0051358A"/>
    <w:rsid w:val="0051366B"/>
    <w:rsid w:val="00513864"/>
    <w:rsid w:val="00513DB0"/>
    <w:rsid w:val="00513E40"/>
    <w:rsid w:val="005142C5"/>
    <w:rsid w:val="00514452"/>
    <w:rsid w:val="00514604"/>
    <w:rsid w:val="0051501B"/>
    <w:rsid w:val="00515136"/>
    <w:rsid w:val="005151C4"/>
    <w:rsid w:val="005152B5"/>
    <w:rsid w:val="005156AA"/>
    <w:rsid w:val="0051574C"/>
    <w:rsid w:val="0051583F"/>
    <w:rsid w:val="00515886"/>
    <w:rsid w:val="005159F0"/>
    <w:rsid w:val="005160C0"/>
    <w:rsid w:val="005168A7"/>
    <w:rsid w:val="005169E1"/>
    <w:rsid w:val="00517562"/>
    <w:rsid w:val="005175F6"/>
    <w:rsid w:val="00517938"/>
    <w:rsid w:val="00517CCF"/>
    <w:rsid w:val="00517EA7"/>
    <w:rsid w:val="00517F72"/>
    <w:rsid w:val="00517F99"/>
    <w:rsid w:val="00520017"/>
    <w:rsid w:val="00520257"/>
    <w:rsid w:val="005208CE"/>
    <w:rsid w:val="00520D4A"/>
    <w:rsid w:val="00520FB8"/>
    <w:rsid w:val="00521045"/>
    <w:rsid w:val="0052123C"/>
    <w:rsid w:val="00521319"/>
    <w:rsid w:val="005217FF"/>
    <w:rsid w:val="00521984"/>
    <w:rsid w:val="00521B55"/>
    <w:rsid w:val="00521CA0"/>
    <w:rsid w:val="005221E1"/>
    <w:rsid w:val="00522340"/>
    <w:rsid w:val="0052235D"/>
    <w:rsid w:val="0052250E"/>
    <w:rsid w:val="00522832"/>
    <w:rsid w:val="005228AD"/>
    <w:rsid w:val="00522BC8"/>
    <w:rsid w:val="00522DDB"/>
    <w:rsid w:val="00522EBD"/>
    <w:rsid w:val="00522FFB"/>
    <w:rsid w:val="005230A0"/>
    <w:rsid w:val="00523564"/>
    <w:rsid w:val="0052375C"/>
    <w:rsid w:val="005238FA"/>
    <w:rsid w:val="00523985"/>
    <w:rsid w:val="00523A8D"/>
    <w:rsid w:val="00523C28"/>
    <w:rsid w:val="0052403B"/>
    <w:rsid w:val="00524176"/>
    <w:rsid w:val="00524415"/>
    <w:rsid w:val="00524A98"/>
    <w:rsid w:val="00524B14"/>
    <w:rsid w:val="00524CD9"/>
    <w:rsid w:val="00524D23"/>
    <w:rsid w:val="0052514E"/>
    <w:rsid w:val="0052575F"/>
    <w:rsid w:val="005258C0"/>
    <w:rsid w:val="00525B77"/>
    <w:rsid w:val="00525F94"/>
    <w:rsid w:val="005261E2"/>
    <w:rsid w:val="0052621A"/>
    <w:rsid w:val="0052647E"/>
    <w:rsid w:val="00526628"/>
    <w:rsid w:val="00526856"/>
    <w:rsid w:val="005269F2"/>
    <w:rsid w:val="00526BAE"/>
    <w:rsid w:val="00526CFB"/>
    <w:rsid w:val="00526D41"/>
    <w:rsid w:val="0052718B"/>
    <w:rsid w:val="005271D3"/>
    <w:rsid w:val="005274E8"/>
    <w:rsid w:val="0052792D"/>
    <w:rsid w:val="00527B2C"/>
    <w:rsid w:val="00527BB0"/>
    <w:rsid w:val="00527D4B"/>
    <w:rsid w:val="00527DE3"/>
    <w:rsid w:val="00530A63"/>
    <w:rsid w:val="005310A5"/>
    <w:rsid w:val="005311D8"/>
    <w:rsid w:val="00531381"/>
    <w:rsid w:val="0053176B"/>
    <w:rsid w:val="005318A0"/>
    <w:rsid w:val="00531AD5"/>
    <w:rsid w:val="00532247"/>
    <w:rsid w:val="00532274"/>
    <w:rsid w:val="00532450"/>
    <w:rsid w:val="00532692"/>
    <w:rsid w:val="00532891"/>
    <w:rsid w:val="00532F77"/>
    <w:rsid w:val="00533102"/>
    <w:rsid w:val="00533103"/>
    <w:rsid w:val="005333A1"/>
    <w:rsid w:val="00533486"/>
    <w:rsid w:val="005337C4"/>
    <w:rsid w:val="00533F89"/>
    <w:rsid w:val="005340B9"/>
    <w:rsid w:val="005341B3"/>
    <w:rsid w:val="00534200"/>
    <w:rsid w:val="00534285"/>
    <w:rsid w:val="005345AB"/>
    <w:rsid w:val="005346B3"/>
    <w:rsid w:val="005346E3"/>
    <w:rsid w:val="005346E4"/>
    <w:rsid w:val="0053538E"/>
    <w:rsid w:val="00535829"/>
    <w:rsid w:val="00535851"/>
    <w:rsid w:val="00535D05"/>
    <w:rsid w:val="0053624D"/>
    <w:rsid w:val="005366E5"/>
    <w:rsid w:val="00536708"/>
    <w:rsid w:val="00536BEC"/>
    <w:rsid w:val="00536EA0"/>
    <w:rsid w:val="00536F42"/>
    <w:rsid w:val="00537182"/>
    <w:rsid w:val="0053748F"/>
    <w:rsid w:val="00537CC3"/>
    <w:rsid w:val="00537DD2"/>
    <w:rsid w:val="00537E5C"/>
    <w:rsid w:val="005400EA"/>
    <w:rsid w:val="005405F8"/>
    <w:rsid w:val="005407A0"/>
    <w:rsid w:val="00540B4F"/>
    <w:rsid w:val="00540D61"/>
    <w:rsid w:val="00540EF8"/>
    <w:rsid w:val="00540FFD"/>
    <w:rsid w:val="0054109B"/>
    <w:rsid w:val="00541454"/>
    <w:rsid w:val="005415E0"/>
    <w:rsid w:val="005418D3"/>
    <w:rsid w:val="00541EDD"/>
    <w:rsid w:val="005423A9"/>
    <w:rsid w:val="00542664"/>
    <w:rsid w:val="00542743"/>
    <w:rsid w:val="00542C2D"/>
    <w:rsid w:val="00543167"/>
    <w:rsid w:val="00543406"/>
    <w:rsid w:val="00543556"/>
    <w:rsid w:val="005440D2"/>
    <w:rsid w:val="005447EB"/>
    <w:rsid w:val="00544AE5"/>
    <w:rsid w:val="00544E1D"/>
    <w:rsid w:val="005452D5"/>
    <w:rsid w:val="005455D4"/>
    <w:rsid w:val="00545742"/>
    <w:rsid w:val="00545A6B"/>
    <w:rsid w:val="00545B0F"/>
    <w:rsid w:val="00545BC6"/>
    <w:rsid w:val="00545CA8"/>
    <w:rsid w:val="00546125"/>
    <w:rsid w:val="00546129"/>
    <w:rsid w:val="00546180"/>
    <w:rsid w:val="005463E8"/>
    <w:rsid w:val="0054665B"/>
    <w:rsid w:val="00546784"/>
    <w:rsid w:val="00546FDD"/>
    <w:rsid w:val="0054732D"/>
    <w:rsid w:val="005478BD"/>
    <w:rsid w:val="005479E3"/>
    <w:rsid w:val="00547CAD"/>
    <w:rsid w:val="00550597"/>
    <w:rsid w:val="005507D2"/>
    <w:rsid w:val="005507F5"/>
    <w:rsid w:val="0055085D"/>
    <w:rsid w:val="00550A0E"/>
    <w:rsid w:val="00550D70"/>
    <w:rsid w:val="00551386"/>
    <w:rsid w:val="0055144D"/>
    <w:rsid w:val="005517F9"/>
    <w:rsid w:val="00551985"/>
    <w:rsid w:val="00551AB9"/>
    <w:rsid w:val="0055220A"/>
    <w:rsid w:val="0055269B"/>
    <w:rsid w:val="00552B41"/>
    <w:rsid w:val="00552BD3"/>
    <w:rsid w:val="00552C0C"/>
    <w:rsid w:val="00552EA2"/>
    <w:rsid w:val="00552EE6"/>
    <w:rsid w:val="00552F89"/>
    <w:rsid w:val="005532A0"/>
    <w:rsid w:val="005532CD"/>
    <w:rsid w:val="00553442"/>
    <w:rsid w:val="005539AA"/>
    <w:rsid w:val="005539F9"/>
    <w:rsid w:val="00553D71"/>
    <w:rsid w:val="0055413A"/>
    <w:rsid w:val="005549B1"/>
    <w:rsid w:val="00554B34"/>
    <w:rsid w:val="00554CF9"/>
    <w:rsid w:val="005550EE"/>
    <w:rsid w:val="00555109"/>
    <w:rsid w:val="005555D4"/>
    <w:rsid w:val="00555847"/>
    <w:rsid w:val="00555C2C"/>
    <w:rsid w:val="00555C41"/>
    <w:rsid w:val="00555CB2"/>
    <w:rsid w:val="00555DC2"/>
    <w:rsid w:val="00555EF7"/>
    <w:rsid w:val="0055612A"/>
    <w:rsid w:val="005563A8"/>
    <w:rsid w:val="005566F5"/>
    <w:rsid w:val="00556B35"/>
    <w:rsid w:val="00556BA1"/>
    <w:rsid w:val="00556E45"/>
    <w:rsid w:val="0055728F"/>
    <w:rsid w:val="005572BA"/>
    <w:rsid w:val="0055734E"/>
    <w:rsid w:val="0055741A"/>
    <w:rsid w:val="00557C37"/>
    <w:rsid w:val="00557D15"/>
    <w:rsid w:val="005601A8"/>
    <w:rsid w:val="00560238"/>
    <w:rsid w:val="00560758"/>
    <w:rsid w:val="005609E1"/>
    <w:rsid w:val="00560D6E"/>
    <w:rsid w:val="00560ECD"/>
    <w:rsid w:val="005611B7"/>
    <w:rsid w:val="0056124A"/>
    <w:rsid w:val="00561392"/>
    <w:rsid w:val="005615EE"/>
    <w:rsid w:val="005618D4"/>
    <w:rsid w:val="00561D18"/>
    <w:rsid w:val="00561D8B"/>
    <w:rsid w:val="00561EB2"/>
    <w:rsid w:val="0056203D"/>
    <w:rsid w:val="005620C3"/>
    <w:rsid w:val="005623DF"/>
    <w:rsid w:val="00562516"/>
    <w:rsid w:val="00562A86"/>
    <w:rsid w:val="00563609"/>
    <w:rsid w:val="00563622"/>
    <w:rsid w:val="00563734"/>
    <w:rsid w:val="005637CD"/>
    <w:rsid w:val="005639BF"/>
    <w:rsid w:val="005639CD"/>
    <w:rsid w:val="00563A5A"/>
    <w:rsid w:val="00563CCA"/>
    <w:rsid w:val="005640B4"/>
    <w:rsid w:val="0056426E"/>
    <w:rsid w:val="00564298"/>
    <w:rsid w:val="00564630"/>
    <w:rsid w:val="00564867"/>
    <w:rsid w:val="005649E8"/>
    <w:rsid w:val="00564B55"/>
    <w:rsid w:val="00564C5C"/>
    <w:rsid w:val="00564DA8"/>
    <w:rsid w:val="00564DFA"/>
    <w:rsid w:val="00565134"/>
    <w:rsid w:val="005654A5"/>
    <w:rsid w:val="005656D3"/>
    <w:rsid w:val="005657AF"/>
    <w:rsid w:val="005657D7"/>
    <w:rsid w:val="00565B2F"/>
    <w:rsid w:val="00565C79"/>
    <w:rsid w:val="00565DDB"/>
    <w:rsid w:val="00565DF0"/>
    <w:rsid w:val="0056638F"/>
    <w:rsid w:val="005663F3"/>
    <w:rsid w:val="005664BC"/>
    <w:rsid w:val="0056662D"/>
    <w:rsid w:val="0056696F"/>
    <w:rsid w:val="00566A4D"/>
    <w:rsid w:val="00566DC9"/>
    <w:rsid w:val="00566FF3"/>
    <w:rsid w:val="005670D3"/>
    <w:rsid w:val="0056717F"/>
    <w:rsid w:val="00567BD2"/>
    <w:rsid w:val="0057012F"/>
    <w:rsid w:val="0057022F"/>
    <w:rsid w:val="00570351"/>
    <w:rsid w:val="00570638"/>
    <w:rsid w:val="005709FD"/>
    <w:rsid w:val="00570CB7"/>
    <w:rsid w:val="00570D69"/>
    <w:rsid w:val="00570DC1"/>
    <w:rsid w:val="005710D7"/>
    <w:rsid w:val="005713A8"/>
    <w:rsid w:val="005717CC"/>
    <w:rsid w:val="005718D4"/>
    <w:rsid w:val="00571B72"/>
    <w:rsid w:val="00572269"/>
    <w:rsid w:val="0057244A"/>
    <w:rsid w:val="005724DA"/>
    <w:rsid w:val="005724FD"/>
    <w:rsid w:val="00572D44"/>
    <w:rsid w:val="00572F26"/>
    <w:rsid w:val="005732E0"/>
    <w:rsid w:val="0057333F"/>
    <w:rsid w:val="00573560"/>
    <w:rsid w:val="005736C5"/>
    <w:rsid w:val="00573CD1"/>
    <w:rsid w:val="00573E63"/>
    <w:rsid w:val="00573E78"/>
    <w:rsid w:val="0057403A"/>
    <w:rsid w:val="0057441E"/>
    <w:rsid w:val="005746EA"/>
    <w:rsid w:val="005747F2"/>
    <w:rsid w:val="00574D05"/>
    <w:rsid w:val="00574FF1"/>
    <w:rsid w:val="005750C5"/>
    <w:rsid w:val="005752DE"/>
    <w:rsid w:val="00575321"/>
    <w:rsid w:val="005758A3"/>
    <w:rsid w:val="00575C8D"/>
    <w:rsid w:val="00575D60"/>
    <w:rsid w:val="00575D8D"/>
    <w:rsid w:val="00575DDD"/>
    <w:rsid w:val="0057696C"/>
    <w:rsid w:val="00576972"/>
    <w:rsid w:val="00576DC4"/>
    <w:rsid w:val="00577248"/>
    <w:rsid w:val="005772F7"/>
    <w:rsid w:val="00577A8A"/>
    <w:rsid w:val="00580376"/>
    <w:rsid w:val="005807AF"/>
    <w:rsid w:val="005807DB"/>
    <w:rsid w:val="00580F39"/>
    <w:rsid w:val="00581212"/>
    <w:rsid w:val="00581386"/>
    <w:rsid w:val="00581599"/>
    <w:rsid w:val="0058182C"/>
    <w:rsid w:val="0058190F"/>
    <w:rsid w:val="00582625"/>
    <w:rsid w:val="00582780"/>
    <w:rsid w:val="00582B4C"/>
    <w:rsid w:val="00582BCE"/>
    <w:rsid w:val="00582C3B"/>
    <w:rsid w:val="00582DA8"/>
    <w:rsid w:val="005833EC"/>
    <w:rsid w:val="00583699"/>
    <w:rsid w:val="005838D3"/>
    <w:rsid w:val="0058392E"/>
    <w:rsid w:val="00584117"/>
    <w:rsid w:val="005847A9"/>
    <w:rsid w:val="00584A5C"/>
    <w:rsid w:val="00584C7D"/>
    <w:rsid w:val="00585185"/>
    <w:rsid w:val="00585419"/>
    <w:rsid w:val="00585A28"/>
    <w:rsid w:val="00585B8B"/>
    <w:rsid w:val="00585BD4"/>
    <w:rsid w:val="00585CDD"/>
    <w:rsid w:val="00585D10"/>
    <w:rsid w:val="00585D4C"/>
    <w:rsid w:val="00586186"/>
    <w:rsid w:val="00586A59"/>
    <w:rsid w:val="00586F6B"/>
    <w:rsid w:val="00587058"/>
    <w:rsid w:val="00587098"/>
    <w:rsid w:val="00587176"/>
    <w:rsid w:val="0058728E"/>
    <w:rsid w:val="005872C1"/>
    <w:rsid w:val="00587669"/>
    <w:rsid w:val="0058777E"/>
    <w:rsid w:val="00587D2C"/>
    <w:rsid w:val="00590261"/>
    <w:rsid w:val="005902C8"/>
    <w:rsid w:val="00590911"/>
    <w:rsid w:val="005909D1"/>
    <w:rsid w:val="00590AC1"/>
    <w:rsid w:val="00590B84"/>
    <w:rsid w:val="00591099"/>
    <w:rsid w:val="0059116C"/>
    <w:rsid w:val="005911CF"/>
    <w:rsid w:val="0059130C"/>
    <w:rsid w:val="00591798"/>
    <w:rsid w:val="005918C7"/>
    <w:rsid w:val="00591957"/>
    <w:rsid w:val="005919F5"/>
    <w:rsid w:val="00591B30"/>
    <w:rsid w:val="00591C68"/>
    <w:rsid w:val="00591EF9"/>
    <w:rsid w:val="005921AE"/>
    <w:rsid w:val="00592223"/>
    <w:rsid w:val="00592592"/>
    <w:rsid w:val="00592703"/>
    <w:rsid w:val="005928FE"/>
    <w:rsid w:val="005929C9"/>
    <w:rsid w:val="005931FA"/>
    <w:rsid w:val="0059327B"/>
    <w:rsid w:val="00593472"/>
    <w:rsid w:val="00593982"/>
    <w:rsid w:val="005939D0"/>
    <w:rsid w:val="00593A17"/>
    <w:rsid w:val="00593ADD"/>
    <w:rsid w:val="00593C99"/>
    <w:rsid w:val="00594146"/>
    <w:rsid w:val="00594148"/>
    <w:rsid w:val="005941B9"/>
    <w:rsid w:val="00594268"/>
    <w:rsid w:val="005942CD"/>
    <w:rsid w:val="00594475"/>
    <w:rsid w:val="00594A86"/>
    <w:rsid w:val="00594D33"/>
    <w:rsid w:val="00594E5E"/>
    <w:rsid w:val="005950A9"/>
    <w:rsid w:val="005950B1"/>
    <w:rsid w:val="00595221"/>
    <w:rsid w:val="00595348"/>
    <w:rsid w:val="0059538D"/>
    <w:rsid w:val="00595420"/>
    <w:rsid w:val="005954FA"/>
    <w:rsid w:val="0059592E"/>
    <w:rsid w:val="00596149"/>
    <w:rsid w:val="005962F1"/>
    <w:rsid w:val="005966D0"/>
    <w:rsid w:val="005966E8"/>
    <w:rsid w:val="0059682C"/>
    <w:rsid w:val="00596836"/>
    <w:rsid w:val="005968D7"/>
    <w:rsid w:val="00597476"/>
    <w:rsid w:val="00597623"/>
    <w:rsid w:val="00597789"/>
    <w:rsid w:val="00597828"/>
    <w:rsid w:val="00597A9B"/>
    <w:rsid w:val="00597BF9"/>
    <w:rsid w:val="00597F0F"/>
    <w:rsid w:val="005A0171"/>
    <w:rsid w:val="005A0715"/>
    <w:rsid w:val="005A0A30"/>
    <w:rsid w:val="005A0C11"/>
    <w:rsid w:val="005A0D4A"/>
    <w:rsid w:val="005A0DA0"/>
    <w:rsid w:val="005A117A"/>
    <w:rsid w:val="005A20BD"/>
    <w:rsid w:val="005A24F6"/>
    <w:rsid w:val="005A2812"/>
    <w:rsid w:val="005A290D"/>
    <w:rsid w:val="005A2A68"/>
    <w:rsid w:val="005A2AEB"/>
    <w:rsid w:val="005A309A"/>
    <w:rsid w:val="005A3100"/>
    <w:rsid w:val="005A340E"/>
    <w:rsid w:val="005A3617"/>
    <w:rsid w:val="005A373D"/>
    <w:rsid w:val="005A39BE"/>
    <w:rsid w:val="005A41C5"/>
    <w:rsid w:val="005A421C"/>
    <w:rsid w:val="005A45FB"/>
    <w:rsid w:val="005A478E"/>
    <w:rsid w:val="005A527E"/>
    <w:rsid w:val="005A5C7E"/>
    <w:rsid w:val="005A6314"/>
    <w:rsid w:val="005A64A7"/>
    <w:rsid w:val="005A6512"/>
    <w:rsid w:val="005A6578"/>
    <w:rsid w:val="005A6BBA"/>
    <w:rsid w:val="005A6C9D"/>
    <w:rsid w:val="005A6F6A"/>
    <w:rsid w:val="005A7147"/>
    <w:rsid w:val="005A71BE"/>
    <w:rsid w:val="005A7B7E"/>
    <w:rsid w:val="005A7E28"/>
    <w:rsid w:val="005B0134"/>
    <w:rsid w:val="005B0189"/>
    <w:rsid w:val="005B01E8"/>
    <w:rsid w:val="005B039A"/>
    <w:rsid w:val="005B03CC"/>
    <w:rsid w:val="005B04CE"/>
    <w:rsid w:val="005B0657"/>
    <w:rsid w:val="005B0B58"/>
    <w:rsid w:val="005B1665"/>
    <w:rsid w:val="005B1787"/>
    <w:rsid w:val="005B17C3"/>
    <w:rsid w:val="005B191C"/>
    <w:rsid w:val="005B1C6C"/>
    <w:rsid w:val="005B2335"/>
    <w:rsid w:val="005B289C"/>
    <w:rsid w:val="005B28B6"/>
    <w:rsid w:val="005B2C82"/>
    <w:rsid w:val="005B30E8"/>
    <w:rsid w:val="005B30FA"/>
    <w:rsid w:val="005B38D1"/>
    <w:rsid w:val="005B3DB3"/>
    <w:rsid w:val="005B4BA2"/>
    <w:rsid w:val="005B4BEE"/>
    <w:rsid w:val="005B4E53"/>
    <w:rsid w:val="005B5857"/>
    <w:rsid w:val="005B59F5"/>
    <w:rsid w:val="005B5F35"/>
    <w:rsid w:val="005B5F72"/>
    <w:rsid w:val="005B6A7D"/>
    <w:rsid w:val="005B6B60"/>
    <w:rsid w:val="005B6CED"/>
    <w:rsid w:val="005B6FBE"/>
    <w:rsid w:val="005B7097"/>
    <w:rsid w:val="005B73D8"/>
    <w:rsid w:val="005B7603"/>
    <w:rsid w:val="005B78CF"/>
    <w:rsid w:val="005B7B23"/>
    <w:rsid w:val="005B7BC9"/>
    <w:rsid w:val="005B7E28"/>
    <w:rsid w:val="005C0278"/>
    <w:rsid w:val="005C0D69"/>
    <w:rsid w:val="005C0F6F"/>
    <w:rsid w:val="005C0F7C"/>
    <w:rsid w:val="005C116B"/>
    <w:rsid w:val="005C15D2"/>
    <w:rsid w:val="005C16ED"/>
    <w:rsid w:val="005C183B"/>
    <w:rsid w:val="005C19C4"/>
    <w:rsid w:val="005C1B83"/>
    <w:rsid w:val="005C1C2B"/>
    <w:rsid w:val="005C1DBF"/>
    <w:rsid w:val="005C2180"/>
    <w:rsid w:val="005C231F"/>
    <w:rsid w:val="005C254C"/>
    <w:rsid w:val="005C25FF"/>
    <w:rsid w:val="005C265F"/>
    <w:rsid w:val="005C27ED"/>
    <w:rsid w:val="005C2A4E"/>
    <w:rsid w:val="005C2BE6"/>
    <w:rsid w:val="005C2D55"/>
    <w:rsid w:val="005C2DC5"/>
    <w:rsid w:val="005C2F2E"/>
    <w:rsid w:val="005C316E"/>
    <w:rsid w:val="005C346B"/>
    <w:rsid w:val="005C370B"/>
    <w:rsid w:val="005C3C32"/>
    <w:rsid w:val="005C3DC1"/>
    <w:rsid w:val="005C41C5"/>
    <w:rsid w:val="005C44EA"/>
    <w:rsid w:val="005C4D31"/>
    <w:rsid w:val="005C4EC2"/>
    <w:rsid w:val="005C4FA5"/>
    <w:rsid w:val="005C5072"/>
    <w:rsid w:val="005C5509"/>
    <w:rsid w:val="005C5541"/>
    <w:rsid w:val="005C556B"/>
    <w:rsid w:val="005C56A7"/>
    <w:rsid w:val="005C5ABC"/>
    <w:rsid w:val="005C5BDB"/>
    <w:rsid w:val="005C5C07"/>
    <w:rsid w:val="005C5F6E"/>
    <w:rsid w:val="005C5FA7"/>
    <w:rsid w:val="005C602D"/>
    <w:rsid w:val="005C60F7"/>
    <w:rsid w:val="005C6287"/>
    <w:rsid w:val="005C62F4"/>
    <w:rsid w:val="005C6806"/>
    <w:rsid w:val="005C6D7E"/>
    <w:rsid w:val="005C6F6D"/>
    <w:rsid w:val="005C7160"/>
    <w:rsid w:val="005C7210"/>
    <w:rsid w:val="005C73DC"/>
    <w:rsid w:val="005C77C1"/>
    <w:rsid w:val="005C782D"/>
    <w:rsid w:val="005D044D"/>
    <w:rsid w:val="005D0739"/>
    <w:rsid w:val="005D0ABD"/>
    <w:rsid w:val="005D0BD1"/>
    <w:rsid w:val="005D0CD9"/>
    <w:rsid w:val="005D0D30"/>
    <w:rsid w:val="005D1018"/>
    <w:rsid w:val="005D10E2"/>
    <w:rsid w:val="005D12A2"/>
    <w:rsid w:val="005D189B"/>
    <w:rsid w:val="005D18AD"/>
    <w:rsid w:val="005D1B16"/>
    <w:rsid w:val="005D1BE2"/>
    <w:rsid w:val="005D263E"/>
    <w:rsid w:val="005D26B4"/>
    <w:rsid w:val="005D2953"/>
    <w:rsid w:val="005D2FB6"/>
    <w:rsid w:val="005D3142"/>
    <w:rsid w:val="005D31E7"/>
    <w:rsid w:val="005D35EF"/>
    <w:rsid w:val="005D3C6E"/>
    <w:rsid w:val="005D42B1"/>
    <w:rsid w:val="005D4504"/>
    <w:rsid w:val="005D4933"/>
    <w:rsid w:val="005D5812"/>
    <w:rsid w:val="005D5B9D"/>
    <w:rsid w:val="005D5C34"/>
    <w:rsid w:val="005D5CA8"/>
    <w:rsid w:val="005D5E1B"/>
    <w:rsid w:val="005D60CE"/>
    <w:rsid w:val="005D6300"/>
    <w:rsid w:val="005D6A06"/>
    <w:rsid w:val="005D6DF8"/>
    <w:rsid w:val="005D6FD4"/>
    <w:rsid w:val="005D700B"/>
    <w:rsid w:val="005D7075"/>
    <w:rsid w:val="005D7453"/>
    <w:rsid w:val="005D7534"/>
    <w:rsid w:val="005D7DA9"/>
    <w:rsid w:val="005D7FB9"/>
    <w:rsid w:val="005E0258"/>
    <w:rsid w:val="005E067A"/>
    <w:rsid w:val="005E06AB"/>
    <w:rsid w:val="005E0D40"/>
    <w:rsid w:val="005E10E2"/>
    <w:rsid w:val="005E1643"/>
    <w:rsid w:val="005E173E"/>
    <w:rsid w:val="005E184B"/>
    <w:rsid w:val="005E1995"/>
    <w:rsid w:val="005E1B81"/>
    <w:rsid w:val="005E1BCA"/>
    <w:rsid w:val="005E2235"/>
    <w:rsid w:val="005E266F"/>
    <w:rsid w:val="005E28B0"/>
    <w:rsid w:val="005E2B3B"/>
    <w:rsid w:val="005E2FAD"/>
    <w:rsid w:val="005E3236"/>
    <w:rsid w:val="005E39D6"/>
    <w:rsid w:val="005E3F8E"/>
    <w:rsid w:val="005E4188"/>
    <w:rsid w:val="005E41E4"/>
    <w:rsid w:val="005E430E"/>
    <w:rsid w:val="005E47D9"/>
    <w:rsid w:val="005E494E"/>
    <w:rsid w:val="005E4978"/>
    <w:rsid w:val="005E4BD9"/>
    <w:rsid w:val="005E4D21"/>
    <w:rsid w:val="005E4E48"/>
    <w:rsid w:val="005E5550"/>
    <w:rsid w:val="005E5596"/>
    <w:rsid w:val="005E5A45"/>
    <w:rsid w:val="005E5CD3"/>
    <w:rsid w:val="005E5EAF"/>
    <w:rsid w:val="005E60CD"/>
    <w:rsid w:val="005E6547"/>
    <w:rsid w:val="005E65AB"/>
    <w:rsid w:val="005E65D0"/>
    <w:rsid w:val="005E66B1"/>
    <w:rsid w:val="005E67AB"/>
    <w:rsid w:val="005E6B5D"/>
    <w:rsid w:val="005E6CBC"/>
    <w:rsid w:val="005E6CE9"/>
    <w:rsid w:val="005E6D06"/>
    <w:rsid w:val="005E6DBA"/>
    <w:rsid w:val="005E71DD"/>
    <w:rsid w:val="005E7208"/>
    <w:rsid w:val="005E72FF"/>
    <w:rsid w:val="005E73C0"/>
    <w:rsid w:val="005E77FA"/>
    <w:rsid w:val="005E78C0"/>
    <w:rsid w:val="005E78FF"/>
    <w:rsid w:val="005F011C"/>
    <w:rsid w:val="005F0322"/>
    <w:rsid w:val="005F05F8"/>
    <w:rsid w:val="005F07ED"/>
    <w:rsid w:val="005F0C66"/>
    <w:rsid w:val="005F0C82"/>
    <w:rsid w:val="005F18B5"/>
    <w:rsid w:val="005F1B05"/>
    <w:rsid w:val="005F1CC4"/>
    <w:rsid w:val="005F1D66"/>
    <w:rsid w:val="005F1F11"/>
    <w:rsid w:val="005F22B6"/>
    <w:rsid w:val="005F2527"/>
    <w:rsid w:val="005F25C8"/>
    <w:rsid w:val="005F2706"/>
    <w:rsid w:val="005F27E5"/>
    <w:rsid w:val="005F28B3"/>
    <w:rsid w:val="005F2D8F"/>
    <w:rsid w:val="005F2EC4"/>
    <w:rsid w:val="005F30F4"/>
    <w:rsid w:val="005F39F6"/>
    <w:rsid w:val="005F445C"/>
    <w:rsid w:val="005F4835"/>
    <w:rsid w:val="005F4926"/>
    <w:rsid w:val="005F4BE2"/>
    <w:rsid w:val="005F5625"/>
    <w:rsid w:val="005F5A81"/>
    <w:rsid w:val="005F5A91"/>
    <w:rsid w:val="005F5A97"/>
    <w:rsid w:val="005F5B1B"/>
    <w:rsid w:val="005F5F0F"/>
    <w:rsid w:val="005F65D3"/>
    <w:rsid w:val="005F6A8F"/>
    <w:rsid w:val="005F6BA4"/>
    <w:rsid w:val="005F6BB7"/>
    <w:rsid w:val="005F6BE2"/>
    <w:rsid w:val="005F6E54"/>
    <w:rsid w:val="005F6E89"/>
    <w:rsid w:val="005F707B"/>
    <w:rsid w:val="005F7588"/>
    <w:rsid w:val="005F781A"/>
    <w:rsid w:val="005F7E28"/>
    <w:rsid w:val="00600384"/>
    <w:rsid w:val="0060043D"/>
    <w:rsid w:val="006009E7"/>
    <w:rsid w:val="00600E3E"/>
    <w:rsid w:val="00600EB5"/>
    <w:rsid w:val="00601299"/>
    <w:rsid w:val="006017D4"/>
    <w:rsid w:val="006024AB"/>
    <w:rsid w:val="00602808"/>
    <w:rsid w:val="00602CFB"/>
    <w:rsid w:val="00602FE2"/>
    <w:rsid w:val="006031B4"/>
    <w:rsid w:val="0060376A"/>
    <w:rsid w:val="00603CE2"/>
    <w:rsid w:val="00603DB9"/>
    <w:rsid w:val="006042A0"/>
    <w:rsid w:val="006042EA"/>
    <w:rsid w:val="00604647"/>
    <w:rsid w:val="006050DC"/>
    <w:rsid w:val="0060527C"/>
    <w:rsid w:val="00605550"/>
    <w:rsid w:val="006059B2"/>
    <w:rsid w:val="00605DA3"/>
    <w:rsid w:val="0060603E"/>
    <w:rsid w:val="00606154"/>
    <w:rsid w:val="006064BE"/>
    <w:rsid w:val="006065EB"/>
    <w:rsid w:val="0060667D"/>
    <w:rsid w:val="006068CB"/>
    <w:rsid w:val="006069D1"/>
    <w:rsid w:val="00606FBA"/>
    <w:rsid w:val="006070D0"/>
    <w:rsid w:val="006072A7"/>
    <w:rsid w:val="006075C2"/>
    <w:rsid w:val="00607669"/>
    <w:rsid w:val="006076F4"/>
    <w:rsid w:val="006079C2"/>
    <w:rsid w:val="00607AFD"/>
    <w:rsid w:val="00607E39"/>
    <w:rsid w:val="00610032"/>
    <w:rsid w:val="00610175"/>
    <w:rsid w:val="006104E1"/>
    <w:rsid w:val="00610919"/>
    <w:rsid w:val="00610A07"/>
    <w:rsid w:val="00610A33"/>
    <w:rsid w:val="00610A87"/>
    <w:rsid w:val="00610EBE"/>
    <w:rsid w:val="00610EEB"/>
    <w:rsid w:val="00610FCB"/>
    <w:rsid w:val="0061123F"/>
    <w:rsid w:val="0061152F"/>
    <w:rsid w:val="006117F5"/>
    <w:rsid w:val="0061199D"/>
    <w:rsid w:val="00611B12"/>
    <w:rsid w:val="00611B44"/>
    <w:rsid w:val="006121B1"/>
    <w:rsid w:val="00612388"/>
    <w:rsid w:val="00612533"/>
    <w:rsid w:val="006126F6"/>
    <w:rsid w:val="00612884"/>
    <w:rsid w:val="00612AC4"/>
    <w:rsid w:val="00612B16"/>
    <w:rsid w:val="00612CCC"/>
    <w:rsid w:val="00612F97"/>
    <w:rsid w:val="00613026"/>
    <w:rsid w:val="0061319E"/>
    <w:rsid w:val="0061321E"/>
    <w:rsid w:val="00613383"/>
    <w:rsid w:val="006133F2"/>
    <w:rsid w:val="0061345D"/>
    <w:rsid w:val="00613973"/>
    <w:rsid w:val="006139C3"/>
    <w:rsid w:val="00613A35"/>
    <w:rsid w:val="00613D58"/>
    <w:rsid w:val="00613E45"/>
    <w:rsid w:val="0061414D"/>
    <w:rsid w:val="00614266"/>
    <w:rsid w:val="006145B6"/>
    <w:rsid w:val="00614781"/>
    <w:rsid w:val="00614D1C"/>
    <w:rsid w:val="00614FF2"/>
    <w:rsid w:val="006150DF"/>
    <w:rsid w:val="006152B0"/>
    <w:rsid w:val="006152D9"/>
    <w:rsid w:val="00615448"/>
    <w:rsid w:val="0061549B"/>
    <w:rsid w:val="00615619"/>
    <w:rsid w:val="00615DAA"/>
    <w:rsid w:val="006162B9"/>
    <w:rsid w:val="006163AE"/>
    <w:rsid w:val="00616530"/>
    <w:rsid w:val="00616686"/>
    <w:rsid w:val="006166BA"/>
    <w:rsid w:val="00616771"/>
    <w:rsid w:val="00616802"/>
    <w:rsid w:val="00616873"/>
    <w:rsid w:val="00616ABD"/>
    <w:rsid w:val="00616B68"/>
    <w:rsid w:val="00616D0F"/>
    <w:rsid w:val="00616D3B"/>
    <w:rsid w:val="00616DD2"/>
    <w:rsid w:val="00616EAF"/>
    <w:rsid w:val="00616F3E"/>
    <w:rsid w:val="006172EB"/>
    <w:rsid w:val="0061756C"/>
    <w:rsid w:val="00617878"/>
    <w:rsid w:val="006178B5"/>
    <w:rsid w:val="00617E12"/>
    <w:rsid w:val="00617F4B"/>
    <w:rsid w:val="00617FBC"/>
    <w:rsid w:val="0062006E"/>
    <w:rsid w:val="006205F3"/>
    <w:rsid w:val="00620603"/>
    <w:rsid w:val="006208BD"/>
    <w:rsid w:val="00620A85"/>
    <w:rsid w:val="00620BA9"/>
    <w:rsid w:val="00620C25"/>
    <w:rsid w:val="00620EA4"/>
    <w:rsid w:val="00621477"/>
    <w:rsid w:val="0062189A"/>
    <w:rsid w:val="00621A25"/>
    <w:rsid w:val="00621A3B"/>
    <w:rsid w:val="00621A3E"/>
    <w:rsid w:val="00621ADA"/>
    <w:rsid w:val="006220D2"/>
    <w:rsid w:val="0062229A"/>
    <w:rsid w:val="0062253F"/>
    <w:rsid w:val="00623225"/>
    <w:rsid w:val="006234AC"/>
    <w:rsid w:val="00623B7C"/>
    <w:rsid w:val="00623CDC"/>
    <w:rsid w:val="00623F6D"/>
    <w:rsid w:val="00623F7B"/>
    <w:rsid w:val="006240AD"/>
    <w:rsid w:val="00624628"/>
    <w:rsid w:val="00624BD4"/>
    <w:rsid w:val="00624C28"/>
    <w:rsid w:val="00624DF2"/>
    <w:rsid w:val="00624F39"/>
    <w:rsid w:val="00624FAE"/>
    <w:rsid w:val="00625208"/>
    <w:rsid w:val="0062559F"/>
    <w:rsid w:val="00625D68"/>
    <w:rsid w:val="006263C3"/>
    <w:rsid w:val="00626621"/>
    <w:rsid w:val="0062676D"/>
    <w:rsid w:val="00626AB4"/>
    <w:rsid w:val="00626CC7"/>
    <w:rsid w:val="00626FD8"/>
    <w:rsid w:val="00627167"/>
    <w:rsid w:val="00627907"/>
    <w:rsid w:val="00627940"/>
    <w:rsid w:val="00627A06"/>
    <w:rsid w:val="00627B20"/>
    <w:rsid w:val="00627B9A"/>
    <w:rsid w:val="00627BC7"/>
    <w:rsid w:val="00627F38"/>
    <w:rsid w:val="0063039A"/>
    <w:rsid w:val="006306FB"/>
    <w:rsid w:val="006307BF"/>
    <w:rsid w:val="00630A3E"/>
    <w:rsid w:val="00630CF7"/>
    <w:rsid w:val="00630F98"/>
    <w:rsid w:val="0063108A"/>
    <w:rsid w:val="006313A9"/>
    <w:rsid w:val="0063158F"/>
    <w:rsid w:val="006317A2"/>
    <w:rsid w:val="00631D6B"/>
    <w:rsid w:val="00632183"/>
    <w:rsid w:val="006325D4"/>
    <w:rsid w:val="00632663"/>
    <w:rsid w:val="00632752"/>
    <w:rsid w:val="00632764"/>
    <w:rsid w:val="00632DD6"/>
    <w:rsid w:val="00632EAC"/>
    <w:rsid w:val="00632F56"/>
    <w:rsid w:val="006330A1"/>
    <w:rsid w:val="006338D3"/>
    <w:rsid w:val="00633977"/>
    <w:rsid w:val="00633D06"/>
    <w:rsid w:val="00633FC6"/>
    <w:rsid w:val="0063411C"/>
    <w:rsid w:val="0063447F"/>
    <w:rsid w:val="0063479F"/>
    <w:rsid w:val="00634A82"/>
    <w:rsid w:val="00634C97"/>
    <w:rsid w:val="00635130"/>
    <w:rsid w:val="006351A1"/>
    <w:rsid w:val="006353F0"/>
    <w:rsid w:val="00635434"/>
    <w:rsid w:val="00635499"/>
    <w:rsid w:val="00635748"/>
    <w:rsid w:val="006357B5"/>
    <w:rsid w:val="0063589B"/>
    <w:rsid w:val="006358C6"/>
    <w:rsid w:val="006358E9"/>
    <w:rsid w:val="00635BAD"/>
    <w:rsid w:val="00635BF3"/>
    <w:rsid w:val="00636063"/>
    <w:rsid w:val="00636080"/>
    <w:rsid w:val="006364A1"/>
    <w:rsid w:val="00636765"/>
    <w:rsid w:val="0063678E"/>
    <w:rsid w:val="0063688F"/>
    <w:rsid w:val="00636947"/>
    <w:rsid w:val="00636F56"/>
    <w:rsid w:val="00636FF4"/>
    <w:rsid w:val="00637001"/>
    <w:rsid w:val="006379E9"/>
    <w:rsid w:val="00637A8F"/>
    <w:rsid w:val="00637BFD"/>
    <w:rsid w:val="00637C5C"/>
    <w:rsid w:val="00640074"/>
    <w:rsid w:val="00640098"/>
    <w:rsid w:val="00640255"/>
    <w:rsid w:val="00640402"/>
    <w:rsid w:val="0064087C"/>
    <w:rsid w:val="00640D48"/>
    <w:rsid w:val="006413B7"/>
    <w:rsid w:val="00641486"/>
    <w:rsid w:val="00641519"/>
    <w:rsid w:val="0064179F"/>
    <w:rsid w:val="00641BEA"/>
    <w:rsid w:val="00641C4E"/>
    <w:rsid w:val="00641C7F"/>
    <w:rsid w:val="00641CC2"/>
    <w:rsid w:val="00641D90"/>
    <w:rsid w:val="00641E85"/>
    <w:rsid w:val="00641F6F"/>
    <w:rsid w:val="00641FB3"/>
    <w:rsid w:val="006420A0"/>
    <w:rsid w:val="006420A1"/>
    <w:rsid w:val="00642110"/>
    <w:rsid w:val="006423E6"/>
    <w:rsid w:val="00642421"/>
    <w:rsid w:val="0064296C"/>
    <w:rsid w:val="00642CF1"/>
    <w:rsid w:val="00642D60"/>
    <w:rsid w:val="006437AF"/>
    <w:rsid w:val="00643A3F"/>
    <w:rsid w:val="00643A73"/>
    <w:rsid w:val="00643B06"/>
    <w:rsid w:val="00643B99"/>
    <w:rsid w:val="00644022"/>
    <w:rsid w:val="0064434C"/>
    <w:rsid w:val="006444CA"/>
    <w:rsid w:val="006444E7"/>
    <w:rsid w:val="006446E5"/>
    <w:rsid w:val="00644740"/>
    <w:rsid w:val="00644BDB"/>
    <w:rsid w:val="00644D96"/>
    <w:rsid w:val="00644FD6"/>
    <w:rsid w:val="006450C1"/>
    <w:rsid w:val="006459E5"/>
    <w:rsid w:val="00645A74"/>
    <w:rsid w:val="00645B79"/>
    <w:rsid w:val="00645BC2"/>
    <w:rsid w:val="00646193"/>
    <w:rsid w:val="006461A7"/>
    <w:rsid w:val="0064620E"/>
    <w:rsid w:val="0064677B"/>
    <w:rsid w:val="00646B8D"/>
    <w:rsid w:val="00646C87"/>
    <w:rsid w:val="00646DFD"/>
    <w:rsid w:val="00646F6E"/>
    <w:rsid w:val="00647187"/>
    <w:rsid w:val="006471B0"/>
    <w:rsid w:val="006471CC"/>
    <w:rsid w:val="006472FE"/>
    <w:rsid w:val="00647A29"/>
    <w:rsid w:val="00647A2B"/>
    <w:rsid w:val="00647B4B"/>
    <w:rsid w:val="00647DF6"/>
    <w:rsid w:val="0065009D"/>
    <w:rsid w:val="00650676"/>
    <w:rsid w:val="006506D8"/>
    <w:rsid w:val="0065077D"/>
    <w:rsid w:val="0065079F"/>
    <w:rsid w:val="00650A33"/>
    <w:rsid w:val="00650C37"/>
    <w:rsid w:val="00651170"/>
    <w:rsid w:val="00651628"/>
    <w:rsid w:val="006516D0"/>
    <w:rsid w:val="006518E8"/>
    <w:rsid w:val="00651B92"/>
    <w:rsid w:val="00651C94"/>
    <w:rsid w:val="00651DE2"/>
    <w:rsid w:val="006521E5"/>
    <w:rsid w:val="0065234B"/>
    <w:rsid w:val="00652A28"/>
    <w:rsid w:val="00652A2F"/>
    <w:rsid w:val="00652AE7"/>
    <w:rsid w:val="00652C4F"/>
    <w:rsid w:val="00653267"/>
    <w:rsid w:val="00653290"/>
    <w:rsid w:val="0065351A"/>
    <w:rsid w:val="006536B1"/>
    <w:rsid w:val="0065379F"/>
    <w:rsid w:val="00653849"/>
    <w:rsid w:val="006538D5"/>
    <w:rsid w:val="00653F6A"/>
    <w:rsid w:val="006540F5"/>
    <w:rsid w:val="00654978"/>
    <w:rsid w:val="00654DD6"/>
    <w:rsid w:val="00654F26"/>
    <w:rsid w:val="006550FA"/>
    <w:rsid w:val="00655212"/>
    <w:rsid w:val="00655238"/>
    <w:rsid w:val="006553B1"/>
    <w:rsid w:val="00655840"/>
    <w:rsid w:val="00655D4C"/>
    <w:rsid w:val="00656188"/>
    <w:rsid w:val="00656521"/>
    <w:rsid w:val="006565AC"/>
    <w:rsid w:val="006568A1"/>
    <w:rsid w:val="00656924"/>
    <w:rsid w:val="0065715A"/>
    <w:rsid w:val="00657275"/>
    <w:rsid w:val="00657985"/>
    <w:rsid w:val="00657E85"/>
    <w:rsid w:val="00660211"/>
    <w:rsid w:val="00660CB5"/>
    <w:rsid w:val="00660CFC"/>
    <w:rsid w:val="00660DD6"/>
    <w:rsid w:val="006610F1"/>
    <w:rsid w:val="00661459"/>
    <w:rsid w:val="006616B8"/>
    <w:rsid w:val="00661C06"/>
    <w:rsid w:val="00661C6B"/>
    <w:rsid w:val="006628B9"/>
    <w:rsid w:val="00662C3D"/>
    <w:rsid w:val="00662D3E"/>
    <w:rsid w:val="00662E42"/>
    <w:rsid w:val="0066312C"/>
    <w:rsid w:val="006631CA"/>
    <w:rsid w:val="00663285"/>
    <w:rsid w:val="00663B69"/>
    <w:rsid w:val="00664183"/>
    <w:rsid w:val="006641D9"/>
    <w:rsid w:val="0066430E"/>
    <w:rsid w:val="00664310"/>
    <w:rsid w:val="006643E2"/>
    <w:rsid w:val="006647EE"/>
    <w:rsid w:val="00664C23"/>
    <w:rsid w:val="0066585A"/>
    <w:rsid w:val="00665BA8"/>
    <w:rsid w:val="00665D19"/>
    <w:rsid w:val="006663F0"/>
    <w:rsid w:val="0066648C"/>
    <w:rsid w:val="006667E7"/>
    <w:rsid w:val="0066706F"/>
    <w:rsid w:val="006670A7"/>
    <w:rsid w:val="0066731C"/>
    <w:rsid w:val="00667AE2"/>
    <w:rsid w:val="00667AED"/>
    <w:rsid w:val="00667BE3"/>
    <w:rsid w:val="00670002"/>
    <w:rsid w:val="0067003E"/>
    <w:rsid w:val="006700FD"/>
    <w:rsid w:val="00670B79"/>
    <w:rsid w:val="00670E88"/>
    <w:rsid w:val="00670E90"/>
    <w:rsid w:val="00670FCA"/>
    <w:rsid w:val="00671004"/>
    <w:rsid w:val="00671862"/>
    <w:rsid w:val="00671AD9"/>
    <w:rsid w:val="00671D7A"/>
    <w:rsid w:val="0067212C"/>
    <w:rsid w:val="00672646"/>
    <w:rsid w:val="00672AC6"/>
    <w:rsid w:val="00672B25"/>
    <w:rsid w:val="00672C0E"/>
    <w:rsid w:val="00672D31"/>
    <w:rsid w:val="00672EF5"/>
    <w:rsid w:val="00673043"/>
    <w:rsid w:val="00673179"/>
    <w:rsid w:val="0067334A"/>
    <w:rsid w:val="00673382"/>
    <w:rsid w:val="00673563"/>
    <w:rsid w:val="00673720"/>
    <w:rsid w:val="006737BF"/>
    <w:rsid w:val="00673904"/>
    <w:rsid w:val="00673A44"/>
    <w:rsid w:val="00673A59"/>
    <w:rsid w:val="00673C08"/>
    <w:rsid w:val="00673F1C"/>
    <w:rsid w:val="00674080"/>
    <w:rsid w:val="00674189"/>
    <w:rsid w:val="00674400"/>
    <w:rsid w:val="0067451B"/>
    <w:rsid w:val="006746A9"/>
    <w:rsid w:val="00674750"/>
    <w:rsid w:val="00674871"/>
    <w:rsid w:val="00674E42"/>
    <w:rsid w:val="006753DF"/>
    <w:rsid w:val="00675647"/>
    <w:rsid w:val="006756F3"/>
    <w:rsid w:val="00675867"/>
    <w:rsid w:val="00675920"/>
    <w:rsid w:val="00675993"/>
    <w:rsid w:val="00675AE2"/>
    <w:rsid w:val="00675C21"/>
    <w:rsid w:val="00675D39"/>
    <w:rsid w:val="0067643B"/>
    <w:rsid w:val="00676563"/>
    <w:rsid w:val="00676746"/>
    <w:rsid w:val="00676FB1"/>
    <w:rsid w:val="0067734B"/>
    <w:rsid w:val="00677427"/>
    <w:rsid w:val="00677461"/>
    <w:rsid w:val="0067753A"/>
    <w:rsid w:val="00677644"/>
    <w:rsid w:val="00677853"/>
    <w:rsid w:val="006801A3"/>
    <w:rsid w:val="00680388"/>
    <w:rsid w:val="00680509"/>
    <w:rsid w:val="006810FC"/>
    <w:rsid w:val="0068125B"/>
    <w:rsid w:val="00681364"/>
    <w:rsid w:val="006813F8"/>
    <w:rsid w:val="00682112"/>
    <w:rsid w:val="006827F7"/>
    <w:rsid w:val="006827F8"/>
    <w:rsid w:val="006829A7"/>
    <w:rsid w:val="00682BA6"/>
    <w:rsid w:val="00682D62"/>
    <w:rsid w:val="0068384D"/>
    <w:rsid w:val="00683E8F"/>
    <w:rsid w:val="00684616"/>
    <w:rsid w:val="00684718"/>
    <w:rsid w:val="00684D39"/>
    <w:rsid w:val="00684F30"/>
    <w:rsid w:val="00685245"/>
    <w:rsid w:val="00685623"/>
    <w:rsid w:val="006856DB"/>
    <w:rsid w:val="006856E7"/>
    <w:rsid w:val="006857A7"/>
    <w:rsid w:val="00685D29"/>
    <w:rsid w:val="00685DB6"/>
    <w:rsid w:val="00685DC5"/>
    <w:rsid w:val="00685E3E"/>
    <w:rsid w:val="006864A7"/>
    <w:rsid w:val="00686957"/>
    <w:rsid w:val="00686EB7"/>
    <w:rsid w:val="006872BA"/>
    <w:rsid w:val="00687945"/>
    <w:rsid w:val="00687ABA"/>
    <w:rsid w:val="00687EBB"/>
    <w:rsid w:val="00687F87"/>
    <w:rsid w:val="00690739"/>
    <w:rsid w:val="00690795"/>
    <w:rsid w:val="0069099C"/>
    <w:rsid w:val="006909C3"/>
    <w:rsid w:val="006909CE"/>
    <w:rsid w:val="00690AB5"/>
    <w:rsid w:val="0069108D"/>
    <w:rsid w:val="006910F9"/>
    <w:rsid w:val="006914A5"/>
    <w:rsid w:val="00691648"/>
    <w:rsid w:val="006917D7"/>
    <w:rsid w:val="006920FF"/>
    <w:rsid w:val="006929A9"/>
    <w:rsid w:val="00693139"/>
    <w:rsid w:val="006935B4"/>
    <w:rsid w:val="0069379C"/>
    <w:rsid w:val="0069381C"/>
    <w:rsid w:val="00693941"/>
    <w:rsid w:val="00693BFD"/>
    <w:rsid w:val="0069434C"/>
    <w:rsid w:val="006943E7"/>
    <w:rsid w:val="0069450A"/>
    <w:rsid w:val="00694F44"/>
    <w:rsid w:val="00694F92"/>
    <w:rsid w:val="00695011"/>
    <w:rsid w:val="00695ABC"/>
    <w:rsid w:val="00695B51"/>
    <w:rsid w:val="00695E2D"/>
    <w:rsid w:val="00695F77"/>
    <w:rsid w:val="006965E7"/>
    <w:rsid w:val="0069679A"/>
    <w:rsid w:val="006968B2"/>
    <w:rsid w:val="006968F2"/>
    <w:rsid w:val="00696AB9"/>
    <w:rsid w:val="00696EF9"/>
    <w:rsid w:val="00696F51"/>
    <w:rsid w:val="00697145"/>
    <w:rsid w:val="0069719C"/>
    <w:rsid w:val="00697243"/>
    <w:rsid w:val="00697321"/>
    <w:rsid w:val="006979A5"/>
    <w:rsid w:val="00697A38"/>
    <w:rsid w:val="00697AC8"/>
    <w:rsid w:val="00697B43"/>
    <w:rsid w:val="006A0001"/>
    <w:rsid w:val="006A016F"/>
    <w:rsid w:val="006A0184"/>
    <w:rsid w:val="006A068A"/>
    <w:rsid w:val="006A0794"/>
    <w:rsid w:val="006A0A09"/>
    <w:rsid w:val="006A0DF7"/>
    <w:rsid w:val="006A0E5B"/>
    <w:rsid w:val="006A1521"/>
    <w:rsid w:val="006A154E"/>
    <w:rsid w:val="006A1840"/>
    <w:rsid w:val="006A1B84"/>
    <w:rsid w:val="006A1C1A"/>
    <w:rsid w:val="006A1C29"/>
    <w:rsid w:val="006A220C"/>
    <w:rsid w:val="006A222A"/>
    <w:rsid w:val="006A2252"/>
    <w:rsid w:val="006A2779"/>
    <w:rsid w:val="006A282F"/>
    <w:rsid w:val="006A2891"/>
    <w:rsid w:val="006A290D"/>
    <w:rsid w:val="006A2A00"/>
    <w:rsid w:val="006A3010"/>
    <w:rsid w:val="006A33F9"/>
    <w:rsid w:val="006A3558"/>
    <w:rsid w:val="006A4321"/>
    <w:rsid w:val="006A43D9"/>
    <w:rsid w:val="006A4598"/>
    <w:rsid w:val="006A47A3"/>
    <w:rsid w:val="006A492F"/>
    <w:rsid w:val="006A4A1E"/>
    <w:rsid w:val="006A4BC4"/>
    <w:rsid w:val="006A4E98"/>
    <w:rsid w:val="006A5676"/>
    <w:rsid w:val="006A5AC2"/>
    <w:rsid w:val="006A5D37"/>
    <w:rsid w:val="006A5FB8"/>
    <w:rsid w:val="006A5FF9"/>
    <w:rsid w:val="006A6161"/>
    <w:rsid w:val="006A6442"/>
    <w:rsid w:val="006A66C7"/>
    <w:rsid w:val="006A6820"/>
    <w:rsid w:val="006A6893"/>
    <w:rsid w:val="006A68E1"/>
    <w:rsid w:val="006A6B99"/>
    <w:rsid w:val="006A73B4"/>
    <w:rsid w:val="006A765A"/>
    <w:rsid w:val="006A7C77"/>
    <w:rsid w:val="006A7D19"/>
    <w:rsid w:val="006A7DE5"/>
    <w:rsid w:val="006A7E5F"/>
    <w:rsid w:val="006B0092"/>
    <w:rsid w:val="006B020E"/>
    <w:rsid w:val="006B05C5"/>
    <w:rsid w:val="006B08FD"/>
    <w:rsid w:val="006B0E19"/>
    <w:rsid w:val="006B1F9A"/>
    <w:rsid w:val="006B261B"/>
    <w:rsid w:val="006B2645"/>
    <w:rsid w:val="006B2A22"/>
    <w:rsid w:val="006B2B94"/>
    <w:rsid w:val="006B2C90"/>
    <w:rsid w:val="006B2D43"/>
    <w:rsid w:val="006B308C"/>
    <w:rsid w:val="006B30BB"/>
    <w:rsid w:val="006B3272"/>
    <w:rsid w:val="006B35E6"/>
    <w:rsid w:val="006B3A38"/>
    <w:rsid w:val="006B3E20"/>
    <w:rsid w:val="006B437C"/>
    <w:rsid w:val="006B4656"/>
    <w:rsid w:val="006B465A"/>
    <w:rsid w:val="006B46D9"/>
    <w:rsid w:val="006B490F"/>
    <w:rsid w:val="006B4FF5"/>
    <w:rsid w:val="006B5059"/>
    <w:rsid w:val="006B529E"/>
    <w:rsid w:val="006B56A5"/>
    <w:rsid w:val="006B5967"/>
    <w:rsid w:val="006B5992"/>
    <w:rsid w:val="006B5DDB"/>
    <w:rsid w:val="006B5E02"/>
    <w:rsid w:val="006B5FD9"/>
    <w:rsid w:val="006B61D7"/>
    <w:rsid w:val="006B6B70"/>
    <w:rsid w:val="006B6BBB"/>
    <w:rsid w:val="006B6CA9"/>
    <w:rsid w:val="006B6DD0"/>
    <w:rsid w:val="006B6FDF"/>
    <w:rsid w:val="006B754E"/>
    <w:rsid w:val="006C0399"/>
    <w:rsid w:val="006C099E"/>
    <w:rsid w:val="006C0C15"/>
    <w:rsid w:val="006C1252"/>
    <w:rsid w:val="006C154A"/>
    <w:rsid w:val="006C1A98"/>
    <w:rsid w:val="006C205C"/>
    <w:rsid w:val="006C2127"/>
    <w:rsid w:val="006C21F3"/>
    <w:rsid w:val="006C276A"/>
    <w:rsid w:val="006C2826"/>
    <w:rsid w:val="006C29B7"/>
    <w:rsid w:val="006C2A8E"/>
    <w:rsid w:val="006C2D81"/>
    <w:rsid w:val="006C3255"/>
    <w:rsid w:val="006C38A0"/>
    <w:rsid w:val="006C392C"/>
    <w:rsid w:val="006C3F26"/>
    <w:rsid w:val="006C40CF"/>
    <w:rsid w:val="006C465C"/>
    <w:rsid w:val="006C4727"/>
    <w:rsid w:val="006C4B29"/>
    <w:rsid w:val="006C4F0C"/>
    <w:rsid w:val="006C57D4"/>
    <w:rsid w:val="006C5831"/>
    <w:rsid w:val="006C5CF2"/>
    <w:rsid w:val="006C6333"/>
    <w:rsid w:val="006C6341"/>
    <w:rsid w:val="006C6489"/>
    <w:rsid w:val="006C6733"/>
    <w:rsid w:val="006C6B7D"/>
    <w:rsid w:val="006C6CB9"/>
    <w:rsid w:val="006C7651"/>
    <w:rsid w:val="006C7716"/>
    <w:rsid w:val="006C77FF"/>
    <w:rsid w:val="006D038B"/>
    <w:rsid w:val="006D0400"/>
    <w:rsid w:val="006D04CF"/>
    <w:rsid w:val="006D058E"/>
    <w:rsid w:val="006D07E3"/>
    <w:rsid w:val="006D095E"/>
    <w:rsid w:val="006D0D17"/>
    <w:rsid w:val="006D0FC7"/>
    <w:rsid w:val="006D10DA"/>
    <w:rsid w:val="006D1831"/>
    <w:rsid w:val="006D19E0"/>
    <w:rsid w:val="006D1B2F"/>
    <w:rsid w:val="006D1F8B"/>
    <w:rsid w:val="006D23CA"/>
    <w:rsid w:val="006D26D4"/>
    <w:rsid w:val="006D27E2"/>
    <w:rsid w:val="006D2B54"/>
    <w:rsid w:val="006D32E7"/>
    <w:rsid w:val="006D344D"/>
    <w:rsid w:val="006D3462"/>
    <w:rsid w:val="006D3747"/>
    <w:rsid w:val="006D37BA"/>
    <w:rsid w:val="006D3AC0"/>
    <w:rsid w:val="006D3C7D"/>
    <w:rsid w:val="006D439F"/>
    <w:rsid w:val="006D4659"/>
    <w:rsid w:val="006D4839"/>
    <w:rsid w:val="006D4928"/>
    <w:rsid w:val="006D4B25"/>
    <w:rsid w:val="006D558A"/>
    <w:rsid w:val="006D5766"/>
    <w:rsid w:val="006D5C46"/>
    <w:rsid w:val="006D5C95"/>
    <w:rsid w:val="006D5D5F"/>
    <w:rsid w:val="006D5E1F"/>
    <w:rsid w:val="006D5F18"/>
    <w:rsid w:val="006D5FE2"/>
    <w:rsid w:val="006D61C6"/>
    <w:rsid w:val="006D633D"/>
    <w:rsid w:val="006D6699"/>
    <w:rsid w:val="006D66E6"/>
    <w:rsid w:val="006D68FB"/>
    <w:rsid w:val="006D698E"/>
    <w:rsid w:val="006D6A5C"/>
    <w:rsid w:val="006D6CA3"/>
    <w:rsid w:val="006D6E7A"/>
    <w:rsid w:val="006D6EBD"/>
    <w:rsid w:val="006D7649"/>
    <w:rsid w:val="006D7689"/>
    <w:rsid w:val="006D789C"/>
    <w:rsid w:val="006D7E32"/>
    <w:rsid w:val="006D7F67"/>
    <w:rsid w:val="006E006C"/>
    <w:rsid w:val="006E03F9"/>
    <w:rsid w:val="006E0C34"/>
    <w:rsid w:val="006E0EAE"/>
    <w:rsid w:val="006E11E7"/>
    <w:rsid w:val="006E12D8"/>
    <w:rsid w:val="006E12FF"/>
    <w:rsid w:val="006E143B"/>
    <w:rsid w:val="006E14FF"/>
    <w:rsid w:val="006E1502"/>
    <w:rsid w:val="006E17A6"/>
    <w:rsid w:val="006E1903"/>
    <w:rsid w:val="006E1DAD"/>
    <w:rsid w:val="006E244F"/>
    <w:rsid w:val="006E259D"/>
    <w:rsid w:val="006E25BF"/>
    <w:rsid w:val="006E26C2"/>
    <w:rsid w:val="006E2868"/>
    <w:rsid w:val="006E31A9"/>
    <w:rsid w:val="006E377E"/>
    <w:rsid w:val="006E37A4"/>
    <w:rsid w:val="006E3891"/>
    <w:rsid w:val="006E394C"/>
    <w:rsid w:val="006E3A12"/>
    <w:rsid w:val="006E3FCA"/>
    <w:rsid w:val="006E4612"/>
    <w:rsid w:val="006E4653"/>
    <w:rsid w:val="006E480D"/>
    <w:rsid w:val="006E4839"/>
    <w:rsid w:val="006E49D5"/>
    <w:rsid w:val="006E4EE4"/>
    <w:rsid w:val="006E4F32"/>
    <w:rsid w:val="006E5114"/>
    <w:rsid w:val="006E56AD"/>
    <w:rsid w:val="006E57A8"/>
    <w:rsid w:val="006E630E"/>
    <w:rsid w:val="006E694A"/>
    <w:rsid w:val="006E6954"/>
    <w:rsid w:val="006E6C05"/>
    <w:rsid w:val="006E70EF"/>
    <w:rsid w:val="006E723F"/>
    <w:rsid w:val="006E7488"/>
    <w:rsid w:val="006E7BAD"/>
    <w:rsid w:val="006E7FB0"/>
    <w:rsid w:val="006F005B"/>
    <w:rsid w:val="006F0121"/>
    <w:rsid w:val="006F04A7"/>
    <w:rsid w:val="006F0530"/>
    <w:rsid w:val="006F0997"/>
    <w:rsid w:val="006F0E80"/>
    <w:rsid w:val="006F1139"/>
    <w:rsid w:val="006F1273"/>
    <w:rsid w:val="006F16B5"/>
    <w:rsid w:val="006F1A48"/>
    <w:rsid w:val="006F2C90"/>
    <w:rsid w:val="006F2F51"/>
    <w:rsid w:val="006F306C"/>
    <w:rsid w:val="006F31C3"/>
    <w:rsid w:val="006F37DD"/>
    <w:rsid w:val="006F3D7E"/>
    <w:rsid w:val="006F428F"/>
    <w:rsid w:val="006F456B"/>
    <w:rsid w:val="006F46E9"/>
    <w:rsid w:val="006F470F"/>
    <w:rsid w:val="006F4A50"/>
    <w:rsid w:val="006F4A60"/>
    <w:rsid w:val="006F4BAB"/>
    <w:rsid w:val="006F4C96"/>
    <w:rsid w:val="006F52B7"/>
    <w:rsid w:val="006F52FB"/>
    <w:rsid w:val="006F56FB"/>
    <w:rsid w:val="006F5709"/>
    <w:rsid w:val="006F60F3"/>
    <w:rsid w:val="006F624B"/>
    <w:rsid w:val="006F6359"/>
    <w:rsid w:val="006F63A5"/>
    <w:rsid w:val="006F65FE"/>
    <w:rsid w:val="006F66E1"/>
    <w:rsid w:val="006F67C4"/>
    <w:rsid w:val="006F6838"/>
    <w:rsid w:val="006F683E"/>
    <w:rsid w:val="006F68C0"/>
    <w:rsid w:val="006F6F87"/>
    <w:rsid w:val="006F786C"/>
    <w:rsid w:val="006F7930"/>
    <w:rsid w:val="006F797D"/>
    <w:rsid w:val="006F7A43"/>
    <w:rsid w:val="006F7C1E"/>
    <w:rsid w:val="006F7DD1"/>
    <w:rsid w:val="00700029"/>
    <w:rsid w:val="00700129"/>
    <w:rsid w:val="007005E0"/>
    <w:rsid w:val="0070077B"/>
    <w:rsid w:val="007007CC"/>
    <w:rsid w:val="00700993"/>
    <w:rsid w:val="00700C49"/>
    <w:rsid w:val="00700D3A"/>
    <w:rsid w:val="00701268"/>
    <w:rsid w:val="0070142B"/>
    <w:rsid w:val="00701BDF"/>
    <w:rsid w:val="00702540"/>
    <w:rsid w:val="0070276E"/>
    <w:rsid w:val="00702E17"/>
    <w:rsid w:val="00702E78"/>
    <w:rsid w:val="00702EC1"/>
    <w:rsid w:val="00702F8F"/>
    <w:rsid w:val="00702FC2"/>
    <w:rsid w:val="00703003"/>
    <w:rsid w:val="00703600"/>
    <w:rsid w:val="00703804"/>
    <w:rsid w:val="00703D47"/>
    <w:rsid w:val="007041CD"/>
    <w:rsid w:val="0070427B"/>
    <w:rsid w:val="0070452E"/>
    <w:rsid w:val="00704E10"/>
    <w:rsid w:val="00704FCD"/>
    <w:rsid w:val="0070567D"/>
    <w:rsid w:val="00705971"/>
    <w:rsid w:val="0070597C"/>
    <w:rsid w:val="00705B49"/>
    <w:rsid w:val="00705D80"/>
    <w:rsid w:val="00705F1C"/>
    <w:rsid w:val="00706087"/>
    <w:rsid w:val="00706610"/>
    <w:rsid w:val="00706A97"/>
    <w:rsid w:val="00706AFB"/>
    <w:rsid w:val="00706C48"/>
    <w:rsid w:val="00706FBB"/>
    <w:rsid w:val="00707453"/>
    <w:rsid w:val="00707759"/>
    <w:rsid w:val="007077C5"/>
    <w:rsid w:val="007079BB"/>
    <w:rsid w:val="007079FC"/>
    <w:rsid w:val="00707E57"/>
    <w:rsid w:val="0071071F"/>
    <w:rsid w:val="00710A56"/>
    <w:rsid w:val="00710B2D"/>
    <w:rsid w:val="00711170"/>
    <w:rsid w:val="0071165F"/>
    <w:rsid w:val="007118AB"/>
    <w:rsid w:val="00711A22"/>
    <w:rsid w:val="00711A36"/>
    <w:rsid w:val="00711D93"/>
    <w:rsid w:val="007120FC"/>
    <w:rsid w:val="007125D3"/>
    <w:rsid w:val="007129E3"/>
    <w:rsid w:val="00712E18"/>
    <w:rsid w:val="00712E84"/>
    <w:rsid w:val="00712F1C"/>
    <w:rsid w:val="0071373A"/>
    <w:rsid w:val="00713BAA"/>
    <w:rsid w:val="00713BE2"/>
    <w:rsid w:val="00713F8A"/>
    <w:rsid w:val="007141E8"/>
    <w:rsid w:val="00714274"/>
    <w:rsid w:val="00714304"/>
    <w:rsid w:val="0071435C"/>
    <w:rsid w:val="0071471F"/>
    <w:rsid w:val="00714769"/>
    <w:rsid w:val="00714855"/>
    <w:rsid w:val="00714C26"/>
    <w:rsid w:val="00714CC2"/>
    <w:rsid w:val="0071529C"/>
    <w:rsid w:val="0071552F"/>
    <w:rsid w:val="00715573"/>
    <w:rsid w:val="0071568D"/>
    <w:rsid w:val="00715769"/>
    <w:rsid w:val="007157F0"/>
    <w:rsid w:val="00715AB6"/>
    <w:rsid w:val="00715CCF"/>
    <w:rsid w:val="00715FE2"/>
    <w:rsid w:val="007165C8"/>
    <w:rsid w:val="00716828"/>
    <w:rsid w:val="007170DA"/>
    <w:rsid w:val="007172AD"/>
    <w:rsid w:val="00717546"/>
    <w:rsid w:val="007179E9"/>
    <w:rsid w:val="00717F3D"/>
    <w:rsid w:val="007202DA"/>
    <w:rsid w:val="007204C3"/>
    <w:rsid w:val="00720801"/>
    <w:rsid w:val="007209A1"/>
    <w:rsid w:val="00720AA6"/>
    <w:rsid w:val="00721214"/>
    <w:rsid w:val="00721234"/>
    <w:rsid w:val="00721247"/>
    <w:rsid w:val="00721322"/>
    <w:rsid w:val="0072146B"/>
    <w:rsid w:val="007214D0"/>
    <w:rsid w:val="007217F3"/>
    <w:rsid w:val="00721B5A"/>
    <w:rsid w:val="00721B86"/>
    <w:rsid w:val="00721BA0"/>
    <w:rsid w:val="00722138"/>
    <w:rsid w:val="0072253D"/>
    <w:rsid w:val="0072267B"/>
    <w:rsid w:val="0072272D"/>
    <w:rsid w:val="007228E8"/>
    <w:rsid w:val="007229F0"/>
    <w:rsid w:val="00722A93"/>
    <w:rsid w:val="00722B1B"/>
    <w:rsid w:val="00722CFC"/>
    <w:rsid w:val="00722E33"/>
    <w:rsid w:val="00722E97"/>
    <w:rsid w:val="00722F4A"/>
    <w:rsid w:val="00723160"/>
    <w:rsid w:val="007233DD"/>
    <w:rsid w:val="007238BB"/>
    <w:rsid w:val="007238C8"/>
    <w:rsid w:val="00723DE4"/>
    <w:rsid w:val="00723F1E"/>
    <w:rsid w:val="00724004"/>
    <w:rsid w:val="007240B7"/>
    <w:rsid w:val="0072416F"/>
    <w:rsid w:val="007241DF"/>
    <w:rsid w:val="00724789"/>
    <w:rsid w:val="007249F6"/>
    <w:rsid w:val="00724A0A"/>
    <w:rsid w:val="00724E5E"/>
    <w:rsid w:val="007250E3"/>
    <w:rsid w:val="00725137"/>
    <w:rsid w:val="00725356"/>
    <w:rsid w:val="007253D7"/>
    <w:rsid w:val="00725646"/>
    <w:rsid w:val="00725C92"/>
    <w:rsid w:val="007261D9"/>
    <w:rsid w:val="00726665"/>
    <w:rsid w:val="00726B1F"/>
    <w:rsid w:val="00726C3D"/>
    <w:rsid w:val="00726F09"/>
    <w:rsid w:val="00727265"/>
    <w:rsid w:val="00727635"/>
    <w:rsid w:val="007276EE"/>
    <w:rsid w:val="0072794F"/>
    <w:rsid w:val="007279CA"/>
    <w:rsid w:val="00727C8A"/>
    <w:rsid w:val="00727C94"/>
    <w:rsid w:val="00727EF5"/>
    <w:rsid w:val="00727FB9"/>
    <w:rsid w:val="0073059F"/>
    <w:rsid w:val="00730909"/>
    <w:rsid w:val="0073093B"/>
    <w:rsid w:val="0073101E"/>
    <w:rsid w:val="007313F2"/>
    <w:rsid w:val="00731ADB"/>
    <w:rsid w:val="00731B0A"/>
    <w:rsid w:val="00731EAE"/>
    <w:rsid w:val="00731F25"/>
    <w:rsid w:val="00731FB5"/>
    <w:rsid w:val="007320A2"/>
    <w:rsid w:val="0073236F"/>
    <w:rsid w:val="007327F0"/>
    <w:rsid w:val="0073281A"/>
    <w:rsid w:val="00732C19"/>
    <w:rsid w:val="00732CBB"/>
    <w:rsid w:val="00733049"/>
    <w:rsid w:val="00733073"/>
    <w:rsid w:val="007331C6"/>
    <w:rsid w:val="00733D25"/>
    <w:rsid w:val="007347FD"/>
    <w:rsid w:val="00734DCD"/>
    <w:rsid w:val="00735033"/>
    <w:rsid w:val="00735170"/>
    <w:rsid w:val="00735328"/>
    <w:rsid w:val="00735988"/>
    <w:rsid w:val="00735A45"/>
    <w:rsid w:val="00735ABB"/>
    <w:rsid w:val="0073628E"/>
    <w:rsid w:val="00736760"/>
    <w:rsid w:val="0073685B"/>
    <w:rsid w:val="00736FAD"/>
    <w:rsid w:val="0073714A"/>
    <w:rsid w:val="00737236"/>
    <w:rsid w:val="007379D5"/>
    <w:rsid w:val="00737D7D"/>
    <w:rsid w:val="0074019B"/>
    <w:rsid w:val="00740A01"/>
    <w:rsid w:val="00740F46"/>
    <w:rsid w:val="007412A6"/>
    <w:rsid w:val="007414BA"/>
    <w:rsid w:val="00741620"/>
    <w:rsid w:val="0074163E"/>
    <w:rsid w:val="007419D3"/>
    <w:rsid w:val="00741D01"/>
    <w:rsid w:val="007423CB"/>
    <w:rsid w:val="0074257D"/>
    <w:rsid w:val="00742B11"/>
    <w:rsid w:val="00742E18"/>
    <w:rsid w:val="007431F4"/>
    <w:rsid w:val="0074338A"/>
    <w:rsid w:val="00743403"/>
    <w:rsid w:val="00743854"/>
    <w:rsid w:val="00743B63"/>
    <w:rsid w:val="00743DEB"/>
    <w:rsid w:val="00744068"/>
    <w:rsid w:val="007441C3"/>
    <w:rsid w:val="007449BF"/>
    <w:rsid w:val="00744C35"/>
    <w:rsid w:val="00744D89"/>
    <w:rsid w:val="0074525F"/>
    <w:rsid w:val="0074597B"/>
    <w:rsid w:val="007459BE"/>
    <w:rsid w:val="00745AB3"/>
    <w:rsid w:val="00745EA2"/>
    <w:rsid w:val="007463FE"/>
    <w:rsid w:val="00746BC0"/>
    <w:rsid w:val="00746F5C"/>
    <w:rsid w:val="00746F62"/>
    <w:rsid w:val="0074700E"/>
    <w:rsid w:val="00747095"/>
    <w:rsid w:val="007473C0"/>
    <w:rsid w:val="007477C0"/>
    <w:rsid w:val="00747960"/>
    <w:rsid w:val="00747CC8"/>
    <w:rsid w:val="00747DAA"/>
    <w:rsid w:val="00747F55"/>
    <w:rsid w:val="00750155"/>
    <w:rsid w:val="0075018B"/>
    <w:rsid w:val="007505AE"/>
    <w:rsid w:val="00750945"/>
    <w:rsid w:val="007509D0"/>
    <w:rsid w:val="00750D8F"/>
    <w:rsid w:val="00750D97"/>
    <w:rsid w:val="007510B4"/>
    <w:rsid w:val="0075129A"/>
    <w:rsid w:val="00751516"/>
    <w:rsid w:val="00751567"/>
    <w:rsid w:val="007520AD"/>
    <w:rsid w:val="00752142"/>
    <w:rsid w:val="00752315"/>
    <w:rsid w:val="007523F9"/>
    <w:rsid w:val="007524BC"/>
    <w:rsid w:val="00752597"/>
    <w:rsid w:val="007531AB"/>
    <w:rsid w:val="0075357E"/>
    <w:rsid w:val="0075364D"/>
    <w:rsid w:val="0075368F"/>
    <w:rsid w:val="00753795"/>
    <w:rsid w:val="00753854"/>
    <w:rsid w:val="00753B20"/>
    <w:rsid w:val="00753B29"/>
    <w:rsid w:val="00753E87"/>
    <w:rsid w:val="007543B3"/>
    <w:rsid w:val="00754437"/>
    <w:rsid w:val="00754695"/>
    <w:rsid w:val="00754A44"/>
    <w:rsid w:val="00755036"/>
    <w:rsid w:val="007550A2"/>
    <w:rsid w:val="00755211"/>
    <w:rsid w:val="00755388"/>
    <w:rsid w:val="00755D07"/>
    <w:rsid w:val="0075646D"/>
    <w:rsid w:val="00756923"/>
    <w:rsid w:val="00756CB4"/>
    <w:rsid w:val="007573E8"/>
    <w:rsid w:val="00757660"/>
    <w:rsid w:val="00757B42"/>
    <w:rsid w:val="00760514"/>
    <w:rsid w:val="007608C1"/>
    <w:rsid w:val="00760B68"/>
    <w:rsid w:val="00760BF9"/>
    <w:rsid w:val="00760C4E"/>
    <w:rsid w:val="00760F9E"/>
    <w:rsid w:val="007616C5"/>
    <w:rsid w:val="007616E6"/>
    <w:rsid w:val="0076183B"/>
    <w:rsid w:val="00761C0B"/>
    <w:rsid w:val="00762373"/>
    <w:rsid w:val="0076238F"/>
    <w:rsid w:val="007627BE"/>
    <w:rsid w:val="00762E7A"/>
    <w:rsid w:val="00763070"/>
    <w:rsid w:val="00763201"/>
    <w:rsid w:val="00763314"/>
    <w:rsid w:val="00763748"/>
    <w:rsid w:val="00763830"/>
    <w:rsid w:val="00763A82"/>
    <w:rsid w:val="00763A96"/>
    <w:rsid w:val="00763DC9"/>
    <w:rsid w:val="007642D0"/>
    <w:rsid w:val="00764363"/>
    <w:rsid w:val="00764F03"/>
    <w:rsid w:val="00765103"/>
    <w:rsid w:val="00765528"/>
    <w:rsid w:val="007657EC"/>
    <w:rsid w:val="00765B1A"/>
    <w:rsid w:val="00765DC1"/>
    <w:rsid w:val="00765F78"/>
    <w:rsid w:val="00766293"/>
    <w:rsid w:val="0076631F"/>
    <w:rsid w:val="007664A7"/>
    <w:rsid w:val="007666DD"/>
    <w:rsid w:val="0076679C"/>
    <w:rsid w:val="00766CE9"/>
    <w:rsid w:val="0076707D"/>
    <w:rsid w:val="0076767C"/>
    <w:rsid w:val="00767B3D"/>
    <w:rsid w:val="007702BF"/>
    <w:rsid w:val="007705D8"/>
    <w:rsid w:val="00770A58"/>
    <w:rsid w:val="00770E4F"/>
    <w:rsid w:val="0077126E"/>
    <w:rsid w:val="007712B4"/>
    <w:rsid w:val="0077162B"/>
    <w:rsid w:val="0077172B"/>
    <w:rsid w:val="00771844"/>
    <w:rsid w:val="00771C81"/>
    <w:rsid w:val="00771D6B"/>
    <w:rsid w:val="00771F55"/>
    <w:rsid w:val="0077235D"/>
    <w:rsid w:val="007723E7"/>
    <w:rsid w:val="00772A85"/>
    <w:rsid w:val="00772BA2"/>
    <w:rsid w:val="0077302C"/>
    <w:rsid w:val="00773070"/>
    <w:rsid w:val="00773234"/>
    <w:rsid w:val="00773586"/>
    <w:rsid w:val="0077385B"/>
    <w:rsid w:val="00773C32"/>
    <w:rsid w:val="00773E2F"/>
    <w:rsid w:val="00773E31"/>
    <w:rsid w:val="007747C3"/>
    <w:rsid w:val="00775195"/>
    <w:rsid w:val="007757DA"/>
    <w:rsid w:val="007759EC"/>
    <w:rsid w:val="00775BAB"/>
    <w:rsid w:val="00775F62"/>
    <w:rsid w:val="00776078"/>
    <w:rsid w:val="0077628E"/>
    <w:rsid w:val="007762B9"/>
    <w:rsid w:val="007763D1"/>
    <w:rsid w:val="0077656F"/>
    <w:rsid w:val="0077662C"/>
    <w:rsid w:val="00776713"/>
    <w:rsid w:val="007767D6"/>
    <w:rsid w:val="00776ACA"/>
    <w:rsid w:val="00776E44"/>
    <w:rsid w:val="00777335"/>
    <w:rsid w:val="00777426"/>
    <w:rsid w:val="007776BF"/>
    <w:rsid w:val="00777826"/>
    <w:rsid w:val="00780795"/>
    <w:rsid w:val="0078084E"/>
    <w:rsid w:val="00780995"/>
    <w:rsid w:val="00780A2B"/>
    <w:rsid w:val="00780A37"/>
    <w:rsid w:val="00780C57"/>
    <w:rsid w:val="00780E63"/>
    <w:rsid w:val="00780E7D"/>
    <w:rsid w:val="00781308"/>
    <w:rsid w:val="00781432"/>
    <w:rsid w:val="007816C8"/>
    <w:rsid w:val="007818D4"/>
    <w:rsid w:val="00781C11"/>
    <w:rsid w:val="00782052"/>
    <w:rsid w:val="007830BC"/>
    <w:rsid w:val="00783569"/>
    <w:rsid w:val="0078367D"/>
    <w:rsid w:val="00783823"/>
    <w:rsid w:val="007838FA"/>
    <w:rsid w:val="00783DFB"/>
    <w:rsid w:val="00783FFA"/>
    <w:rsid w:val="00784359"/>
    <w:rsid w:val="007843F2"/>
    <w:rsid w:val="0078440C"/>
    <w:rsid w:val="007846FA"/>
    <w:rsid w:val="00784B28"/>
    <w:rsid w:val="00784D20"/>
    <w:rsid w:val="00784F29"/>
    <w:rsid w:val="00784F68"/>
    <w:rsid w:val="007850DF"/>
    <w:rsid w:val="0078530A"/>
    <w:rsid w:val="00785860"/>
    <w:rsid w:val="00785A7A"/>
    <w:rsid w:val="00785A9F"/>
    <w:rsid w:val="00785E98"/>
    <w:rsid w:val="00785F54"/>
    <w:rsid w:val="0078604A"/>
    <w:rsid w:val="00786286"/>
    <w:rsid w:val="00786726"/>
    <w:rsid w:val="007867F6"/>
    <w:rsid w:val="00786BCB"/>
    <w:rsid w:val="00786C6A"/>
    <w:rsid w:val="00786D2D"/>
    <w:rsid w:val="007878BD"/>
    <w:rsid w:val="007878D0"/>
    <w:rsid w:val="007878EC"/>
    <w:rsid w:val="00787C90"/>
    <w:rsid w:val="00787EB7"/>
    <w:rsid w:val="00787FA0"/>
    <w:rsid w:val="00790473"/>
    <w:rsid w:val="0079047B"/>
    <w:rsid w:val="00790529"/>
    <w:rsid w:val="00790774"/>
    <w:rsid w:val="007907D9"/>
    <w:rsid w:val="00790D1E"/>
    <w:rsid w:val="00790D57"/>
    <w:rsid w:val="00790EDE"/>
    <w:rsid w:val="00791459"/>
    <w:rsid w:val="007915DE"/>
    <w:rsid w:val="00791635"/>
    <w:rsid w:val="0079180B"/>
    <w:rsid w:val="00791C86"/>
    <w:rsid w:val="00791D3C"/>
    <w:rsid w:val="007925DF"/>
    <w:rsid w:val="0079268E"/>
    <w:rsid w:val="0079272B"/>
    <w:rsid w:val="007929F6"/>
    <w:rsid w:val="00792BF0"/>
    <w:rsid w:val="00792E8B"/>
    <w:rsid w:val="00792EAD"/>
    <w:rsid w:val="007932D9"/>
    <w:rsid w:val="0079363B"/>
    <w:rsid w:val="00793701"/>
    <w:rsid w:val="0079396F"/>
    <w:rsid w:val="00793A2A"/>
    <w:rsid w:val="00793BF5"/>
    <w:rsid w:val="00793EF8"/>
    <w:rsid w:val="00794233"/>
    <w:rsid w:val="0079427B"/>
    <w:rsid w:val="00794437"/>
    <w:rsid w:val="007944F7"/>
    <w:rsid w:val="00794776"/>
    <w:rsid w:val="0079481F"/>
    <w:rsid w:val="00794878"/>
    <w:rsid w:val="00794C19"/>
    <w:rsid w:val="00794F4A"/>
    <w:rsid w:val="007952BA"/>
    <w:rsid w:val="0079550C"/>
    <w:rsid w:val="00795759"/>
    <w:rsid w:val="007959AE"/>
    <w:rsid w:val="00795B45"/>
    <w:rsid w:val="00795C03"/>
    <w:rsid w:val="00795D8E"/>
    <w:rsid w:val="00796364"/>
    <w:rsid w:val="0079654C"/>
    <w:rsid w:val="00796A7A"/>
    <w:rsid w:val="00796AAC"/>
    <w:rsid w:val="00796D80"/>
    <w:rsid w:val="00796E22"/>
    <w:rsid w:val="00796EAA"/>
    <w:rsid w:val="00796FDF"/>
    <w:rsid w:val="00797331"/>
    <w:rsid w:val="0079743A"/>
    <w:rsid w:val="00797AEB"/>
    <w:rsid w:val="00797B1A"/>
    <w:rsid w:val="00797DC7"/>
    <w:rsid w:val="00797E66"/>
    <w:rsid w:val="00797FA2"/>
    <w:rsid w:val="007A018F"/>
    <w:rsid w:val="007A04D0"/>
    <w:rsid w:val="007A0551"/>
    <w:rsid w:val="007A08AA"/>
    <w:rsid w:val="007A099A"/>
    <w:rsid w:val="007A0A12"/>
    <w:rsid w:val="007A0A1D"/>
    <w:rsid w:val="007A121A"/>
    <w:rsid w:val="007A132D"/>
    <w:rsid w:val="007A1345"/>
    <w:rsid w:val="007A1482"/>
    <w:rsid w:val="007A172F"/>
    <w:rsid w:val="007A17B9"/>
    <w:rsid w:val="007A18DF"/>
    <w:rsid w:val="007A193A"/>
    <w:rsid w:val="007A1AEA"/>
    <w:rsid w:val="007A1E4F"/>
    <w:rsid w:val="007A2687"/>
    <w:rsid w:val="007A28DA"/>
    <w:rsid w:val="007A2A43"/>
    <w:rsid w:val="007A2DDB"/>
    <w:rsid w:val="007A3BAE"/>
    <w:rsid w:val="007A3E23"/>
    <w:rsid w:val="007A406F"/>
    <w:rsid w:val="007A4504"/>
    <w:rsid w:val="007A47D1"/>
    <w:rsid w:val="007A4B2A"/>
    <w:rsid w:val="007A4D3D"/>
    <w:rsid w:val="007A4D74"/>
    <w:rsid w:val="007A4F1D"/>
    <w:rsid w:val="007A51E5"/>
    <w:rsid w:val="007A5BB0"/>
    <w:rsid w:val="007A5CD5"/>
    <w:rsid w:val="007A5F0D"/>
    <w:rsid w:val="007A6C9D"/>
    <w:rsid w:val="007A6ECD"/>
    <w:rsid w:val="007A70BA"/>
    <w:rsid w:val="007A723D"/>
    <w:rsid w:val="007A72E2"/>
    <w:rsid w:val="007A738C"/>
    <w:rsid w:val="007B0A08"/>
    <w:rsid w:val="007B0BD1"/>
    <w:rsid w:val="007B0D68"/>
    <w:rsid w:val="007B0F26"/>
    <w:rsid w:val="007B1134"/>
    <w:rsid w:val="007B13B5"/>
    <w:rsid w:val="007B1469"/>
    <w:rsid w:val="007B1876"/>
    <w:rsid w:val="007B18CD"/>
    <w:rsid w:val="007B196D"/>
    <w:rsid w:val="007B22C2"/>
    <w:rsid w:val="007B251D"/>
    <w:rsid w:val="007B256F"/>
    <w:rsid w:val="007B259A"/>
    <w:rsid w:val="007B25E6"/>
    <w:rsid w:val="007B26A0"/>
    <w:rsid w:val="007B293A"/>
    <w:rsid w:val="007B3331"/>
    <w:rsid w:val="007B3533"/>
    <w:rsid w:val="007B3AE1"/>
    <w:rsid w:val="007B3B28"/>
    <w:rsid w:val="007B3C31"/>
    <w:rsid w:val="007B3D8E"/>
    <w:rsid w:val="007B42FD"/>
    <w:rsid w:val="007B44F2"/>
    <w:rsid w:val="007B4526"/>
    <w:rsid w:val="007B4580"/>
    <w:rsid w:val="007B45D9"/>
    <w:rsid w:val="007B49AA"/>
    <w:rsid w:val="007B4BF1"/>
    <w:rsid w:val="007B4C54"/>
    <w:rsid w:val="007B4E00"/>
    <w:rsid w:val="007B4E21"/>
    <w:rsid w:val="007B4F58"/>
    <w:rsid w:val="007B502C"/>
    <w:rsid w:val="007B528D"/>
    <w:rsid w:val="007B581C"/>
    <w:rsid w:val="007B5851"/>
    <w:rsid w:val="007B5AE6"/>
    <w:rsid w:val="007B613E"/>
    <w:rsid w:val="007B630B"/>
    <w:rsid w:val="007B63CA"/>
    <w:rsid w:val="007B6A78"/>
    <w:rsid w:val="007B6C30"/>
    <w:rsid w:val="007B73D4"/>
    <w:rsid w:val="007B7463"/>
    <w:rsid w:val="007B746A"/>
    <w:rsid w:val="007B7725"/>
    <w:rsid w:val="007B77D1"/>
    <w:rsid w:val="007B7AEC"/>
    <w:rsid w:val="007B7B12"/>
    <w:rsid w:val="007B7BCE"/>
    <w:rsid w:val="007C00E1"/>
    <w:rsid w:val="007C02E7"/>
    <w:rsid w:val="007C033D"/>
    <w:rsid w:val="007C07C7"/>
    <w:rsid w:val="007C083E"/>
    <w:rsid w:val="007C0C3C"/>
    <w:rsid w:val="007C1141"/>
    <w:rsid w:val="007C135E"/>
    <w:rsid w:val="007C13E4"/>
    <w:rsid w:val="007C1CD9"/>
    <w:rsid w:val="007C21FB"/>
    <w:rsid w:val="007C2503"/>
    <w:rsid w:val="007C252E"/>
    <w:rsid w:val="007C2805"/>
    <w:rsid w:val="007C2927"/>
    <w:rsid w:val="007C2A07"/>
    <w:rsid w:val="007C301B"/>
    <w:rsid w:val="007C32EF"/>
    <w:rsid w:val="007C3521"/>
    <w:rsid w:val="007C361D"/>
    <w:rsid w:val="007C3877"/>
    <w:rsid w:val="007C3942"/>
    <w:rsid w:val="007C3AF4"/>
    <w:rsid w:val="007C3BCB"/>
    <w:rsid w:val="007C40D0"/>
    <w:rsid w:val="007C4546"/>
    <w:rsid w:val="007C49AA"/>
    <w:rsid w:val="007C4A23"/>
    <w:rsid w:val="007C4B84"/>
    <w:rsid w:val="007C50FE"/>
    <w:rsid w:val="007C566F"/>
    <w:rsid w:val="007C5A1E"/>
    <w:rsid w:val="007C5C3B"/>
    <w:rsid w:val="007C5E99"/>
    <w:rsid w:val="007C6341"/>
    <w:rsid w:val="007C645A"/>
    <w:rsid w:val="007C67B1"/>
    <w:rsid w:val="007C6C1A"/>
    <w:rsid w:val="007C6E5A"/>
    <w:rsid w:val="007C6EDE"/>
    <w:rsid w:val="007C6FFF"/>
    <w:rsid w:val="007C70FF"/>
    <w:rsid w:val="007C72E9"/>
    <w:rsid w:val="007C7337"/>
    <w:rsid w:val="007C76C7"/>
    <w:rsid w:val="007C7C25"/>
    <w:rsid w:val="007C7E1D"/>
    <w:rsid w:val="007C7E4F"/>
    <w:rsid w:val="007C7EBE"/>
    <w:rsid w:val="007D004F"/>
    <w:rsid w:val="007D035F"/>
    <w:rsid w:val="007D0378"/>
    <w:rsid w:val="007D04D1"/>
    <w:rsid w:val="007D0686"/>
    <w:rsid w:val="007D06B2"/>
    <w:rsid w:val="007D0AD1"/>
    <w:rsid w:val="007D0B38"/>
    <w:rsid w:val="007D0F04"/>
    <w:rsid w:val="007D10FF"/>
    <w:rsid w:val="007D1107"/>
    <w:rsid w:val="007D1615"/>
    <w:rsid w:val="007D1732"/>
    <w:rsid w:val="007D1ACB"/>
    <w:rsid w:val="007D1E35"/>
    <w:rsid w:val="007D2A93"/>
    <w:rsid w:val="007D2C09"/>
    <w:rsid w:val="007D2D6E"/>
    <w:rsid w:val="007D2DE8"/>
    <w:rsid w:val="007D30E4"/>
    <w:rsid w:val="007D38B6"/>
    <w:rsid w:val="007D40B9"/>
    <w:rsid w:val="007D41F2"/>
    <w:rsid w:val="007D42E6"/>
    <w:rsid w:val="007D47E5"/>
    <w:rsid w:val="007D490C"/>
    <w:rsid w:val="007D4A4C"/>
    <w:rsid w:val="007D51C0"/>
    <w:rsid w:val="007D526E"/>
    <w:rsid w:val="007D5440"/>
    <w:rsid w:val="007D5772"/>
    <w:rsid w:val="007D5860"/>
    <w:rsid w:val="007D5CBD"/>
    <w:rsid w:val="007D5EFB"/>
    <w:rsid w:val="007D69EB"/>
    <w:rsid w:val="007D7037"/>
    <w:rsid w:val="007D703C"/>
    <w:rsid w:val="007D70C4"/>
    <w:rsid w:val="007D761D"/>
    <w:rsid w:val="007D79C3"/>
    <w:rsid w:val="007D7A63"/>
    <w:rsid w:val="007D7AB5"/>
    <w:rsid w:val="007D7AF8"/>
    <w:rsid w:val="007D7BEA"/>
    <w:rsid w:val="007E0078"/>
    <w:rsid w:val="007E01D9"/>
    <w:rsid w:val="007E023F"/>
    <w:rsid w:val="007E1105"/>
    <w:rsid w:val="007E128F"/>
    <w:rsid w:val="007E13E2"/>
    <w:rsid w:val="007E1936"/>
    <w:rsid w:val="007E1AF5"/>
    <w:rsid w:val="007E1FDC"/>
    <w:rsid w:val="007E2066"/>
    <w:rsid w:val="007E20D4"/>
    <w:rsid w:val="007E2131"/>
    <w:rsid w:val="007E24B8"/>
    <w:rsid w:val="007E2AF0"/>
    <w:rsid w:val="007E2B4B"/>
    <w:rsid w:val="007E2C9F"/>
    <w:rsid w:val="007E2E72"/>
    <w:rsid w:val="007E3034"/>
    <w:rsid w:val="007E3418"/>
    <w:rsid w:val="007E34AE"/>
    <w:rsid w:val="007E37AA"/>
    <w:rsid w:val="007E3A40"/>
    <w:rsid w:val="007E3AA2"/>
    <w:rsid w:val="007E3C72"/>
    <w:rsid w:val="007E3CE0"/>
    <w:rsid w:val="007E3D71"/>
    <w:rsid w:val="007E3EE3"/>
    <w:rsid w:val="007E4100"/>
    <w:rsid w:val="007E42D1"/>
    <w:rsid w:val="007E4523"/>
    <w:rsid w:val="007E480F"/>
    <w:rsid w:val="007E4957"/>
    <w:rsid w:val="007E4B7D"/>
    <w:rsid w:val="007E4C4A"/>
    <w:rsid w:val="007E51EC"/>
    <w:rsid w:val="007E5253"/>
    <w:rsid w:val="007E578E"/>
    <w:rsid w:val="007E604A"/>
    <w:rsid w:val="007E608A"/>
    <w:rsid w:val="007E6949"/>
    <w:rsid w:val="007E6B7E"/>
    <w:rsid w:val="007E6DB7"/>
    <w:rsid w:val="007E7077"/>
    <w:rsid w:val="007E7401"/>
    <w:rsid w:val="007E7DAF"/>
    <w:rsid w:val="007E7EAA"/>
    <w:rsid w:val="007F028B"/>
    <w:rsid w:val="007F058E"/>
    <w:rsid w:val="007F0602"/>
    <w:rsid w:val="007F063B"/>
    <w:rsid w:val="007F0F1F"/>
    <w:rsid w:val="007F0F43"/>
    <w:rsid w:val="007F0F7B"/>
    <w:rsid w:val="007F1017"/>
    <w:rsid w:val="007F102C"/>
    <w:rsid w:val="007F1108"/>
    <w:rsid w:val="007F120B"/>
    <w:rsid w:val="007F1853"/>
    <w:rsid w:val="007F1F5F"/>
    <w:rsid w:val="007F2277"/>
    <w:rsid w:val="007F248A"/>
    <w:rsid w:val="007F29C7"/>
    <w:rsid w:val="007F2CA0"/>
    <w:rsid w:val="007F2EBE"/>
    <w:rsid w:val="007F3281"/>
    <w:rsid w:val="007F37DD"/>
    <w:rsid w:val="007F37E3"/>
    <w:rsid w:val="007F45F5"/>
    <w:rsid w:val="007F47F0"/>
    <w:rsid w:val="007F4A3F"/>
    <w:rsid w:val="007F4A61"/>
    <w:rsid w:val="007F5255"/>
    <w:rsid w:val="007F56CC"/>
    <w:rsid w:val="007F56DD"/>
    <w:rsid w:val="007F5969"/>
    <w:rsid w:val="007F5C1B"/>
    <w:rsid w:val="007F61C2"/>
    <w:rsid w:val="007F632A"/>
    <w:rsid w:val="007F641F"/>
    <w:rsid w:val="007F6443"/>
    <w:rsid w:val="007F6767"/>
    <w:rsid w:val="007F68DD"/>
    <w:rsid w:val="007F698D"/>
    <w:rsid w:val="007F6D34"/>
    <w:rsid w:val="007F6EE9"/>
    <w:rsid w:val="007F7017"/>
    <w:rsid w:val="007F7096"/>
    <w:rsid w:val="007F73A6"/>
    <w:rsid w:val="007F76AA"/>
    <w:rsid w:val="007F7794"/>
    <w:rsid w:val="007F7973"/>
    <w:rsid w:val="007F7C2A"/>
    <w:rsid w:val="00800119"/>
    <w:rsid w:val="0080014E"/>
    <w:rsid w:val="0080023E"/>
    <w:rsid w:val="00800339"/>
    <w:rsid w:val="00800473"/>
    <w:rsid w:val="008004EC"/>
    <w:rsid w:val="008005AA"/>
    <w:rsid w:val="00800621"/>
    <w:rsid w:val="00800C6C"/>
    <w:rsid w:val="00800F30"/>
    <w:rsid w:val="0080113E"/>
    <w:rsid w:val="0080133C"/>
    <w:rsid w:val="00801349"/>
    <w:rsid w:val="0080148D"/>
    <w:rsid w:val="0080161F"/>
    <w:rsid w:val="008017E3"/>
    <w:rsid w:val="00801B34"/>
    <w:rsid w:val="0080202F"/>
    <w:rsid w:val="00802110"/>
    <w:rsid w:val="008022EB"/>
    <w:rsid w:val="00802378"/>
    <w:rsid w:val="008024CD"/>
    <w:rsid w:val="00802573"/>
    <w:rsid w:val="00802CF3"/>
    <w:rsid w:val="00802F34"/>
    <w:rsid w:val="00803057"/>
    <w:rsid w:val="00803514"/>
    <w:rsid w:val="008041B8"/>
    <w:rsid w:val="00804C42"/>
    <w:rsid w:val="00804CA5"/>
    <w:rsid w:val="00804E40"/>
    <w:rsid w:val="00804F36"/>
    <w:rsid w:val="00805142"/>
    <w:rsid w:val="008051F7"/>
    <w:rsid w:val="00805936"/>
    <w:rsid w:val="008059AA"/>
    <w:rsid w:val="00805A8A"/>
    <w:rsid w:val="00805FCE"/>
    <w:rsid w:val="00806090"/>
    <w:rsid w:val="00806C7C"/>
    <w:rsid w:val="00807080"/>
    <w:rsid w:val="008072FB"/>
    <w:rsid w:val="00807883"/>
    <w:rsid w:val="008078A3"/>
    <w:rsid w:val="00807A8B"/>
    <w:rsid w:val="00807AF9"/>
    <w:rsid w:val="00807F3B"/>
    <w:rsid w:val="008109CF"/>
    <w:rsid w:val="00810A6C"/>
    <w:rsid w:val="00810AEF"/>
    <w:rsid w:val="00810CC1"/>
    <w:rsid w:val="00810E5E"/>
    <w:rsid w:val="00810EC7"/>
    <w:rsid w:val="008110E0"/>
    <w:rsid w:val="00811383"/>
    <w:rsid w:val="0081188C"/>
    <w:rsid w:val="00811B0B"/>
    <w:rsid w:val="00811F1F"/>
    <w:rsid w:val="00812002"/>
    <w:rsid w:val="00812149"/>
    <w:rsid w:val="008121EE"/>
    <w:rsid w:val="0081230B"/>
    <w:rsid w:val="008124B7"/>
    <w:rsid w:val="00812CAC"/>
    <w:rsid w:val="00812CFC"/>
    <w:rsid w:val="0081310C"/>
    <w:rsid w:val="00813146"/>
    <w:rsid w:val="0081332B"/>
    <w:rsid w:val="00813344"/>
    <w:rsid w:val="008133CC"/>
    <w:rsid w:val="00813F9F"/>
    <w:rsid w:val="008142F8"/>
    <w:rsid w:val="00814438"/>
    <w:rsid w:val="0081446C"/>
    <w:rsid w:val="00814987"/>
    <w:rsid w:val="00814B82"/>
    <w:rsid w:val="00814DC9"/>
    <w:rsid w:val="00815317"/>
    <w:rsid w:val="008153BB"/>
    <w:rsid w:val="008153C9"/>
    <w:rsid w:val="008155A8"/>
    <w:rsid w:val="0081570E"/>
    <w:rsid w:val="00815902"/>
    <w:rsid w:val="00815A55"/>
    <w:rsid w:val="00815B1B"/>
    <w:rsid w:val="008161A9"/>
    <w:rsid w:val="00816361"/>
    <w:rsid w:val="0081644E"/>
    <w:rsid w:val="0081659A"/>
    <w:rsid w:val="0081667F"/>
    <w:rsid w:val="008166EF"/>
    <w:rsid w:val="0081688F"/>
    <w:rsid w:val="008169F7"/>
    <w:rsid w:val="00816B1F"/>
    <w:rsid w:val="00816FEF"/>
    <w:rsid w:val="00817091"/>
    <w:rsid w:val="00817292"/>
    <w:rsid w:val="00817565"/>
    <w:rsid w:val="008179FE"/>
    <w:rsid w:val="00817E12"/>
    <w:rsid w:val="00820267"/>
    <w:rsid w:val="008208A1"/>
    <w:rsid w:val="00820A8C"/>
    <w:rsid w:val="00820CD7"/>
    <w:rsid w:val="008210BF"/>
    <w:rsid w:val="008215FB"/>
    <w:rsid w:val="00821B10"/>
    <w:rsid w:val="00821B75"/>
    <w:rsid w:val="008220CC"/>
    <w:rsid w:val="0082248F"/>
    <w:rsid w:val="00822B1E"/>
    <w:rsid w:val="00823174"/>
    <w:rsid w:val="00823392"/>
    <w:rsid w:val="00823ADF"/>
    <w:rsid w:val="00823AFF"/>
    <w:rsid w:val="00823CBD"/>
    <w:rsid w:val="0082450B"/>
    <w:rsid w:val="00824654"/>
    <w:rsid w:val="00824678"/>
    <w:rsid w:val="00824835"/>
    <w:rsid w:val="00824B02"/>
    <w:rsid w:val="00824B74"/>
    <w:rsid w:val="00824C32"/>
    <w:rsid w:val="00825751"/>
    <w:rsid w:val="00825B96"/>
    <w:rsid w:val="00825F71"/>
    <w:rsid w:val="008264EB"/>
    <w:rsid w:val="008268CE"/>
    <w:rsid w:val="008269F4"/>
    <w:rsid w:val="00826B2B"/>
    <w:rsid w:val="00826BC2"/>
    <w:rsid w:val="00826FF1"/>
    <w:rsid w:val="008270D6"/>
    <w:rsid w:val="008271EA"/>
    <w:rsid w:val="0082738E"/>
    <w:rsid w:val="008274E2"/>
    <w:rsid w:val="008275AA"/>
    <w:rsid w:val="00827B92"/>
    <w:rsid w:val="00827C23"/>
    <w:rsid w:val="008300EB"/>
    <w:rsid w:val="008303D9"/>
    <w:rsid w:val="00830579"/>
    <w:rsid w:val="00830637"/>
    <w:rsid w:val="0083069F"/>
    <w:rsid w:val="008306BC"/>
    <w:rsid w:val="008309F4"/>
    <w:rsid w:val="00830BB0"/>
    <w:rsid w:val="00830D31"/>
    <w:rsid w:val="00830F7E"/>
    <w:rsid w:val="00831110"/>
    <w:rsid w:val="0083145C"/>
    <w:rsid w:val="008314E8"/>
    <w:rsid w:val="00831680"/>
    <w:rsid w:val="00831686"/>
    <w:rsid w:val="00831696"/>
    <w:rsid w:val="008318DE"/>
    <w:rsid w:val="00832066"/>
    <w:rsid w:val="0083224B"/>
    <w:rsid w:val="008323F6"/>
    <w:rsid w:val="00832828"/>
    <w:rsid w:val="00832830"/>
    <w:rsid w:val="00832859"/>
    <w:rsid w:val="00832AC2"/>
    <w:rsid w:val="00832FE2"/>
    <w:rsid w:val="00833465"/>
    <w:rsid w:val="008337E2"/>
    <w:rsid w:val="00833B05"/>
    <w:rsid w:val="00833CE6"/>
    <w:rsid w:val="00834C73"/>
    <w:rsid w:val="00834E08"/>
    <w:rsid w:val="00834F7E"/>
    <w:rsid w:val="008354EC"/>
    <w:rsid w:val="00835AA1"/>
    <w:rsid w:val="00835B10"/>
    <w:rsid w:val="00835C93"/>
    <w:rsid w:val="0083604C"/>
    <w:rsid w:val="0083606E"/>
    <w:rsid w:val="00836091"/>
    <w:rsid w:val="008362B4"/>
    <w:rsid w:val="00836448"/>
    <w:rsid w:val="00836521"/>
    <w:rsid w:val="0083656E"/>
    <w:rsid w:val="00836924"/>
    <w:rsid w:val="00836A47"/>
    <w:rsid w:val="00836DE0"/>
    <w:rsid w:val="00836E10"/>
    <w:rsid w:val="00836E98"/>
    <w:rsid w:val="00837460"/>
    <w:rsid w:val="0083759B"/>
    <w:rsid w:val="00837702"/>
    <w:rsid w:val="00837BFC"/>
    <w:rsid w:val="00837FE9"/>
    <w:rsid w:val="0084011C"/>
    <w:rsid w:val="00840362"/>
    <w:rsid w:val="0084091A"/>
    <w:rsid w:val="00840BEF"/>
    <w:rsid w:val="00840CA2"/>
    <w:rsid w:val="00840F8D"/>
    <w:rsid w:val="0084101E"/>
    <w:rsid w:val="0084151E"/>
    <w:rsid w:val="00841BA6"/>
    <w:rsid w:val="00842487"/>
    <w:rsid w:val="00842665"/>
    <w:rsid w:val="008428C4"/>
    <w:rsid w:val="00842ADF"/>
    <w:rsid w:val="0084301D"/>
    <w:rsid w:val="008430BD"/>
    <w:rsid w:val="00843449"/>
    <w:rsid w:val="0084374F"/>
    <w:rsid w:val="00843961"/>
    <w:rsid w:val="00843FD8"/>
    <w:rsid w:val="0084408D"/>
    <w:rsid w:val="0084413A"/>
    <w:rsid w:val="00844447"/>
    <w:rsid w:val="008448C2"/>
    <w:rsid w:val="00844A22"/>
    <w:rsid w:val="00844B53"/>
    <w:rsid w:val="00845877"/>
    <w:rsid w:val="00845AC2"/>
    <w:rsid w:val="00845B16"/>
    <w:rsid w:val="00845B1A"/>
    <w:rsid w:val="00845BEE"/>
    <w:rsid w:val="00845FD6"/>
    <w:rsid w:val="0084638D"/>
    <w:rsid w:val="008465CC"/>
    <w:rsid w:val="00846C05"/>
    <w:rsid w:val="00847130"/>
    <w:rsid w:val="008472D8"/>
    <w:rsid w:val="008475B7"/>
    <w:rsid w:val="00847703"/>
    <w:rsid w:val="008477BB"/>
    <w:rsid w:val="00847DF5"/>
    <w:rsid w:val="008501C6"/>
    <w:rsid w:val="008505CD"/>
    <w:rsid w:val="00850838"/>
    <w:rsid w:val="00850AE0"/>
    <w:rsid w:val="00850C82"/>
    <w:rsid w:val="00850D83"/>
    <w:rsid w:val="00851AF6"/>
    <w:rsid w:val="00851AF8"/>
    <w:rsid w:val="00851C01"/>
    <w:rsid w:val="0085207C"/>
    <w:rsid w:val="008524E8"/>
    <w:rsid w:val="00852AB8"/>
    <w:rsid w:val="00852E63"/>
    <w:rsid w:val="00852EBE"/>
    <w:rsid w:val="0085309D"/>
    <w:rsid w:val="008535BB"/>
    <w:rsid w:val="008535C5"/>
    <w:rsid w:val="008538D6"/>
    <w:rsid w:val="0085391B"/>
    <w:rsid w:val="00853E30"/>
    <w:rsid w:val="00854041"/>
    <w:rsid w:val="00854199"/>
    <w:rsid w:val="00854405"/>
    <w:rsid w:val="008544FB"/>
    <w:rsid w:val="00854551"/>
    <w:rsid w:val="0085458F"/>
    <w:rsid w:val="008546F7"/>
    <w:rsid w:val="0085489D"/>
    <w:rsid w:val="00854A7C"/>
    <w:rsid w:val="00854AB2"/>
    <w:rsid w:val="00854DA1"/>
    <w:rsid w:val="00855285"/>
    <w:rsid w:val="0085532C"/>
    <w:rsid w:val="008554A4"/>
    <w:rsid w:val="00855639"/>
    <w:rsid w:val="00855B74"/>
    <w:rsid w:val="00855D4A"/>
    <w:rsid w:val="00856033"/>
    <w:rsid w:val="00856897"/>
    <w:rsid w:val="00856E9A"/>
    <w:rsid w:val="008573BC"/>
    <w:rsid w:val="008574CA"/>
    <w:rsid w:val="00857970"/>
    <w:rsid w:val="00860006"/>
    <w:rsid w:val="008604D9"/>
    <w:rsid w:val="0086063B"/>
    <w:rsid w:val="0086075D"/>
    <w:rsid w:val="00860775"/>
    <w:rsid w:val="008609D9"/>
    <w:rsid w:val="00860A94"/>
    <w:rsid w:val="00860B1A"/>
    <w:rsid w:val="00860B4B"/>
    <w:rsid w:val="0086120F"/>
    <w:rsid w:val="0086181C"/>
    <w:rsid w:val="00861BE5"/>
    <w:rsid w:val="00861DE4"/>
    <w:rsid w:val="00861FB0"/>
    <w:rsid w:val="00862502"/>
    <w:rsid w:val="008626CD"/>
    <w:rsid w:val="0086281A"/>
    <w:rsid w:val="00862CC1"/>
    <w:rsid w:val="008632A7"/>
    <w:rsid w:val="0086345F"/>
    <w:rsid w:val="00863935"/>
    <w:rsid w:val="0086396F"/>
    <w:rsid w:val="00863B25"/>
    <w:rsid w:val="00863D28"/>
    <w:rsid w:val="00864062"/>
    <w:rsid w:val="008642A7"/>
    <w:rsid w:val="008642F5"/>
    <w:rsid w:val="008643B3"/>
    <w:rsid w:val="00864421"/>
    <w:rsid w:val="0086455B"/>
    <w:rsid w:val="0086490A"/>
    <w:rsid w:val="00864AE4"/>
    <w:rsid w:val="00864DA1"/>
    <w:rsid w:val="0086525F"/>
    <w:rsid w:val="008654B9"/>
    <w:rsid w:val="00865BE3"/>
    <w:rsid w:val="00865F18"/>
    <w:rsid w:val="00865F1C"/>
    <w:rsid w:val="008660C9"/>
    <w:rsid w:val="008660D4"/>
    <w:rsid w:val="008667F6"/>
    <w:rsid w:val="00866CD7"/>
    <w:rsid w:val="00866DCE"/>
    <w:rsid w:val="00866FC3"/>
    <w:rsid w:val="0086721E"/>
    <w:rsid w:val="00867339"/>
    <w:rsid w:val="00867540"/>
    <w:rsid w:val="00867572"/>
    <w:rsid w:val="008678D0"/>
    <w:rsid w:val="00870079"/>
    <w:rsid w:val="008701BD"/>
    <w:rsid w:val="0087059E"/>
    <w:rsid w:val="00870751"/>
    <w:rsid w:val="008707AB"/>
    <w:rsid w:val="008707B4"/>
    <w:rsid w:val="0087105F"/>
    <w:rsid w:val="00871871"/>
    <w:rsid w:val="00871FA9"/>
    <w:rsid w:val="0087261B"/>
    <w:rsid w:val="00872846"/>
    <w:rsid w:val="008728E9"/>
    <w:rsid w:val="00872A47"/>
    <w:rsid w:val="00872BCA"/>
    <w:rsid w:val="00872ED3"/>
    <w:rsid w:val="00872EF6"/>
    <w:rsid w:val="00873E90"/>
    <w:rsid w:val="0087400C"/>
    <w:rsid w:val="00874081"/>
    <w:rsid w:val="00874422"/>
    <w:rsid w:val="00874ADA"/>
    <w:rsid w:val="00874C23"/>
    <w:rsid w:val="00874C9B"/>
    <w:rsid w:val="00874CBB"/>
    <w:rsid w:val="00874D0D"/>
    <w:rsid w:val="00874D13"/>
    <w:rsid w:val="00874D9E"/>
    <w:rsid w:val="00875266"/>
    <w:rsid w:val="008755E6"/>
    <w:rsid w:val="008756B5"/>
    <w:rsid w:val="008759AC"/>
    <w:rsid w:val="008759FB"/>
    <w:rsid w:val="00875CB5"/>
    <w:rsid w:val="008764F6"/>
    <w:rsid w:val="00876674"/>
    <w:rsid w:val="00876B06"/>
    <w:rsid w:val="00876BAA"/>
    <w:rsid w:val="00876C60"/>
    <w:rsid w:val="00876FBE"/>
    <w:rsid w:val="00877029"/>
    <w:rsid w:val="00877063"/>
    <w:rsid w:val="00877087"/>
    <w:rsid w:val="0087713E"/>
    <w:rsid w:val="008776CB"/>
    <w:rsid w:val="00877831"/>
    <w:rsid w:val="00877876"/>
    <w:rsid w:val="00877A70"/>
    <w:rsid w:val="00877B9F"/>
    <w:rsid w:val="00877DAC"/>
    <w:rsid w:val="00880483"/>
    <w:rsid w:val="008813C4"/>
    <w:rsid w:val="008814A9"/>
    <w:rsid w:val="008817DA"/>
    <w:rsid w:val="00881D99"/>
    <w:rsid w:val="0088202B"/>
    <w:rsid w:val="00882393"/>
    <w:rsid w:val="00882874"/>
    <w:rsid w:val="0088292C"/>
    <w:rsid w:val="00882E3C"/>
    <w:rsid w:val="0088308A"/>
    <w:rsid w:val="0088344A"/>
    <w:rsid w:val="008835A8"/>
    <w:rsid w:val="00883766"/>
    <w:rsid w:val="00883787"/>
    <w:rsid w:val="00883820"/>
    <w:rsid w:val="00883B95"/>
    <w:rsid w:val="00883EA8"/>
    <w:rsid w:val="00883F18"/>
    <w:rsid w:val="00884024"/>
    <w:rsid w:val="008841FB"/>
    <w:rsid w:val="00884220"/>
    <w:rsid w:val="0088484D"/>
    <w:rsid w:val="00885169"/>
    <w:rsid w:val="008853A0"/>
    <w:rsid w:val="008854DA"/>
    <w:rsid w:val="008855E4"/>
    <w:rsid w:val="008856D6"/>
    <w:rsid w:val="00885749"/>
    <w:rsid w:val="00885BC5"/>
    <w:rsid w:val="0088609E"/>
    <w:rsid w:val="00886178"/>
    <w:rsid w:val="008861AC"/>
    <w:rsid w:val="0088632B"/>
    <w:rsid w:val="0088634C"/>
    <w:rsid w:val="00886371"/>
    <w:rsid w:val="0088649A"/>
    <w:rsid w:val="008864DA"/>
    <w:rsid w:val="0088660D"/>
    <w:rsid w:val="008866A3"/>
    <w:rsid w:val="0088685D"/>
    <w:rsid w:val="00886C1E"/>
    <w:rsid w:val="00886CD2"/>
    <w:rsid w:val="00886E8F"/>
    <w:rsid w:val="00886EC9"/>
    <w:rsid w:val="00887B16"/>
    <w:rsid w:val="00887C80"/>
    <w:rsid w:val="00887CF7"/>
    <w:rsid w:val="00887DE7"/>
    <w:rsid w:val="00887E8F"/>
    <w:rsid w:val="00887F12"/>
    <w:rsid w:val="00887FAD"/>
    <w:rsid w:val="00890942"/>
    <w:rsid w:val="00890E30"/>
    <w:rsid w:val="008910C7"/>
    <w:rsid w:val="008911BE"/>
    <w:rsid w:val="00891348"/>
    <w:rsid w:val="0089153B"/>
    <w:rsid w:val="00891581"/>
    <w:rsid w:val="00891649"/>
    <w:rsid w:val="00891760"/>
    <w:rsid w:val="00891DB2"/>
    <w:rsid w:val="00891E6F"/>
    <w:rsid w:val="0089275D"/>
    <w:rsid w:val="00892A36"/>
    <w:rsid w:val="00893239"/>
    <w:rsid w:val="00893244"/>
    <w:rsid w:val="00893421"/>
    <w:rsid w:val="008935D1"/>
    <w:rsid w:val="008937D9"/>
    <w:rsid w:val="00893903"/>
    <w:rsid w:val="00893D22"/>
    <w:rsid w:val="00894489"/>
    <w:rsid w:val="008946E0"/>
    <w:rsid w:val="008947FA"/>
    <w:rsid w:val="00894842"/>
    <w:rsid w:val="00894B53"/>
    <w:rsid w:val="00894CD6"/>
    <w:rsid w:val="00895919"/>
    <w:rsid w:val="00895FFC"/>
    <w:rsid w:val="00895FFF"/>
    <w:rsid w:val="008963A5"/>
    <w:rsid w:val="00896475"/>
    <w:rsid w:val="00896822"/>
    <w:rsid w:val="00896C1F"/>
    <w:rsid w:val="00896CFC"/>
    <w:rsid w:val="00896D5D"/>
    <w:rsid w:val="00896D76"/>
    <w:rsid w:val="008A02C9"/>
    <w:rsid w:val="008A03A7"/>
    <w:rsid w:val="008A03E1"/>
    <w:rsid w:val="008A0D0C"/>
    <w:rsid w:val="008A2602"/>
    <w:rsid w:val="008A267C"/>
    <w:rsid w:val="008A27A6"/>
    <w:rsid w:val="008A27F9"/>
    <w:rsid w:val="008A28AE"/>
    <w:rsid w:val="008A29D6"/>
    <w:rsid w:val="008A29E5"/>
    <w:rsid w:val="008A2BC4"/>
    <w:rsid w:val="008A2E39"/>
    <w:rsid w:val="008A3158"/>
    <w:rsid w:val="008A3363"/>
    <w:rsid w:val="008A3371"/>
    <w:rsid w:val="008A3C3E"/>
    <w:rsid w:val="008A3D08"/>
    <w:rsid w:val="008A3ECE"/>
    <w:rsid w:val="008A3FBB"/>
    <w:rsid w:val="008A4754"/>
    <w:rsid w:val="008A48B6"/>
    <w:rsid w:val="008A5037"/>
    <w:rsid w:val="008A515F"/>
    <w:rsid w:val="008A54A3"/>
    <w:rsid w:val="008A54B8"/>
    <w:rsid w:val="008A558E"/>
    <w:rsid w:val="008A5887"/>
    <w:rsid w:val="008A5F09"/>
    <w:rsid w:val="008A5F88"/>
    <w:rsid w:val="008A6136"/>
    <w:rsid w:val="008A68E1"/>
    <w:rsid w:val="008A68EB"/>
    <w:rsid w:val="008A6B79"/>
    <w:rsid w:val="008A70DC"/>
    <w:rsid w:val="008A7579"/>
    <w:rsid w:val="008A7684"/>
    <w:rsid w:val="008A79DE"/>
    <w:rsid w:val="008A7D0F"/>
    <w:rsid w:val="008B01A4"/>
    <w:rsid w:val="008B07E3"/>
    <w:rsid w:val="008B0A82"/>
    <w:rsid w:val="008B0C64"/>
    <w:rsid w:val="008B11BF"/>
    <w:rsid w:val="008B1757"/>
    <w:rsid w:val="008B1C33"/>
    <w:rsid w:val="008B1C5A"/>
    <w:rsid w:val="008B1E0B"/>
    <w:rsid w:val="008B1E15"/>
    <w:rsid w:val="008B1FB0"/>
    <w:rsid w:val="008B2182"/>
    <w:rsid w:val="008B254A"/>
    <w:rsid w:val="008B2560"/>
    <w:rsid w:val="008B26F8"/>
    <w:rsid w:val="008B2DEF"/>
    <w:rsid w:val="008B2EE1"/>
    <w:rsid w:val="008B2F4F"/>
    <w:rsid w:val="008B3026"/>
    <w:rsid w:val="008B332C"/>
    <w:rsid w:val="008B3AD1"/>
    <w:rsid w:val="008B3D7F"/>
    <w:rsid w:val="008B43CC"/>
    <w:rsid w:val="008B442F"/>
    <w:rsid w:val="008B45AD"/>
    <w:rsid w:val="008B4B6F"/>
    <w:rsid w:val="008B57E0"/>
    <w:rsid w:val="008B5EA4"/>
    <w:rsid w:val="008B685E"/>
    <w:rsid w:val="008B700D"/>
    <w:rsid w:val="008B7393"/>
    <w:rsid w:val="008B763E"/>
    <w:rsid w:val="008B7992"/>
    <w:rsid w:val="008B7D7E"/>
    <w:rsid w:val="008C00FC"/>
    <w:rsid w:val="008C0325"/>
    <w:rsid w:val="008C083B"/>
    <w:rsid w:val="008C0A9B"/>
    <w:rsid w:val="008C0DA1"/>
    <w:rsid w:val="008C0E03"/>
    <w:rsid w:val="008C12EB"/>
    <w:rsid w:val="008C1760"/>
    <w:rsid w:val="008C17D7"/>
    <w:rsid w:val="008C19DC"/>
    <w:rsid w:val="008C1C81"/>
    <w:rsid w:val="008C201D"/>
    <w:rsid w:val="008C25C4"/>
    <w:rsid w:val="008C2A8D"/>
    <w:rsid w:val="008C2C96"/>
    <w:rsid w:val="008C34E9"/>
    <w:rsid w:val="008C392A"/>
    <w:rsid w:val="008C3A1D"/>
    <w:rsid w:val="008C3D99"/>
    <w:rsid w:val="008C4179"/>
    <w:rsid w:val="008C43E3"/>
    <w:rsid w:val="008C4446"/>
    <w:rsid w:val="008C5060"/>
    <w:rsid w:val="008C52AC"/>
    <w:rsid w:val="008C5436"/>
    <w:rsid w:val="008C5610"/>
    <w:rsid w:val="008C5739"/>
    <w:rsid w:val="008C5A97"/>
    <w:rsid w:val="008C5D1F"/>
    <w:rsid w:val="008C627E"/>
    <w:rsid w:val="008C63C7"/>
    <w:rsid w:val="008C65E6"/>
    <w:rsid w:val="008C66C4"/>
    <w:rsid w:val="008C6775"/>
    <w:rsid w:val="008C697F"/>
    <w:rsid w:val="008C7282"/>
    <w:rsid w:val="008C7287"/>
    <w:rsid w:val="008C72BC"/>
    <w:rsid w:val="008C745C"/>
    <w:rsid w:val="008C799A"/>
    <w:rsid w:val="008C7ECB"/>
    <w:rsid w:val="008C7F6C"/>
    <w:rsid w:val="008D0429"/>
    <w:rsid w:val="008D0567"/>
    <w:rsid w:val="008D079A"/>
    <w:rsid w:val="008D0A62"/>
    <w:rsid w:val="008D0F28"/>
    <w:rsid w:val="008D10DF"/>
    <w:rsid w:val="008D1182"/>
    <w:rsid w:val="008D1CFC"/>
    <w:rsid w:val="008D1D8D"/>
    <w:rsid w:val="008D1FE6"/>
    <w:rsid w:val="008D22D7"/>
    <w:rsid w:val="008D24DC"/>
    <w:rsid w:val="008D2691"/>
    <w:rsid w:val="008D2879"/>
    <w:rsid w:val="008D2A82"/>
    <w:rsid w:val="008D2AB9"/>
    <w:rsid w:val="008D2C70"/>
    <w:rsid w:val="008D3B86"/>
    <w:rsid w:val="008D3D5D"/>
    <w:rsid w:val="008D3D6F"/>
    <w:rsid w:val="008D429D"/>
    <w:rsid w:val="008D43FD"/>
    <w:rsid w:val="008D4755"/>
    <w:rsid w:val="008D4A74"/>
    <w:rsid w:val="008D4C3D"/>
    <w:rsid w:val="008D4FEB"/>
    <w:rsid w:val="008D50B0"/>
    <w:rsid w:val="008D51DA"/>
    <w:rsid w:val="008D56B8"/>
    <w:rsid w:val="008D571F"/>
    <w:rsid w:val="008D59B5"/>
    <w:rsid w:val="008D5A5A"/>
    <w:rsid w:val="008D5B71"/>
    <w:rsid w:val="008D5CA1"/>
    <w:rsid w:val="008D5EAA"/>
    <w:rsid w:val="008D650E"/>
    <w:rsid w:val="008D6634"/>
    <w:rsid w:val="008D6C3D"/>
    <w:rsid w:val="008D71B7"/>
    <w:rsid w:val="008D73B1"/>
    <w:rsid w:val="008D743C"/>
    <w:rsid w:val="008D74C5"/>
    <w:rsid w:val="008D7694"/>
    <w:rsid w:val="008D775C"/>
    <w:rsid w:val="008D785D"/>
    <w:rsid w:val="008D7BFC"/>
    <w:rsid w:val="008E0062"/>
    <w:rsid w:val="008E0171"/>
    <w:rsid w:val="008E0269"/>
    <w:rsid w:val="008E09D2"/>
    <w:rsid w:val="008E0A89"/>
    <w:rsid w:val="008E0D0F"/>
    <w:rsid w:val="008E0D3C"/>
    <w:rsid w:val="008E10EE"/>
    <w:rsid w:val="008E1110"/>
    <w:rsid w:val="008E117E"/>
    <w:rsid w:val="008E1453"/>
    <w:rsid w:val="008E1856"/>
    <w:rsid w:val="008E1882"/>
    <w:rsid w:val="008E1897"/>
    <w:rsid w:val="008E1979"/>
    <w:rsid w:val="008E1980"/>
    <w:rsid w:val="008E1B8A"/>
    <w:rsid w:val="008E1B9E"/>
    <w:rsid w:val="008E1E50"/>
    <w:rsid w:val="008E21B6"/>
    <w:rsid w:val="008E2672"/>
    <w:rsid w:val="008E28C6"/>
    <w:rsid w:val="008E3209"/>
    <w:rsid w:val="008E345B"/>
    <w:rsid w:val="008E387C"/>
    <w:rsid w:val="008E38E6"/>
    <w:rsid w:val="008E3A21"/>
    <w:rsid w:val="008E3CB8"/>
    <w:rsid w:val="008E3D78"/>
    <w:rsid w:val="008E3E8A"/>
    <w:rsid w:val="008E3F6F"/>
    <w:rsid w:val="008E4448"/>
    <w:rsid w:val="008E444E"/>
    <w:rsid w:val="008E453E"/>
    <w:rsid w:val="008E4845"/>
    <w:rsid w:val="008E4AE9"/>
    <w:rsid w:val="008E4B95"/>
    <w:rsid w:val="008E4F00"/>
    <w:rsid w:val="008E55AB"/>
    <w:rsid w:val="008E58FA"/>
    <w:rsid w:val="008E5A70"/>
    <w:rsid w:val="008E5F03"/>
    <w:rsid w:val="008E6329"/>
    <w:rsid w:val="008E65CC"/>
    <w:rsid w:val="008E65D2"/>
    <w:rsid w:val="008E6606"/>
    <w:rsid w:val="008E740C"/>
    <w:rsid w:val="008E7763"/>
    <w:rsid w:val="008E7799"/>
    <w:rsid w:val="008F0175"/>
    <w:rsid w:val="008F0AA5"/>
    <w:rsid w:val="008F10F8"/>
    <w:rsid w:val="008F1161"/>
    <w:rsid w:val="008F120A"/>
    <w:rsid w:val="008F1297"/>
    <w:rsid w:val="008F1921"/>
    <w:rsid w:val="008F2003"/>
    <w:rsid w:val="008F20A7"/>
    <w:rsid w:val="008F20EB"/>
    <w:rsid w:val="008F21FC"/>
    <w:rsid w:val="008F2608"/>
    <w:rsid w:val="008F27E0"/>
    <w:rsid w:val="008F3458"/>
    <w:rsid w:val="008F34C7"/>
    <w:rsid w:val="008F36EF"/>
    <w:rsid w:val="008F3CC7"/>
    <w:rsid w:val="008F43B0"/>
    <w:rsid w:val="008F43C8"/>
    <w:rsid w:val="008F48EB"/>
    <w:rsid w:val="008F4A36"/>
    <w:rsid w:val="008F4A81"/>
    <w:rsid w:val="008F4E9E"/>
    <w:rsid w:val="008F4F0B"/>
    <w:rsid w:val="008F5CB9"/>
    <w:rsid w:val="008F5D48"/>
    <w:rsid w:val="008F5EA3"/>
    <w:rsid w:val="008F69C3"/>
    <w:rsid w:val="008F6A1D"/>
    <w:rsid w:val="008F6D42"/>
    <w:rsid w:val="008F6D96"/>
    <w:rsid w:val="008F73EB"/>
    <w:rsid w:val="008F7AD1"/>
    <w:rsid w:val="009000E0"/>
    <w:rsid w:val="00900B34"/>
    <w:rsid w:val="00900BC5"/>
    <w:rsid w:val="00900C13"/>
    <w:rsid w:val="00900E1B"/>
    <w:rsid w:val="00900F01"/>
    <w:rsid w:val="009017F3"/>
    <w:rsid w:val="00901BC7"/>
    <w:rsid w:val="00901C11"/>
    <w:rsid w:val="00901F3A"/>
    <w:rsid w:val="00902103"/>
    <w:rsid w:val="00902323"/>
    <w:rsid w:val="00902542"/>
    <w:rsid w:val="009025C4"/>
    <w:rsid w:val="00902C5D"/>
    <w:rsid w:val="009038F1"/>
    <w:rsid w:val="00903DAB"/>
    <w:rsid w:val="00903FEC"/>
    <w:rsid w:val="0090431C"/>
    <w:rsid w:val="009046C4"/>
    <w:rsid w:val="009047A1"/>
    <w:rsid w:val="00904834"/>
    <w:rsid w:val="00904BF7"/>
    <w:rsid w:val="0090505E"/>
    <w:rsid w:val="009052B7"/>
    <w:rsid w:val="0090566D"/>
    <w:rsid w:val="009056D0"/>
    <w:rsid w:val="009059C6"/>
    <w:rsid w:val="009059EC"/>
    <w:rsid w:val="00905E21"/>
    <w:rsid w:val="00905EBC"/>
    <w:rsid w:val="00906086"/>
    <w:rsid w:val="009062A5"/>
    <w:rsid w:val="00906BBB"/>
    <w:rsid w:val="00906D3D"/>
    <w:rsid w:val="0090712C"/>
    <w:rsid w:val="009071C6"/>
    <w:rsid w:val="0090737C"/>
    <w:rsid w:val="00907699"/>
    <w:rsid w:val="0090770D"/>
    <w:rsid w:val="009077C3"/>
    <w:rsid w:val="00907891"/>
    <w:rsid w:val="00907B49"/>
    <w:rsid w:val="00907B4D"/>
    <w:rsid w:val="00907C54"/>
    <w:rsid w:val="00907DC5"/>
    <w:rsid w:val="00907F88"/>
    <w:rsid w:val="00910AFF"/>
    <w:rsid w:val="00910FA7"/>
    <w:rsid w:val="00911272"/>
    <w:rsid w:val="00911339"/>
    <w:rsid w:val="0091147B"/>
    <w:rsid w:val="00911842"/>
    <w:rsid w:val="00912462"/>
    <w:rsid w:val="009124B9"/>
    <w:rsid w:val="009135D6"/>
    <w:rsid w:val="00913667"/>
    <w:rsid w:val="00913712"/>
    <w:rsid w:val="00913862"/>
    <w:rsid w:val="00913A38"/>
    <w:rsid w:val="00913A8A"/>
    <w:rsid w:val="00913B16"/>
    <w:rsid w:val="00913F5D"/>
    <w:rsid w:val="00914938"/>
    <w:rsid w:val="00914B7B"/>
    <w:rsid w:val="00914C37"/>
    <w:rsid w:val="00914C77"/>
    <w:rsid w:val="00915282"/>
    <w:rsid w:val="00915481"/>
    <w:rsid w:val="0091582B"/>
    <w:rsid w:val="00915A48"/>
    <w:rsid w:val="00915CCD"/>
    <w:rsid w:val="00915D03"/>
    <w:rsid w:val="00915D24"/>
    <w:rsid w:val="00915EFB"/>
    <w:rsid w:val="009160D1"/>
    <w:rsid w:val="00916289"/>
    <w:rsid w:val="00916367"/>
    <w:rsid w:val="00916494"/>
    <w:rsid w:val="00916732"/>
    <w:rsid w:val="00916777"/>
    <w:rsid w:val="009167B0"/>
    <w:rsid w:val="00916C1E"/>
    <w:rsid w:val="00916C3B"/>
    <w:rsid w:val="00916C95"/>
    <w:rsid w:val="00916E84"/>
    <w:rsid w:val="00916F19"/>
    <w:rsid w:val="009170C1"/>
    <w:rsid w:val="009170CE"/>
    <w:rsid w:val="009172A4"/>
    <w:rsid w:val="009174EF"/>
    <w:rsid w:val="00917DBC"/>
    <w:rsid w:val="0092059D"/>
    <w:rsid w:val="009205B6"/>
    <w:rsid w:val="00920937"/>
    <w:rsid w:val="00920F16"/>
    <w:rsid w:val="0092103A"/>
    <w:rsid w:val="00921099"/>
    <w:rsid w:val="009215BB"/>
    <w:rsid w:val="009216C5"/>
    <w:rsid w:val="00921ACB"/>
    <w:rsid w:val="00921C17"/>
    <w:rsid w:val="00921C30"/>
    <w:rsid w:val="00921EB9"/>
    <w:rsid w:val="009224F0"/>
    <w:rsid w:val="00922A25"/>
    <w:rsid w:val="00922CD3"/>
    <w:rsid w:val="0092319A"/>
    <w:rsid w:val="0092333F"/>
    <w:rsid w:val="00923619"/>
    <w:rsid w:val="0092369B"/>
    <w:rsid w:val="009237AC"/>
    <w:rsid w:val="00923ECA"/>
    <w:rsid w:val="0092439C"/>
    <w:rsid w:val="009243A4"/>
    <w:rsid w:val="009243B1"/>
    <w:rsid w:val="009248E7"/>
    <w:rsid w:val="00924EA6"/>
    <w:rsid w:val="00924FB3"/>
    <w:rsid w:val="009250DF"/>
    <w:rsid w:val="0092587E"/>
    <w:rsid w:val="0092592E"/>
    <w:rsid w:val="00926129"/>
    <w:rsid w:val="009262D7"/>
    <w:rsid w:val="00926449"/>
    <w:rsid w:val="009264A8"/>
    <w:rsid w:val="00926568"/>
    <w:rsid w:val="00926603"/>
    <w:rsid w:val="00926AD2"/>
    <w:rsid w:val="00926CB0"/>
    <w:rsid w:val="00926FDB"/>
    <w:rsid w:val="0092729D"/>
    <w:rsid w:val="0092766D"/>
    <w:rsid w:val="00927762"/>
    <w:rsid w:val="0092780F"/>
    <w:rsid w:val="009278DF"/>
    <w:rsid w:val="00927A86"/>
    <w:rsid w:val="00927DE9"/>
    <w:rsid w:val="0093009A"/>
    <w:rsid w:val="009302F4"/>
    <w:rsid w:val="009307D8"/>
    <w:rsid w:val="00930BFE"/>
    <w:rsid w:val="00931474"/>
    <w:rsid w:val="00931588"/>
    <w:rsid w:val="0093162A"/>
    <w:rsid w:val="009316F7"/>
    <w:rsid w:val="00931F84"/>
    <w:rsid w:val="00932015"/>
    <w:rsid w:val="00932089"/>
    <w:rsid w:val="009320B8"/>
    <w:rsid w:val="009320F3"/>
    <w:rsid w:val="009323A7"/>
    <w:rsid w:val="00932858"/>
    <w:rsid w:val="00932890"/>
    <w:rsid w:val="00932ABF"/>
    <w:rsid w:val="00932CA5"/>
    <w:rsid w:val="00933908"/>
    <w:rsid w:val="00933973"/>
    <w:rsid w:val="00933E2A"/>
    <w:rsid w:val="00934302"/>
    <w:rsid w:val="0093489F"/>
    <w:rsid w:val="00934988"/>
    <w:rsid w:val="00934B4E"/>
    <w:rsid w:val="00934BB5"/>
    <w:rsid w:val="00934C2A"/>
    <w:rsid w:val="0093534B"/>
    <w:rsid w:val="00935B42"/>
    <w:rsid w:val="00936791"/>
    <w:rsid w:val="009367E9"/>
    <w:rsid w:val="009368F8"/>
    <w:rsid w:val="00936E68"/>
    <w:rsid w:val="00937089"/>
    <w:rsid w:val="00937296"/>
    <w:rsid w:val="009374B9"/>
    <w:rsid w:val="00937772"/>
    <w:rsid w:val="009377A4"/>
    <w:rsid w:val="0093794F"/>
    <w:rsid w:val="00937B02"/>
    <w:rsid w:val="009401C3"/>
    <w:rsid w:val="009405DB"/>
    <w:rsid w:val="00940AEA"/>
    <w:rsid w:val="00940C03"/>
    <w:rsid w:val="00940D22"/>
    <w:rsid w:val="00941045"/>
    <w:rsid w:val="009410FA"/>
    <w:rsid w:val="00941420"/>
    <w:rsid w:val="009416F4"/>
    <w:rsid w:val="0094216E"/>
    <w:rsid w:val="00942925"/>
    <w:rsid w:val="00942D1B"/>
    <w:rsid w:val="00942EF5"/>
    <w:rsid w:val="0094320A"/>
    <w:rsid w:val="00943383"/>
    <w:rsid w:val="009433F2"/>
    <w:rsid w:val="00943602"/>
    <w:rsid w:val="009436FE"/>
    <w:rsid w:val="00943B58"/>
    <w:rsid w:val="00943CEF"/>
    <w:rsid w:val="00943F45"/>
    <w:rsid w:val="009440A4"/>
    <w:rsid w:val="00944D9E"/>
    <w:rsid w:val="00944F8A"/>
    <w:rsid w:val="00945078"/>
    <w:rsid w:val="00945104"/>
    <w:rsid w:val="00945578"/>
    <w:rsid w:val="009455E0"/>
    <w:rsid w:val="0094566B"/>
    <w:rsid w:val="00945862"/>
    <w:rsid w:val="00945A12"/>
    <w:rsid w:val="009460B1"/>
    <w:rsid w:val="00946278"/>
    <w:rsid w:val="00946576"/>
    <w:rsid w:val="009467D1"/>
    <w:rsid w:val="00946AD8"/>
    <w:rsid w:val="00946E02"/>
    <w:rsid w:val="00946F1C"/>
    <w:rsid w:val="00947202"/>
    <w:rsid w:val="00947352"/>
    <w:rsid w:val="00947750"/>
    <w:rsid w:val="009477FE"/>
    <w:rsid w:val="009478D9"/>
    <w:rsid w:val="00947923"/>
    <w:rsid w:val="00947F1A"/>
    <w:rsid w:val="00947FDD"/>
    <w:rsid w:val="00950528"/>
    <w:rsid w:val="00950A38"/>
    <w:rsid w:val="00950C09"/>
    <w:rsid w:val="00950FED"/>
    <w:rsid w:val="009510A2"/>
    <w:rsid w:val="0095199E"/>
    <w:rsid w:val="00951B5B"/>
    <w:rsid w:val="00951B9C"/>
    <w:rsid w:val="00951F61"/>
    <w:rsid w:val="009520A2"/>
    <w:rsid w:val="00952243"/>
    <w:rsid w:val="00952761"/>
    <w:rsid w:val="00952C81"/>
    <w:rsid w:val="00953257"/>
    <w:rsid w:val="0095355A"/>
    <w:rsid w:val="009538ED"/>
    <w:rsid w:val="00953CE5"/>
    <w:rsid w:val="009544BB"/>
    <w:rsid w:val="0095474C"/>
    <w:rsid w:val="00954C41"/>
    <w:rsid w:val="00954EAF"/>
    <w:rsid w:val="00955087"/>
    <w:rsid w:val="00955415"/>
    <w:rsid w:val="00955610"/>
    <w:rsid w:val="00955622"/>
    <w:rsid w:val="009557D8"/>
    <w:rsid w:val="00955A18"/>
    <w:rsid w:val="00955F3E"/>
    <w:rsid w:val="009566C0"/>
    <w:rsid w:val="00956C64"/>
    <w:rsid w:val="00956E4C"/>
    <w:rsid w:val="0095723B"/>
    <w:rsid w:val="0095746F"/>
    <w:rsid w:val="009579A0"/>
    <w:rsid w:val="00957D92"/>
    <w:rsid w:val="00957FC3"/>
    <w:rsid w:val="0096011D"/>
    <w:rsid w:val="0096068D"/>
    <w:rsid w:val="009607A3"/>
    <w:rsid w:val="00960B01"/>
    <w:rsid w:val="00960D89"/>
    <w:rsid w:val="00960DB2"/>
    <w:rsid w:val="009615F6"/>
    <w:rsid w:val="009616C5"/>
    <w:rsid w:val="00961984"/>
    <w:rsid w:val="00962082"/>
    <w:rsid w:val="00962BDA"/>
    <w:rsid w:val="00962CB9"/>
    <w:rsid w:val="00962F57"/>
    <w:rsid w:val="0096364A"/>
    <w:rsid w:val="00963C53"/>
    <w:rsid w:val="00964312"/>
    <w:rsid w:val="00964332"/>
    <w:rsid w:val="009648CB"/>
    <w:rsid w:val="00964D67"/>
    <w:rsid w:val="00964E6C"/>
    <w:rsid w:val="00964F84"/>
    <w:rsid w:val="00965B8A"/>
    <w:rsid w:val="00965EF5"/>
    <w:rsid w:val="00966010"/>
    <w:rsid w:val="00966022"/>
    <w:rsid w:val="00966329"/>
    <w:rsid w:val="0096635E"/>
    <w:rsid w:val="00966A90"/>
    <w:rsid w:val="00966AE0"/>
    <w:rsid w:val="00966C57"/>
    <w:rsid w:val="00967142"/>
    <w:rsid w:val="009679B6"/>
    <w:rsid w:val="009679D6"/>
    <w:rsid w:val="00967AD7"/>
    <w:rsid w:val="00970512"/>
    <w:rsid w:val="0097071F"/>
    <w:rsid w:val="009708FE"/>
    <w:rsid w:val="00970BCE"/>
    <w:rsid w:val="00970D1D"/>
    <w:rsid w:val="00970FDB"/>
    <w:rsid w:val="0097109D"/>
    <w:rsid w:val="009713B2"/>
    <w:rsid w:val="009717AC"/>
    <w:rsid w:val="00971A28"/>
    <w:rsid w:val="009720EF"/>
    <w:rsid w:val="00972C36"/>
    <w:rsid w:val="0097315F"/>
    <w:rsid w:val="009734F3"/>
    <w:rsid w:val="00973624"/>
    <w:rsid w:val="00973638"/>
    <w:rsid w:val="009736E7"/>
    <w:rsid w:val="00973769"/>
    <w:rsid w:val="00974102"/>
    <w:rsid w:val="009741FC"/>
    <w:rsid w:val="00974249"/>
    <w:rsid w:val="00974612"/>
    <w:rsid w:val="009751C1"/>
    <w:rsid w:val="009753DC"/>
    <w:rsid w:val="009755EC"/>
    <w:rsid w:val="009758C9"/>
    <w:rsid w:val="00975D92"/>
    <w:rsid w:val="00975E93"/>
    <w:rsid w:val="00976365"/>
    <w:rsid w:val="00976445"/>
    <w:rsid w:val="0097662A"/>
    <w:rsid w:val="00976810"/>
    <w:rsid w:val="00976857"/>
    <w:rsid w:val="00976D64"/>
    <w:rsid w:val="00976EFC"/>
    <w:rsid w:val="00977CF9"/>
    <w:rsid w:val="00977D7B"/>
    <w:rsid w:val="00977F3A"/>
    <w:rsid w:val="00980115"/>
    <w:rsid w:val="00980181"/>
    <w:rsid w:val="0098018E"/>
    <w:rsid w:val="00980295"/>
    <w:rsid w:val="00980383"/>
    <w:rsid w:val="00980501"/>
    <w:rsid w:val="00980698"/>
    <w:rsid w:val="00980AEE"/>
    <w:rsid w:val="00980DF1"/>
    <w:rsid w:val="009811F1"/>
    <w:rsid w:val="00981266"/>
    <w:rsid w:val="009813C2"/>
    <w:rsid w:val="00981442"/>
    <w:rsid w:val="00981A3F"/>
    <w:rsid w:val="00981D7E"/>
    <w:rsid w:val="00981FB0"/>
    <w:rsid w:val="0098207B"/>
    <w:rsid w:val="00982152"/>
    <w:rsid w:val="00982465"/>
    <w:rsid w:val="009825D4"/>
    <w:rsid w:val="009828AC"/>
    <w:rsid w:val="009829C4"/>
    <w:rsid w:val="00983172"/>
    <w:rsid w:val="00983599"/>
    <w:rsid w:val="0098365B"/>
    <w:rsid w:val="00983E57"/>
    <w:rsid w:val="00984A6E"/>
    <w:rsid w:val="00984D4B"/>
    <w:rsid w:val="00985036"/>
    <w:rsid w:val="009851C8"/>
    <w:rsid w:val="009853D9"/>
    <w:rsid w:val="009855B7"/>
    <w:rsid w:val="00985624"/>
    <w:rsid w:val="009857C4"/>
    <w:rsid w:val="00985880"/>
    <w:rsid w:val="00985DE2"/>
    <w:rsid w:val="00985DF0"/>
    <w:rsid w:val="0098601F"/>
    <w:rsid w:val="00986235"/>
    <w:rsid w:val="00986361"/>
    <w:rsid w:val="00986381"/>
    <w:rsid w:val="0098675D"/>
    <w:rsid w:val="00986C37"/>
    <w:rsid w:val="00986E18"/>
    <w:rsid w:val="00986E9C"/>
    <w:rsid w:val="009870EE"/>
    <w:rsid w:val="0098732C"/>
    <w:rsid w:val="0098744B"/>
    <w:rsid w:val="009876F6"/>
    <w:rsid w:val="00987935"/>
    <w:rsid w:val="00987BA4"/>
    <w:rsid w:val="0099022C"/>
    <w:rsid w:val="00990497"/>
    <w:rsid w:val="0099050A"/>
    <w:rsid w:val="0099099E"/>
    <w:rsid w:val="00990C43"/>
    <w:rsid w:val="009915F2"/>
    <w:rsid w:val="0099160F"/>
    <w:rsid w:val="00991688"/>
    <w:rsid w:val="00992397"/>
    <w:rsid w:val="0099247F"/>
    <w:rsid w:val="009926E0"/>
    <w:rsid w:val="00992A82"/>
    <w:rsid w:val="00992B07"/>
    <w:rsid w:val="00992B42"/>
    <w:rsid w:val="00992BDF"/>
    <w:rsid w:val="009936A6"/>
    <w:rsid w:val="00993C2E"/>
    <w:rsid w:val="00993D35"/>
    <w:rsid w:val="00994180"/>
    <w:rsid w:val="00994246"/>
    <w:rsid w:val="0099437B"/>
    <w:rsid w:val="0099451E"/>
    <w:rsid w:val="0099476D"/>
    <w:rsid w:val="00994784"/>
    <w:rsid w:val="00994BD7"/>
    <w:rsid w:val="00994CCA"/>
    <w:rsid w:val="00994FE7"/>
    <w:rsid w:val="0099500B"/>
    <w:rsid w:val="009950B9"/>
    <w:rsid w:val="0099518A"/>
    <w:rsid w:val="00995213"/>
    <w:rsid w:val="009953B8"/>
    <w:rsid w:val="00995530"/>
    <w:rsid w:val="009955BF"/>
    <w:rsid w:val="009956C8"/>
    <w:rsid w:val="009958DE"/>
    <w:rsid w:val="00995D1D"/>
    <w:rsid w:val="009960ED"/>
    <w:rsid w:val="009962AC"/>
    <w:rsid w:val="00996389"/>
    <w:rsid w:val="009963EE"/>
    <w:rsid w:val="009965B2"/>
    <w:rsid w:val="009965DD"/>
    <w:rsid w:val="009965EF"/>
    <w:rsid w:val="0099662F"/>
    <w:rsid w:val="009966F6"/>
    <w:rsid w:val="00996998"/>
    <w:rsid w:val="00996A32"/>
    <w:rsid w:val="00996B1A"/>
    <w:rsid w:val="0099771D"/>
    <w:rsid w:val="00997B7C"/>
    <w:rsid w:val="00997C3D"/>
    <w:rsid w:val="009A0284"/>
    <w:rsid w:val="009A038C"/>
    <w:rsid w:val="009A0E19"/>
    <w:rsid w:val="009A148A"/>
    <w:rsid w:val="009A1528"/>
    <w:rsid w:val="009A16A9"/>
    <w:rsid w:val="009A18F6"/>
    <w:rsid w:val="009A2013"/>
    <w:rsid w:val="009A22C3"/>
    <w:rsid w:val="009A24F9"/>
    <w:rsid w:val="009A2573"/>
    <w:rsid w:val="009A2806"/>
    <w:rsid w:val="009A2DCC"/>
    <w:rsid w:val="009A359F"/>
    <w:rsid w:val="009A3703"/>
    <w:rsid w:val="009A38AF"/>
    <w:rsid w:val="009A396B"/>
    <w:rsid w:val="009A39B6"/>
    <w:rsid w:val="009A3D05"/>
    <w:rsid w:val="009A3F34"/>
    <w:rsid w:val="009A4027"/>
    <w:rsid w:val="009A4232"/>
    <w:rsid w:val="009A4A15"/>
    <w:rsid w:val="009A53DB"/>
    <w:rsid w:val="009A5756"/>
    <w:rsid w:val="009A5933"/>
    <w:rsid w:val="009A5ABC"/>
    <w:rsid w:val="009A5B66"/>
    <w:rsid w:val="009A5E3B"/>
    <w:rsid w:val="009A5E40"/>
    <w:rsid w:val="009A67B8"/>
    <w:rsid w:val="009A68C5"/>
    <w:rsid w:val="009A6A68"/>
    <w:rsid w:val="009A6EE7"/>
    <w:rsid w:val="009A72F9"/>
    <w:rsid w:val="009A7AB4"/>
    <w:rsid w:val="009A7D1C"/>
    <w:rsid w:val="009A7F10"/>
    <w:rsid w:val="009B0024"/>
    <w:rsid w:val="009B00DC"/>
    <w:rsid w:val="009B022B"/>
    <w:rsid w:val="009B12B7"/>
    <w:rsid w:val="009B134C"/>
    <w:rsid w:val="009B1683"/>
    <w:rsid w:val="009B19EC"/>
    <w:rsid w:val="009B1B9C"/>
    <w:rsid w:val="009B1CD2"/>
    <w:rsid w:val="009B21BC"/>
    <w:rsid w:val="009B2545"/>
    <w:rsid w:val="009B2665"/>
    <w:rsid w:val="009B323A"/>
    <w:rsid w:val="009B3401"/>
    <w:rsid w:val="009B3E26"/>
    <w:rsid w:val="009B4456"/>
    <w:rsid w:val="009B47D1"/>
    <w:rsid w:val="009B497B"/>
    <w:rsid w:val="009B4BCF"/>
    <w:rsid w:val="009B4E02"/>
    <w:rsid w:val="009B50A4"/>
    <w:rsid w:val="009B51ED"/>
    <w:rsid w:val="009B5240"/>
    <w:rsid w:val="009B56ED"/>
    <w:rsid w:val="009B605C"/>
    <w:rsid w:val="009B6200"/>
    <w:rsid w:val="009B687B"/>
    <w:rsid w:val="009B698D"/>
    <w:rsid w:val="009B7286"/>
    <w:rsid w:val="009B7A90"/>
    <w:rsid w:val="009C0042"/>
    <w:rsid w:val="009C010D"/>
    <w:rsid w:val="009C02E1"/>
    <w:rsid w:val="009C0F8C"/>
    <w:rsid w:val="009C1012"/>
    <w:rsid w:val="009C1271"/>
    <w:rsid w:val="009C15BE"/>
    <w:rsid w:val="009C183A"/>
    <w:rsid w:val="009C189F"/>
    <w:rsid w:val="009C1C08"/>
    <w:rsid w:val="009C1D07"/>
    <w:rsid w:val="009C2340"/>
    <w:rsid w:val="009C26EA"/>
    <w:rsid w:val="009C2D47"/>
    <w:rsid w:val="009C33ED"/>
    <w:rsid w:val="009C3706"/>
    <w:rsid w:val="009C398A"/>
    <w:rsid w:val="009C3A3A"/>
    <w:rsid w:val="009C3D8F"/>
    <w:rsid w:val="009C3DC9"/>
    <w:rsid w:val="009C4069"/>
    <w:rsid w:val="009C460F"/>
    <w:rsid w:val="009C4626"/>
    <w:rsid w:val="009C49A8"/>
    <w:rsid w:val="009C4B17"/>
    <w:rsid w:val="009C4BC5"/>
    <w:rsid w:val="009C4C46"/>
    <w:rsid w:val="009C4C73"/>
    <w:rsid w:val="009C4D22"/>
    <w:rsid w:val="009C4E09"/>
    <w:rsid w:val="009C4EE8"/>
    <w:rsid w:val="009C5028"/>
    <w:rsid w:val="009C5044"/>
    <w:rsid w:val="009C51AF"/>
    <w:rsid w:val="009C6018"/>
    <w:rsid w:val="009C6093"/>
    <w:rsid w:val="009C60C2"/>
    <w:rsid w:val="009C6399"/>
    <w:rsid w:val="009C63B8"/>
    <w:rsid w:val="009C646E"/>
    <w:rsid w:val="009C6CEA"/>
    <w:rsid w:val="009C6F88"/>
    <w:rsid w:val="009C76BB"/>
    <w:rsid w:val="009C7823"/>
    <w:rsid w:val="009C7920"/>
    <w:rsid w:val="009C7936"/>
    <w:rsid w:val="009C7B85"/>
    <w:rsid w:val="009C7F13"/>
    <w:rsid w:val="009D0111"/>
    <w:rsid w:val="009D022E"/>
    <w:rsid w:val="009D0254"/>
    <w:rsid w:val="009D05BA"/>
    <w:rsid w:val="009D0A8E"/>
    <w:rsid w:val="009D0D2B"/>
    <w:rsid w:val="009D1114"/>
    <w:rsid w:val="009D1416"/>
    <w:rsid w:val="009D1609"/>
    <w:rsid w:val="009D1701"/>
    <w:rsid w:val="009D182E"/>
    <w:rsid w:val="009D193E"/>
    <w:rsid w:val="009D1A64"/>
    <w:rsid w:val="009D1D20"/>
    <w:rsid w:val="009D1FD8"/>
    <w:rsid w:val="009D208C"/>
    <w:rsid w:val="009D240F"/>
    <w:rsid w:val="009D2770"/>
    <w:rsid w:val="009D28D9"/>
    <w:rsid w:val="009D295F"/>
    <w:rsid w:val="009D2987"/>
    <w:rsid w:val="009D2F58"/>
    <w:rsid w:val="009D30EA"/>
    <w:rsid w:val="009D3693"/>
    <w:rsid w:val="009D3B2C"/>
    <w:rsid w:val="009D3B70"/>
    <w:rsid w:val="009D3F86"/>
    <w:rsid w:val="009D485B"/>
    <w:rsid w:val="009D4BFF"/>
    <w:rsid w:val="009D4D6B"/>
    <w:rsid w:val="009D5092"/>
    <w:rsid w:val="009D514E"/>
    <w:rsid w:val="009D51D6"/>
    <w:rsid w:val="009D51FE"/>
    <w:rsid w:val="009D5AF6"/>
    <w:rsid w:val="009D5B91"/>
    <w:rsid w:val="009D5CCE"/>
    <w:rsid w:val="009D5F7E"/>
    <w:rsid w:val="009D5FB7"/>
    <w:rsid w:val="009D610B"/>
    <w:rsid w:val="009D63CB"/>
    <w:rsid w:val="009D6705"/>
    <w:rsid w:val="009D685D"/>
    <w:rsid w:val="009D68E9"/>
    <w:rsid w:val="009D6A0B"/>
    <w:rsid w:val="009D6A29"/>
    <w:rsid w:val="009D6A61"/>
    <w:rsid w:val="009D6B32"/>
    <w:rsid w:val="009D7039"/>
    <w:rsid w:val="009D710B"/>
    <w:rsid w:val="009D7870"/>
    <w:rsid w:val="009D792E"/>
    <w:rsid w:val="009D7A66"/>
    <w:rsid w:val="009D7AB8"/>
    <w:rsid w:val="009D7C9F"/>
    <w:rsid w:val="009D7DAF"/>
    <w:rsid w:val="009E020B"/>
    <w:rsid w:val="009E059C"/>
    <w:rsid w:val="009E0A28"/>
    <w:rsid w:val="009E0DFE"/>
    <w:rsid w:val="009E111B"/>
    <w:rsid w:val="009E129A"/>
    <w:rsid w:val="009E1BBE"/>
    <w:rsid w:val="009E22C6"/>
    <w:rsid w:val="009E255F"/>
    <w:rsid w:val="009E257B"/>
    <w:rsid w:val="009E273D"/>
    <w:rsid w:val="009E31F6"/>
    <w:rsid w:val="009E3226"/>
    <w:rsid w:val="009E33FA"/>
    <w:rsid w:val="009E34F8"/>
    <w:rsid w:val="009E35BB"/>
    <w:rsid w:val="009E36D7"/>
    <w:rsid w:val="009E37F3"/>
    <w:rsid w:val="009E38C8"/>
    <w:rsid w:val="009E3CFE"/>
    <w:rsid w:val="009E3F71"/>
    <w:rsid w:val="009E3FA3"/>
    <w:rsid w:val="009E44DA"/>
    <w:rsid w:val="009E46DC"/>
    <w:rsid w:val="009E4863"/>
    <w:rsid w:val="009E4AC5"/>
    <w:rsid w:val="009E4BE3"/>
    <w:rsid w:val="009E4C07"/>
    <w:rsid w:val="009E4C75"/>
    <w:rsid w:val="009E578C"/>
    <w:rsid w:val="009E592F"/>
    <w:rsid w:val="009E5E1C"/>
    <w:rsid w:val="009E5E91"/>
    <w:rsid w:val="009E5F83"/>
    <w:rsid w:val="009E6972"/>
    <w:rsid w:val="009E69C2"/>
    <w:rsid w:val="009E6E61"/>
    <w:rsid w:val="009E710A"/>
    <w:rsid w:val="009E777F"/>
    <w:rsid w:val="009E7A2D"/>
    <w:rsid w:val="009E7A8D"/>
    <w:rsid w:val="009F0110"/>
    <w:rsid w:val="009F0185"/>
    <w:rsid w:val="009F0423"/>
    <w:rsid w:val="009F060D"/>
    <w:rsid w:val="009F07E1"/>
    <w:rsid w:val="009F0D75"/>
    <w:rsid w:val="009F0F28"/>
    <w:rsid w:val="009F14CD"/>
    <w:rsid w:val="009F1509"/>
    <w:rsid w:val="009F15A1"/>
    <w:rsid w:val="009F1926"/>
    <w:rsid w:val="009F1ADF"/>
    <w:rsid w:val="009F1BB7"/>
    <w:rsid w:val="009F1C09"/>
    <w:rsid w:val="009F20EE"/>
    <w:rsid w:val="009F26CE"/>
    <w:rsid w:val="009F2D47"/>
    <w:rsid w:val="009F3417"/>
    <w:rsid w:val="009F366F"/>
    <w:rsid w:val="009F4417"/>
    <w:rsid w:val="009F468D"/>
    <w:rsid w:val="009F4780"/>
    <w:rsid w:val="009F4D28"/>
    <w:rsid w:val="009F4F05"/>
    <w:rsid w:val="009F565A"/>
    <w:rsid w:val="009F5A98"/>
    <w:rsid w:val="009F5BD1"/>
    <w:rsid w:val="009F5E33"/>
    <w:rsid w:val="009F5F50"/>
    <w:rsid w:val="009F6120"/>
    <w:rsid w:val="009F62CA"/>
    <w:rsid w:val="009F62D3"/>
    <w:rsid w:val="009F6367"/>
    <w:rsid w:val="009F64E8"/>
    <w:rsid w:val="009F662A"/>
    <w:rsid w:val="009F6CC8"/>
    <w:rsid w:val="009F72DD"/>
    <w:rsid w:val="009F735E"/>
    <w:rsid w:val="009F754B"/>
    <w:rsid w:val="009F75CA"/>
    <w:rsid w:val="009F77BE"/>
    <w:rsid w:val="009F7ADA"/>
    <w:rsid w:val="009F7B5A"/>
    <w:rsid w:val="00A002D6"/>
    <w:rsid w:val="00A0044F"/>
    <w:rsid w:val="00A00A91"/>
    <w:rsid w:val="00A00D76"/>
    <w:rsid w:val="00A01008"/>
    <w:rsid w:val="00A0101A"/>
    <w:rsid w:val="00A0111D"/>
    <w:rsid w:val="00A01156"/>
    <w:rsid w:val="00A01184"/>
    <w:rsid w:val="00A01449"/>
    <w:rsid w:val="00A01745"/>
    <w:rsid w:val="00A018A3"/>
    <w:rsid w:val="00A018D0"/>
    <w:rsid w:val="00A0194C"/>
    <w:rsid w:val="00A01BC4"/>
    <w:rsid w:val="00A01ECA"/>
    <w:rsid w:val="00A020D3"/>
    <w:rsid w:val="00A021F7"/>
    <w:rsid w:val="00A02432"/>
    <w:rsid w:val="00A024CB"/>
    <w:rsid w:val="00A024DC"/>
    <w:rsid w:val="00A02688"/>
    <w:rsid w:val="00A02AB2"/>
    <w:rsid w:val="00A02F2B"/>
    <w:rsid w:val="00A03017"/>
    <w:rsid w:val="00A03133"/>
    <w:rsid w:val="00A037C2"/>
    <w:rsid w:val="00A03D43"/>
    <w:rsid w:val="00A03DC6"/>
    <w:rsid w:val="00A03DF8"/>
    <w:rsid w:val="00A03E19"/>
    <w:rsid w:val="00A03F74"/>
    <w:rsid w:val="00A040B9"/>
    <w:rsid w:val="00A04380"/>
    <w:rsid w:val="00A04481"/>
    <w:rsid w:val="00A04786"/>
    <w:rsid w:val="00A05472"/>
    <w:rsid w:val="00A058F6"/>
    <w:rsid w:val="00A05918"/>
    <w:rsid w:val="00A059D4"/>
    <w:rsid w:val="00A05BEE"/>
    <w:rsid w:val="00A05C32"/>
    <w:rsid w:val="00A063F4"/>
    <w:rsid w:val="00A06414"/>
    <w:rsid w:val="00A0653F"/>
    <w:rsid w:val="00A06B15"/>
    <w:rsid w:val="00A06B37"/>
    <w:rsid w:val="00A0726E"/>
    <w:rsid w:val="00A0734B"/>
    <w:rsid w:val="00A07966"/>
    <w:rsid w:val="00A07985"/>
    <w:rsid w:val="00A101C1"/>
    <w:rsid w:val="00A10317"/>
    <w:rsid w:val="00A1065C"/>
    <w:rsid w:val="00A11141"/>
    <w:rsid w:val="00A11A95"/>
    <w:rsid w:val="00A11BF3"/>
    <w:rsid w:val="00A11CD0"/>
    <w:rsid w:val="00A11D61"/>
    <w:rsid w:val="00A11DD8"/>
    <w:rsid w:val="00A11E77"/>
    <w:rsid w:val="00A11EA3"/>
    <w:rsid w:val="00A1220C"/>
    <w:rsid w:val="00A12381"/>
    <w:rsid w:val="00A123F1"/>
    <w:rsid w:val="00A123FD"/>
    <w:rsid w:val="00A12665"/>
    <w:rsid w:val="00A12EA4"/>
    <w:rsid w:val="00A13443"/>
    <w:rsid w:val="00A138FB"/>
    <w:rsid w:val="00A13948"/>
    <w:rsid w:val="00A13CAE"/>
    <w:rsid w:val="00A14556"/>
    <w:rsid w:val="00A145A2"/>
    <w:rsid w:val="00A14743"/>
    <w:rsid w:val="00A14A56"/>
    <w:rsid w:val="00A14AEC"/>
    <w:rsid w:val="00A14D2B"/>
    <w:rsid w:val="00A14E86"/>
    <w:rsid w:val="00A14EF6"/>
    <w:rsid w:val="00A14F65"/>
    <w:rsid w:val="00A14F76"/>
    <w:rsid w:val="00A15299"/>
    <w:rsid w:val="00A1555B"/>
    <w:rsid w:val="00A155C5"/>
    <w:rsid w:val="00A15F2D"/>
    <w:rsid w:val="00A161B2"/>
    <w:rsid w:val="00A16AD8"/>
    <w:rsid w:val="00A16B7A"/>
    <w:rsid w:val="00A16EE8"/>
    <w:rsid w:val="00A16F94"/>
    <w:rsid w:val="00A17005"/>
    <w:rsid w:val="00A173B7"/>
    <w:rsid w:val="00A17662"/>
    <w:rsid w:val="00A1785C"/>
    <w:rsid w:val="00A17AA4"/>
    <w:rsid w:val="00A17ECC"/>
    <w:rsid w:val="00A17EF7"/>
    <w:rsid w:val="00A20164"/>
    <w:rsid w:val="00A2021E"/>
    <w:rsid w:val="00A2028D"/>
    <w:rsid w:val="00A2033E"/>
    <w:rsid w:val="00A20379"/>
    <w:rsid w:val="00A20549"/>
    <w:rsid w:val="00A20667"/>
    <w:rsid w:val="00A2095B"/>
    <w:rsid w:val="00A20A1D"/>
    <w:rsid w:val="00A20B9D"/>
    <w:rsid w:val="00A20FBA"/>
    <w:rsid w:val="00A21361"/>
    <w:rsid w:val="00A21B81"/>
    <w:rsid w:val="00A21C95"/>
    <w:rsid w:val="00A21CF3"/>
    <w:rsid w:val="00A21E56"/>
    <w:rsid w:val="00A22228"/>
    <w:rsid w:val="00A2232F"/>
    <w:rsid w:val="00A22580"/>
    <w:rsid w:val="00A227A9"/>
    <w:rsid w:val="00A22F30"/>
    <w:rsid w:val="00A23621"/>
    <w:rsid w:val="00A23D99"/>
    <w:rsid w:val="00A2439D"/>
    <w:rsid w:val="00A243C2"/>
    <w:rsid w:val="00A24478"/>
    <w:rsid w:val="00A24614"/>
    <w:rsid w:val="00A2461F"/>
    <w:rsid w:val="00A24813"/>
    <w:rsid w:val="00A24917"/>
    <w:rsid w:val="00A24DA5"/>
    <w:rsid w:val="00A24F7D"/>
    <w:rsid w:val="00A24FC7"/>
    <w:rsid w:val="00A254FB"/>
    <w:rsid w:val="00A258B0"/>
    <w:rsid w:val="00A259E8"/>
    <w:rsid w:val="00A25B3D"/>
    <w:rsid w:val="00A25E5C"/>
    <w:rsid w:val="00A26189"/>
    <w:rsid w:val="00A264F7"/>
    <w:rsid w:val="00A266AC"/>
    <w:rsid w:val="00A26A12"/>
    <w:rsid w:val="00A272FF"/>
    <w:rsid w:val="00A27554"/>
    <w:rsid w:val="00A277A2"/>
    <w:rsid w:val="00A27807"/>
    <w:rsid w:val="00A27837"/>
    <w:rsid w:val="00A278B7"/>
    <w:rsid w:val="00A27966"/>
    <w:rsid w:val="00A27981"/>
    <w:rsid w:val="00A27AEC"/>
    <w:rsid w:val="00A27B8D"/>
    <w:rsid w:val="00A302AC"/>
    <w:rsid w:val="00A30810"/>
    <w:rsid w:val="00A31027"/>
    <w:rsid w:val="00A3141D"/>
    <w:rsid w:val="00A31561"/>
    <w:rsid w:val="00A31F19"/>
    <w:rsid w:val="00A320DB"/>
    <w:rsid w:val="00A3222B"/>
    <w:rsid w:val="00A322C4"/>
    <w:rsid w:val="00A32829"/>
    <w:rsid w:val="00A32A64"/>
    <w:rsid w:val="00A32AA7"/>
    <w:rsid w:val="00A32EDD"/>
    <w:rsid w:val="00A3332E"/>
    <w:rsid w:val="00A334F7"/>
    <w:rsid w:val="00A33AEE"/>
    <w:rsid w:val="00A343F6"/>
    <w:rsid w:val="00A34FFC"/>
    <w:rsid w:val="00A350DB"/>
    <w:rsid w:val="00A3519F"/>
    <w:rsid w:val="00A356CD"/>
    <w:rsid w:val="00A35901"/>
    <w:rsid w:val="00A35A2A"/>
    <w:rsid w:val="00A35D16"/>
    <w:rsid w:val="00A35F84"/>
    <w:rsid w:val="00A361F9"/>
    <w:rsid w:val="00A36646"/>
    <w:rsid w:val="00A36898"/>
    <w:rsid w:val="00A369CB"/>
    <w:rsid w:val="00A36D3C"/>
    <w:rsid w:val="00A378F0"/>
    <w:rsid w:val="00A37945"/>
    <w:rsid w:val="00A37980"/>
    <w:rsid w:val="00A37BCD"/>
    <w:rsid w:val="00A401A2"/>
    <w:rsid w:val="00A4044B"/>
    <w:rsid w:val="00A40605"/>
    <w:rsid w:val="00A40D27"/>
    <w:rsid w:val="00A40DC5"/>
    <w:rsid w:val="00A41689"/>
    <w:rsid w:val="00A41A98"/>
    <w:rsid w:val="00A41FB8"/>
    <w:rsid w:val="00A421CA"/>
    <w:rsid w:val="00A423B3"/>
    <w:rsid w:val="00A42592"/>
    <w:rsid w:val="00A426B6"/>
    <w:rsid w:val="00A42798"/>
    <w:rsid w:val="00A42807"/>
    <w:rsid w:val="00A42DF6"/>
    <w:rsid w:val="00A42F54"/>
    <w:rsid w:val="00A43C59"/>
    <w:rsid w:val="00A43C61"/>
    <w:rsid w:val="00A44179"/>
    <w:rsid w:val="00A44CD9"/>
    <w:rsid w:val="00A44F9D"/>
    <w:rsid w:val="00A45072"/>
    <w:rsid w:val="00A452AC"/>
    <w:rsid w:val="00A454BF"/>
    <w:rsid w:val="00A457B7"/>
    <w:rsid w:val="00A457E9"/>
    <w:rsid w:val="00A45822"/>
    <w:rsid w:val="00A4584D"/>
    <w:rsid w:val="00A45E01"/>
    <w:rsid w:val="00A45E50"/>
    <w:rsid w:val="00A46247"/>
    <w:rsid w:val="00A464DA"/>
    <w:rsid w:val="00A46949"/>
    <w:rsid w:val="00A46C91"/>
    <w:rsid w:val="00A478E3"/>
    <w:rsid w:val="00A47A0C"/>
    <w:rsid w:val="00A47AFE"/>
    <w:rsid w:val="00A47C7D"/>
    <w:rsid w:val="00A500B7"/>
    <w:rsid w:val="00A500FA"/>
    <w:rsid w:val="00A50258"/>
    <w:rsid w:val="00A504AC"/>
    <w:rsid w:val="00A50695"/>
    <w:rsid w:val="00A50ECD"/>
    <w:rsid w:val="00A51014"/>
    <w:rsid w:val="00A5114D"/>
    <w:rsid w:val="00A518F3"/>
    <w:rsid w:val="00A51FAC"/>
    <w:rsid w:val="00A51FAE"/>
    <w:rsid w:val="00A523B0"/>
    <w:rsid w:val="00A526B6"/>
    <w:rsid w:val="00A52729"/>
    <w:rsid w:val="00A52945"/>
    <w:rsid w:val="00A52C88"/>
    <w:rsid w:val="00A5330D"/>
    <w:rsid w:val="00A53675"/>
    <w:rsid w:val="00A53C59"/>
    <w:rsid w:val="00A541E0"/>
    <w:rsid w:val="00A543E5"/>
    <w:rsid w:val="00A54404"/>
    <w:rsid w:val="00A54C54"/>
    <w:rsid w:val="00A54C68"/>
    <w:rsid w:val="00A54F12"/>
    <w:rsid w:val="00A54F56"/>
    <w:rsid w:val="00A550AE"/>
    <w:rsid w:val="00A55624"/>
    <w:rsid w:val="00A55657"/>
    <w:rsid w:val="00A55B35"/>
    <w:rsid w:val="00A55B5E"/>
    <w:rsid w:val="00A55F7D"/>
    <w:rsid w:val="00A563B1"/>
    <w:rsid w:val="00A564D7"/>
    <w:rsid w:val="00A56515"/>
    <w:rsid w:val="00A5683E"/>
    <w:rsid w:val="00A56B6A"/>
    <w:rsid w:val="00A56CC8"/>
    <w:rsid w:val="00A56D19"/>
    <w:rsid w:val="00A570B9"/>
    <w:rsid w:val="00A571D6"/>
    <w:rsid w:val="00A573B9"/>
    <w:rsid w:val="00A5770E"/>
    <w:rsid w:val="00A57782"/>
    <w:rsid w:val="00A578DC"/>
    <w:rsid w:val="00A57A78"/>
    <w:rsid w:val="00A57D31"/>
    <w:rsid w:val="00A6001E"/>
    <w:rsid w:val="00A60246"/>
    <w:rsid w:val="00A60286"/>
    <w:rsid w:val="00A6089D"/>
    <w:rsid w:val="00A60B63"/>
    <w:rsid w:val="00A60DCC"/>
    <w:rsid w:val="00A60EF4"/>
    <w:rsid w:val="00A6184B"/>
    <w:rsid w:val="00A61BE2"/>
    <w:rsid w:val="00A61D1E"/>
    <w:rsid w:val="00A62246"/>
    <w:rsid w:val="00A62B8C"/>
    <w:rsid w:val="00A62E91"/>
    <w:rsid w:val="00A6306A"/>
    <w:rsid w:val="00A63102"/>
    <w:rsid w:val="00A6318D"/>
    <w:rsid w:val="00A63F94"/>
    <w:rsid w:val="00A640E2"/>
    <w:rsid w:val="00A641F9"/>
    <w:rsid w:val="00A6470B"/>
    <w:rsid w:val="00A647CA"/>
    <w:rsid w:val="00A64D65"/>
    <w:rsid w:val="00A659B3"/>
    <w:rsid w:val="00A65A18"/>
    <w:rsid w:val="00A65EA0"/>
    <w:rsid w:val="00A66056"/>
    <w:rsid w:val="00A66512"/>
    <w:rsid w:val="00A66620"/>
    <w:rsid w:val="00A66A44"/>
    <w:rsid w:val="00A66C6E"/>
    <w:rsid w:val="00A66EB5"/>
    <w:rsid w:val="00A66F41"/>
    <w:rsid w:val="00A6725B"/>
    <w:rsid w:val="00A67900"/>
    <w:rsid w:val="00A67A95"/>
    <w:rsid w:val="00A67B3D"/>
    <w:rsid w:val="00A67BF7"/>
    <w:rsid w:val="00A70548"/>
    <w:rsid w:val="00A70605"/>
    <w:rsid w:val="00A70EF0"/>
    <w:rsid w:val="00A70FE9"/>
    <w:rsid w:val="00A7126C"/>
    <w:rsid w:val="00A713CC"/>
    <w:rsid w:val="00A7208D"/>
    <w:rsid w:val="00A72137"/>
    <w:rsid w:val="00A724B7"/>
    <w:rsid w:val="00A724EE"/>
    <w:rsid w:val="00A72543"/>
    <w:rsid w:val="00A72A17"/>
    <w:rsid w:val="00A72BF2"/>
    <w:rsid w:val="00A72E3E"/>
    <w:rsid w:val="00A72F14"/>
    <w:rsid w:val="00A73134"/>
    <w:rsid w:val="00A73263"/>
    <w:rsid w:val="00A73462"/>
    <w:rsid w:val="00A73474"/>
    <w:rsid w:val="00A7353F"/>
    <w:rsid w:val="00A7365A"/>
    <w:rsid w:val="00A73940"/>
    <w:rsid w:val="00A73979"/>
    <w:rsid w:val="00A73AD3"/>
    <w:rsid w:val="00A73F47"/>
    <w:rsid w:val="00A73F58"/>
    <w:rsid w:val="00A73F73"/>
    <w:rsid w:val="00A74083"/>
    <w:rsid w:val="00A7418B"/>
    <w:rsid w:val="00A743B3"/>
    <w:rsid w:val="00A74442"/>
    <w:rsid w:val="00A744D7"/>
    <w:rsid w:val="00A749B5"/>
    <w:rsid w:val="00A749D9"/>
    <w:rsid w:val="00A74BAB"/>
    <w:rsid w:val="00A74BBD"/>
    <w:rsid w:val="00A74C9D"/>
    <w:rsid w:val="00A75023"/>
    <w:rsid w:val="00A752D0"/>
    <w:rsid w:val="00A7577F"/>
    <w:rsid w:val="00A757F8"/>
    <w:rsid w:val="00A7597B"/>
    <w:rsid w:val="00A76001"/>
    <w:rsid w:val="00A7633B"/>
    <w:rsid w:val="00A765CE"/>
    <w:rsid w:val="00A76784"/>
    <w:rsid w:val="00A76907"/>
    <w:rsid w:val="00A76999"/>
    <w:rsid w:val="00A76D83"/>
    <w:rsid w:val="00A7765A"/>
    <w:rsid w:val="00A777B2"/>
    <w:rsid w:val="00A778D8"/>
    <w:rsid w:val="00A7794B"/>
    <w:rsid w:val="00A77D88"/>
    <w:rsid w:val="00A80024"/>
    <w:rsid w:val="00A80363"/>
    <w:rsid w:val="00A80637"/>
    <w:rsid w:val="00A807C0"/>
    <w:rsid w:val="00A8089D"/>
    <w:rsid w:val="00A80901"/>
    <w:rsid w:val="00A80AE3"/>
    <w:rsid w:val="00A814A2"/>
    <w:rsid w:val="00A8169F"/>
    <w:rsid w:val="00A81D78"/>
    <w:rsid w:val="00A824B6"/>
    <w:rsid w:val="00A82556"/>
    <w:rsid w:val="00A825D4"/>
    <w:rsid w:val="00A82624"/>
    <w:rsid w:val="00A8264F"/>
    <w:rsid w:val="00A82753"/>
    <w:rsid w:val="00A82790"/>
    <w:rsid w:val="00A82799"/>
    <w:rsid w:val="00A828F6"/>
    <w:rsid w:val="00A82933"/>
    <w:rsid w:val="00A82A7E"/>
    <w:rsid w:val="00A82B73"/>
    <w:rsid w:val="00A82BEA"/>
    <w:rsid w:val="00A8301E"/>
    <w:rsid w:val="00A8308C"/>
    <w:rsid w:val="00A835C8"/>
    <w:rsid w:val="00A837BC"/>
    <w:rsid w:val="00A83EFD"/>
    <w:rsid w:val="00A83FA8"/>
    <w:rsid w:val="00A840F1"/>
    <w:rsid w:val="00A8539B"/>
    <w:rsid w:val="00A853A0"/>
    <w:rsid w:val="00A85460"/>
    <w:rsid w:val="00A854B5"/>
    <w:rsid w:val="00A85724"/>
    <w:rsid w:val="00A8577E"/>
    <w:rsid w:val="00A862DF"/>
    <w:rsid w:val="00A86364"/>
    <w:rsid w:val="00A86747"/>
    <w:rsid w:val="00A86E8B"/>
    <w:rsid w:val="00A87164"/>
    <w:rsid w:val="00A871A9"/>
    <w:rsid w:val="00A877FD"/>
    <w:rsid w:val="00A878ED"/>
    <w:rsid w:val="00A87AF8"/>
    <w:rsid w:val="00A90074"/>
    <w:rsid w:val="00A9009D"/>
    <w:rsid w:val="00A900D1"/>
    <w:rsid w:val="00A90191"/>
    <w:rsid w:val="00A901B5"/>
    <w:rsid w:val="00A90284"/>
    <w:rsid w:val="00A90768"/>
    <w:rsid w:val="00A90E7A"/>
    <w:rsid w:val="00A9129F"/>
    <w:rsid w:val="00A9238A"/>
    <w:rsid w:val="00A92706"/>
    <w:rsid w:val="00A92E12"/>
    <w:rsid w:val="00A92FD2"/>
    <w:rsid w:val="00A93072"/>
    <w:rsid w:val="00A938BD"/>
    <w:rsid w:val="00A938DF"/>
    <w:rsid w:val="00A93953"/>
    <w:rsid w:val="00A93A7B"/>
    <w:rsid w:val="00A93CE8"/>
    <w:rsid w:val="00A940BA"/>
    <w:rsid w:val="00A94321"/>
    <w:rsid w:val="00A94640"/>
    <w:rsid w:val="00A94A81"/>
    <w:rsid w:val="00A94C5C"/>
    <w:rsid w:val="00A9506F"/>
    <w:rsid w:val="00A95902"/>
    <w:rsid w:val="00A959AF"/>
    <w:rsid w:val="00A959D8"/>
    <w:rsid w:val="00A96067"/>
    <w:rsid w:val="00A963DC"/>
    <w:rsid w:val="00A964DA"/>
    <w:rsid w:val="00A968B1"/>
    <w:rsid w:val="00A96E56"/>
    <w:rsid w:val="00A97143"/>
    <w:rsid w:val="00A977A6"/>
    <w:rsid w:val="00A97957"/>
    <w:rsid w:val="00A97A63"/>
    <w:rsid w:val="00A97A71"/>
    <w:rsid w:val="00A97C09"/>
    <w:rsid w:val="00A97E3A"/>
    <w:rsid w:val="00A97E8A"/>
    <w:rsid w:val="00AA00A3"/>
    <w:rsid w:val="00AA00B5"/>
    <w:rsid w:val="00AA02D2"/>
    <w:rsid w:val="00AA0459"/>
    <w:rsid w:val="00AA04B8"/>
    <w:rsid w:val="00AA0568"/>
    <w:rsid w:val="00AA0879"/>
    <w:rsid w:val="00AA0F19"/>
    <w:rsid w:val="00AA113D"/>
    <w:rsid w:val="00AA11A9"/>
    <w:rsid w:val="00AA157E"/>
    <w:rsid w:val="00AA1A07"/>
    <w:rsid w:val="00AA1A72"/>
    <w:rsid w:val="00AA224C"/>
    <w:rsid w:val="00AA2436"/>
    <w:rsid w:val="00AA28DD"/>
    <w:rsid w:val="00AA2F78"/>
    <w:rsid w:val="00AA3083"/>
    <w:rsid w:val="00AA377D"/>
    <w:rsid w:val="00AA3AA1"/>
    <w:rsid w:val="00AA41D4"/>
    <w:rsid w:val="00AA4CF8"/>
    <w:rsid w:val="00AA4D06"/>
    <w:rsid w:val="00AA50B9"/>
    <w:rsid w:val="00AA551E"/>
    <w:rsid w:val="00AA56BD"/>
    <w:rsid w:val="00AA5855"/>
    <w:rsid w:val="00AA5A8D"/>
    <w:rsid w:val="00AA5C52"/>
    <w:rsid w:val="00AA5E51"/>
    <w:rsid w:val="00AA5ED3"/>
    <w:rsid w:val="00AA5F0E"/>
    <w:rsid w:val="00AA65EE"/>
    <w:rsid w:val="00AA6BD5"/>
    <w:rsid w:val="00AA6BD8"/>
    <w:rsid w:val="00AA6C7D"/>
    <w:rsid w:val="00AA6EC8"/>
    <w:rsid w:val="00AA741B"/>
    <w:rsid w:val="00AA74D6"/>
    <w:rsid w:val="00AA7860"/>
    <w:rsid w:val="00AA7A26"/>
    <w:rsid w:val="00AA7C2F"/>
    <w:rsid w:val="00AA7E9F"/>
    <w:rsid w:val="00AA7ED6"/>
    <w:rsid w:val="00AA7F7B"/>
    <w:rsid w:val="00AA7FD6"/>
    <w:rsid w:val="00AB042A"/>
    <w:rsid w:val="00AB04B6"/>
    <w:rsid w:val="00AB0531"/>
    <w:rsid w:val="00AB0726"/>
    <w:rsid w:val="00AB0850"/>
    <w:rsid w:val="00AB09B4"/>
    <w:rsid w:val="00AB11AD"/>
    <w:rsid w:val="00AB1342"/>
    <w:rsid w:val="00AB144F"/>
    <w:rsid w:val="00AB147E"/>
    <w:rsid w:val="00AB19EF"/>
    <w:rsid w:val="00AB1B88"/>
    <w:rsid w:val="00AB1CD6"/>
    <w:rsid w:val="00AB1D28"/>
    <w:rsid w:val="00AB1F01"/>
    <w:rsid w:val="00AB205C"/>
    <w:rsid w:val="00AB22B0"/>
    <w:rsid w:val="00AB2495"/>
    <w:rsid w:val="00AB254C"/>
    <w:rsid w:val="00AB2C21"/>
    <w:rsid w:val="00AB2CD4"/>
    <w:rsid w:val="00AB2D34"/>
    <w:rsid w:val="00AB2DED"/>
    <w:rsid w:val="00AB2EF2"/>
    <w:rsid w:val="00AB2FDE"/>
    <w:rsid w:val="00AB318D"/>
    <w:rsid w:val="00AB334D"/>
    <w:rsid w:val="00AB3430"/>
    <w:rsid w:val="00AB34FC"/>
    <w:rsid w:val="00AB37B9"/>
    <w:rsid w:val="00AB3CF9"/>
    <w:rsid w:val="00AB3E44"/>
    <w:rsid w:val="00AB4139"/>
    <w:rsid w:val="00AB429F"/>
    <w:rsid w:val="00AB4427"/>
    <w:rsid w:val="00AB4658"/>
    <w:rsid w:val="00AB489F"/>
    <w:rsid w:val="00AB49BD"/>
    <w:rsid w:val="00AB4A5A"/>
    <w:rsid w:val="00AB4AD1"/>
    <w:rsid w:val="00AB4E56"/>
    <w:rsid w:val="00AB4ED4"/>
    <w:rsid w:val="00AB50C1"/>
    <w:rsid w:val="00AB5335"/>
    <w:rsid w:val="00AB55AD"/>
    <w:rsid w:val="00AB5E07"/>
    <w:rsid w:val="00AB630B"/>
    <w:rsid w:val="00AB654C"/>
    <w:rsid w:val="00AB735E"/>
    <w:rsid w:val="00AB7399"/>
    <w:rsid w:val="00AB78FD"/>
    <w:rsid w:val="00AB7CFA"/>
    <w:rsid w:val="00AC02F4"/>
    <w:rsid w:val="00AC0307"/>
    <w:rsid w:val="00AC03DB"/>
    <w:rsid w:val="00AC0540"/>
    <w:rsid w:val="00AC0840"/>
    <w:rsid w:val="00AC0ECE"/>
    <w:rsid w:val="00AC0ED0"/>
    <w:rsid w:val="00AC1059"/>
    <w:rsid w:val="00AC1D09"/>
    <w:rsid w:val="00AC1EE3"/>
    <w:rsid w:val="00AC20C2"/>
    <w:rsid w:val="00AC22CC"/>
    <w:rsid w:val="00AC2330"/>
    <w:rsid w:val="00AC24BE"/>
    <w:rsid w:val="00AC26DB"/>
    <w:rsid w:val="00AC2D96"/>
    <w:rsid w:val="00AC2F04"/>
    <w:rsid w:val="00AC339F"/>
    <w:rsid w:val="00AC345B"/>
    <w:rsid w:val="00AC3817"/>
    <w:rsid w:val="00AC3828"/>
    <w:rsid w:val="00AC3A76"/>
    <w:rsid w:val="00AC44C6"/>
    <w:rsid w:val="00AC477E"/>
    <w:rsid w:val="00AC5B42"/>
    <w:rsid w:val="00AC5B48"/>
    <w:rsid w:val="00AC6036"/>
    <w:rsid w:val="00AC62A3"/>
    <w:rsid w:val="00AC62FC"/>
    <w:rsid w:val="00AC63B9"/>
    <w:rsid w:val="00AC64E4"/>
    <w:rsid w:val="00AC6829"/>
    <w:rsid w:val="00AC686D"/>
    <w:rsid w:val="00AC6A49"/>
    <w:rsid w:val="00AC6BB0"/>
    <w:rsid w:val="00AC6F3B"/>
    <w:rsid w:val="00AC7056"/>
    <w:rsid w:val="00AC745C"/>
    <w:rsid w:val="00AC76DF"/>
    <w:rsid w:val="00AC76E3"/>
    <w:rsid w:val="00AC7875"/>
    <w:rsid w:val="00AC7AF3"/>
    <w:rsid w:val="00AC7C42"/>
    <w:rsid w:val="00AC7DA8"/>
    <w:rsid w:val="00AD0365"/>
    <w:rsid w:val="00AD03D1"/>
    <w:rsid w:val="00AD04C3"/>
    <w:rsid w:val="00AD04EF"/>
    <w:rsid w:val="00AD072D"/>
    <w:rsid w:val="00AD09C4"/>
    <w:rsid w:val="00AD0BED"/>
    <w:rsid w:val="00AD0F22"/>
    <w:rsid w:val="00AD0FE7"/>
    <w:rsid w:val="00AD115D"/>
    <w:rsid w:val="00AD1450"/>
    <w:rsid w:val="00AD15E8"/>
    <w:rsid w:val="00AD1870"/>
    <w:rsid w:val="00AD1DB7"/>
    <w:rsid w:val="00AD21C3"/>
    <w:rsid w:val="00AD22D8"/>
    <w:rsid w:val="00AD23B9"/>
    <w:rsid w:val="00AD29BE"/>
    <w:rsid w:val="00AD2BDA"/>
    <w:rsid w:val="00AD2D27"/>
    <w:rsid w:val="00AD2EB0"/>
    <w:rsid w:val="00AD2F58"/>
    <w:rsid w:val="00AD31D9"/>
    <w:rsid w:val="00AD356D"/>
    <w:rsid w:val="00AD3A3E"/>
    <w:rsid w:val="00AD3ADA"/>
    <w:rsid w:val="00AD3D77"/>
    <w:rsid w:val="00AD3D8A"/>
    <w:rsid w:val="00AD3E0C"/>
    <w:rsid w:val="00AD3EDB"/>
    <w:rsid w:val="00AD4311"/>
    <w:rsid w:val="00AD4347"/>
    <w:rsid w:val="00AD46B7"/>
    <w:rsid w:val="00AD4976"/>
    <w:rsid w:val="00AD497B"/>
    <w:rsid w:val="00AD49E4"/>
    <w:rsid w:val="00AD4B0F"/>
    <w:rsid w:val="00AD4DDE"/>
    <w:rsid w:val="00AD4F13"/>
    <w:rsid w:val="00AD4FED"/>
    <w:rsid w:val="00AD509C"/>
    <w:rsid w:val="00AD535A"/>
    <w:rsid w:val="00AD5379"/>
    <w:rsid w:val="00AD6296"/>
    <w:rsid w:val="00AD6502"/>
    <w:rsid w:val="00AD6898"/>
    <w:rsid w:val="00AD68B6"/>
    <w:rsid w:val="00AD68ED"/>
    <w:rsid w:val="00AD6B1A"/>
    <w:rsid w:val="00AD6BD3"/>
    <w:rsid w:val="00AD6DB5"/>
    <w:rsid w:val="00AD70C7"/>
    <w:rsid w:val="00AD716A"/>
    <w:rsid w:val="00AD72DB"/>
    <w:rsid w:val="00AD775E"/>
    <w:rsid w:val="00AD7D8F"/>
    <w:rsid w:val="00AE000A"/>
    <w:rsid w:val="00AE02AA"/>
    <w:rsid w:val="00AE04E9"/>
    <w:rsid w:val="00AE0695"/>
    <w:rsid w:val="00AE090E"/>
    <w:rsid w:val="00AE0B04"/>
    <w:rsid w:val="00AE1939"/>
    <w:rsid w:val="00AE1CC0"/>
    <w:rsid w:val="00AE20D9"/>
    <w:rsid w:val="00AE249E"/>
    <w:rsid w:val="00AE2874"/>
    <w:rsid w:val="00AE36F6"/>
    <w:rsid w:val="00AE3E7E"/>
    <w:rsid w:val="00AE3E8B"/>
    <w:rsid w:val="00AE413C"/>
    <w:rsid w:val="00AE42DB"/>
    <w:rsid w:val="00AE4312"/>
    <w:rsid w:val="00AE4777"/>
    <w:rsid w:val="00AE487A"/>
    <w:rsid w:val="00AE4A94"/>
    <w:rsid w:val="00AE4BE2"/>
    <w:rsid w:val="00AE4CB4"/>
    <w:rsid w:val="00AE4E28"/>
    <w:rsid w:val="00AE4EAD"/>
    <w:rsid w:val="00AE4FAF"/>
    <w:rsid w:val="00AE5AF0"/>
    <w:rsid w:val="00AE5DBA"/>
    <w:rsid w:val="00AE601D"/>
    <w:rsid w:val="00AE64B5"/>
    <w:rsid w:val="00AE6940"/>
    <w:rsid w:val="00AE69C2"/>
    <w:rsid w:val="00AE69D8"/>
    <w:rsid w:val="00AE6C49"/>
    <w:rsid w:val="00AE6D8F"/>
    <w:rsid w:val="00AE70AB"/>
    <w:rsid w:val="00AE7719"/>
    <w:rsid w:val="00AE7842"/>
    <w:rsid w:val="00AE7858"/>
    <w:rsid w:val="00AE7E53"/>
    <w:rsid w:val="00AF000C"/>
    <w:rsid w:val="00AF0849"/>
    <w:rsid w:val="00AF11D0"/>
    <w:rsid w:val="00AF1247"/>
    <w:rsid w:val="00AF1315"/>
    <w:rsid w:val="00AF150D"/>
    <w:rsid w:val="00AF184D"/>
    <w:rsid w:val="00AF19BF"/>
    <w:rsid w:val="00AF19D7"/>
    <w:rsid w:val="00AF1B73"/>
    <w:rsid w:val="00AF1C94"/>
    <w:rsid w:val="00AF1C9C"/>
    <w:rsid w:val="00AF1E06"/>
    <w:rsid w:val="00AF2084"/>
    <w:rsid w:val="00AF211E"/>
    <w:rsid w:val="00AF2196"/>
    <w:rsid w:val="00AF228A"/>
    <w:rsid w:val="00AF2586"/>
    <w:rsid w:val="00AF27DF"/>
    <w:rsid w:val="00AF28C0"/>
    <w:rsid w:val="00AF2995"/>
    <w:rsid w:val="00AF2DC3"/>
    <w:rsid w:val="00AF2E57"/>
    <w:rsid w:val="00AF36AE"/>
    <w:rsid w:val="00AF3896"/>
    <w:rsid w:val="00AF38E9"/>
    <w:rsid w:val="00AF3AD5"/>
    <w:rsid w:val="00AF3CC1"/>
    <w:rsid w:val="00AF3D6E"/>
    <w:rsid w:val="00AF49F3"/>
    <w:rsid w:val="00AF4A68"/>
    <w:rsid w:val="00AF5600"/>
    <w:rsid w:val="00AF5C04"/>
    <w:rsid w:val="00AF5DD6"/>
    <w:rsid w:val="00AF5F02"/>
    <w:rsid w:val="00AF61E9"/>
    <w:rsid w:val="00AF6B68"/>
    <w:rsid w:val="00AF6CF0"/>
    <w:rsid w:val="00AF7067"/>
    <w:rsid w:val="00AF70A0"/>
    <w:rsid w:val="00AF75ED"/>
    <w:rsid w:val="00AF7763"/>
    <w:rsid w:val="00AF77AB"/>
    <w:rsid w:val="00AF7A0F"/>
    <w:rsid w:val="00AF7A30"/>
    <w:rsid w:val="00AF7A8F"/>
    <w:rsid w:val="00AF7B4C"/>
    <w:rsid w:val="00AF7EC8"/>
    <w:rsid w:val="00B00642"/>
    <w:rsid w:val="00B007A5"/>
    <w:rsid w:val="00B007DA"/>
    <w:rsid w:val="00B0083E"/>
    <w:rsid w:val="00B0084C"/>
    <w:rsid w:val="00B008D9"/>
    <w:rsid w:val="00B00A9F"/>
    <w:rsid w:val="00B00AFC"/>
    <w:rsid w:val="00B00DA1"/>
    <w:rsid w:val="00B0144D"/>
    <w:rsid w:val="00B0144F"/>
    <w:rsid w:val="00B01883"/>
    <w:rsid w:val="00B01AAA"/>
    <w:rsid w:val="00B02A82"/>
    <w:rsid w:val="00B02CBA"/>
    <w:rsid w:val="00B02D35"/>
    <w:rsid w:val="00B03227"/>
    <w:rsid w:val="00B033E5"/>
    <w:rsid w:val="00B03A63"/>
    <w:rsid w:val="00B03AE5"/>
    <w:rsid w:val="00B03D21"/>
    <w:rsid w:val="00B044AE"/>
    <w:rsid w:val="00B045BA"/>
    <w:rsid w:val="00B04852"/>
    <w:rsid w:val="00B048DB"/>
    <w:rsid w:val="00B0496A"/>
    <w:rsid w:val="00B04BB1"/>
    <w:rsid w:val="00B05187"/>
    <w:rsid w:val="00B051CA"/>
    <w:rsid w:val="00B0569C"/>
    <w:rsid w:val="00B0580B"/>
    <w:rsid w:val="00B05958"/>
    <w:rsid w:val="00B0599A"/>
    <w:rsid w:val="00B05E13"/>
    <w:rsid w:val="00B05F8A"/>
    <w:rsid w:val="00B0636A"/>
    <w:rsid w:val="00B06B8E"/>
    <w:rsid w:val="00B06BF4"/>
    <w:rsid w:val="00B07263"/>
    <w:rsid w:val="00B07912"/>
    <w:rsid w:val="00B07C74"/>
    <w:rsid w:val="00B07E2F"/>
    <w:rsid w:val="00B07F87"/>
    <w:rsid w:val="00B1023B"/>
    <w:rsid w:val="00B1070A"/>
    <w:rsid w:val="00B10A35"/>
    <w:rsid w:val="00B11022"/>
    <w:rsid w:val="00B1107A"/>
    <w:rsid w:val="00B1169A"/>
    <w:rsid w:val="00B118B4"/>
    <w:rsid w:val="00B11961"/>
    <w:rsid w:val="00B12481"/>
    <w:rsid w:val="00B12607"/>
    <w:rsid w:val="00B12800"/>
    <w:rsid w:val="00B129A4"/>
    <w:rsid w:val="00B1300D"/>
    <w:rsid w:val="00B1315C"/>
    <w:rsid w:val="00B13671"/>
    <w:rsid w:val="00B137E7"/>
    <w:rsid w:val="00B13C6B"/>
    <w:rsid w:val="00B13FC5"/>
    <w:rsid w:val="00B14147"/>
    <w:rsid w:val="00B142DD"/>
    <w:rsid w:val="00B14777"/>
    <w:rsid w:val="00B147B6"/>
    <w:rsid w:val="00B14B45"/>
    <w:rsid w:val="00B14FC7"/>
    <w:rsid w:val="00B155F2"/>
    <w:rsid w:val="00B15626"/>
    <w:rsid w:val="00B156A4"/>
    <w:rsid w:val="00B15CA7"/>
    <w:rsid w:val="00B162BB"/>
    <w:rsid w:val="00B1691D"/>
    <w:rsid w:val="00B16E0C"/>
    <w:rsid w:val="00B16EA6"/>
    <w:rsid w:val="00B17401"/>
    <w:rsid w:val="00B176E5"/>
    <w:rsid w:val="00B17AE9"/>
    <w:rsid w:val="00B17B67"/>
    <w:rsid w:val="00B17BAF"/>
    <w:rsid w:val="00B201A4"/>
    <w:rsid w:val="00B201D1"/>
    <w:rsid w:val="00B2021E"/>
    <w:rsid w:val="00B2039B"/>
    <w:rsid w:val="00B20704"/>
    <w:rsid w:val="00B20DF5"/>
    <w:rsid w:val="00B20E67"/>
    <w:rsid w:val="00B213A6"/>
    <w:rsid w:val="00B21489"/>
    <w:rsid w:val="00B214B1"/>
    <w:rsid w:val="00B215B0"/>
    <w:rsid w:val="00B21E8D"/>
    <w:rsid w:val="00B2246E"/>
    <w:rsid w:val="00B224C7"/>
    <w:rsid w:val="00B225C5"/>
    <w:rsid w:val="00B22C47"/>
    <w:rsid w:val="00B22D93"/>
    <w:rsid w:val="00B22F32"/>
    <w:rsid w:val="00B232CC"/>
    <w:rsid w:val="00B235B0"/>
    <w:rsid w:val="00B2391C"/>
    <w:rsid w:val="00B23A91"/>
    <w:rsid w:val="00B23BAD"/>
    <w:rsid w:val="00B23C3C"/>
    <w:rsid w:val="00B23EE4"/>
    <w:rsid w:val="00B240E3"/>
    <w:rsid w:val="00B2418A"/>
    <w:rsid w:val="00B24509"/>
    <w:rsid w:val="00B24A16"/>
    <w:rsid w:val="00B24AD3"/>
    <w:rsid w:val="00B24DF6"/>
    <w:rsid w:val="00B25517"/>
    <w:rsid w:val="00B25B3D"/>
    <w:rsid w:val="00B26209"/>
    <w:rsid w:val="00B264F3"/>
    <w:rsid w:val="00B2659F"/>
    <w:rsid w:val="00B265AD"/>
    <w:rsid w:val="00B2698E"/>
    <w:rsid w:val="00B26FEA"/>
    <w:rsid w:val="00B27A61"/>
    <w:rsid w:val="00B27FFA"/>
    <w:rsid w:val="00B3036A"/>
    <w:rsid w:val="00B31268"/>
    <w:rsid w:val="00B31506"/>
    <w:rsid w:val="00B3186F"/>
    <w:rsid w:val="00B3195A"/>
    <w:rsid w:val="00B31DF9"/>
    <w:rsid w:val="00B31E72"/>
    <w:rsid w:val="00B325CA"/>
    <w:rsid w:val="00B3277D"/>
    <w:rsid w:val="00B32A88"/>
    <w:rsid w:val="00B331A7"/>
    <w:rsid w:val="00B331E6"/>
    <w:rsid w:val="00B334F8"/>
    <w:rsid w:val="00B33587"/>
    <w:rsid w:val="00B33681"/>
    <w:rsid w:val="00B339EF"/>
    <w:rsid w:val="00B348C4"/>
    <w:rsid w:val="00B349F5"/>
    <w:rsid w:val="00B34B78"/>
    <w:rsid w:val="00B34C3A"/>
    <w:rsid w:val="00B34FE2"/>
    <w:rsid w:val="00B3504C"/>
    <w:rsid w:val="00B35166"/>
    <w:rsid w:val="00B355E7"/>
    <w:rsid w:val="00B356EC"/>
    <w:rsid w:val="00B357D8"/>
    <w:rsid w:val="00B3582B"/>
    <w:rsid w:val="00B360F4"/>
    <w:rsid w:val="00B36709"/>
    <w:rsid w:val="00B369DE"/>
    <w:rsid w:val="00B36A00"/>
    <w:rsid w:val="00B36A4C"/>
    <w:rsid w:val="00B36D5E"/>
    <w:rsid w:val="00B36E9E"/>
    <w:rsid w:val="00B372FC"/>
    <w:rsid w:val="00B375CC"/>
    <w:rsid w:val="00B378ED"/>
    <w:rsid w:val="00B3791E"/>
    <w:rsid w:val="00B3792B"/>
    <w:rsid w:val="00B37A07"/>
    <w:rsid w:val="00B37AB2"/>
    <w:rsid w:val="00B37BA4"/>
    <w:rsid w:val="00B37BFC"/>
    <w:rsid w:val="00B37E14"/>
    <w:rsid w:val="00B40358"/>
    <w:rsid w:val="00B40522"/>
    <w:rsid w:val="00B41602"/>
    <w:rsid w:val="00B41614"/>
    <w:rsid w:val="00B41808"/>
    <w:rsid w:val="00B41C0D"/>
    <w:rsid w:val="00B42123"/>
    <w:rsid w:val="00B421D9"/>
    <w:rsid w:val="00B4240F"/>
    <w:rsid w:val="00B42851"/>
    <w:rsid w:val="00B42CD3"/>
    <w:rsid w:val="00B42D72"/>
    <w:rsid w:val="00B42F80"/>
    <w:rsid w:val="00B431A5"/>
    <w:rsid w:val="00B43415"/>
    <w:rsid w:val="00B435CB"/>
    <w:rsid w:val="00B437B0"/>
    <w:rsid w:val="00B44005"/>
    <w:rsid w:val="00B44513"/>
    <w:rsid w:val="00B447B5"/>
    <w:rsid w:val="00B447B9"/>
    <w:rsid w:val="00B44ACA"/>
    <w:rsid w:val="00B45C97"/>
    <w:rsid w:val="00B45D0B"/>
    <w:rsid w:val="00B465EC"/>
    <w:rsid w:val="00B4668F"/>
    <w:rsid w:val="00B46C76"/>
    <w:rsid w:val="00B4729B"/>
    <w:rsid w:val="00B474A4"/>
    <w:rsid w:val="00B47723"/>
    <w:rsid w:val="00B47732"/>
    <w:rsid w:val="00B4782B"/>
    <w:rsid w:val="00B479B2"/>
    <w:rsid w:val="00B47A5B"/>
    <w:rsid w:val="00B47AF3"/>
    <w:rsid w:val="00B47E72"/>
    <w:rsid w:val="00B505C8"/>
    <w:rsid w:val="00B50735"/>
    <w:rsid w:val="00B50DB8"/>
    <w:rsid w:val="00B51003"/>
    <w:rsid w:val="00B51356"/>
    <w:rsid w:val="00B51503"/>
    <w:rsid w:val="00B51AF6"/>
    <w:rsid w:val="00B51D04"/>
    <w:rsid w:val="00B51DDB"/>
    <w:rsid w:val="00B534D5"/>
    <w:rsid w:val="00B5364F"/>
    <w:rsid w:val="00B53654"/>
    <w:rsid w:val="00B53905"/>
    <w:rsid w:val="00B53D8E"/>
    <w:rsid w:val="00B53FDD"/>
    <w:rsid w:val="00B54043"/>
    <w:rsid w:val="00B5427E"/>
    <w:rsid w:val="00B54347"/>
    <w:rsid w:val="00B545A9"/>
    <w:rsid w:val="00B54616"/>
    <w:rsid w:val="00B546DB"/>
    <w:rsid w:val="00B5481E"/>
    <w:rsid w:val="00B548DE"/>
    <w:rsid w:val="00B548F0"/>
    <w:rsid w:val="00B54922"/>
    <w:rsid w:val="00B54B5B"/>
    <w:rsid w:val="00B54E75"/>
    <w:rsid w:val="00B54F87"/>
    <w:rsid w:val="00B5562E"/>
    <w:rsid w:val="00B55862"/>
    <w:rsid w:val="00B55A71"/>
    <w:rsid w:val="00B55D65"/>
    <w:rsid w:val="00B55E7D"/>
    <w:rsid w:val="00B56305"/>
    <w:rsid w:val="00B56514"/>
    <w:rsid w:val="00B56854"/>
    <w:rsid w:val="00B56F23"/>
    <w:rsid w:val="00B57000"/>
    <w:rsid w:val="00B57168"/>
    <w:rsid w:val="00B57213"/>
    <w:rsid w:val="00B577D6"/>
    <w:rsid w:val="00B57AA6"/>
    <w:rsid w:val="00B57B1A"/>
    <w:rsid w:val="00B57BFA"/>
    <w:rsid w:val="00B60222"/>
    <w:rsid w:val="00B60351"/>
    <w:rsid w:val="00B604E8"/>
    <w:rsid w:val="00B6071E"/>
    <w:rsid w:val="00B60774"/>
    <w:rsid w:val="00B6080E"/>
    <w:rsid w:val="00B60939"/>
    <w:rsid w:val="00B60AFD"/>
    <w:rsid w:val="00B60E61"/>
    <w:rsid w:val="00B60F2B"/>
    <w:rsid w:val="00B60FD6"/>
    <w:rsid w:val="00B6123D"/>
    <w:rsid w:val="00B61706"/>
    <w:rsid w:val="00B61CFB"/>
    <w:rsid w:val="00B61D7E"/>
    <w:rsid w:val="00B61E4E"/>
    <w:rsid w:val="00B61F79"/>
    <w:rsid w:val="00B6219D"/>
    <w:rsid w:val="00B6232A"/>
    <w:rsid w:val="00B62715"/>
    <w:rsid w:val="00B63038"/>
    <w:rsid w:val="00B63363"/>
    <w:rsid w:val="00B63528"/>
    <w:rsid w:val="00B635D1"/>
    <w:rsid w:val="00B63689"/>
    <w:rsid w:val="00B6384A"/>
    <w:rsid w:val="00B6397B"/>
    <w:rsid w:val="00B63E6E"/>
    <w:rsid w:val="00B641F3"/>
    <w:rsid w:val="00B64342"/>
    <w:rsid w:val="00B644CA"/>
    <w:rsid w:val="00B645BB"/>
    <w:rsid w:val="00B648F9"/>
    <w:rsid w:val="00B64ACB"/>
    <w:rsid w:val="00B64E77"/>
    <w:rsid w:val="00B654DF"/>
    <w:rsid w:val="00B65611"/>
    <w:rsid w:val="00B65746"/>
    <w:rsid w:val="00B659B1"/>
    <w:rsid w:val="00B65B7E"/>
    <w:rsid w:val="00B65C28"/>
    <w:rsid w:val="00B663AA"/>
    <w:rsid w:val="00B66884"/>
    <w:rsid w:val="00B66ADA"/>
    <w:rsid w:val="00B66AF4"/>
    <w:rsid w:val="00B66FA1"/>
    <w:rsid w:val="00B67066"/>
    <w:rsid w:val="00B6708F"/>
    <w:rsid w:val="00B67204"/>
    <w:rsid w:val="00B67266"/>
    <w:rsid w:val="00B67498"/>
    <w:rsid w:val="00B67627"/>
    <w:rsid w:val="00B67A87"/>
    <w:rsid w:val="00B67AE6"/>
    <w:rsid w:val="00B67C6C"/>
    <w:rsid w:val="00B70519"/>
    <w:rsid w:val="00B7064E"/>
    <w:rsid w:val="00B70655"/>
    <w:rsid w:val="00B706AD"/>
    <w:rsid w:val="00B709EE"/>
    <w:rsid w:val="00B70C8E"/>
    <w:rsid w:val="00B70E8E"/>
    <w:rsid w:val="00B71145"/>
    <w:rsid w:val="00B717EC"/>
    <w:rsid w:val="00B71EDF"/>
    <w:rsid w:val="00B72189"/>
    <w:rsid w:val="00B7237D"/>
    <w:rsid w:val="00B72BB1"/>
    <w:rsid w:val="00B72E11"/>
    <w:rsid w:val="00B730B4"/>
    <w:rsid w:val="00B73164"/>
    <w:rsid w:val="00B73444"/>
    <w:rsid w:val="00B73A78"/>
    <w:rsid w:val="00B73C04"/>
    <w:rsid w:val="00B73D5A"/>
    <w:rsid w:val="00B73DCD"/>
    <w:rsid w:val="00B73E05"/>
    <w:rsid w:val="00B74118"/>
    <w:rsid w:val="00B74607"/>
    <w:rsid w:val="00B74754"/>
    <w:rsid w:val="00B74E57"/>
    <w:rsid w:val="00B74F54"/>
    <w:rsid w:val="00B754B3"/>
    <w:rsid w:val="00B7558B"/>
    <w:rsid w:val="00B75A0C"/>
    <w:rsid w:val="00B75E28"/>
    <w:rsid w:val="00B75E5D"/>
    <w:rsid w:val="00B76098"/>
    <w:rsid w:val="00B762AD"/>
    <w:rsid w:val="00B76769"/>
    <w:rsid w:val="00B76976"/>
    <w:rsid w:val="00B76A87"/>
    <w:rsid w:val="00B76B24"/>
    <w:rsid w:val="00B76B4D"/>
    <w:rsid w:val="00B76B7B"/>
    <w:rsid w:val="00B76C36"/>
    <w:rsid w:val="00B76C92"/>
    <w:rsid w:val="00B77D58"/>
    <w:rsid w:val="00B803B8"/>
    <w:rsid w:val="00B804EF"/>
    <w:rsid w:val="00B805BB"/>
    <w:rsid w:val="00B8060F"/>
    <w:rsid w:val="00B80723"/>
    <w:rsid w:val="00B80817"/>
    <w:rsid w:val="00B80870"/>
    <w:rsid w:val="00B80EFD"/>
    <w:rsid w:val="00B81119"/>
    <w:rsid w:val="00B81247"/>
    <w:rsid w:val="00B8163B"/>
    <w:rsid w:val="00B817D5"/>
    <w:rsid w:val="00B818A4"/>
    <w:rsid w:val="00B81B7A"/>
    <w:rsid w:val="00B8268F"/>
    <w:rsid w:val="00B826FE"/>
    <w:rsid w:val="00B826FF"/>
    <w:rsid w:val="00B8284A"/>
    <w:rsid w:val="00B82893"/>
    <w:rsid w:val="00B829C1"/>
    <w:rsid w:val="00B82F88"/>
    <w:rsid w:val="00B83223"/>
    <w:rsid w:val="00B8329D"/>
    <w:rsid w:val="00B832D5"/>
    <w:rsid w:val="00B83739"/>
    <w:rsid w:val="00B8394A"/>
    <w:rsid w:val="00B83A0A"/>
    <w:rsid w:val="00B83EBA"/>
    <w:rsid w:val="00B84098"/>
    <w:rsid w:val="00B84110"/>
    <w:rsid w:val="00B84117"/>
    <w:rsid w:val="00B842D9"/>
    <w:rsid w:val="00B845AC"/>
    <w:rsid w:val="00B84965"/>
    <w:rsid w:val="00B84CB6"/>
    <w:rsid w:val="00B84DCA"/>
    <w:rsid w:val="00B85083"/>
    <w:rsid w:val="00B85247"/>
    <w:rsid w:val="00B85509"/>
    <w:rsid w:val="00B8570B"/>
    <w:rsid w:val="00B857BF"/>
    <w:rsid w:val="00B858F0"/>
    <w:rsid w:val="00B85959"/>
    <w:rsid w:val="00B85AA2"/>
    <w:rsid w:val="00B86183"/>
    <w:rsid w:val="00B863F4"/>
    <w:rsid w:val="00B8649C"/>
    <w:rsid w:val="00B868A3"/>
    <w:rsid w:val="00B8695D"/>
    <w:rsid w:val="00B86FB8"/>
    <w:rsid w:val="00B87011"/>
    <w:rsid w:val="00B871F0"/>
    <w:rsid w:val="00B87294"/>
    <w:rsid w:val="00B877D6"/>
    <w:rsid w:val="00B8784B"/>
    <w:rsid w:val="00B87954"/>
    <w:rsid w:val="00B879AF"/>
    <w:rsid w:val="00B879B9"/>
    <w:rsid w:val="00B87F0A"/>
    <w:rsid w:val="00B9053D"/>
    <w:rsid w:val="00B90606"/>
    <w:rsid w:val="00B90771"/>
    <w:rsid w:val="00B909CF"/>
    <w:rsid w:val="00B90EEE"/>
    <w:rsid w:val="00B90F29"/>
    <w:rsid w:val="00B91139"/>
    <w:rsid w:val="00B912C0"/>
    <w:rsid w:val="00B913A3"/>
    <w:rsid w:val="00B913F7"/>
    <w:rsid w:val="00B919C3"/>
    <w:rsid w:val="00B919C9"/>
    <w:rsid w:val="00B91C05"/>
    <w:rsid w:val="00B92286"/>
    <w:rsid w:val="00B9284A"/>
    <w:rsid w:val="00B92C6D"/>
    <w:rsid w:val="00B92D0B"/>
    <w:rsid w:val="00B92E3A"/>
    <w:rsid w:val="00B92F7A"/>
    <w:rsid w:val="00B93304"/>
    <w:rsid w:val="00B93804"/>
    <w:rsid w:val="00B939AC"/>
    <w:rsid w:val="00B93CDD"/>
    <w:rsid w:val="00B93E76"/>
    <w:rsid w:val="00B94286"/>
    <w:rsid w:val="00B944EC"/>
    <w:rsid w:val="00B94945"/>
    <w:rsid w:val="00B94947"/>
    <w:rsid w:val="00B94A5B"/>
    <w:rsid w:val="00B94DD6"/>
    <w:rsid w:val="00B950CF"/>
    <w:rsid w:val="00B95377"/>
    <w:rsid w:val="00B953AD"/>
    <w:rsid w:val="00B9579C"/>
    <w:rsid w:val="00B95920"/>
    <w:rsid w:val="00B959B7"/>
    <w:rsid w:val="00B96305"/>
    <w:rsid w:val="00B963A1"/>
    <w:rsid w:val="00B96613"/>
    <w:rsid w:val="00B9676D"/>
    <w:rsid w:val="00B9699B"/>
    <w:rsid w:val="00B97429"/>
    <w:rsid w:val="00B974A9"/>
    <w:rsid w:val="00B978DA"/>
    <w:rsid w:val="00B97CDE"/>
    <w:rsid w:val="00B97D3E"/>
    <w:rsid w:val="00B97DB5"/>
    <w:rsid w:val="00BA0046"/>
    <w:rsid w:val="00BA0121"/>
    <w:rsid w:val="00BA012C"/>
    <w:rsid w:val="00BA0894"/>
    <w:rsid w:val="00BA09E6"/>
    <w:rsid w:val="00BA10C1"/>
    <w:rsid w:val="00BA141F"/>
    <w:rsid w:val="00BA14D1"/>
    <w:rsid w:val="00BA1512"/>
    <w:rsid w:val="00BA17D0"/>
    <w:rsid w:val="00BA1853"/>
    <w:rsid w:val="00BA1A1C"/>
    <w:rsid w:val="00BA287A"/>
    <w:rsid w:val="00BA290B"/>
    <w:rsid w:val="00BA2CCA"/>
    <w:rsid w:val="00BA2FA9"/>
    <w:rsid w:val="00BA2FAC"/>
    <w:rsid w:val="00BA302D"/>
    <w:rsid w:val="00BA3200"/>
    <w:rsid w:val="00BA322D"/>
    <w:rsid w:val="00BA3510"/>
    <w:rsid w:val="00BA3E65"/>
    <w:rsid w:val="00BA3FF0"/>
    <w:rsid w:val="00BA43AE"/>
    <w:rsid w:val="00BA449B"/>
    <w:rsid w:val="00BA44F9"/>
    <w:rsid w:val="00BA4835"/>
    <w:rsid w:val="00BA487B"/>
    <w:rsid w:val="00BA4A88"/>
    <w:rsid w:val="00BA4B09"/>
    <w:rsid w:val="00BA4C81"/>
    <w:rsid w:val="00BA509C"/>
    <w:rsid w:val="00BA512D"/>
    <w:rsid w:val="00BA52D0"/>
    <w:rsid w:val="00BA5783"/>
    <w:rsid w:val="00BA5877"/>
    <w:rsid w:val="00BA6365"/>
    <w:rsid w:val="00BA63FA"/>
    <w:rsid w:val="00BA66CC"/>
    <w:rsid w:val="00BA6C9C"/>
    <w:rsid w:val="00BA6F57"/>
    <w:rsid w:val="00BA74CA"/>
    <w:rsid w:val="00BA7CCC"/>
    <w:rsid w:val="00BB00B3"/>
    <w:rsid w:val="00BB00C6"/>
    <w:rsid w:val="00BB012A"/>
    <w:rsid w:val="00BB053A"/>
    <w:rsid w:val="00BB05BF"/>
    <w:rsid w:val="00BB08D9"/>
    <w:rsid w:val="00BB098B"/>
    <w:rsid w:val="00BB0BDD"/>
    <w:rsid w:val="00BB0C9F"/>
    <w:rsid w:val="00BB0F7D"/>
    <w:rsid w:val="00BB0FEC"/>
    <w:rsid w:val="00BB1242"/>
    <w:rsid w:val="00BB176C"/>
    <w:rsid w:val="00BB1F03"/>
    <w:rsid w:val="00BB219C"/>
    <w:rsid w:val="00BB21D5"/>
    <w:rsid w:val="00BB231A"/>
    <w:rsid w:val="00BB2511"/>
    <w:rsid w:val="00BB2A73"/>
    <w:rsid w:val="00BB2CBA"/>
    <w:rsid w:val="00BB36B4"/>
    <w:rsid w:val="00BB38A3"/>
    <w:rsid w:val="00BB3A45"/>
    <w:rsid w:val="00BB3B61"/>
    <w:rsid w:val="00BB3DF4"/>
    <w:rsid w:val="00BB3DF5"/>
    <w:rsid w:val="00BB432C"/>
    <w:rsid w:val="00BB4609"/>
    <w:rsid w:val="00BB469C"/>
    <w:rsid w:val="00BB46A1"/>
    <w:rsid w:val="00BB4ACC"/>
    <w:rsid w:val="00BB54EB"/>
    <w:rsid w:val="00BB55EC"/>
    <w:rsid w:val="00BB5793"/>
    <w:rsid w:val="00BB5A06"/>
    <w:rsid w:val="00BB5CC8"/>
    <w:rsid w:val="00BB5F1E"/>
    <w:rsid w:val="00BB6685"/>
    <w:rsid w:val="00BB69B4"/>
    <w:rsid w:val="00BB6CF1"/>
    <w:rsid w:val="00BB703E"/>
    <w:rsid w:val="00BB722A"/>
    <w:rsid w:val="00BB732D"/>
    <w:rsid w:val="00BB7405"/>
    <w:rsid w:val="00BB7708"/>
    <w:rsid w:val="00BB78B4"/>
    <w:rsid w:val="00BB78CF"/>
    <w:rsid w:val="00BB7B98"/>
    <w:rsid w:val="00BB7EB8"/>
    <w:rsid w:val="00BB7EC3"/>
    <w:rsid w:val="00BC04D3"/>
    <w:rsid w:val="00BC0DAB"/>
    <w:rsid w:val="00BC11E9"/>
    <w:rsid w:val="00BC21F2"/>
    <w:rsid w:val="00BC258A"/>
    <w:rsid w:val="00BC29C0"/>
    <w:rsid w:val="00BC29F5"/>
    <w:rsid w:val="00BC2CE0"/>
    <w:rsid w:val="00BC31B0"/>
    <w:rsid w:val="00BC349E"/>
    <w:rsid w:val="00BC34A1"/>
    <w:rsid w:val="00BC3631"/>
    <w:rsid w:val="00BC3AC5"/>
    <w:rsid w:val="00BC3B7B"/>
    <w:rsid w:val="00BC3D9E"/>
    <w:rsid w:val="00BC403E"/>
    <w:rsid w:val="00BC4277"/>
    <w:rsid w:val="00BC4DE3"/>
    <w:rsid w:val="00BC4F83"/>
    <w:rsid w:val="00BC53C9"/>
    <w:rsid w:val="00BC5510"/>
    <w:rsid w:val="00BC57D3"/>
    <w:rsid w:val="00BC591F"/>
    <w:rsid w:val="00BC6040"/>
    <w:rsid w:val="00BC63B2"/>
    <w:rsid w:val="00BC65CD"/>
    <w:rsid w:val="00BC6718"/>
    <w:rsid w:val="00BC6839"/>
    <w:rsid w:val="00BC687C"/>
    <w:rsid w:val="00BC6AA7"/>
    <w:rsid w:val="00BC6D9D"/>
    <w:rsid w:val="00BC6E33"/>
    <w:rsid w:val="00BC722C"/>
    <w:rsid w:val="00BC726A"/>
    <w:rsid w:val="00BC735C"/>
    <w:rsid w:val="00BC73E5"/>
    <w:rsid w:val="00BC7D6D"/>
    <w:rsid w:val="00BC7E85"/>
    <w:rsid w:val="00BC7F5B"/>
    <w:rsid w:val="00BD011F"/>
    <w:rsid w:val="00BD04C6"/>
    <w:rsid w:val="00BD0632"/>
    <w:rsid w:val="00BD084D"/>
    <w:rsid w:val="00BD0DA5"/>
    <w:rsid w:val="00BD1256"/>
    <w:rsid w:val="00BD1544"/>
    <w:rsid w:val="00BD1644"/>
    <w:rsid w:val="00BD1647"/>
    <w:rsid w:val="00BD19AB"/>
    <w:rsid w:val="00BD1A00"/>
    <w:rsid w:val="00BD1B29"/>
    <w:rsid w:val="00BD2108"/>
    <w:rsid w:val="00BD2433"/>
    <w:rsid w:val="00BD25D7"/>
    <w:rsid w:val="00BD27BB"/>
    <w:rsid w:val="00BD27F7"/>
    <w:rsid w:val="00BD29E9"/>
    <w:rsid w:val="00BD2B5B"/>
    <w:rsid w:val="00BD2C00"/>
    <w:rsid w:val="00BD2C01"/>
    <w:rsid w:val="00BD2FB9"/>
    <w:rsid w:val="00BD3388"/>
    <w:rsid w:val="00BD345C"/>
    <w:rsid w:val="00BD34A6"/>
    <w:rsid w:val="00BD427A"/>
    <w:rsid w:val="00BD4798"/>
    <w:rsid w:val="00BD4D7B"/>
    <w:rsid w:val="00BD50F2"/>
    <w:rsid w:val="00BD51C6"/>
    <w:rsid w:val="00BD52E6"/>
    <w:rsid w:val="00BD5633"/>
    <w:rsid w:val="00BD5D04"/>
    <w:rsid w:val="00BD5F16"/>
    <w:rsid w:val="00BD6128"/>
    <w:rsid w:val="00BD61C0"/>
    <w:rsid w:val="00BD62F5"/>
    <w:rsid w:val="00BD6456"/>
    <w:rsid w:val="00BD6562"/>
    <w:rsid w:val="00BD68A3"/>
    <w:rsid w:val="00BD6938"/>
    <w:rsid w:val="00BD6A9A"/>
    <w:rsid w:val="00BD6B40"/>
    <w:rsid w:val="00BD6B4F"/>
    <w:rsid w:val="00BD6CF3"/>
    <w:rsid w:val="00BD70D5"/>
    <w:rsid w:val="00BD7220"/>
    <w:rsid w:val="00BD72A5"/>
    <w:rsid w:val="00BD7697"/>
    <w:rsid w:val="00BD76A5"/>
    <w:rsid w:val="00BD76DA"/>
    <w:rsid w:val="00BD7A56"/>
    <w:rsid w:val="00BD7D8E"/>
    <w:rsid w:val="00BD7F72"/>
    <w:rsid w:val="00BE014B"/>
    <w:rsid w:val="00BE02CA"/>
    <w:rsid w:val="00BE0C6A"/>
    <w:rsid w:val="00BE0ECA"/>
    <w:rsid w:val="00BE1315"/>
    <w:rsid w:val="00BE1898"/>
    <w:rsid w:val="00BE1A3B"/>
    <w:rsid w:val="00BE1D78"/>
    <w:rsid w:val="00BE2180"/>
    <w:rsid w:val="00BE21F2"/>
    <w:rsid w:val="00BE24B7"/>
    <w:rsid w:val="00BE26C1"/>
    <w:rsid w:val="00BE26D9"/>
    <w:rsid w:val="00BE2784"/>
    <w:rsid w:val="00BE27E0"/>
    <w:rsid w:val="00BE2AEE"/>
    <w:rsid w:val="00BE2AFF"/>
    <w:rsid w:val="00BE2B52"/>
    <w:rsid w:val="00BE2B66"/>
    <w:rsid w:val="00BE2E9A"/>
    <w:rsid w:val="00BE3067"/>
    <w:rsid w:val="00BE3165"/>
    <w:rsid w:val="00BE3637"/>
    <w:rsid w:val="00BE36B9"/>
    <w:rsid w:val="00BE384E"/>
    <w:rsid w:val="00BE3FE4"/>
    <w:rsid w:val="00BE426E"/>
    <w:rsid w:val="00BE4275"/>
    <w:rsid w:val="00BE431E"/>
    <w:rsid w:val="00BE435C"/>
    <w:rsid w:val="00BE4931"/>
    <w:rsid w:val="00BE498F"/>
    <w:rsid w:val="00BE4BA9"/>
    <w:rsid w:val="00BE4D69"/>
    <w:rsid w:val="00BE4EBD"/>
    <w:rsid w:val="00BE50C4"/>
    <w:rsid w:val="00BE5343"/>
    <w:rsid w:val="00BE53CD"/>
    <w:rsid w:val="00BE6053"/>
    <w:rsid w:val="00BE6B26"/>
    <w:rsid w:val="00BE6CC2"/>
    <w:rsid w:val="00BE7179"/>
    <w:rsid w:val="00BE77D3"/>
    <w:rsid w:val="00BE7F28"/>
    <w:rsid w:val="00BF06AE"/>
    <w:rsid w:val="00BF0F95"/>
    <w:rsid w:val="00BF0FE0"/>
    <w:rsid w:val="00BF14D6"/>
    <w:rsid w:val="00BF19F7"/>
    <w:rsid w:val="00BF1B7C"/>
    <w:rsid w:val="00BF21B0"/>
    <w:rsid w:val="00BF229F"/>
    <w:rsid w:val="00BF2433"/>
    <w:rsid w:val="00BF260F"/>
    <w:rsid w:val="00BF27CF"/>
    <w:rsid w:val="00BF286C"/>
    <w:rsid w:val="00BF2A42"/>
    <w:rsid w:val="00BF2DB4"/>
    <w:rsid w:val="00BF2E6E"/>
    <w:rsid w:val="00BF2E9C"/>
    <w:rsid w:val="00BF30B5"/>
    <w:rsid w:val="00BF30C9"/>
    <w:rsid w:val="00BF313C"/>
    <w:rsid w:val="00BF3E43"/>
    <w:rsid w:val="00BF3ED9"/>
    <w:rsid w:val="00BF40F6"/>
    <w:rsid w:val="00BF4116"/>
    <w:rsid w:val="00BF41EB"/>
    <w:rsid w:val="00BF4437"/>
    <w:rsid w:val="00BF450C"/>
    <w:rsid w:val="00BF48F0"/>
    <w:rsid w:val="00BF5084"/>
    <w:rsid w:val="00BF519C"/>
    <w:rsid w:val="00BF54B2"/>
    <w:rsid w:val="00BF599C"/>
    <w:rsid w:val="00BF5ACB"/>
    <w:rsid w:val="00BF5BC7"/>
    <w:rsid w:val="00BF5C74"/>
    <w:rsid w:val="00BF5C83"/>
    <w:rsid w:val="00BF5CE2"/>
    <w:rsid w:val="00BF5F68"/>
    <w:rsid w:val="00BF609F"/>
    <w:rsid w:val="00BF61C9"/>
    <w:rsid w:val="00BF6BAC"/>
    <w:rsid w:val="00BF6C4F"/>
    <w:rsid w:val="00BF6C94"/>
    <w:rsid w:val="00BF6D57"/>
    <w:rsid w:val="00BF7089"/>
    <w:rsid w:val="00BF743F"/>
    <w:rsid w:val="00BF7446"/>
    <w:rsid w:val="00BF76E7"/>
    <w:rsid w:val="00BF779B"/>
    <w:rsid w:val="00BF77DD"/>
    <w:rsid w:val="00BF788D"/>
    <w:rsid w:val="00BF7E31"/>
    <w:rsid w:val="00C00115"/>
    <w:rsid w:val="00C0023B"/>
    <w:rsid w:val="00C00424"/>
    <w:rsid w:val="00C0043E"/>
    <w:rsid w:val="00C0050C"/>
    <w:rsid w:val="00C00857"/>
    <w:rsid w:val="00C00B5F"/>
    <w:rsid w:val="00C00BB0"/>
    <w:rsid w:val="00C00C84"/>
    <w:rsid w:val="00C01102"/>
    <w:rsid w:val="00C01172"/>
    <w:rsid w:val="00C0117A"/>
    <w:rsid w:val="00C01274"/>
    <w:rsid w:val="00C013B8"/>
    <w:rsid w:val="00C01884"/>
    <w:rsid w:val="00C01B3C"/>
    <w:rsid w:val="00C01F68"/>
    <w:rsid w:val="00C01FC2"/>
    <w:rsid w:val="00C022A6"/>
    <w:rsid w:val="00C02639"/>
    <w:rsid w:val="00C02CB8"/>
    <w:rsid w:val="00C02E13"/>
    <w:rsid w:val="00C03075"/>
    <w:rsid w:val="00C0316F"/>
    <w:rsid w:val="00C035A4"/>
    <w:rsid w:val="00C0362F"/>
    <w:rsid w:val="00C03858"/>
    <w:rsid w:val="00C038D2"/>
    <w:rsid w:val="00C03950"/>
    <w:rsid w:val="00C03992"/>
    <w:rsid w:val="00C03E8F"/>
    <w:rsid w:val="00C03EF7"/>
    <w:rsid w:val="00C04275"/>
    <w:rsid w:val="00C04538"/>
    <w:rsid w:val="00C0491F"/>
    <w:rsid w:val="00C04C4B"/>
    <w:rsid w:val="00C04D3C"/>
    <w:rsid w:val="00C0506C"/>
    <w:rsid w:val="00C057D0"/>
    <w:rsid w:val="00C05FFD"/>
    <w:rsid w:val="00C06796"/>
    <w:rsid w:val="00C06C87"/>
    <w:rsid w:val="00C0702A"/>
    <w:rsid w:val="00C0702C"/>
    <w:rsid w:val="00C0726D"/>
    <w:rsid w:val="00C073D0"/>
    <w:rsid w:val="00C076D8"/>
    <w:rsid w:val="00C07AFB"/>
    <w:rsid w:val="00C07B7A"/>
    <w:rsid w:val="00C07D92"/>
    <w:rsid w:val="00C10462"/>
    <w:rsid w:val="00C10A45"/>
    <w:rsid w:val="00C116C2"/>
    <w:rsid w:val="00C1179F"/>
    <w:rsid w:val="00C11ACE"/>
    <w:rsid w:val="00C11C21"/>
    <w:rsid w:val="00C11CD7"/>
    <w:rsid w:val="00C11D5D"/>
    <w:rsid w:val="00C1225F"/>
    <w:rsid w:val="00C1260F"/>
    <w:rsid w:val="00C127B9"/>
    <w:rsid w:val="00C128FA"/>
    <w:rsid w:val="00C12C14"/>
    <w:rsid w:val="00C1320C"/>
    <w:rsid w:val="00C13356"/>
    <w:rsid w:val="00C1385A"/>
    <w:rsid w:val="00C13A07"/>
    <w:rsid w:val="00C14041"/>
    <w:rsid w:val="00C141C7"/>
    <w:rsid w:val="00C14A62"/>
    <w:rsid w:val="00C14BA4"/>
    <w:rsid w:val="00C14C2F"/>
    <w:rsid w:val="00C14F4A"/>
    <w:rsid w:val="00C15190"/>
    <w:rsid w:val="00C15307"/>
    <w:rsid w:val="00C1570C"/>
    <w:rsid w:val="00C15A74"/>
    <w:rsid w:val="00C15A9F"/>
    <w:rsid w:val="00C15AE3"/>
    <w:rsid w:val="00C15C7A"/>
    <w:rsid w:val="00C15F04"/>
    <w:rsid w:val="00C16D21"/>
    <w:rsid w:val="00C1708C"/>
    <w:rsid w:val="00C170B4"/>
    <w:rsid w:val="00C172AD"/>
    <w:rsid w:val="00C17647"/>
    <w:rsid w:val="00C177EA"/>
    <w:rsid w:val="00C179B3"/>
    <w:rsid w:val="00C17E3F"/>
    <w:rsid w:val="00C200AA"/>
    <w:rsid w:val="00C20219"/>
    <w:rsid w:val="00C206DE"/>
    <w:rsid w:val="00C2097A"/>
    <w:rsid w:val="00C20B04"/>
    <w:rsid w:val="00C20F4F"/>
    <w:rsid w:val="00C216D1"/>
    <w:rsid w:val="00C21873"/>
    <w:rsid w:val="00C21935"/>
    <w:rsid w:val="00C21A07"/>
    <w:rsid w:val="00C21A55"/>
    <w:rsid w:val="00C21B98"/>
    <w:rsid w:val="00C21BCF"/>
    <w:rsid w:val="00C22100"/>
    <w:rsid w:val="00C22406"/>
    <w:rsid w:val="00C22C36"/>
    <w:rsid w:val="00C237ED"/>
    <w:rsid w:val="00C23AAF"/>
    <w:rsid w:val="00C24092"/>
    <w:rsid w:val="00C24632"/>
    <w:rsid w:val="00C24DB1"/>
    <w:rsid w:val="00C251AD"/>
    <w:rsid w:val="00C251FB"/>
    <w:rsid w:val="00C252A4"/>
    <w:rsid w:val="00C25418"/>
    <w:rsid w:val="00C25949"/>
    <w:rsid w:val="00C25CE3"/>
    <w:rsid w:val="00C25D9C"/>
    <w:rsid w:val="00C25FA0"/>
    <w:rsid w:val="00C2683F"/>
    <w:rsid w:val="00C26857"/>
    <w:rsid w:val="00C26BCF"/>
    <w:rsid w:val="00C26C3E"/>
    <w:rsid w:val="00C26D55"/>
    <w:rsid w:val="00C2778B"/>
    <w:rsid w:val="00C27C51"/>
    <w:rsid w:val="00C27EA1"/>
    <w:rsid w:val="00C27F54"/>
    <w:rsid w:val="00C301C8"/>
    <w:rsid w:val="00C30391"/>
    <w:rsid w:val="00C303B7"/>
    <w:rsid w:val="00C309AD"/>
    <w:rsid w:val="00C30A8B"/>
    <w:rsid w:val="00C30F60"/>
    <w:rsid w:val="00C31649"/>
    <w:rsid w:val="00C316BF"/>
    <w:rsid w:val="00C3184E"/>
    <w:rsid w:val="00C31A0D"/>
    <w:rsid w:val="00C31AF8"/>
    <w:rsid w:val="00C31C40"/>
    <w:rsid w:val="00C31F48"/>
    <w:rsid w:val="00C321B7"/>
    <w:rsid w:val="00C3252B"/>
    <w:rsid w:val="00C3271E"/>
    <w:rsid w:val="00C327A9"/>
    <w:rsid w:val="00C3284B"/>
    <w:rsid w:val="00C33206"/>
    <w:rsid w:val="00C333FE"/>
    <w:rsid w:val="00C334EF"/>
    <w:rsid w:val="00C3367D"/>
    <w:rsid w:val="00C33F33"/>
    <w:rsid w:val="00C3414A"/>
    <w:rsid w:val="00C3434C"/>
    <w:rsid w:val="00C343FE"/>
    <w:rsid w:val="00C34489"/>
    <w:rsid w:val="00C35074"/>
    <w:rsid w:val="00C3508D"/>
    <w:rsid w:val="00C3538C"/>
    <w:rsid w:val="00C3541C"/>
    <w:rsid w:val="00C356DC"/>
    <w:rsid w:val="00C357C3"/>
    <w:rsid w:val="00C35D3F"/>
    <w:rsid w:val="00C36034"/>
    <w:rsid w:val="00C361D0"/>
    <w:rsid w:val="00C36D6B"/>
    <w:rsid w:val="00C36DF6"/>
    <w:rsid w:val="00C36E76"/>
    <w:rsid w:val="00C37253"/>
    <w:rsid w:val="00C3767C"/>
    <w:rsid w:val="00C3770E"/>
    <w:rsid w:val="00C378A3"/>
    <w:rsid w:val="00C37A5A"/>
    <w:rsid w:val="00C37C12"/>
    <w:rsid w:val="00C4009D"/>
    <w:rsid w:val="00C400C0"/>
    <w:rsid w:val="00C40385"/>
    <w:rsid w:val="00C404C3"/>
    <w:rsid w:val="00C40AC2"/>
    <w:rsid w:val="00C40B5A"/>
    <w:rsid w:val="00C40E34"/>
    <w:rsid w:val="00C41570"/>
    <w:rsid w:val="00C41768"/>
    <w:rsid w:val="00C418DD"/>
    <w:rsid w:val="00C419B8"/>
    <w:rsid w:val="00C41AEF"/>
    <w:rsid w:val="00C41D41"/>
    <w:rsid w:val="00C41EB4"/>
    <w:rsid w:val="00C41F11"/>
    <w:rsid w:val="00C4226F"/>
    <w:rsid w:val="00C42A2A"/>
    <w:rsid w:val="00C42FD7"/>
    <w:rsid w:val="00C431CB"/>
    <w:rsid w:val="00C432DD"/>
    <w:rsid w:val="00C43758"/>
    <w:rsid w:val="00C438C3"/>
    <w:rsid w:val="00C43AAC"/>
    <w:rsid w:val="00C43D17"/>
    <w:rsid w:val="00C43F4C"/>
    <w:rsid w:val="00C44379"/>
    <w:rsid w:val="00C4454A"/>
    <w:rsid w:val="00C448B3"/>
    <w:rsid w:val="00C44B1A"/>
    <w:rsid w:val="00C44DAA"/>
    <w:rsid w:val="00C453BF"/>
    <w:rsid w:val="00C45921"/>
    <w:rsid w:val="00C45A2E"/>
    <w:rsid w:val="00C45BFB"/>
    <w:rsid w:val="00C45D3E"/>
    <w:rsid w:val="00C45EA4"/>
    <w:rsid w:val="00C461D2"/>
    <w:rsid w:val="00C463BB"/>
    <w:rsid w:val="00C463CE"/>
    <w:rsid w:val="00C463E6"/>
    <w:rsid w:val="00C4640F"/>
    <w:rsid w:val="00C46464"/>
    <w:rsid w:val="00C4664C"/>
    <w:rsid w:val="00C46BE5"/>
    <w:rsid w:val="00C46BF5"/>
    <w:rsid w:val="00C46D5B"/>
    <w:rsid w:val="00C46E85"/>
    <w:rsid w:val="00C47289"/>
    <w:rsid w:val="00C475AA"/>
    <w:rsid w:val="00C47695"/>
    <w:rsid w:val="00C47CB0"/>
    <w:rsid w:val="00C47E73"/>
    <w:rsid w:val="00C500A4"/>
    <w:rsid w:val="00C50364"/>
    <w:rsid w:val="00C50863"/>
    <w:rsid w:val="00C512A1"/>
    <w:rsid w:val="00C515F5"/>
    <w:rsid w:val="00C51C5E"/>
    <w:rsid w:val="00C527C7"/>
    <w:rsid w:val="00C52994"/>
    <w:rsid w:val="00C52A32"/>
    <w:rsid w:val="00C53249"/>
    <w:rsid w:val="00C5328A"/>
    <w:rsid w:val="00C53350"/>
    <w:rsid w:val="00C533CD"/>
    <w:rsid w:val="00C53523"/>
    <w:rsid w:val="00C53A53"/>
    <w:rsid w:val="00C53C98"/>
    <w:rsid w:val="00C53DE0"/>
    <w:rsid w:val="00C5407F"/>
    <w:rsid w:val="00C54558"/>
    <w:rsid w:val="00C54A56"/>
    <w:rsid w:val="00C54E6A"/>
    <w:rsid w:val="00C54E9B"/>
    <w:rsid w:val="00C54F3D"/>
    <w:rsid w:val="00C5526F"/>
    <w:rsid w:val="00C552FA"/>
    <w:rsid w:val="00C55612"/>
    <w:rsid w:val="00C556E5"/>
    <w:rsid w:val="00C55BB7"/>
    <w:rsid w:val="00C55F43"/>
    <w:rsid w:val="00C56F57"/>
    <w:rsid w:val="00C56FA9"/>
    <w:rsid w:val="00C56FCF"/>
    <w:rsid w:val="00C570CC"/>
    <w:rsid w:val="00C5712F"/>
    <w:rsid w:val="00C5715C"/>
    <w:rsid w:val="00C57173"/>
    <w:rsid w:val="00C5729D"/>
    <w:rsid w:val="00C57345"/>
    <w:rsid w:val="00C57803"/>
    <w:rsid w:val="00C57B6C"/>
    <w:rsid w:val="00C57C46"/>
    <w:rsid w:val="00C57EBB"/>
    <w:rsid w:val="00C600E1"/>
    <w:rsid w:val="00C607F5"/>
    <w:rsid w:val="00C60B16"/>
    <w:rsid w:val="00C61A59"/>
    <w:rsid w:val="00C61BB7"/>
    <w:rsid w:val="00C61FD7"/>
    <w:rsid w:val="00C6260B"/>
    <w:rsid w:val="00C6274E"/>
    <w:rsid w:val="00C628A6"/>
    <w:rsid w:val="00C62C96"/>
    <w:rsid w:val="00C62E21"/>
    <w:rsid w:val="00C630F8"/>
    <w:rsid w:val="00C631E6"/>
    <w:rsid w:val="00C6334F"/>
    <w:rsid w:val="00C63886"/>
    <w:rsid w:val="00C63B8A"/>
    <w:rsid w:val="00C63BB7"/>
    <w:rsid w:val="00C64344"/>
    <w:rsid w:val="00C6443B"/>
    <w:rsid w:val="00C64CED"/>
    <w:rsid w:val="00C64F50"/>
    <w:rsid w:val="00C65108"/>
    <w:rsid w:val="00C65576"/>
    <w:rsid w:val="00C65649"/>
    <w:rsid w:val="00C65819"/>
    <w:rsid w:val="00C65CA4"/>
    <w:rsid w:val="00C65EC0"/>
    <w:rsid w:val="00C66165"/>
    <w:rsid w:val="00C66B16"/>
    <w:rsid w:val="00C66EDF"/>
    <w:rsid w:val="00C674FD"/>
    <w:rsid w:val="00C67654"/>
    <w:rsid w:val="00C67864"/>
    <w:rsid w:val="00C67C15"/>
    <w:rsid w:val="00C67D0D"/>
    <w:rsid w:val="00C67F4B"/>
    <w:rsid w:val="00C67FBA"/>
    <w:rsid w:val="00C702CD"/>
    <w:rsid w:val="00C7060A"/>
    <w:rsid w:val="00C7069C"/>
    <w:rsid w:val="00C709D4"/>
    <w:rsid w:val="00C70B55"/>
    <w:rsid w:val="00C70D7F"/>
    <w:rsid w:val="00C712C5"/>
    <w:rsid w:val="00C71391"/>
    <w:rsid w:val="00C7151A"/>
    <w:rsid w:val="00C716C9"/>
    <w:rsid w:val="00C716D5"/>
    <w:rsid w:val="00C717E3"/>
    <w:rsid w:val="00C71D79"/>
    <w:rsid w:val="00C71F60"/>
    <w:rsid w:val="00C71FDB"/>
    <w:rsid w:val="00C72241"/>
    <w:rsid w:val="00C72C88"/>
    <w:rsid w:val="00C733D9"/>
    <w:rsid w:val="00C7366A"/>
    <w:rsid w:val="00C73C0B"/>
    <w:rsid w:val="00C74278"/>
    <w:rsid w:val="00C74797"/>
    <w:rsid w:val="00C74B27"/>
    <w:rsid w:val="00C74C65"/>
    <w:rsid w:val="00C750C8"/>
    <w:rsid w:val="00C7514C"/>
    <w:rsid w:val="00C7560F"/>
    <w:rsid w:val="00C75D82"/>
    <w:rsid w:val="00C75E05"/>
    <w:rsid w:val="00C762EC"/>
    <w:rsid w:val="00C771FC"/>
    <w:rsid w:val="00C77404"/>
    <w:rsid w:val="00C77BDD"/>
    <w:rsid w:val="00C77D2F"/>
    <w:rsid w:val="00C805DD"/>
    <w:rsid w:val="00C80A0E"/>
    <w:rsid w:val="00C80A48"/>
    <w:rsid w:val="00C80C88"/>
    <w:rsid w:val="00C80EE5"/>
    <w:rsid w:val="00C81273"/>
    <w:rsid w:val="00C8139A"/>
    <w:rsid w:val="00C819C9"/>
    <w:rsid w:val="00C81A83"/>
    <w:rsid w:val="00C81BAB"/>
    <w:rsid w:val="00C8213F"/>
    <w:rsid w:val="00C8254E"/>
    <w:rsid w:val="00C8303F"/>
    <w:rsid w:val="00C8314F"/>
    <w:rsid w:val="00C834EC"/>
    <w:rsid w:val="00C8350F"/>
    <w:rsid w:val="00C83527"/>
    <w:rsid w:val="00C83C16"/>
    <w:rsid w:val="00C83DED"/>
    <w:rsid w:val="00C83E0C"/>
    <w:rsid w:val="00C83FCB"/>
    <w:rsid w:val="00C8400D"/>
    <w:rsid w:val="00C8411D"/>
    <w:rsid w:val="00C8414B"/>
    <w:rsid w:val="00C84356"/>
    <w:rsid w:val="00C844BF"/>
    <w:rsid w:val="00C84E33"/>
    <w:rsid w:val="00C85154"/>
    <w:rsid w:val="00C851B7"/>
    <w:rsid w:val="00C852F3"/>
    <w:rsid w:val="00C855ED"/>
    <w:rsid w:val="00C85616"/>
    <w:rsid w:val="00C856C8"/>
    <w:rsid w:val="00C85938"/>
    <w:rsid w:val="00C85A70"/>
    <w:rsid w:val="00C85DBE"/>
    <w:rsid w:val="00C86574"/>
    <w:rsid w:val="00C8667B"/>
    <w:rsid w:val="00C866DE"/>
    <w:rsid w:val="00C86711"/>
    <w:rsid w:val="00C86771"/>
    <w:rsid w:val="00C8689C"/>
    <w:rsid w:val="00C86F7D"/>
    <w:rsid w:val="00C87265"/>
    <w:rsid w:val="00C87303"/>
    <w:rsid w:val="00C873EE"/>
    <w:rsid w:val="00C875D8"/>
    <w:rsid w:val="00C8797A"/>
    <w:rsid w:val="00C87A6B"/>
    <w:rsid w:val="00C87CE8"/>
    <w:rsid w:val="00C87E70"/>
    <w:rsid w:val="00C87F31"/>
    <w:rsid w:val="00C87FB6"/>
    <w:rsid w:val="00C900B8"/>
    <w:rsid w:val="00C90189"/>
    <w:rsid w:val="00C90197"/>
    <w:rsid w:val="00C904EA"/>
    <w:rsid w:val="00C9058D"/>
    <w:rsid w:val="00C90C71"/>
    <w:rsid w:val="00C9133E"/>
    <w:rsid w:val="00C91ED7"/>
    <w:rsid w:val="00C91FD1"/>
    <w:rsid w:val="00C9217E"/>
    <w:rsid w:val="00C92225"/>
    <w:rsid w:val="00C924F8"/>
    <w:rsid w:val="00C926A4"/>
    <w:rsid w:val="00C92B31"/>
    <w:rsid w:val="00C92B69"/>
    <w:rsid w:val="00C92DB6"/>
    <w:rsid w:val="00C92E16"/>
    <w:rsid w:val="00C9305E"/>
    <w:rsid w:val="00C931CF"/>
    <w:rsid w:val="00C93717"/>
    <w:rsid w:val="00C9374E"/>
    <w:rsid w:val="00C938CF"/>
    <w:rsid w:val="00C93D9F"/>
    <w:rsid w:val="00C93E0D"/>
    <w:rsid w:val="00C94053"/>
    <w:rsid w:val="00C94744"/>
    <w:rsid w:val="00C94BAA"/>
    <w:rsid w:val="00C94F83"/>
    <w:rsid w:val="00C95408"/>
    <w:rsid w:val="00C95437"/>
    <w:rsid w:val="00C955E2"/>
    <w:rsid w:val="00C956F7"/>
    <w:rsid w:val="00C95A8D"/>
    <w:rsid w:val="00C95C58"/>
    <w:rsid w:val="00C95D50"/>
    <w:rsid w:val="00C9624D"/>
    <w:rsid w:val="00C965EE"/>
    <w:rsid w:val="00C9672D"/>
    <w:rsid w:val="00C969DA"/>
    <w:rsid w:val="00C96FA0"/>
    <w:rsid w:val="00C9705D"/>
    <w:rsid w:val="00C9707C"/>
    <w:rsid w:val="00C9719A"/>
    <w:rsid w:val="00C9724A"/>
    <w:rsid w:val="00C9735F"/>
    <w:rsid w:val="00C97434"/>
    <w:rsid w:val="00C97462"/>
    <w:rsid w:val="00C9751C"/>
    <w:rsid w:val="00C97834"/>
    <w:rsid w:val="00C9796A"/>
    <w:rsid w:val="00C97986"/>
    <w:rsid w:val="00C979A9"/>
    <w:rsid w:val="00C97FEB"/>
    <w:rsid w:val="00CA071D"/>
    <w:rsid w:val="00CA11D8"/>
    <w:rsid w:val="00CA1464"/>
    <w:rsid w:val="00CA1823"/>
    <w:rsid w:val="00CA18AC"/>
    <w:rsid w:val="00CA18E7"/>
    <w:rsid w:val="00CA1DBB"/>
    <w:rsid w:val="00CA20E3"/>
    <w:rsid w:val="00CA234E"/>
    <w:rsid w:val="00CA25CB"/>
    <w:rsid w:val="00CA25DE"/>
    <w:rsid w:val="00CA2706"/>
    <w:rsid w:val="00CA2C77"/>
    <w:rsid w:val="00CA2D10"/>
    <w:rsid w:val="00CA2D84"/>
    <w:rsid w:val="00CA354C"/>
    <w:rsid w:val="00CA3A8B"/>
    <w:rsid w:val="00CA3C11"/>
    <w:rsid w:val="00CA444F"/>
    <w:rsid w:val="00CA4566"/>
    <w:rsid w:val="00CA5245"/>
    <w:rsid w:val="00CA5326"/>
    <w:rsid w:val="00CA5961"/>
    <w:rsid w:val="00CA5D3A"/>
    <w:rsid w:val="00CA5E33"/>
    <w:rsid w:val="00CA5EC1"/>
    <w:rsid w:val="00CA5F55"/>
    <w:rsid w:val="00CA631A"/>
    <w:rsid w:val="00CA640B"/>
    <w:rsid w:val="00CA7033"/>
    <w:rsid w:val="00CA7123"/>
    <w:rsid w:val="00CA71F4"/>
    <w:rsid w:val="00CA7323"/>
    <w:rsid w:val="00CA73A6"/>
    <w:rsid w:val="00CA74EF"/>
    <w:rsid w:val="00CA761D"/>
    <w:rsid w:val="00CA7B09"/>
    <w:rsid w:val="00CA7D18"/>
    <w:rsid w:val="00CA7E84"/>
    <w:rsid w:val="00CB0056"/>
    <w:rsid w:val="00CB01A4"/>
    <w:rsid w:val="00CB021D"/>
    <w:rsid w:val="00CB0305"/>
    <w:rsid w:val="00CB0BE2"/>
    <w:rsid w:val="00CB0D7E"/>
    <w:rsid w:val="00CB119F"/>
    <w:rsid w:val="00CB1227"/>
    <w:rsid w:val="00CB12A5"/>
    <w:rsid w:val="00CB1645"/>
    <w:rsid w:val="00CB1717"/>
    <w:rsid w:val="00CB1884"/>
    <w:rsid w:val="00CB1BA7"/>
    <w:rsid w:val="00CB1C1C"/>
    <w:rsid w:val="00CB1CAC"/>
    <w:rsid w:val="00CB1FC6"/>
    <w:rsid w:val="00CB2119"/>
    <w:rsid w:val="00CB2401"/>
    <w:rsid w:val="00CB29CE"/>
    <w:rsid w:val="00CB2B1C"/>
    <w:rsid w:val="00CB2E80"/>
    <w:rsid w:val="00CB2F2A"/>
    <w:rsid w:val="00CB3121"/>
    <w:rsid w:val="00CB327B"/>
    <w:rsid w:val="00CB35B2"/>
    <w:rsid w:val="00CB3824"/>
    <w:rsid w:val="00CB3B61"/>
    <w:rsid w:val="00CB46B5"/>
    <w:rsid w:val="00CB46F8"/>
    <w:rsid w:val="00CB48E3"/>
    <w:rsid w:val="00CB49F3"/>
    <w:rsid w:val="00CB5488"/>
    <w:rsid w:val="00CB55C7"/>
    <w:rsid w:val="00CB55CB"/>
    <w:rsid w:val="00CB5606"/>
    <w:rsid w:val="00CB5705"/>
    <w:rsid w:val="00CB59C5"/>
    <w:rsid w:val="00CB5A5C"/>
    <w:rsid w:val="00CB5B05"/>
    <w:rsid w:val="00CB5B1A"/>
    <w:rsid w:val="00CB5F88"/>
    <w:rsid w:val="00CB633C"/>
    <w:rsid w:val="00CB6527"/>
    <w:rsid w:val="00CB6789"/>
    <w:rsid w:val="00CB689D"/>
    <w:rsid w:val="00CB6B22"/>
    <w:rsid w:val="00CB6E0E"/>
    <w:rsid w:val="00CB74F6"/>
    <w:rsid w:val="00CB78B7"/>
    <w:rsid w:val="00CB7A83"/>
    <w:rsid w:val="00CB7F5F"/>
    <w:rsid w:val="00CC000F"/>
    <w:rsid w:val="00CC030C"/>
    <w:rsid w:val="00CC042A"/>
    <w:rsid w:val="00CC06BB"/>
    <w:rsid w:val="00CC1093"/>
    <w:rsid w:val="00CC10E2"/>
    <w:rsid w:val="00CC1A3B"/>
    <w:rsid w:val="00CC1B39"/>
    <w:rsid w:val="00CC1BFA"/>
    <w:rsid w:val="00CC1EFF"/>
    <w:rsid w:val="00CC1FBC"/>
    <w:rsid w:val="00CC25F3"/>
    <w:rsid w:val="00CC2E9F"/>
    <w:rsid w:val="00CC2F3F"/>
    <w:rsid w:val="00CC3062"/>
    <w:rsid w:val="00CC31BE"/>
    <w:rsid w:val="00CC326A"/>
    <w:rsid w:val="00CC334E"/>
    <w:rsid w:val="00CC342C"/>
    <w:rsid w:val="00CC35EA"/>
    <w:rsid w:val="00CC3848"/>
    <w:rsid w:val="00CC3896"/>
    <w:rsid w:val="00CC3897"/>
    <w:rsid w:val="00CC394B"/>
    <w:rsid w:val="00CC3A49"/>
    <w:rsid w:val="00CC3BF7"/>
    <w:rsid w:val="00CC3F6B"/>
    <w:rsid w:val="00CC420B"/>
    <w:rsid w:val="00CC435E"/>
    <w:rsid w:val="00CC4A69"/>
    <w:rsid w:val="00CC4ECF"/>
    <w:rsid w:val="00CC4FEF"/>
    <w:rsid w:val="00CC51B4"/>
    <w:rsid w:val="00CC53A6"/>
    <w:rsid w:val="00CC545C"/>
    <w:rsid w:val="00CC56DB"/>
    <w:rsid w:val="00CC5CA3"/>
    <w:rsid w:val="00CC602A"/>
    <w:rsid w:val="00CC61DB"/>
    <w:rsid w:val="00CC690E"/>
    <w:rsid w:val="00CC6D5E"/>
    <w:rsid w:val="00CC6DF7"/>
    <w:rsid w:val="00CC6F75"/>
    <w:rsid w:val="00CC70E6"/>
    <w:rsid w:val="00CC79B1"/>
    <w:rsid w:val="00CC7A5C"/>
    <w:rsid w:val="00CC7A84"/>
    <w:rsid w:val="00CC7A96"/>
    <w:rsid w:val="00CC7F57"/>
    <w:rsid w:val="00CD0031"/>
    <w:rsid w:val="00CD01F3"/>
    <w:rsid w:val="00CD0200"/>
    <w:rsid w:val="00CD02B8"/>
    <w:rsid w:val="00CD050A"/>
    <w:rsid w:val="00CD06EE"/>
    <w:rsid w:val="00CD086A"/>
    <w:rsid w:val="00CD0993"/>
    <w:rsid w:val="00CD0A99"/>
    <w:rsid w:val="00CD0DF7"/>
    <w:rsid w:val="00CD0F41"/>
    <w:rsid w:val="00CD155A"/>
    <w:rsid w:val="00CD1720"/>
    <w:rsid w:val="00CD194B"/>
    <w:rsid w:val="00CD1BD9"/>
    <w:rsid w:val="00CD1C25"/>
    <w:rsid w:val="00CD1D77"/>
    <w:rsid w:val="00CD1D87"/>
    <w:rsid w:val="00CD1E31"/>
    <w:rsid w:val="00CD1EC4"/>
    <w:rsid w:val="00CD2218"/>
    <w:rsid w:val="00CD24E9"/>
    <w:rsid w:val="00CD2B3B"/>
    <w:rsid w:val="00CD2BFB"/>
    <w:rsid w:val="00CD2C8C"/>
    <w:rsid w:val="00CD2D33"/>
    <w:rsid w:val="00CD2F91"/>
    <w:rsid w:val="00CD316A"/>
    <w:rsid w:val="00CD317A"/>
    <w:rsid w:val="00CD3321"/>
    <w:rsid w:val="00CD3350"/>
    <w:rsid w:val="00CD33DA"/>
    <w:rsid w:val="00CD3677"/>
    <w:rsid w:val="00CD3A5B"/>
    <w:rsid w:val="00CD3B83"/>
    <w:rsid w:val="00CD3CA3"/>
    <w:rsid w:val="00CD3F77"/>
    <w:rsid w:val="00CD486C"/>
    <w:rsid w:val="00CD4BAE"/>
    <w:rsid w:val="00CD4BB8"/>
    <w:rsid w:val="00CD4E82"/>
    <w:rsid w:val="00CD5538"/>
    <w:rsid w:val="00CD5885"/>
    <w:rsid w:val="00CD5C3C"/>
    <w:rsid w:val="00CD5DB3"/>
    <w:rsid w:val="00CD5DD2"/>
    <w:rsid w:val="00CD5EFA"/>
    <w:rsid w:val="00CD5F41"/>
    <w:rsid w:val="00CD6283"/>
    <w:rsid w:val="00CD65A7"/>
    <w:rsid w:val="00CD6689"/>
    <w:rsid w:val="00CD66DC"/>
    <w:rsid w:val="00CD6850"/>
    <w:rsid w:val="00CD695B"/>
    <w:rsid w:val="00CD6ADC"/>
    <w:rsid w:val="00CD6DA6"/>
    <w:rsid w:val="00CD7193"/>
    <w:rsid w:val="00CD7548"/>
    <w:rsid w:val="00CD778C"/>
    <w:rsid w:val="00CD7B9E"/>
    <w:rsid w:val="00CD7BC0"/>
    <w:rsid w:val="00CD7E63"/>
    <w:rsid w:val="00CD7FB2"/>
    <w:rsid w:val="00CE025D"/>
    <w:rsid w:val="00CE039E"/>
    <w:rsid w:val="00CE07C8"/>
    <w:rsid w:val="00CE07DC"/>
    <w:rsid w:val="00CE0C46"/>
    <w:rsid w:val="00CE0D15"/>
    <w:rsid w:val="00CE0FC0"/>
    <w:rsid w:val="00CE13E1"/>
    <w:rsid w:val="00CE1567"/>
    <w:rsid w:val="00CE16A5"/>
    <w:rsid w:val="00CE170F"/>
    <w:rsid w:val="00CE189F"/>
    <w:rsid w:val="00CE1BC0"/>
    <w:rsid w:val="00CE22F2"/>
    <w:rsid w:val="00CE2D45"/>
    <w:rsid w:val="00CE358B"/>
    <w:rsid w:val="00CE38C8"/>
    <w:rsid w:val="00CE3F6C"/>
    <w:rsid w:val="00CE402A"/>
    <w:rsid w:val="00CE40E3"/>
    <w:rsid w:val="00CE4148"/>
    <w:rsid w:val="00CE44FD"/>
    <w:rsid w:val="00CE49B9"/>
    <w:rsid w:val="00CE49BA"/>
    <w:rsid w:val="00CE4A3F"/>
    <w:rsid w:val="00CE51FF"/>
    <w:rsid w:val="00CE524F"/>
    <w:rsid w:val="00CE53D4"/>
    <w:rsid w:val="00CE58CC"/>
    <w:rsid w:val="00CE5C9D"/>
    <w:rsid w:val="00CE5E0E"/>
    <w:rsid w:val="00CE618D"/>
    <w:rsid w:val="00CE6274"/>
    <w:rsid w:val="00CE66F9"/>
    <w:rsid w:val="00CE671D"/>
    <w:rsid w:val="00CE6A8C"/>
    <w:rsid w:val="00CE7245"/>
    <w:rsid w:val="00CE733B"/>
    <w:rsid w:val="00CE74D7"/>
    <w:rsid w:val="00CE77B6"/>
    <w:rsid w:val="00CE7934"/>
    <w:rsid w:val="00CE7A1A"/>
    <w:rsid w:val="00CE7A4E"/>
    <w:rsid w:val="00CE7B20"/>
    <w:rsid w:val="00CE7BEA"/>
    <w:rsid w:val="00CF0596"/>
    <w:rsid w:val="00CF05F1"/>
    <w:rsid w:val="00CF0BCD"/>
    <w:rsid w:val="00CF0F6A"/>
    <w:rsid w:val="00CF192A"/>
    <w:rsid w:val="00CF1B7F"/>
    <w:rsid w:val="00CF1C6C"/>
    <w:rsid w:val="00CF1CA5"/>
    <w:rsid w:val="00CF200B"/>
    <w:rsid w:val="00CF209C"/>
    <w:rsid w:val="00CF20C6"/>
    <w:rsid w:val="00CF236B"/>
    <w:rsid w:val="00CF249A"/>
    <w:rsid w:val="00CF2739"/>
    <w:rsid w:val="00CF2B8D"/>
    <w:rsid w:val="00CF2D2E"/>
    <w:rsid w:val="00CF2E6E"/>
    <w:rsid w:val="00CF2FB0"/>
    <w:rsid w:val="00CF354F"/>
    <w:rsid w:val="00CF38B5"/>
    <w:rsid w:val="00CF3A1B"/>
    <w:rsid w:val="00CF3E46"/>
    <w:rsid w:val="00CF40D8"/>
    <w:rsid w:val="00CF4417"/>
    <w:rsid w:val="00CF456B"/>
    <w:rsid w:val="00CF46A4"/>
    <w:rsid w:val="00CF4873"/>
    <w:rsid w:val="00CF4CF4"/>
    <w:rsid w:val="00CF52D4"/>
    <w:rsid w:val="00CF5612"/>
    <w:rsid w:val="00CF5627"/>
    <w:rsid w:val="00CF56A9"/>
    <w:rsid w:val="00CF5A22"/>
    <w:rsid w:val="00CF5AF3"/>
    <w:rsid w:val="00CF5C46"/>
    <w:rsid w:val="00CF5D3F"/>
    <w:rsid w:val="00CF5E08"/>
    <w:rsid w:val="00CF5FD4"/>
    <w:rsid w:val="00CF6095"/>
    <w:rsid w:val="00CF6340"/>
    <w:rsid w:val="00CF6461"/>
    <w:rsid w:val="00CF6ADF"/>
    <w:rsid w:val="00CF6FE1"/>
    <w:rsid w:val="00CF7411"/>
    <w:rsid w:val="00CF79CD"/>
    <w:rsid w:val="00CF7B4E"/>
    <w:rsid w:val="00CF7C15"/>
    <w:rsid w:val="00CF7CFB"/>
    <w:rsid w:val="00D0087F"/>
    <w:rsid w:val="00D0095A"/>
    <w:rsid w:val="00D00CF2"/>
    <w:rsid w:val="00D00F15"/>
    <w:rsid w:val="00D013A3"/>
    <w:rsid w:val="00D01658"/>
    <w:rsid w:val="00D01752"/>
    <w:rsid w:val="00D019C4"/>
    <w:rsid w:val="00D019D5"/>
    <w:rsid w:val="00D01ACB"/>
    <w:rsid w:val="00D01BDE"/>
    <w:rsid w:val="00D01D8B"/>
    <w:rsid w:val="00D020AC"/>
    <w:rsid w:val="00D022B8"/>
    <w:rsid w:val="00D02519"/>
    <w:rsid w:val="00D0262E"/>
    <w:rsid w:val="00D029E0"/>
    <w:rsid w:val="00D02C48"/>
    <w:rsid w:val="00D0340A"/>
    <w:rsid w:val="00D034D9"/>
    <w:rsid w:val="00D03679"/>
    <w:rsid w:val="00D04388"/>
    <w:rsid w:val="00D04472"/>
    <w:rsid w:val="00D04874"/>
    <w:rsid w:val="00D04DFC"/>
    <w:rsid w:val="00D04E83"/>
    <w:rsid w:val="00D053A7"/>
    <w:rsid w:val="00D05462"/>
    <w:rsid w:val="00D0577F"/>
    <w:rsid w:val="00D059A8"/>
    <w:rsid w:val="00D05A7A"/>
    <w:rsid w:val="00D05E3D"/>
    <w:rsid w:val="00D060DE"/>
    <w:rsid w:val="00D06139"/>
    <w:rsid w:val="00D0672F"/>
    <w:rsid w:val="00D0684C"/>
    <w:rsid w:val="00D068C7"/>
    <w:rsid w:val="00D06E75"/>
    <w:rsid w:val="00D07A6B"/>
    <w:rsid w:val="00D10226"/>
    <w:rsid w:val="00D1096D"/>
    <w:rsid w:val="00D10ADB"/>
    <w:rsid w:val="00D10CB6"/>
    <w:rsid w:val="00D110BD"/>
    <w:rsid w:val="00D11C4D"/>
    <w:rsid w:val="00D120DA"/>
    <w:rsid w:val="00D126BA"/>
    <w:rsid w:val="00D1271E"/>
    <w:rsid w:val="00D12C54"/>
    <w:rsid w:val="00D12DC3"/>
    <w:rsid w:val="00D12FD4"/>
    <w:rsid w:val="00D134AC"/>
    <w:rsid w:val="00D13675"/>
    <w:rsid w:val="00D13E61"/>
    <w:rsid w:val="00D13EBB"/>
    <w:rsid w:val="00D13FD2"/>
    <w:rsid w:val="00D140D4"/>
    <w:rsid w:val="00D141E1"/>
    <w:rsid w:val="00D1430D"/>
    <w:rsid w:val="00D145F2"/>
    <w:rsid w:val="00D14CA5"/>
    <w:rsid w:val="00D14D23"/>
    <w:rsid w:val="00D14F02"/>
    <w:rsid w:val="00D14F6E"/>
    <w:rsid w:val="00D15314"/>
    <w:rsid w:val="00D1531C"/>
    <w:rsid w:val="00D155D4"/>
    <w:rsid w:val="00D15681"/>
    <w:rsid w:val="00D1596C"/>
    <w:rsid w:val="00D15B48"/>
    <w:rsid w:val="00D16525"/>
    <w:rsid w:val="00D16E61"/>
    <w:rsid w:val="00D16ECC"/>
    <w:rsid w:val="00D173EB"/>
    <w:rsid w:val="00D1771D"/>
    <w:rsid w:val="00D1794D"/>
    <w:rsid w:val="00D17B4F"/>
    <w:rsid w:val="00D17D6C"/>
    <w:rsid w:val="00D17E8C"/>
    <w:rsid w:val="00D17F3B"/>
    <w:rsid w:val="00D20056"/>
    <w:rsid w:val="00D2023C"/>
    <w:rsid w:val="00D2081E"/>
    <w:rsid w:val="00D209F6"/>
    <w:rsid w:val="00D20A5E"/>
    <w:rsid w:val="00D20C1E"/>
    <w:rsid w:val="00D20D9A"/>
    <w:rsid w:val="00D20E31"/>
    <w:rsid w:val="00D20F7B"/>
    <w:rsid w:val="00D210D6"/>
    <w:rsid w:val="00D213E9"/>
    <w:rsid w:val="00D2155B"/>
    <w:rsid w:val="00D2162F"/>
    <w:rsid w:val="00D21D80"/>
    <w:rsid w:val="00D22093"/>
    <w:rsid w:val="00D22761"/>
    <w:rsid w:val="00D22F89"/>
    <w:rsid w:val="00D2307A"/>
    <w:rsid w:val="00D230F0"/>
    <w:rsid w:val="00D23147"/>
    <w:rsid w:val="00D231F1"/>
    <w:rsid w:val="00D237EE"/>
    <w:rsid w:val="00D238BD"/>
    <w:rsid w:val="00D23A5D"/>
    <w:rsid w:val="00D23B27"/>
    <w:rsid w:val="00D23D11"/>
    <w:rsid w:val="00D23E3B"/>
    <w:rsid w:val="00D23F2E"/>
    <w:rsid w:val="00D240C4"/>
    <w:rsid w:val="00D24294"/>
    <w:rsid w:val="00D244B6"/>
    <w:rsid w:val="00D2468C"/>
    <w:rsid w:val="00D24959"/>
    <w:rsid w:val="00D24A75"/>
    <w:rsid w:val="00D24ADD"/>
    <w:rsid w:val="00D24BA0"/>
    <w:rsid w:val="00D25250"/>
    <w:rsid w:val="00D253FB"/>
    <w:rsid w:val="00D25478"/>
    <w:rsid w:val="00D2555E"/>
    <w:rsid w:val="00D2573E"/>
    <w:rsid w:val="00D258BC"/>
    <w:rsid w:val="00D26104"/>
    <w:rsid w:val="00D2640E"/>
    <w:rsid w:val="00D26741"/>
    <w:rsid w:val="00D26AA0"/>
    <w:rsid w:val="00D26AA5"/>
    <w:rsid w:val="00D26D1C"/>
    <w:rsid w:val="00D270CB"/>
    <w:rsid w:val="00D27259"/>
    <w:rsid w:val="00D2754D"/>
    <w:rsid w:val="00D27B27"/>
    <w:rsid w:val="00D300CD"/>
    <w:rsid w:val="00D3011B"/>
    <w:rsid w:val="00D30262"/>
    <w:rsid w:val="00D30D09"/>
    <w:rsid w:val="00D30D5B"/>
    <w:rsid w:val="00D30E0E"/>
    <w:rsid w:val="00D31136"/>
    <w:rsid w:val="00D31256"/>
    <w:rsid w:val="00D314B2"/>
    <w:rsid w:val="00D3173A"/>
    <w:rsid w:val="00D3192E"/>
    <w:rsid w:val="00D3212D"/>
    <w:rsid w:val="00D32197"/>
    <w:rsid w:val="00D3222F"/>
    <w:rsid w:val="00D327CE"/>
    <w:rsid w:val="00D32935"/>
    <w:rsid w:val="00D32977"/>
    <w:rsid w:val="00D32A77"/>
    <w:rsid w:val="00D32B00"/>
    <w:rsid w:val="00D32CCF"/>
    <w:rsid w:val="00D32F72"/>
    <w:rsid w:val="00D33056"/>
    <w:rsid w:val="00D33308"/>
    <w:rsid w:val="00D33443"/>
    <w:rsid w:val="00D335A3"/>
    <w:rsid w:val="00D3387D"/>
    <w:rsid w:val="00D33BE9"/>
    <w:rsid w:val="00D33EFF"/>
    <w:rsid w:val="00D33F93"/>
    <w:rsid w:val="00D340E6"/>
    <w:rsid w:val="00D3500B"/>
    <w:rsid w:val="00D3566D"/>
    <w:rsid w:val="00D35712"/>
    <w:rsid w:val="00D35752"/>
    <w:rsid w:val="00D357FF"/>
    <w:rsid w:val="00D35B29"/>
    <w:rsid w:val="00D35D7E"/>
    <w:rsid w:val="00D35FA4"/>
    <w:rsid w:val="00D35FC7"/>
    <w:rsid w:val="00D36747"/>
    <w:rsid w:val="00D36B2E"/>
    <w:rsid w:val="00D36D30"/>
    <w:rsid w:val="00D371B0"/>
    <w:rsid w:val="00D37272"/>
    <w:rsid w:val="00D3747E"/>
    <w:rsid w:val="00D37711"/>
    <w:rsid w:val="00D37727"/>
    <w:rsid w:val="00D37891"/>
    <w:rsid w:val="00D37ABE"/>
    <w:rsid w:val="00D37ED5"/>
    <w:rsid w:val="00D40484"/>
    <w:rsid w:val="00D406EA"/>
    <w:rsid w:val="00D40705"/>
    <w:rsid w:val="00D40F6C"/>
    <w:rsid w:val="00D4145A"/>
    <w:rsid w:val="00D417EA"/>
    <w:rsid w:val="00D41A03"/>
    <w:rsid w:val="00D41BA2"/>
    <w:rsid w:val="00D41BBE"/>
    <w:rsid w:val="00D41C71"/>
    <w:rsid w:val="00D42019"/>
    <w:rsid w:val="00D42196"/>
    <w:rsid w:val="00D424C7"/>
    <w:rsid w:val="00D425B8"/>
    <w:rsid w:val="00D4284C"/>
    <w:rsid w:val="00D42B03"/>
    <w:rsid w:val="00D42BB4"/>
    <w:rsid w:val="00D4325D"/>
    <w:rsid w:val="00D436AE"/>
    <w:rsid w:val="00D43854"/>
    <w:rsid w:val="00D43B04"/>
    <w:rsid w:val="00D43B2A"/>
    <w:rsid w:val="00D43CF1"/>
    <w:rsid w:val="00D43D11"/>
    <w:rsid w:val="00D43D83"/>
    <w:rsid w:val="00D43EBD"/>
    <w:rsid w:val="00D44ACD"/>
    <w:rsid w:val="00D44E58"/>
    <w:rsid w:val="00D44F90"/>
    <w:rsid w:val="00D4502E"/>
    <w:rsid w:val="00D45115"/>
    <w:rsid w:val="00D454FF"/>
    <w:rsid w:val="00D4589C"/>
    <w:rsid w:val="00D459D3"/>
    <w:rsid w:val="00D45AF9"/>
    <w:rsid w:val="00D45E45"/>
    <w:rsid w:val="00D460EF"/>
    <w:rsid w:val="00D46698"/>
    <w:rsid w:val="00D46778"/>
    <w:rsid w:val="00D46ED6"/>
    <w:rsid w:val="00D4720D"/>
    <w:rsid w:val="00D47575"/>
    <w:rsid w:val="00D47843"/>
    <w:rsid w:val="00D479E8"/>
    <w:rsid w:val="00D47D7B"/>
    <w:rsid w:val="00D47F48"/>
    <w:rsid w:val="00D47FB4"/>
    <w:rsid w:val="00D5023A"/>
    <w:rsid w:val="00D50505"/>
    <w:rsid w:val="00D50658"/>
    <w:rsid w:val="00D506F5"/>
    <w:rsid w:val="00D50AA7"/>
    <w:rsid w:val="00D51031"/>
    <w:rsid w:val="00D5120A"/>
    <w:rsid w:val="00D51242"/>
    <w:rsid w:val="00D51507"/>
    <w:rsid w:val="00D51DA3"/>
    <w:rsid w:val="00D5202C"/>
    <w:rsid w:val="00D5206E"/>
    <w:rsid w:val="00D5243B"/>
    <w:rsid w:val="00D52906"/>
    <w:rsid w:val="00D52A44"/>
    <w:rsid w:val="00D533EC"/>
    <w:rsid w:val="00D5362F"/>
    <w:rsid w:val="00D5384A"/>
    <w:rsid w:val="00D53A87"/>
    <w:rsid w:val="00D53AB3"/>
    <w:rsid w:val="00D53BBD"/>
    <w:rsid w:val="00D540D0"/>
    <w:rsid w:val="00D541FB"/>
    <w:rsid w:val="00D542EE"/>
    <w:rsid w:val="00D543F6"/>
    <w:rsid w:val="00D54719"/>
    <w:rsid w:val="00D54985"/>
    <w:rsid w:val="00D549A8"/>
    <w:rsid w:val="00D54A6D"/>
    <w:rsid w:val="00D55016"/>
    <w:rsid w:val="00D55018"/>
    <w:rsid w:val="00D55236"/>
    <w:rsid w:val="00D55A81"/>
    <w:rsid w:val="00D55A93"/>
    <w:rsid w:val="00D55E39"/>
    <w:rsid w:val="00D5665E"/>
    <w:rsid w:val="00D56836"/>
    <w:rsid w:val="00D56A95"/>
    <w:rsid w:val="00D56C46"/>
    <w:rsid w:val="00D571B9"/>
    <w:rsid w:val="00D571C6"/>
    <w:rsid w:val="00D57274"/>
    <w:rsid w:val="00D576F5"/>
    <w:rsid w:val="00D57725"/>
    <w:rsid w:val="00D5778E"/>
    <w:rsid w:val="00D6076E"/>
    <w:rsid w:val="00D608AC"/>
    <w:rsid w:val="00D60956"/>
    <w:rsid w:val="00D610FA"/>
    <w:rsid w:val="00D6129E"/>
    <w:rsid w:val="00D614A8"/>
    <w:rsid w:val="00D62054"/>
    <w:rsid w:val="00D620CC"/>
    <w:rsid w:val="00D62289"/>
    <w:rsid w:val="00D6231C"/>
    <w:rsid w:val="00D6234C"/>
    <w:rsid w:val="00D6240B"/>
    <w:rsid w:val="00D624EF"/>
    <w:rsid w:val="00D628C0"/>
    <w:rsid w:val="00D629F6"/>
    <w:rsid w:val="00D6319F"/>
    <w:rsid w:val="00D63704"/>
    <w:rsid w:val="00D63A50"/>
    <w:rsid w:val="00D63E30"/>
    <w:rsid w:val="00D63E43"/>
    <w:rsid w:val="00D63FD2"/>
    <w:rsid w:val="00D64A38"/>
    <w:rsid w:val="00D64EC3"/>
    <w:rsid w:val="00D6505D"/>
    <w:rsid w:val="00D65745"/>
    <w:rsid w:val="00D65CB3"/>
    <w:rsid w:val="00D65E2F"/>
    <w:rsid w:val="00D6603B"/>
    <w:rsid w:val="00D661E1"/>
    <w:rsid w:val="00D665F3"/>
    <w:rsid w:val="00D66657"/>
    <w:rsid w:val="00D66689"/>
    <w:rsid w:val="00D666F0"/>
    <w:rsid w:val="00D66C80"/>
    <w:rsid w:val="00D66D5C"/>
    <w:rsid w:val="00D67146"/>
    <w:rsid w:val="00D675BB"/>
    <w:rsid w:val="00D67677"/>
    <w:rsid w:val="00D6774D"/>
    <w:rsid w:val="00D67BE5"/>
    <w:rsid w:val="00D702DA"/>
    <w:rsid w:val="00D7037F"/>
    <w:rsid w:val="00D70554"/>
    <w:rsid w:val="00D705B9"/>
    <w:rsid w:val="00D705D1"/>
    <w:rsid w:val="00D70693"/>
    <w:rsid w:val="00D7085F"/>
    <w:rsid w:val="00D70B90"/>
    <w:rsid w:val="00D70E69"/>
    <w:rsid w:val="00D70F16"/>
    <w:rsid w:val="00D70FC6"/>
    <w:rsid w:val="00D713E6"/>
    <w:rsid w:val="00D71489"/>
    <w:rsid w:val="00D7164B"/>
    <w:rsid w:val="00D71655"/>
    <w:rsid w:val="00D7190F"/>
    <w:rsid w:val="00D71AFF"/>
    <w:rsid w:val="00D72329"/>
    <w:rsid w:val="00D72617"/>
    <w:rsid w:val="00D72876"/>
    <w:rsid w:val="00D72F57"/>
    <w:rsid w:val="00D73022"/>
    <w:rsid w:val="00D7308B"/>
    <w:rsid w:val="00D73098"/>
    <w:rsid w:val="00D73328"/>
    <w:rsid w:val="00D739A0"/>
    <w:rsid w:val="00D73C29"/>
    <w:rsid w:val="00D742D4"/>
    <w:rsid w:val="00D7431E"/>
    <w:rsid w:val="00D7438C"/>
    <w:rsid w:val="00D743E9"/>
    <w:rsid w:val="00D746EB"/>
    <w:rsid w:val="00D74A54"/>
    <w:rsid w:val="00D74B44"/>
    <w:rsid w:val="00D751DC"/>
    <w:rsid w:val="00D7526B"/>
    <w:rsid w:val="00D75D3C"/>
    <w:rsid w:val="00D760C8"/>
    <w:rsid w:val="00D76224"/>
    <w:rsid w:val="00D763C1"/>
    <w:rsid w:val="00D765FE"/>
    <w:rsid w:val="00D7692E"/>
    <w:rsid w:val="00D76A44"/>
    <w:rsid w:val="00D76E24"/>
    <w:rsid w:val="00D76E94"/>
    <w:rsid w:val="00D76F7C"/>
    <w:rsid w:val="00D77295"/>
    <w:rsid w:val="00D772D7"/>
    <w:rsid w:val="00D77A18"/>
    <w:rsid w:val="00D77A51"/>
    <w:rsid w:val="00D77E86"/>
    <w:rsid w:val="00D80007"/>
    <w:rsid w:val="00D800B8"/>
    <w:rsid w:val="00D802C8"/>
    <w:rsid w:val="00D80A29"/>
    <w:rsid w:val="00D80AF8"/>
    <w:rsid w:val="00D80B2D"/>
    <w:rsid w:val="00D80EFB"/>
    <w:rsid w:val="00D8123F"/>
    <w:rsid w:val="00D815EF"/>
    <w:rsid w:val="00D817B6"/>
    <w:rsid w:val="00D8184B"/>
    <w:rsid w:val="00D81949"/>
    <w:rsid w:val="00D81A20"/>
    <w:rsid w:val="00D81AA6"/>
    <w:rsid w:val="00D81D3A"/>
    <w:rsid w:val="00D81F26"/>
    <w:rsid w:val="00D81FC1"/>
    <w:rsid w:val="00D822E2"/>
    <w:rsid w:val="00D82733"/>
    <w:rsid w:val="00D827C5"/>
    <w:rsid w:val="00D829CB"/>
    <w:rsid w:val="00D829E9"/>
    <w:rsid w:val="00D82DB7"/>
    <w:rsid w:val="00D830C4"/>
    <w:rsid w:val="00D83836"/>
    <w:rsid w:val="00D83A77"/>
    <w:rsid w:val="00D83DE9"/>
    <w:rsid w:val="00D84179"/>
    <w:rsid w:val="00D8417A"/>
    <w:rsid w:val="00D843F2"/>
    <w:rsid w:val="00D8469B"/>
    <w:rsid w:val="00D8473D"/>
    <w:rsid w:val="00D848AC"/>
    <w:rsid w:val="00D84BAF"/>
    <w:rsid w:val="00D84C0B"/>
    <w:rsid w:val="00D84D34"/>
    <w:rsid w:val="00D84FCD"/>
    <w:rsid w:val="00D85577"/>
    <w:rsid w:val="00D85828"/>
    <w:rsid w:val="00D85878"/>
    <w:rsid w:val="00D85901"/>
    <w:rsid w:val="00D85AEE"/>
    <w:rsid w:val="00D85B95"/>
    <w:rsid w:val="00D85F34"/>
    <w:rsid w:val="00D86231"/>
    <w:rsid w:val="00D8655E"/>
    <w:rsid w:val="00D8679C"/>
    <w:rsid w:val="00D86A6D"/>
    <w:rsid w:val="00D86E60"/>
    <w:rsid w:val="00D86F3E"/>
    <w:rsid w:val="00D87107"/>
    <w:rsid w:val="00D8724C"/>
    <w:rsid w:val="00D8735D"/>
    <w:rsid w:val="00D87491"/>
    <w:rsid w:val="00D9009E"/>
    <w:rsid w:val="00D900D9"/>
    <w:rsid w:val="00D9030C"/>
    <w:rsid w:val="00D90676"/>
    <w:rsid w:val="00D9116F"/>
    <w:rsid w:val="00D912AB"/>
    <w:rsid w:val="00D914B1"/>
    <w:rsid w:val="00D91769"/>
    <w:rsid w:val="00D91878"/>
    <w:rsid w:val="00D91923"/>
    <w:rsid w:val="00D9194F"/>
    <w:rsid w:val="00D9195A"/>
    <w:rsid w:val="00D91A1F"/>
    <w:rsid w:val="00D920A9"/>
    <w:rsid w:val="00D92649"/>
    <w:rsid w:val="00D92E53"/>
    <w:rsid w:val="00D92EAB"/>
    <w:rsid w:val="00D92F79"/>
    <w:rsid w:val="00D93753"/>
    <w:rsid w:val="00D939D4"/>
    <w:rsid w:val="00D94189"/>
    <w:rsid w:val="00D9418B"/>
    <w:rsid w:val="00D94260"/>
    <w:rsid w:val="00D94B59"/>
    <w:rsid w:val="00D94CC7"/>
    <w:rsid w:val="00D953D5"/>
    <w:rsid w:val="00D9554D"/>
    <w:rsid w:val="00D95625"/>
    <w:rsid w:val="00D9571C"/>
    <w:rsid w:val="00D959DD"/>
    <w:rsid w:val="00D959E3"/>
    <w:rsid w:val="00D95A2F"/>
    <w:rsid w:val="00D95EDD"/>
    <w:rsid w:val="00D96062"/>
    <w:rsid w:val="00D964C0"/>
    <w:rsid w:val="00D968EC"/>
    <w:rsid w:val="00D96A47"/>
    <w:rsid w:val="00D96AC8"/>
    <w:rsid w:val="00D96C10"/>
    <w:rsid w:val="00D96C92"/>
    <w:rsid w:val="00D96E26"/>
    <w:rsid w:val="00D97279"/>
    <w:rsid w:val="00D97334"/>
    <w:rsid w:val="00D974DB"/>
    <w:rsid w:val="00D9783D"/>
    <w:rsid w:val="00D97BAD"/>
    <w:rsid w:val="00DA03DE"/>
    <w:rsid w:val="00DA07D1"/>
    <w:rsid w:val="00DA0B60"/>
    <w:rsid w:val="00DA133D"/>
    <w:rsid w:val="00DA1652"/>
    <w:rsid w:val="00DA1A6A"/>
    <w:rsid w:val="00DA1A97"/>
    <w:rsid w:val="00DA1B3F"/>
    <w:rsid w:val="00DA1C3C"/>
    <w:rsid w:val="00DA1CEB"/>
    <w:rsid w:val="00DA1D6C"/>
    <w:rsid w:val="00DA23D1"/>
    <w:rsid w:val="00DA24BE"/>
    <w:rsid w:val="00DA2633"/>
    <w:rsid w:val="00DA2A03"/>
    <w:rsid w:val="00DA2FE9"/>
    <w:rsid w:val="00DA3167"/>
    <w:rsid w:val="00DA33A8"/>
    <w:rsid w:val="00DA33F2"/>
    <w:rsid w:val="00DA353A"/>
    <w:rsid w:val="00DA3711"/>
    <w:rsid w:val="00DA37C4"/>
    <w:rsid w:val="00DA3ACC"/>
    <w:rsid w:val="00DA3B44"/>
    <w:rsid w:val="00DA3C26"/>
    <w:rsid w:val="00DA3DBB"/>
    <w:rsid w:val="00DA3F06"/>
    <w:rsid w:val="00DA407C"/>
    <w:rsid w:val="00DA486A"/>
    <w:rsid w:val="00DA4881"/>
    <w:rsid w:val="00DA48F9"/>
    <w:rsid w:val="00DA4B6C"/>
    <w:rsid w:val="00DA4C67"/>
    <w:rsid w:val="00DA4DC3"/>
    <w:rsid w:val="00DA4ECD"/>
    <w:rsid w:val="00DA53D0"/>
    <w:rsid w:val="00DA588F"/>
    <w:rsid w:val="00DA5BC7"/>
    <w:rsid w:val="00DA5DF9"/>
    <w:rsid w:val="00DA5F14"/>
    <w:rsid w:val="00DA5F48"/>
    <w:rsid w:val="00DA5F4C"/>
    <w:rsid w:val="00DA6246"/>
    <w:rsid w:val="00DA6305"/>
    <w:rsid w:val="00DA63E7"/>
    <w:rsid w:val="00DA6424"/>
    <w:rsid w:val="00DA6515"/>
    <w:rsid w:val="00DA65E2"/>
    <w:rsid w:val="00DA6931"/>
    <w:rsid w:val="00DA6C7E"/>
    <w:rsid w:val="00DA6E14"/>
    <w:rsid w:val="00DA6FA4"/>
    <w:rsid w:val="00DA7077"/>
    <w:rsid w:val="00DA7701"/>
    <w:rsid w:val="00DA77A5"/>
    <w:rsid w:val="00DA7C8B"/>
    <w:rsid w:val="00DA7E32"/>
    <w:rsid w:val="00DA7F5E"/>
    <w:rsid w:val="00DB020E"/>
    <w:rsid w:val="00DB081E"/>
    <w:rsid w:val="00DB0962"/>
    <w:rsid w:val="00DB0AD7"/>
    <w:rsid w:val="00DB0E36"/>
    <w:rsid w:val="00DB1210"/>
    <w:rsid w:val="00DB169E"/>
    <w:rsid w:val="00DB16A6"/>
    <w:rsid w:val="00DB18B3"/>
    <w:rsid w:val="00DB1E64"/>
    <w:rsid w:val="00DB1EBB"/>
    <w:rsid w:val="00DB1F4C"/>
    <w:rsid w:val="00DB214B"/>
    <w:rsid w:val="00DB2455"/>
    <w:rsid w:val="00DB287B"/>
    <w:rsid w:val="00DB2A72"/>
    <w:rsid w:val="00DB2A79"/>
    <w:rsid w:val="00DB2C12"/>
    <w:rsid w:val="00DB2E0B"/>
    <w:rsid w:val="00DB30F2"/>
    <w:rsid w:val="00DB3992"/>
    <w:rsid w:val="00DB3AAB"/>
    <w:rsid w:val="00DB3DBF"/>
    <w:rsid w:val="00DB40FA"/>
    <w:rsid w:val="00DB41D9"/>
    <w:rsid w:val="00DB424E"/>
    <w:rsid w:val="00DB4384"/>
    <w:rsid w:val="00DB484F"/>
    <w:rsid w:val="00DB52A4"/>
    <w:rsid w:val="00DB54B3"/>
    <w:rsid w:val="00DB569E"/>
    <w:rsid w:val="00DB584B"/>
    <w:rsid w:val="00DB594B"/>
    <w:rsid w:val="00DB5B76"/>
    <w:rsid w:val="00DB5DD7"/>
    <w:rsid w:val="00DB60E5"/>
    <w:rsid w:val="00DB6335"/>
    <w:rsid w:val="00DB67AD"/>
    <w:rsid w:val="00DB6912"/>
    <w:rsid w:val="00DB6A3E"/>
    <w:rsid w:val="00DB6BCF"/>
    <w:rsid w:val="00DB6E35"/>
    <w:rsid w:val="00DB6F2F"/>
    <w:rsid w:val="00DB737B"/>
    <w:rsid w:val="00DB7667"/>
    <w:rsid w:val="00DB76A8"/>
    <w:rsid w:val="00DB7D6F"/>
    <w:rsid w:val="00DB7F64"/>
    <w:rsid w:val="00DC01B8"/>
    <w:rsid w:val="00DC04F6"/>
    <w:rsid w:val="00DC0690"/>
    <w:rsid w:val="00DC1157"/>
    <w:rsid w:val="00DC155C"/>
    <w:rsid w:val="00DC15BE"/>
    <w:rsid w:val="00DC17E2"/>
    <w:rsid w:val="00DC1A90"/>
    <w:rsid w:val="00DC1D65"/>
    <w:rsid w:val="00DC2553"/>
    <w:rsid w:val="00DC27B9"/>
    <w:rsid w:val="00DC2E05"/>
    <w:rsid w:val="00DC31E8"/>
    <w:rsid w:val="00DC33E4"/>
    <w:rsid w:val="00DC35D6"/>
    <w:rsid w:val="00DC3C57"/>
    <w:rsid w:val="00DC3E46"/>
    <w:rsid w:val="00DC42D0"/>
    <w:rsid w:val="00DC4420"/>
    <w:rsid w:val="00DC492B"/>
    <w:rsid w:val="00DC4ED9"/>
    <w:rsid w:val="00DC52CE"/>
    <w:rsid w:val="00DC5337"/>
    <w:rsid w:val="00DC5501"/>
    <w:rsid w:val="00DC5568"/>
    <w:rsid w:val="00DC5C41"/>
    <w:rsid w:val="00DC5DCA"/>
    <w:rsid w:val="00DC5DE4"/>
    <w:rsid w:val="00DC5E8D"/>
    <w:rsid w:val="00DC5F6F"/>
    <w:rsid w:val="00DC6525"/>
    <w:rsid w:val="00DC654B"/>
    <w:rsid w:val="00DC65AF"/>
    <w:rsid w:val="00DC65E5"/>
    <w:rsid w:val="00DC682A"/>
    <w:rsid w:val="00DC68E5"/>
    <w:rsid w:val="00DC7055"/>
    <w:rsid w:val="00DC7154"/>
    <w:rsid w:val="00DC7493"/>
    <w:rsid w:val="00DC79E7"/>
    <w:rsid w:val="00DC7A0B"/>
    <w:rsid w:val="00DC7C92"/>
    <w:rsid w:val="00DC7E7A"/>
    <w:rsid w:val="00DC7E8A"/>
    <w:rsid w:val="00DD033B"/>
    <w:rsid w:val="00DD075D"/>
    <w:rsid w:val="00DD0814"/>
    <w:rsid w:val="00DD0F78"/>
    <w:rsid w:val="00DD191A"/>
    <w:rsid w:val="00DD1F67"/>
    <w:rsid w:val="00DD2021"/>
    <w:rsid w:val="00DD228D"/>
    <w:rsid w:val="00DD24BC"/>
    <w:rsid w:val="00DD273C"/>
    <w:rsid w:val="00DD2951"/>
    <w:rsid w:val="00DD29E6"/>
    <w:rsid w:val="00DD2F41"/>
    <w:rsid w:val="00DD300A"/>
    <w:rsid w:val="00DD349C"/>
    <w:rsid w:val="00DD3810"/>
    <w:rsid w:val="00DD3F28"/>
    <w:rsid w:val="00DD4317"/>
    <w:rsid w:val="00DD4446"/>
    <w:rsid w:val="00DD4474"/>
    <w:rsid w:val="00DD4537"/>
    <w:rsid w:val="00DD45EC"/>
    <w:rsid w:val="00DD4E15"/>
    <w:rsid w:val="00DD5118"/>
    <w:rsid w:val="00DD530A"/>
    <w:rsid w:val="00DD581D"/>
    <w:rsid w:val="00DD592B"/>
    <w:rsid w:val="00DD5AB2"/>
    <w:rsid w:val="00DD5DB3"/>
    <w:rsid w:val="00DD5E21"/>
    <w:rsid w:val="00DD6165"/>
    <w:rsid w:val="00DD61DE"/>
    <w:rsid w:val="00DD63BD"/>
    <w:rsid w:val="00DD6473"/>
    <w:rsid w:val="00DD67A1"/>
    <w:rsid w:val="00DD698E"/>
    <w:rsid w:val="00DD6E90"/>
    <w:rsid w:val="00DD6F06"/>
    <w:rsid w:val="00DD70BE"/>
    <w:rsid w:val="00DD7364"/>
    <w:rsid w:val="00DD74C1"/>
    <w:rsid w:val="00DD7B6B"/>
    <w:rsid w:val="00DD7F1D"/>
    <w:rsid w:val="00DE0A4C"/>
    <w:rsid w:val="00DE0D26"/>
    <w:rsid w:val="00DE1265"/>
    <w:rsid w:val="00DE14F3"/>
    <w:rsid w:val="00DE167D"/>
    <w:rsid w:val="00DE16F8"/>
    <w:rsid w:val="00DE184F"/>
    <w:rsid w:val="00DE190A"/>
    <w:rsid w:val="00DE1A68"/>
    <w:rsid w:val="00DE1B81"/>
    <w:rsid w:val="00DE1DD2"/>
    <w:rsid w:val="00DE1E01"/>
    <w:rsid w:val="00DE226B"/>
    <w:rsid w:val="00DE2304"/>
    <w:rsid w:val="00DE241D"/>
    <w:rsid w:val="00DE2AF4"/>
    <w:rsid w:val="00DE2AF6"/>
    <w:rsid w:val="00DE2D4D"/>
    <w:rsid w:val="00DE2F8F"/>
    <w:rsid w:val="00DE3138"/>
    <w:rsid w:val="00DE3334"/>
    <w:rsid w:val="00DE3721"/>
    <w:rsid w:val="00DE37F8"/>
    <w:rsid w:val="00DE392D"/>
    <w:rsid w:val="00DE39AC"/>
    <w:rsid w:val="00DE4273"/>
    <w:rsid w:val="00DE42C4"/>
    <w:rsid w:val="00DE42F4"/>
    <w:rsid w:val="00DE4669"/>
    <w:rsid w:val="00DE4684"/>
    <w:rsid w:val="00DE483A"/>
    <w:rsid w:val="00DE4FCB"/>
    <w:rsid w:val="00DE5450"/>
    <w:rsid w:val="00DE54BC"/>
    <w:rsid w:val="00DE58D2"/>
    <w:rsid w:val="00DE5D07"/>
    <w:rsid w:val="00DE626A"/>
    <w:rsid w:val="00DE654C"/>
    <w:rsid w:val="00DE6598"/>
    <w:rsid w:val="00DE6672"/>
    <w:rsid w:val="00DE6A96"/>
    <w:rsid w:val="00DE6E54"/>
    <w:rsid w:val="00DE6F68"/>
    <w:rsid w:val="00DE72A7"/>
    <w:rsid w:val="00DE758C"/>
    <w:rsid w:val="00DE7632"/>
    <w:rsid w:val="00DE76A0"/>
    <w:rsid w:val="00DE77FB"/>
    <w:rsid w:val="00DE7820"/>
    <w:rsid w:val="00DE7832"/>
    <w:rsid w:val="00DE7A0F"/>
    <w:rsid w:val="00DE7E0F"/>
    <w:rsid w:val="00DF0204"/>
    <w:rsid w:val="00DF03F2"/>
    <w:rsid w:val="00DF05E8"/>
    <w:rsid w:val="00DF0717"/>
    <w:rsid w:val="00DF0773"/>
    <w:rsid w:val="00DF1166"/>
    <w:rsid w:val="00DF178E"/>
    <w:rsid w:val="00DF18FC"/>
    <w:rsid w:val="00DF1B95"/>
    <w:rsid w:val="00DF1E40"/>
    <w:rsid w:val="00DF2426"/>
    <w:rsid w:val="00DF262A"/>
    <w:rsid w:val="00DF2778"/>
    <w:rsid w:val="00DF2ACB"/>
    <w:rsid w:val="00DF2AF9"/>
    <w:rsid w:val="00DF2C78"/>
    <w:rsid w:val="00DF2CA0"/>
    <w:rsid w:val="00DF2D63"/>
    <w:rsid w:val="00DF3163"/>
    <w:rsid w:val="00DF3654"/>
    <w:rsid w:val="00DF3B09"/>
    <w:rsid w:val="00DF3D17"/>
    <w:rsid w:val="00DF43AE"/>
    <w:rsid w:val="00DF4573"/>
    <w:rsid w:val="00DF4B1C"/>
    <w:rsid w:val="00DF4F92"/>
    <w:rsid w:val="00DF527C"/>
    <w:rsid w:val="00DF5343"/>
    <w:rsid w:val="00DF58CC"/>
    <w:rsid w:val="00DF5ABE"/>
    <w:rsid w:val="00DF5B88"/>
    <w:rsid w:val="00DF5D2B"/>
    <w:rsid w:val="00DF5D7F"/>
    <w:rsid w:val="00DF5DDE"/>
    <w:rsid w:val="00DF5E4A"/>
    <w:rsid w:val="00DF6341"/>
    <w:rsid w:val="00DF64ED"/>
    <w:rsid w:val="00DF6AC5"/>
    <w:rsid w:val="00DF6C8A"/>
    <w:rsid w:val="00DF6EF7"/>
    <w:rsid w:val="00DF719C"/>
    <w:rsid w:val="00DF73EC"/>
    <w:rsid w:val="00DF73F2"/>
    <w:rsid w:val="00DF7432"/>
    <w:rsid w:val="00DF7B2F"/>
    <w:rsid w:val="00DF7C6C"/>
    <w:rsid w:val="00E0055B"/>
    <w:rsid w:val="00E00638"/>
    <w:rsid w:val="00E00839"/>
    <w:rsid w:val="00E00BB2"/>
    <w:rsid w:val="00E00DA0"/>
    <w:rsid w:val="00E00E37"/>
    <w:rsid w:val="00E00E8E"/>
    <w:rsid w:val="00E011B2"/>
    <w:rsid w:val="00E0162A"/>
    <w:rsid w:val="00E01800"/>
    <w:rsid w:val="00E01DBC"/>
    <w:rsid w:val="00E020AE"/>
    <w:rsid w:val="00E02189"/>
    <w:rsid w:val="00E0224A"/>
    <w:rsid w:val="00E02379"/>
    <w:rsid w:val="00E027D0"/>
    <w:rsid w:val="00E029F4"/>
    <w:rsid w:val="00E02C22"/>
    <w:rsid w:val="00E0325E"/>
    <w:rsid w:val="00E032E9"/>
    <w:rsid w:val="00E03317"/>
    <w:rsid w:val="00E035C4"/>
    <w:rsid w:val="00E038CD"/>
    <w:rsid w:val="00E03A77"/>
    <w:rsid w:val="00E03F07"/>
    <w:rsid w:val="00E043EE"/>
    <w:rsid w:val="00E047AA"/>
    <w:rsid w:val="00E04858"/>
    <w:rsid w:val="00E04AA1"/>
    <w:rsid w:val="00E04B6C"/>
    <w:rsid w:val="00E04C46"/>
    <w:rsid w:val="00E04C74"/>
    <w:rsid w:val="00E04D1F"/>
    <w:rsid w:val="00E051A3"/>
    <w:rsid w:val="00E05200"/>
    <w:rsid w:val="00E0523D"/>
    <w:rsid w:val="00E05630"/>
    <w:rsid w:val="00E05721"/>
    <w:rsid w:val="00E05A2C"/>
    <w:rsid w:val="00E05C73"/>
    <w:rsid w:val="00E05C94"/>
    <w:rsid w:val="00E06529"/>
    <w:rsid w:val="00E067BC"/>
    <w:rsid w:val="00E06808"/>
    <w:rsid w:val="00E06DBB"/>
    <w:rsid w:val="00E07187"/>
    <w:rsid w:val="00E07B28"/>
    <w:rsid w:val="00E07BA2"/>
    <w:rsid w:val="00E07DB8"/>
    <w:rsid w:val="00E07E10"/>
    <w:rsid w:val="00E07E44"/>
    <w:rsid w:val="00E1002E"/>
    <w:rsid w:val="00E100AF"/>
    <w:rsid w:val="00E100DF"/>
    <w:rsid w:val="00E10149"/>
    <w:rsid w:val="00E101C5"/>
    <w:rsid w:val="00E1059F"/>
    <w:rsid w:val="00E1071A"/>
    <w:rsid w:val="00E10952"/>
    <w:rsid w:val="00E1098A"/>
    <w:rsid w:val="00E10A54"/>
    <w:rsid w:val="00E10ADE"/>
    <w:rsid w:val="00E10DE6"/>
    <w:rsid w:val="00E11124"/>
    <w:rsid w:val="00E11340"/>
    <w:rsid w:val="00E11346"/>
    <w:rsid w:val="00E117B6"/>
    <w:rsid w:val="00E117D3"/>
    <w:rsid w:val="00E11C17"/>
    <w:rsid w:val="00E122A1"/>
    <w:rsid w:val="00E12300"/>
    <w:rsid w:val="00E1264A"/>
    <w:rsid w:val="00E128E9"/>
    <w:rsid w:val="00E12AA6"/>
    <w:rsid w:val="00E12D1D"/>
    <w:rsid w:val="00E12F40"/>
    <w:rsid w:val="00E13108"/>
    <w:rsid w:val="00E135A9"/>
    <w:rsid w:val="00E13A2A"/>
    <w:rsid w:val="00E13AF8"/>
    <w:rsid w:val="00E13EDF"/>
    <w:rsid w:val="00E14036"/>
    <w:rsid w:val="00E143B1"/>
    <w:rsid w:val="00E143E0"/>
    <w:rsid w:val="00E14926"/>
    <w:rsid w:val="00E14BD0"/>
    <w:rsid w:val="00E14CE3"/>
    <w:rsid w:val="00E14D44"/>
    <w:rsid w:val="00E14DB9"/>
    <w:rsid w:val="00E151CB"/>
    <w:rsid w:val="00E15228"/>
    <w:rsid w:val="00E1536C"/>
    <w:rsid w:val="00E15477"/>
    <w:rsid w:val="00E15859"/>
    <w:rsid w:val="00E159E5"/>
    <w:rsid w:val="00E15FD5"/>
    <w:rsid w:val="00E160CE"/>
    <w:rsid w:val="00E161FF"/>
    <w:rsid w:val="00E16372"/>
    <w:rsid w:val="00E16A44"/>
    <w:rsid w:val="00E16A96"/>
    <w:rsid w:val="00E16AD7"/>
    <w:rsid w:val="00E16AD8"/>
    <w:rsid w:val="00E16C94"/>
    <w:rsid w:val="00E16D20"/>
    <w:rsid w:val="00E16D4F"/>
    <w:rsid w:val="00E16EB7"/>
    <w:rsid w:val="00E1781C"/>
    <w:rsid w:val="00E179C0"/>
    <w:rsid w:val="00E17E68"/>
    <w:rsid w:val="00E17FFA"/>
    <w:rsid w:val="00E20068"/>
    <w:rsid w:val="00E20281"/>
    <w:rsid w:val="00E2099F"/>
    <w:rsid w:val="00E20C58"/>
    <w:rsid w:val="00E20E4D"/>
    <w:rsid w:val="00E20ED6"/>
    <w:rsid w:val="00E21322"/>
    <w:rsid w:val="00E21358"/>
    <w:rsid w:val="00E2156B"/>
    <w:rsid w:val="00E21686"/>
    <w:rsid w:val="00E21ED3"/>
    <w:rsid w:val="00E22330"/>
    <w:rsid w:val="00E22390"/>
    <w:rsid w:val="00E2249B"/>
    <w:rsid w:val="00E22739"/>
    <w:rsid w:val="00E2282A"/>
    <w:rsid w:val="00E229DA"/>
    <w:rsid w:val="00E22A0D"/>
    <w:rsid w:val="00E22AC0"/>
    <w:rsid w:val="00E22D74"/>
    <w:rsid w:val="00E2328C"/>
    <w:rsid w:val="00E23462"/>
    <w:rsid w:val="00E238E1"/>
    <w:rsid w:val="00E23B8F"/>
    <w:rsid w:val="00E23E2D"/>
    <w:rsid w:val="00E24460"/>
    <w:rsid w:val="00E244F6"/>
    <w:rsid w:val="00E2473C"/>
    <w:rsid w:val="00E248C1"/>
    <w:rsid w:val="00E24C24"/>
    <w:rsid w:val="00E24C66"/>
    <w:rsid w:val="00E24E13"/>
    <w:rsid w:val="00E24F34"/>
    <w:rsid w:val="00E2560D"/>
    <w:rsid w:val="00E257D4"/>
    <w:rsid w:val="00E258DB"/>
    <w:rsid w:val="00E25A9A"/>
    <w:rsid w:val="00E25D8A"/>
    <w:rsid w:val="00E25D9F"/>
    <w:rsid w:val="00E25FFE"/>
    <w:rsid w:val="00E26089"/>
    <w:rsid w:val="00E26510"/>
    <w:rsid w:val="00E266AB"/>
    <w:rsid w:val="00E2698F"/>
    <w:rsid w:val="00E26C3A"/>
    <w:rsid w:val="00E27081"/>
    <w:rsid w:val="00E27244"/>
    <w:rsid w:val="00E27444"/>
    <w:rsid w:val="00E2756C"/>
    <w:rsid w:val="00E2771E"/>
    <w:rsid w:val="00E277F8"/>
    <w:rsid w:val="00E30406"/>
    <w:rsid w:val="00E30408"/>
    <w:rsid w:val="00E30550"/>
    <w:rsid w:val="00E3058E"/>
    <w:rsid w:val="00E3066E"/>
    <w:rsid w:val="00E30712"/>
    <w:rsid w:val="00E30808"/>
    <w:rsid w:val="00E30A40"/>
    <w:rsid w:val="00E30BBC"/>
    <w:rsid w:val="00E30D2C"/>
    <w:rsid w:val="00E310CC"/>
    <w:rsid w:val="00E311EF"/>
    <w:rsid w:val="00E31276"/>
    <w:rsid w:val="00E319AB"/>
    <w:rsid w:val="00E31A92"/>
    <w:rsid w:val="00E31C4C"/>
    <w:rsid w:val="00E31D10"/>
    <w:rsid w:val="00E31EA1"/>
    <w:rsid w:val="00E31F02"/>
    <w:rsid w:val="00E3212F"/>
    <w:rsid w:val="00E32135"/>
    <w:rsid w:val="00E32180"/>
    <w:rsid w:val="00E32246"/>
    <w:rsid w:val="00E32AD4"/>
    <w:rsid w:val="00E32B66"/>
    <w:rsid w:val="00E32FE3"/>
    <w:rsid w:val="00E330B4"/>
    <w:rsid w:val="00E3321F"/>
    <w:rsid w:val="00E33494"/>
    <w:rsid w:val="00E334D2"/>
    <w:rsid w:val="00E3386F"/>
    <w:rsid w:val="00E33AF4"/>
    <w:rsid w:val="00E33B21"/>
    <w:rsid w:val="00E33D34"/>
    <w:rsid w:val="00E33DDE"/>
    <w:rsid w:val="00E341E0"/>
    <w:rsid w:val="00E34282"/>
    <w:rsid w:val="00E3434A"/>
    <w:rsid w:val="00E34616"/>
    <w:rsid w:val="00E34948"/>
    <w:rsid w:val="00E34F24"/>
    <w:rsid w:val="00E3522E"/>
    <w:rsid w:val="00E3525B"/>
    <w:rsid w:val="00E352D2"/>
    <w:rsid w:val="00E356CC"/>
    <w:rsid w:val="00E35952"/>
    <w:rsid w:val="00E35C58"/>
    <w:rsid w:val="00E36887"/>
    <w:rsid w:val="00E36F2D"/>
    <w:rsid w:val="00E37382"/>
    <w:rsid w:val="00E374CE"/>
    <w:rsid w:val="00E37569"/>
    <w:rsid w:val="00E375E5"/>
    <w:rsid w:val="00E37ABC"/>
    <w:rsid w:val="00E37D62"/>
    <w:rsid w:val="00E37E23"/>
    <w:rsid w:val="00E400EF"/>
    <w:rsid w:val="00E40111"/>
    <w:rsid w:val="00E401B2"/>
    <w:rsid w:val="00E40442"/>
    <w:rsid w:val="00E406BC"/>
    <w:rsid w:val="00E407B3"/>
    <w:rsid w:val="00E40A33"/>
    <w:rsid w:val="00E40B70"/>
    <w:rsid w:val="00E40D18"/>
    <w:rsid w:val="00E40DFB"/>
    <w:rsid w:val="00E40E2D"/>
    <w:rsid w:val="00E40F0E"/>
    <w:rsid w:val="00E410E5"/>
    <w:rsid w:val="00E4161B"/>
    <w:rsid w:val="00E41656"/>
    <w:rsid w:val="00E41BD7"/>
    <w:rsid w:val="00E41E19"/>
    <w:rsid w:val="00E41E30"/>
    <w:rsid w:val="00E42198"/>
    <w:rsid w:val="00E4231B"/>
    <w:rsid w:val="00E4236E"/>
    <w:rsid w:val="00E42A51"/>
    <w:rsid w:val="00E42B38"/>
    <w:rsid w:val="00E42D34"/>
    <w:rsid w:val="00E42F73"/>
    <w:rsid w:val="00E4302E"/>
    <w:rsid w:val="00E43D70"/>
    <w:rsid w:val="00E43E14"/>
    <w:rsid w:val="00E440DB"/>
    <w:rsid w:val="00E44422"/>
    <w:rsid w:val="00E4476E"/>
    <w:rsid w:val="00E44884"/>
    <w:rsid w:val="00E448F5"/>
    <w:rsid w:val="00E44987"/>
    <w:rsid w:val="00E44E60"/>
    <w:rsid w:val="00E44FA2"/>
    <w:rsid w:val="00E451D7"/>
    <w:rsid w:val="00E4530B"/>
    <w:rsid w:val="00E45616"/>
    <w:rsid w:val="00E4572F"/>
    <w:rsid w:val="00E45853"/>
    <w:rsid w:val="00E45BEF"/>
    <w:rsid w:val="00E45C73"/>
    <w:rsid w:val="00E45CB9"/>
    <w:rsid w:val="00E45EA0"/>
    <w:rsid w:val="00E46594"/>
    <w:rsid w:val="00E466F3"/>
    <w:rsid w:val="00E46FDB"/>
    <w:rsid w:val="00E476D5"/>
    <w:rsid w:val="00E47A31"/>
    <w:rsid w:val="00E47B2C"/>
    <w:rsid w:val="00E5023A"/>
    <w:rsid w:val="00E505B7"/>
    <w:rsid w:val="00E5082F"/>
    <w:rsid w:val="00E50CED"/>
    <w:rsid w:val="00E50D9A"/>
    <w:rsid w:val="00E51277"/>
    <w:rsid w:val="00E51560"/>
    <w:rsid w:val="00E51792"/>
    <w:rsid w:val="00E51821"/>
    <w:rsid w:val="00E52101"/>
    <w:rsid w:val="00E52250"/>
    <w:rsid w:val="00E525B5"/>
    <w:rsid w:val="00E525DA"/>
    <w:rsid w:val="00E527C0"/>
    <w:rsid w:val="00E52A43"/>
    <w:rsid w:val="00E52DDB"/>
    <w:rsid w:val="00E5301A"/>
    <w:rsid w:val="00E53428"/>
    <w:rsid w:val="00E53441"/>
    <w:rsid w:val="00E53D22"/>
    <w:rsid w:val="00E53EBB"/>
    <w:rsid w:val="00E53FC8"/>
    <w:rsid w:val="00E54347"/>
    <w:rsid w:val="00E545AB"/>
    <w:rsid w:val="00E54706"/>
    <w:rsid w:val="00E549D2"/>
    <w:rsid w:val="00E54AED"/>
    <w:rsid w:val="00E552A0"/>
    <w:rsid w:val="00E55424"/>
    <w:rsid w:val="00E554AC"/>
    <w:rsid w:val="00E557BA"/>
    <w:rsid w:val="00E55915"/>
    <w:rsid w:val="00E559A7"/>
    <w:rsid w:val="00E559CA"/>
    <w:rsid w:val="00E55BB5"/>
    <w:rsid w:val="00E55D09"/>
    <w:rsid w:val="00E560DE"/>
    <w:rsid w:val="00E566F7"/>
    <w:rsid w:val="00E56A30"/>
    <w:rsid w:val="00E56BA2"/>
    <w:rsid w:val="00E56CF3"/>
    <w:rsid w:val="00E5706B"/>
    <w:rsid w:val="00E570BF"/>
    <w:rsid w:val="00E57214"/>
    <w:rsid w:val="00E57A98"/>
    <w:rsid w:val="00E57BDC"/>
    <w:rsid w:val="00E57D49"/>
    <w:rsid w:val="00E57D85"/>
    <w:rsid w:val="00E60452"/>
    <w:rsid w:val="00E60A75"/>
    <w:rsid w:val="00E60AFE"/>
    <w:rsid w:val="00E60B6B"/>
    <w:rsid w:val="00E60E2E"/>
    <w:rsid w:val="00E60EA4"/>
    <w:rsid w:val="00E60F53"/>
    <w:rsid w:val="00E61197"/>
    <w:rsid w:val="00E611DF"/>
    <w:rsid w:val="00E61491"/>
    <w:rsid w:val="00E616EC"/>
    <w:rsid w:val="00E617F9"/>
    <w:rsid w:val="00E619D0"/>
    <w:rsid w:val="00E61F81"/>
    <w:rsid w:val="00E61F87"/>
    <w:rsid w:val="00E6281C"/>
    <w:rsid w:val="00E62AD3"/>
    <w:rsid w:val="00E62F48"/>
    <w:rsid w:val="00E62F73"/>
    <w:rsid w:val="00E631C4"/>
    <w:rsid w:val="00E63243"/>
    <w:rsid w:val="00E63CD2"/>
    <w:rsid w:val="00E64117"/>
    <w:rsid w:val="00E641C5"/>
    <w:rsid w:val="00E648EC"/>
    <w:rsid w:val="00E6495A"/>
    <w:rsid w:val="00E649D5"/>
    <w:rsid w:val="00E64B11"/>
    <w:rsid w:val="00E64D7F"/>
    <w:rsid w:val="00E64DEF"/>
    <w:rsid w:val="00E64E12"/>
    <w:rsid w:val="00E65129"/>
    <w:rsid w:val="00E6552F"/>
    <w:rsid w:val="00E65769"/>
    <w:rsid w:val="00E65E79"/>
    <w:rsid w:val="00E66026"/>
    <w:rsid w:val="00E66123"/>
    <w:rsid w:val="00E662D9"/>
    <w:rsid w:val="00E663F6"/>
    <w:rsid w:val="00E6651A"/>
    <w:rsid w:val="00E666A6"/>
    <w:rsid w:val="00E66A9F"/>
    <w:rsid w:val="00E66BA2"/>
    <w:rsid w:val="00E671A5"/>
    <w:rsid w:val="00E6730C"/>
    <w:rsid w:val="00E67416"/>
    <w:rsid w:val="00E677E4"/>
    <w:rsid w:val="00E67BAB"/>
    <w:rsid w:val="00E67C72"/>
    <w:rsid w:val="00E67E79"/>
    <w:rsid w:val="00E703C2"/>
    <w:rsid w:val="00E704A4"/>
    <w:rsid w:val="00E705BE"/>
    <w:rsid w:val="00E706E6"/>
    <w:rsid w:val="00E7083B"/>
    <w:rsid w:val="00E70E5B"/>
    <w:rsid w:val="00E714FF"/>
    <w:rsid w:val="00E718B6"/>
    <w:rsid w:val="00E71DF6"/>
    <w:rsid w:val="00E7200A"/>
    <w:rsid w:val="00E72072"/>
    <w:rsid w:val="00E7218D"/>
    <w:rsid w:val="00E721EB"/>
    <w:rsid w:val="00E723BA"/>
    <w:rsid w:val="00E72553"/>
    <w:rsid w:val="00E727D4"/>
    <w:rsid w:val="00E729AF"/>
    <w:rsid w:val="00E73116"/>
    <w:rsid w:val="00E73307"/>
    <w:rsid w:val="00E73581"/>
    <w:rsid w:val="00E73D37"/>
    <w:rsid w:val="00E73E66"/>
    <w:rsid w:val="00E74505"/>
    <w:rsid w:val="00E74520"/>
    <w:rsid w:val="00E75621"/>
    <w:rsid w:val="00E7566E"/>
    <w:rsid w:val="00E75C38"/>
    <w:rsid w:val="00E76002"/>
    <w:rsid w:val="00E76058"/>
    <w:rsid w:val="00E7609B"/>
    <w:rsid w:val="00E76D51"/>
    <w:rsid w:val="00E76DAC"/>
    <w:rsid w:val="00E771A8"/>
    <w:rsid w:val="00E776DA"/>
    <w:rsid w:val="00E77884"/>
    <w:rsid w:val="00E80392"/>
    <w:rsid w:val="00E804A2"/>
    <w:rsid w:val="00E804CD"/>
    <w:rsid w:val="00E80958"/>
    <w:rsid w:val="00E80960"/>
    <w:rsid w:val="00E80A91"/>
    <w:rsid w:val="00E80C92"/>
    <w:rsid w:val="00E81127"/>
    <w:rsid w:val="00E811DB"/>
    <w:rsid w:val="00E816BD"/>
    <w:rsid w:val="00E817FA"/>
    <w:rsid w:val="00E81E18"/>
    <w:rsid w:val="00E8245F"/>
    <w:rsid w:val="00E82C2F"/>
    <w:rsid w:val="00E82EF7"/>
    <w:rsid w:val="00E833F7"/>
    <w:rsid w:val="00E8348C"/>
    <w:rsid w:val="00E83841"/>
    <w:rsid w:val="00E839C4"/>
    <w:rsid w:val="00E83BDF"/>
    <w:rsid w:val="00E83BEC"/>
    <w:rsid w:val="00E83BF6"/>
    <w:rsid w:val="00E83C74"/>
    <w:rsid w:val="00E83EDB"/>
    <w:rsid w:val="00E83FFC"/>
    <w:rsid w:val="00E843EB"/>
    <w:rsid w:val="00E84A64"/>
    <w:rsid w:val="00E84E01"/>
    <w:rsid w:val="00E856AB"/>
    <w:rsid w:val="00E856E0"/>
    <w:rsid w:val="00E857BA"/>
    <w:rsid w:val="00E8590E"/>
    <w:rsid w:val="00E85E89"/>
    <w:rsid w:val="00E85F2D"/>
    <w:rsid w:val="00E861C2"/>
    <w:rsid w:val="00E8627F"/>
    <w:rsid w:val="00E86303"/>
    <w:rsid w:val="00E86674"/>
    <w:rsid w:val="00E866D9"/>
    <w:rsid w:val="00E8695E"/>
    <w:rsid w:val="00E86D6A"/>
    <w:rsid w:val="00E86E00"/>
    <w:rsid w:val="00E86FCC"/>
    <w:rsid w:val="00E871E9"/>
    <w:rsid w:val="00E8748C"/>
    <w:rsid w:val="00E87864"/>
    <w:rsid w:val="00E87990"/>
    <w:rsid w:val="00E87A1D"/>
    <w:rsid w:val="00E900BA"/>
    <w:rsid w:val="00E90150"/>
    <w:rsid w:val="00E90228"/>
    <w:rsid w:val="00E90283"/>
    <w:rsid w:val="00E90912"/>
    <w:rsid w:val="00E9094A"/>
    <w:rsid w:val="00E90AA2"/>
    <w:rsid w:val="00E90E22"/>
    <w:rsid w:val="00E9130D"/>
    <w:rsid w:val="00E918DA"/>
    <w:rsid w:val="00E91A6D"/>
    <w:rsid w:val="00E91D35"/>
    <w:rsid w:val="00E9265A"/>
    <w:rsid w:val="00E926A5"/>
    <w:rsid w:val="00E92757"/>
    <w:rsid w:val="00E92C58"/>
    <w:rsid w:val="00E92CA5"/>
    <w:rsid w:val="00E92DAC"/>
    <w:rsid w:val="00E93640"/>
    <w:rsid w:val="00E93D4D"/>
    <w:rsid w:val="00E93FB3"/>
    <w:rsid w:val="00E93FB7"/>
    <w:rsid w:val="00E93FF3"/>
    <w:rsid w:val="00E940D2"/>
    <w:rsid w:val="00E9437D"/>
    <w:rsid w:val="00E94402"/>
    <w:rsid w:val="00E947D3"/>
    <w:rsid w:val="00E94D85"/>
    <w:rsid w:val="00E94EDC"/>
    <w:rsid w:val="00E94F07"/>
    <w:rsid w:val="00E94F14"/>
    <w:rsid w:val="00E951ED"/>
    <w:rsid w:val="00E953AF"/>
    <w:rsid w:val="00E956A5"/>
    <w:rsid w:val="00E958E4"/>
    <w:rsid w:val="00E959CD"/>
    <w:rsid w:val="00E95B17"/>
    <w:rsid w:val="00E95CDB"/>
    <w:rsid w:val="00E95F54"/>
    <w:rsid w:val="00E96117"/>
    <w:rsid w:val="00E962CC"/>
    <w:rsid w:val="00E963C2"/>
    <w:rsid w:val="00E9646A"/>
    <w:rsid w:val="00E964DB"/>
    <w:rsid w:val="00E97001"/>
    <w:rsid w:val="00E97C43"/>
    <w:rsid w:val="00E97C87"/>
    <w:rsid w:val="00E97CE5"/>
    <w:rsid w:val="00E97E79"/>
    <w:rsid w:val="00E97EEB"/>
    <w:rsid w:val="00EA038B"/>
    <w:rsid w:val="00EA0590"/>
    <w:rsid w:val="00EA07B7"/>
    <w:rsid w:val="00EA07C2"/>
    <w:rsid w:val="00EA0912"/>
    <w:rsid w:val="00EA0ED5"/>
    <w:rsid w:val="00EA12DC"/>
    <w:rsid w:val="00EA17C3"/>
    <w:rsid w:val="00EA26E0"/>
    <w:rsid w:val="00EA2B30"/>
    <w:rsid w:val="00EA2CAA"/>
    <w:rsid w:val="00EA2CD0"/>
    <w:rsid w:val="00EA30B6"/>
    <w:rsid w:val="00EA3255"/>
    <w:rsid w:val="00EA37E7"/>
    <w:rsid w:val="00EA3801"/>
    <w:rsid w:val="00EA3864"/>
    <w:rsid w:val="00EA3C76"/>
    <w:rsid w:val="00EA3DA4"/>
    <w:rsid w:val="00EA3DBF"/>
    <w:rsid w:val="00EA41ED"/>
    <w:rsid w:val="00EA435A"/>
    <w:rsid w:val="00EA439D"/>
    <w:rsid w:val="00EA43BB"/>
    <w:rsid w:val="00EA43ED"/>
    <w:rsid w:val="00EA44F2"/>
    <w:rsid w:val="00EA4513"/>
    <w:rsid w:val="00EA472D"/>
    <w:rsid w:val="00EA4910"/>
    <w:rsid w:val="00EA491C"/>
    <w:rsid w:val="00EA4B7F"/>
    <w:rsid w:val="00EA5082"/>
    <w:rsid w:val="00EA5620"/>
    <w:rsid w:val="00EA5714"/>
    <w:rsid w:val="00EA5E9B"/>
    <w:rsid w:val="00EA5EB9"/>
    <w:rsid w:val="00EA5FA7"/>
    <w:rsid w:val="00EA6360"/>
    <w:rsid w:val="00EA650B"/>
    <w:rsid w:val="00EA6D27"/>
    <w:rsid w:val="00EA716C"/>
    <w:rsid w:val="00EA753E"/>
    <w:rsid w:val="00EA7830"/>
    <w:rsid w:val="00EA7B17"/>
    <w:rsid w:val="00EA7C75"/>
    <w:rsid w:val="00EA7E29"/>
    <w:rsid w:val="00EA7EB0"/>
    <w:rsid w:val="00EA7F1C"/>
    <w:rsid w:val="00EB006D"/>
    <w:rsid w:val="00EB01CE"/>
    <w:rsid w:val="00EB0897"/>
    <w:rsid w:val="00EB0BD8"/>
    <w:rsid w:val="00EB0E2C"/>
    <w:rsid w:val="00EB0EB2"/>
    <w:rsid w:val="00EB14AB"/>
    <w:rsid w:val="00EB15B6"/>
    <w:rsid w:val="00EB16BA"/>
    <w:rsid w:val="00EB1ADE"/>
    <w:rsid w:val="00EB1B40"/>
    <w:rsid w:val="00EB1B96"/>
    <w:rsid w:val="00EB1CA6"/>
    <w:rsid w:val="00EB1E69"/>
    <w:rsid w:val="00EB2205"/>
    <w:rsid w:val="00EB22DC"/>
    <w:rsid w:val="00EB26A5"/>
    <w:rsid w:val="00EB2748"/>
    <w:rsid w:val="00EB2A65"/>
    <w:rsid w:val="00EB2A77"/>
    <w:rsid w:val="00EB2C08"/>
    <w:rsid w:val="00EB2E8F"/>
    <w:rsid w:val="00EB32C4"/>
    <w:rsid w:val="00EB38E4"/>
    <w:rsid w:val="00EB3D06"/>
    <w:rsid w:val="00EB3F2A"/>
    <w:rsid w:val="00EB4916"/>
    <w:rsid w:val="00EB52E5"/>
    <w:rsid w:val="00EB5443"/>
    <w:rsid w:val="00EB54B1"/>
    <w:rsid w:val="00EB55B6"/>
    <w:rsid w:val="00EB55EF"/>
    <w:rsid w:val="00EB56D7"/>
    <w:rsid w:val="00EB59C4"/>
    <w:rsid w:val="00EB6E5C"/>
    <w:rsid w:val="00EB6FC2"/>
    <w:rsid w:val="00EB70DB"/>
    <w:rsid w:val="00EB7D7B"/>
    <w:rsid w:val="00EB7DA7"/>
    <w:rsid w:val="00EB7F40"/>
    <w:rsid w:val="00EC00C9"/>
    <w:rsid w:val="00EC06A7"/>
    <w:rsid w:val="00EC0D87"/>
    <w:rsid w:val="00EC0DD9"/>
    <w:rsid w:val="00EC0E5E"/>
    <w:rsid w:val="00EC0F34"/>
    <w:rsid w:val="00EC1180"/>
    <w:rsid w:val="00EC1182"/>
    <w:rsid w:val="00EC12D1"/>
    <w:rsid w:val="00EC1378"/>
    <w:rsid w:val="00EC149F"/>
    <w:rsid w:val="00EC1839"/>
    <w:rsid w:val="00EC196F"/>
    <w:rsid w:val="00EC1A12"/>
    <w:rsid w:val="00EC1AAD"/>
    <w:rsid w:val="00EC1AE4"/>
    <w:rsid w:val="00EC1D53"/>
    <w:rsid w:val="00EC1E4C"/>
    <w:rsid w:val="00EC1F9B"/>
    <w:rsid w:val="00EC1FC0"/>
    <w:rsid w:val="00EC2649"/>
    <w:rsid w:val="00EC285B"/>
    <w:rsid w:val="00EC298D"/>
    <w:rsid w:val="00EC2997"/>
    <w:rsid w:val="00EC29AA"/>
    <w:rsid w:val="00EC2D76"/>
    <w:rsid w:val="00EC2EC7"/>
    <w:rsid w:val="00EC3161"/>
    <w:rsid w:val="00EC31ED"/>
    <w:rsid w:val="00EC38FB"/>
    <w:rsid w:val="00EC3A3B"/>
    <w:rsid w:val="00EC3A92"/>
    <w:rsid w:val="00EC4457"/>
    <w:rsid w:val="00EC4544"/>
    <w:rsid w:val="00EC4559"/>
    <w:rsid w:val="00EC4639"/>
    <w:rsid w:val="00EC46EC"/>
    <w:rsid w:val="00EC4B82"/>
    <w:rsid w:val="00EC5382"/>
    <w:rsid w:val="00EC55C7"/>
    <w:rsid w:val="00EC5715"/>
    <w:rsid w:val="00EC5815"/>
    <w:rsid w:val="00EC5836"/>
    <w:rsid w:val="00EC5A42"/>
    <w:rsid w:val="00EC5C4A"/>
    <w:rsid w:val="00EC5EA3"/>
    <w:rsid w:val="00EC61E0"/>
    <w:rsid w:val="00EC65F3"/>
    <w:rsid w:val="00EC6759"/>
    <w:rsid w:val="00EC67CF"/>
    <w:rsid w:val="00EC688C"/>
    <w:rsid w:val="00EC6944"/>
    <w:rsid w:val="00EC704C"/>
    <w:rsid w:val="00EC7854"/>
    <w:rsid w:val="00EC7AD1"/>
    <w:rsid w:val="00ED003C"/>
    <w:rsid w:val="00ED016A"/>
    <w:rsid w:val="00ED0231"/>
    <w:rsid w:val="00ED072A"/>
    <w:rsid w:val="00ED11CE"/>
    <w:rsid w:val="00ED121D"/>
    <w:rsid w:val="00ED12E3"/>
    <w:rsid w:val="00ED1437"/>
    <w:rsid w:val="00ED16AE"/>
    <w:rsid w:val="00ED17A1"/>
    <w:rsid w:val="00ED18BB"/>
    <w:rsid w:val="00ED19EE"/>
    <w:rsid w:val="00ED21B1"/>
    <w:rsid w:val="00ED2730"/>
    <w:rsid w:val="00ED27BB"/>
    <w:rsid w:val="00ED2856"/>
    <w:rsid w:val="00ED2914"/>
    <w:rsid w:val="00ED2D0F"/>
    <w:rsid w:val="00ED32BC"/>
    <w:rsid w:val="00ED3769"/>
    <w:rsid w:val="00ED398F"/>
    <w:rsid w:val="00ED3AE4"/>
    <w:rsid w:val="00ED3BFD"/>
    <w:rsid w:val="00ED40BC"/>
    <w:rsid w:val="00ED441C"/>
    <w:rsid w:val="00ED48BF"/>
    <w:rsid w:val="00ED4B04"/>
    <w:rsid w:val="00ED4B07"/>
    <w:rsid w:val="00ED57EA"/>
    <w:rsid w:val="00ED5B03"/>
    <w:rsid w:val="00ED5BD4"/>
    <w:rsid w:val="00ED5E7D"/>
    <w:rsid w:val="00ED6792"/>
    <w:rsid w:val="00ED6C23"/>
    <w:rsid w:val="00ED6D2F"/>
    <w:rsid w:val="00ED6FA0"/>
    <w:rsid w:val="00ED724A"/>
    <w:rsid w:val="00ED7559"/>
    <w:rsid w:val="00ED7A74"/>
    <w:rsid w:val="00ED7AEF"/>
    <w:rsid w:val="00ED7F19"/>
    <w:rsid w:val="00EE0043"/>
    <w:rsid w:val="00EE008C"/>
    <w:rsid w:val="00EE01CF"/>
    <w:rsid w:val="00EE038C"/>
    <w:rsid w:val="00EE06D5"/>
    <w:rsid w:val="00EE0715"/>
    <w:rsid w:val="00EE077B"/>
    <w:rsid w:val="00EE07D3"/>
    <w:rsid w:val="00EE093C"/>
    <w:rsid w:val="00EE0975"/>
    <w:rsid w:val="00EE0D0C"/>
    <w:rsid w:val="00EE1647"/>
    <w:rsid w:val="00EE18CE"/>
    <w:rsid w:val="00EE1996"/>
    <w:rsid w:val="00EE19F2"/>
    <w:rsid w:val="00EE1C01"/>
    <w:rsid w:val="00EE1CBF"/>
    <w:rsid w:val="00EE1F2C"/>
    <w:rsid w:val="00EE2251"/>
    <w:rsid w:val="00EE22AF"/>
    <w:rsid w:val="00EE280A"/>
    <w:rsid w:val="00EE2A25"/>
    <w:rsid w:val="00EE2DD2"/>
    <w:rsid w:val="00EE2DF1"/>
    <w:rsid w:val="00EE3059"/>
    <w:rsid w:val="00EE377D"/>
    <w:rsid w:val="00EE387C"/>
    <w:rsid w:val="00EE3BC9"/>
    <w:rsid w:val="00EE3CAB"/>
    <w:rsid w:val="00EE3CFE"/>
    <w:rsid w:val="00EE4642"/>
    <w:rsid w:val="00EE494C"/>
    <w:rsid w:val="00EE4A84"/>
    <w:rsid w:val="00EE4DED"/>
    <w:rsid w:val="00EE5312"/>
    <w:rsid w:val="00EE5439"/>
    <w:rsid w:val="00EE5472"/>
    <w:rsid w:val="00EE576A"/>
    <w:rsid w:val="00EE57A9"/>
    <w:rsid w:val="00EE5876"/>
    <w:rsid w:val="00EE5FCF"/>
    <w:rsid w:val="00EE656D"/>
    <w:rsid w:val="00EE6719"/>
    <w:rsid w:val="00EE6907"/>
    <w:rsid w:val="00EE69B5"/>
    <w:rsid w:val="00EE6A49"/>
    <w:rsid w:val="00EE6A8C"/>
    <w:rsid w:val="00EE6C35"/>
    <w:rsid w:val="00EE6C5E"/>
    <w:rsid w:val="00EE6D69"/>
    <w:rsid w:val="00EE70CC"/>
    <w:rsid w:val="00EE72AE"/>
    <w:rsid w:val="00EE7429"/>
    <w:rsid w:val="00EE7A52"/>
    <w:rsid w:val="00EE7A6B"/>
    <w:rsid w:val="00EE7AA4"/>
    <w:rsid w:val="00EE7D17"/>
    <w:rsid w:val="00EE7F3B"/>
    <w:rsid w:val="00EE7F8F"/>
    <w:rsid w:val="00EF0058"/>
    <w:rsid w:val="00EF0171"/>
    <w:rsid w:val="00EF0488"/>
    <w:rsid w:val="00EF0832"/>
    <w:rsid w:val="00EF087A"/>
    <w:rsid w:val="00EF0B0F"/>
    <w:rsid w:val="00EF0C35"/>
    <w:rsid w:val="00EF111E"/>
    <w:rsid w:val="00EF11CA"/>
    <w:rsid w:val="00EF11D9"/>
    <w:rsid w:val="00EF1632"/>
    <w:rsid w:val="00EF1A4C"/>
    <w:rsid w:val="00EF1A57"/>
    <w:rsid w:val="00EF1B25"/>
    <w:rsid w:val="00EF1B5C"/>
    <w:rsid w:val="00EF1B7D"/>
    <w:rsid w:val="00EF1C0D"/>
    <w:rsid w:val="00EF1DA0"/>
    <w:rsid w:val="00EF2B88"/>
    <w:rsid w:val="00EF2C72"/>
    <w:rsid w:val="00EF2E0E"/>
    <w:rsid w:val="00EF2F9A"/>
    <w:rsid w:val="00EF3770"/>
    <w:rsid w:val="00EF3ED8"/>
    <w:rsid w:val="00EF466C"/>
    <w:rsid w:val="00EF4747"/>
    <w:rsid w:val="00EF476D"/>
    <w:rsid w:val="00EF4AD4"/>
    <w:rsid w:val="00EF4BDF"/>
    <w:rsid w:val="00EF4BF8"/>
    <w:rsid w:val="00EF4FD2"/>
    <w:rsid w:val="00EF50F6"/>
    <w:rsid w:val="00EF5127"/>
    <w:rsid w:val="00EF5338"/>
    <w:rsid w:val="00EF5B6F"/>
    <w:rsid w:val="00EF5F1C"/>
    <w:rsid w:val="00EF6144"/>
    <w:rsid w:val="00EF61A5"/>
    <w:rsid w:val="00EF6749"/>
    <w:rsid w:val="00EF6E3A"/>
    <w:rsid w:val="00EF7144"/>
    <w:rsid w:val="00EF7C07"/>
    <w:rsid w:val="00F00078"/>
    <w:rsid w:val="00F0043D"/>
    <w:rsid w:val="00F0048A"/>
    <w:rsid w:val="00F005B4"/>
    <w:rsid w:val="00F00743"/>
    <w:rsid w:val="00F00E83"/>
    <w:rsid w:val="00F00F2F"/>
    <w:rsid w:val="00F01060"/>
    <w:rsid w:val="00F01455"/>
    <w:rsid w:val="00F01513"/>
    <w:rsid w:val="00F0177C"/>
    <w:rsid w:val="00F017B7"/>
    <w:rsid w:val="00F0185E"/>
    <w:rsid w:val="00F01D2A"/>
    <w:rsid w:val="00F01E0B"/>
    <w:rsid w:val="00F02253"/>
    <w:rsid w:val="00F0248A"/>
    <w:rsid w:val="00F024CF"/>
    <w:rsid w:val="00F025F1"/>
    <w:rsid w:val="00F02701"/>
    <w:rsid w:val="00F02798"/>
    <w:rsid w:val="00F028B5"/>
    <w:rsid w:val="00F02A5C"/>
    <w:rsid w:val="00F02E20"/>
    <w:rsid w:val="00F03444"/>
    <w:rsid w:val="00F03453"/>
    <w:rsid w:val="00F03490"/>
    <w:rsid w:val="00F03599"/>
    <w:rsid w:val="00F0360E"/>
    <w:rsid w:val="00F03C2E"/>
    <w:rsid w:val="00F03DCB"/>
    <w:rsid w:val="00F0453E"/>
    <w:rsid w:val="00F04A66"/>
    <w:rsid w:val="00F04B4B"/>
    <w:rsid w:val="00F04E04"/>
    <w:rsid w:val="00F05001"/>
    <w:rsid w:val="00F0516C"/>
    <w:rsid w:val="00F05412"/>
    <w:rsid w:val="00F05D98"/>
    <w:rsid w:val="00F05DC0"/>
    <w:rsid w:val="00F05E23"/>
    <w:rsid w:val="00F05ED4"/>
    <w:rsid w:val="00F05F44"/>
    <w:rsid w:val="00F0620D"/>
    <w:rsid w:val="00F06272"/>
    <w:rsid w:val="00F0638C"/>
    <w:rsid w:val="00F064A6"/>
    <w:rsid w:val="00F067A2"/>
    <w:rsid w:val="00F06A88"/>
    <w:rsid w:val="00F06BCD"/>
    <w:rsid w:val="00F06F44"/>
    <w:rsid w:val="00F07098"/>
    <w:rsid w:val="00F071DE"/>
    <w:rsid w:val="00F0753F"/>
    <w:rsid w:val="00F079CC"/>
    <w:rsid w:val="00F07B9E"/>
    <w:rsid w:val="00F10B4E"/>
    <w:rsid w:val="00F10BFA"/>
    <w:rsid w:val="00F10C50"/>
    <w:rsid w:val="00F1116F"/>
    <w:rsid w:val="00F1123A"/>
    <w:rsid w:val="00F1133E"/>
    <w:rsid w:val="00F11580"/>
    <w:rsid w:val="00F1158D"/>
    <w:rsid w:val="00F11AF2"/>
    <w:rsid w:val="00F11D53"/>
    <w:rsid w:val="00F125E0"/>
    <w:rsid w:val="00F1263A"/>
    <w:rsid w:val="00F1270B"/>
    <w:rsid w:val="00F12A80"/>
    <w:rsid w:val="00F12EC8"/>
    <w:rsid w:val="00F12FE2"/>
    <w:rsid w:val="00F13056"/>
    <w:rsid w:val="00F13883"/>
    <w:rsid w:val="00F139C5"/>
    <w:rsid w:val="00F14935"/>
    <w:rsid w:val="00F14C26"/>
    <w:rsid w:val="00F14CAE"/>
    <w:rsid w:val="00F14F5D"/>
    <w:rsid w:val="00F153BC"/>
    <w:rsid w:val="00F1571D"/>
    <w:rsid w:val="00F15AC0"/>
    <w:rsid w:val="00F15B77"/>
    <w:rsid w:val="00F15C0C"/>
    <w:rsid w:val="00F16436"/>
    <w:rsid w:val="00F16733"/>
    <w:rsid w:val="00F168B7"/>
    <w:rsid w:val="00F16D9A"/>
    <w:rsid w:val="00F171B7"/>
    <w:rsid w:val="00F177A2"/>
    <w:rsid w:val="00F17D65"/>
    <w:rsid w:val="00F17E75"/>
    <w:rsid w:val="00F20666"/>
    <w:rsid w:val="00F20C9A"/>
    <w:rsid w:val="00F2104D"/>
    <w:rsid w:val="00F210D2"/>
    <w:rsid w:val="00F21138"/>
    <w:rsid w:val="00F21164"/>
    <w:rsid w:val="00F21236"/>
    <w:rsid w:val="00F21768"/>
    <w:rsid w:val="00F218CF"/>
    <w:rsid w:val="00F21940"/>
    <w:rsid w:val="00F219A3"/>
    <w:rsid w:val="00F21E99"/>
    <w:rsid w:val="00F22135"/>
    <w:rsid w:val="00F223A2"/>
    <w:rsid w:val="00F225A2"/>
    <w:rsid w:val="00F2285D"/>
    <w:rsid w:val="00F22DD9"/>
    <w:rsid w:val="00F22EB8"/>
    <w:rsid w:val="00F2357C"/>
    <w:rsid w:val="00F239DF"/>
    <w:rsid w:val="00F23CB3"/>
    <w:rsid w:val="00F23F4C"/>
    <w:rsid w:val="00F24136"/>
    <w:rsid w:val="00F242D3"/>
    <w:rsid w:val="00F2463A"/>
    <w:rsid w:val="00F24837"/>
    <w:rsid w:val="00F24EDB"/>
    <w:rsid w:val="00F250BE"/>
    <w:rsid w:val="00F25383"/>
    <w:rsid w:val="00F2558C"/>
    <w:rsid w:val="00F2575F"/>
    <w:rsid w:val="00F258CF"/>
    <w:rsid w:val="00F25A7D"/>
    <w:rsid w:val="00F25F16"/>
    <w:rsid w:val="00F26470"/>
    <w:rsid w:val="00F265C0"/>
    <w:rsid w:val="00F26A45"/>
    <w:rsid w:val="00F26CAB"/>
    <w:rsid w:val="00F26CB3"/>
    <w:rsid w:val="00F270BC"/>
    <w:rsid w:val="00F2742F"/>
    <w:rsid w:val="00F27497"/>
    <w:rsid w:val="00F27565"/>
    <w:rsid w:val="00F2798D"/>
    <w:rsid w:val="00F27A68"/>
    <w:rsid w:val="00F27C16"/>
    <w:rsid w:val="00F27C39"/>
    <w:rsid w:val="00F27C78"/>
    <w:rsid w:val="00F27F75"/>
    <w:rsid w:val="00F30038"/>
    <w:rsid w:val="00F30086"/>
    <w:rsid w:val="00F30122"/>
    <w:rsid w:val="00F30439"/>
    <w:rsid w:val="00F30452"/>
    <w:rsid w:val="00F30774"/>
    <w:rsid w:val="00F310D4"/>
    <w:rsid w:val="00F311BA"/>
    <w:rsid w:val="00F31B81"/>
    <w:rsid w:val="00F31BAA"/>
    <w:rsid w:val="00F31D5A"/>
    <w:rsid w:val="00F31EDB"/>
    <w:rsid w:val="00F31F6A"/>
    <w:rsid w:val="00F3217E"/>
    <w:rsid w:val="00F3257E"/>
    <w:rsid w:val="00F32620"/>
    <w:rsid w:val="00F32944"/>
    <w:rsid w:val="00F3297E"/>
    <w:rsid w:val="00F329EF"/>
    <w:rsid w:val="00F33142"/>
    <w:rsid w:val="00F332D6"/>
    <w:rsid w:val="00F33975"/>
    <w:rsid w:val="00F33BFF"/>
    <w:rsid w:val="00F33DE9"/>
    <w:rsid w:val="00F347B3"/>
    <w:rsid w:val="00F3496A"/>
    <w:rsid w:val="00F34D71"/>
    <w:rsid w:val="00F34E3C"/>
    <w:rsid w:val="00F34EA8"/>
    <w:rsid w:val="00F353B3"/>
    <w:rsid w:val="00F3551C"/>
    <w:rsid w:val="00F35E6D"/>
    <w:rsid w:val="00F35F56"/>
    <w:rsid w:val="00F35FC4"/>
    <w:rsid w:val="00F35FFD"/>
    <w:rsid w:val="00F3619A"/>
    <w:rsid w:val="00F362A3"/>
    <w:rsid w:val="00F365A5"/>
    <w:rsid w:val="00F36A1C"/>
    <w:rsid w:val="00F36A9E"/>
    <w:rsid w:val="00F36BFB"/>
    <w:rsid w:val="00F36CFB"/>
    <w:rsid w:val="00F36D0A"/>
    <w:rsid w:val="00F378F5"/>
    <w:rsid w:val="00F3796C"/>
    <w:rsid w:val="00F37BD4"/>
    <w:rsid w:val="00F4034C"/>
    <w:rsid w:val="00F40603"/>
    <w:rsid w:val="00F40AAA"/>
    <w:rsid w:val="00F40B70"/>
    <w:rsid w:val="00F40BA7"/>
    <w:rsid w:val="00F40DBA"/>
    <w:rsid w:val="00F40F78"/>
    <w:rsid w:val="00F40F9D"/>
    <w:rsid w:val="00F41460"/>
    <w:rsid w:val="00F41ACD"/>
    <w:rsid w:val="00F41E79"/>
    <w:rsid w:val="00F421AE"/>
    <w:rsid w:val="00F428F4"/>
    <w:rsid w:val="00F4296F"/>
    <w:rsid w:val="00F42B69"/>
    <w:rsid w:val="00F42DBE"/>
    <w:rsid w:val="00F43B4F"/>
    <w:rsid w:val="00F43DE9"/>
    <w:rsid w:val="00F43F26"/>
    <w:rsid w:val="00F44217"/>
    <w:rsid w:val="00F4437F"/>
    <w:rsid w:val="00F44443"/>
    <w:rsid w:val="00F44511"/>
    <w:rsid w:val="00F445D2"/>
    <w:rsid w:val="00F445DE"/>
    <w:rsid w:val="00F4478D"/>
    <w:rsid w:val="00F451A3"/>
    <w:rsid w:val="00F4547B"/>
    <w:rsid w:val="00F456F0"/>
    <w:rsid w:val="00F457F2"/>
    <w:rsid w:val="00F45CD2"/>
    <w:rsid w:val="00F460C5"/>
    <w:rsid w:val="00F460F3"/>
    <w:rsid w:val="00F46246"/>
    <w:rsid w:val="00F4650F"/>
    <w:rsid w:val="00F466C3"/>
    <w:rsid w:val="00F467AA"/>
    <w:rsid w:val="00F4698C"/>
    <w:rsid w:val="00F469A0"/>
    <w:rsid w:val="00F46CB6"/>
    <w:rsid w:val="00F46D06"/>
    <w:rsid w:val="00F46D55"/>
    <w:rsid w:val="00F46E46"/>
    <w:rsid w:val="00F46EB8"/>
    <w:rsid w:val="00F46F27"/>
    <w:rsid w:val="00F471AE"/>
    <w:rsid w:val="00F47292"/>
    <w:rsid w:val="00F4742D"/>
    <w:rsid w:val="00F47445"/>
    <w:rsid w:val="00F474D0"/>
    <w:rsid w:val="00F47551"/>
    <w:rsid w:val="00F4756D"/>
    <w:rsid w:val="00F477AD"/>
    <w:rsid w:val="00F47834"/>
    <w:rsid w:val="00F47960"/>
    <w:rsid w:val="00F47AAB"/>
    <w:rsid w:val="00F47BE2"/>
    <w:rsid w:val="00F47CFB"/>
    <w:rsid w:val="00F47DE8"/>
    <w:rsid w:val="00F47FBC"/>
    <w:rsid w:val="00F50386"/>
    <w:rsid w:val="00F509DB"/>
    <w:rsid w:val="00F50A96"/>
    <w:rsid w:val="00F50CE7"/>
    <w:rsid w:val="00F50DB5"/>
    <w:rsid w:val="00F51060"/>
    <w:rsid w:val="00F51487"/>
    <w:rsid w:val="00F51752"/>
    <w:rsid w:val="00F517E1"/>
    <w:rsid w:val="00F517E8"/>
    <w:rsid w:val="00F5190C"/>
    <w:rsid w:val="00F51D43"/>
    <w:rsid w:val="00F51D6B"/>
    <w:rsid w:val="00F524C4"/>
    <w:rsid w:val="00F528D1"/>
    <w:rsid w:val="00F52979"/>
    <w:rsid w:val="00F52A18"/>
    <w:rsid w:val="00F52F86"/>
    <w:rsid w:val="00F538F3"/>
    <w:rsid w:val="00F53D82"/>
    <w:rsid w:val="00F540E3"/>
    <w:rsid w:val="00F5428A"/>
    <w:rsid w:val="00F542C1"/>
    <w:rsid w:val="00F5437D"/>
    <w:rsid w:val="00F5463B"/>
    <w:rsid w:val="00F54B9C"/>
    <w:rsid w:val="00F550E3"/>
    <w:rsid w:val="00F5515B"/>
    <w:rsid w:val="00F55276"/>
    <w:rsid w:val="00F5544F"/>
    <w:rsid w:val="00F55621"/>
    <w:rsid w:val="00F55963"/>
    <w:rsid w:val="00F55CD4"/>
    <w:rsid w:val="00F55E73"/>
    <w:rsid w:val="00F55EDA"/>
    <w:rsid w:val="00F55FEF"/>
    <w:rsid w:val="00F560F6"/>
    <w:rsid w:val="00F56430"/>
    <w:rsid w:val="00F564AD"/>
    <w:rsid w:val="00F5676B"/>
    <w:rsid w:val="00F56B21"/>
    <w:rsid w:val="00F56BBC"/>
    <w:rsid w:val="00F56BD6"/>
    <w:rsid w:val="00F56C80"/>
    <w:rsid w:val="00F573D8"/>
    <w:rsid w:val="00F577C1"/>
    <w:rsid w:val="00F577DF"/>
    <w:rsid w:val="00F57921"/>
    <w:rsid w:val="00F60092"/>
    <w:rsid w:val="00F6035C"/>
    <w:rsid w:val="00F603B6"/>
    <w:rsid w:val="00F6050A"/>
    <w:rsid w:val="00F60A01"/>
    <w:rsid w:val="00F60ECB"/>
    <w:rsid w:val="00F610F5"/>
    <w:rsid w:val="00F611B1"/>
    <w:rsid w:val="00F6167C"/>
    <w:rsid w:val="00F617CF"/>
    <w:rsid w:val="00F61806"/>
    <w:rsid w:val="00F619CE"/>
    <w:rsid w:val="00F61C18"/>
    <w:rsid w:val="00F61E2F"/>
    <w:rsid w:val="00F61E42"/>
    <w:rsid w:val="00F626F9"/>
    <w:rsid w:val="00F628D5"/>
    <w:rsid w:val="00F62A40"/>
    <w:rsid w:val="00F630D0"/>
    <w:rsid w:val="00F631FC"/>
    <w:rsid w:val="00F633C9"/>
    <w:rsid w:val="00F6391E"/>
    <w:rsid w:val="00F63AD3"/>
    <w:rsid w:val="00F63ECD"/>
    <w:rsid w:val="00F63EFC"/>
    <w:rsid w:val="00F64038"/>
    <w:rsid w:val="00F6426A"/>
    <w:rsid w:val="00F6449C"/>
    <w:rsid w:val="00F646E1"/>
    <w:rsid w:val="00F64718"/>
    <w:rsid w:val="00F647A2"/>
    <w:rsid w:val="00F64879"/>
    <w:rsid w:val="00F64B88"/>
    <w:rsid w:val="00F64C47"/>
    <w:rsid w:val="00F64E57"/>
    <w:rsid w:val="00F650F7"/>
    <w:rsid w:val="00F6519F"/>
    <w:rsid w:val="00F652AD"/>
    <w:rsid w:val="00F654FD"/>
    <w:rsid w:val="00F65545"/>
    <w:rsid w:val="00F659D3"/>
    <w:rsid w:val="00F65F4B"/>
    <w:rsid w:val="00F662FF"/>
    <w:rsid w:val="00F66942"/>
    <w:rsid w:val="00F669ED"/>
    <w:rsid w:val="00F67214"/>
    <w:rsid w:val="00F6726C"/>
    <w:rsid w:val="00F6756D"/>
    <w:rsid w:val="00F675B5"/>
    <w:rsid w:val="00F67A69"/>
    <w:rsid w:val="00F67D2F"/>
    <w:rsid w:val="00F67F6D"/>
    <w:rsid w:val="00F70922"/>
    <w:rsid w:val="00F70A89"/>
    <w:rsid w:val="00F70BFF"/>
    <w:rsid w:val="00F70C55"/>
    <w:rsid w:val="00F70C9D"/>
    <w:rsid w:val="00F70FFF"/>
    <w:rsid w:val="00F7114A"/>
    <w:rsid w:val="00F717B1"/>
    <w:rsid w:val="00F71991"/>
    <w:rsid w:val="00F71A64"/>
    <w:rsid w:val="00F71CDA"/>
    <w:rsid w:val="00F71EC7"/>
    <w:rsid w:val="00F71F29"/>
    <w:rsid w:val="00F72632"/>
    <w:rsid w:val="00F72E47"/>
    <w:rsid w:val="00F73419"/>
    <w:rsid w:val="00F736B6"/>
    <w:rsid w:val="00F737BD"/>
    <w:rsid w:val="00F73BBD"/>
    <w:rsid w:val="00F73E08"/>
    <w:rsid w:val="00F73E2F"/>
    <w:rsid w:val="00F73F02"/>
    <w:rsid w:val="00F743B3"/>
    <w:rsid w:val="00F7443B"/>
    <w:rsid w:val="00F74CD9"/>
    <w:rsid w:val="00F74F2B"/>
    <w:rsid w:val="00F75598"/>
    <w:rsid w:val="00F758E7"/>
    <w:rsid w:val="00F7590B"/>
    <w:rsid w:val="00F75BF1"/>
    <w:rsid w:val="00F75C74"/>
    <w:rsid w:val="00F75CB0"/>
    <w:rsid w:val="00F75F22"/>
    <w:rsid w:val="00F75F64"/>
    <w:rsid w:val="00F76464"/>
    <w:rsid w:val="00F76782"/>
    <w:rsid w:val="00F767EB"/>
    <w:rsid w:val="00F769E4"/>
    <w:rsid w:val="00F76D1B"/>
    <w:rsid w:val="00F76E26"/>
    <w:rsid w:val="00F7737C"/>
    <w:rsid w:val="00F77410"/>
    <w:rsid w:val="00F774FD"/>
    <w:rsid w:val="00F7796E"/>
    <w:rsid w:val="00F779F9"/>
    <w:rsid w:val="00F80369"/>
    <w:rsid w:val="00F806B3"/>
    <w:rsid w:val="00F80755"/>
    <w:rsid w:val="00F808B1"/>
    <w:rsid w:val="00F80A7B"/>
    <w:rsid w:val="00F80C0A"/>
    <w:rsid w:val="00F80CE2"/>
    <w:rsid w:val="00F80E5D"/>
    <w:rsid w:val="00F8106C"/>
    <w:rsid w:val="00F816E3"/>
    <w:rsid w:val="00F817A6"/>
    <w:rsid w:val="00F81A2F"/>
    <w:rsid w:val="00F81A77"/>
    <w:rsid w:val="00F81B51"/>
    <w:rsid w:val="00F81C32"/>
    <w:rsid w:val="00F81C35"/>
    <w:rsid w:val="00F81D81"/>
    <w:rsid w:val="00F81E78"/>
    <w:rsid w:val="00F8236A"/>
    <w:rsid w:val="00F82841"/>
    <w:rsid w:val="00F82AEB"/>
    <w:rsid w:val="00F82E84"/>
    <w:rsid w:val="00F83135"/>
    <w:rsid w:val="00F831B2"/>
    <w:rsid w:val="00F83916"/>
    <w:rsid w:val="00F83946"/>
    <w:rsid w:val="00F83A5E"/>
    <w:rsid w:val="00F83FB9"/>
    <w:rsid w:val="00F84512"/>
    <w:rsid w:val="00F84570"/>
    <w:rsid w:val="00F8472B"/>
    <w:rsid w:val="00F84749"/>
    <w:rsid w:val="00F8474B"/>
    <w:rsid w:val="00F84A8C"/>
    <w:rsid w:val="00F84C70"/>
    <w:rsid w:val="00F84CD1"/>
    <w:rsid w:val="00F851CE"/>
    <w:rsid w:val="00F85368"/>
    <w:rsid w:val="00F85B19"/>
    <w:rsid w:val="00F85E47"/>
    <w:rsid w:val="00F8603A"/>
    <w:rsid w:val="00F861C6"/>
    <w:rsid w:val="00F864B1"/>
    <w:rsid w:val="00F86534"/>
    <w:rsid w:val="00F867C3"/>
    <w:rsid w:val="00F86876"/>
    <w:rsid w:val="00F86A4B"/>
    <w:rsid w:val="00F86D40"/>
    <w:rsid w:val="00F86E95"/>
    <w:rsid w:val="00F870E9"/>
    <w:rsid w:val="00F87633"/>
    <w:rsid w:val="00F878C5"/>
    <w:rsid w:val="00F87B84"/>
    <w:rsid w:val="00F87F2A"/>
    <w:rsid w:val="00F900D2"/>
    <w:rsid w:val="00F90819"/>
    <w:rsid w:val="00F90D27"/>
    <w:rsid w:val="00F91219"/>
    <w:rsid w:val="00F91746"/>
    <w:rsid w:val="00F91E47"/>
    <w:rsid w:val="00F9202D"/>
    <w:rsid w:val="00F92444"/>
    <w:rsid w:val="00F925B3"/>
    <w:rsid w:val="00F926EC"/>
    <w:rsid w:val="00F92987"/>
    <w:rsid w:val="00F929A9"/>
    <w:rsid w:val="00F92A23"/>
    <w:rsid w:val="00F92A9B"/>
    <w:rsid w:val="00F93112"/>
    <w:rsid w:val="00F9393E"/>
    <w:rsid w:val="00F93B87"/>
    <w:rsid w:val="00F93EB3"/>
    <w:rsid w:val="00F93FD9"/>
    <w:rsid w:val="00F94033"/>
    <w:rsid w:val="00F948C4"/>
    <w:rsid w:val="00F949E9"/>
    <w:rsid w:val="00F94A41"/>
    <w:rsid w:val="00F94BE2"/>
    <w:rsid w:val="00F95207"/>
    <w:rsid w:val="00F95320"/>
    <w:rsid w:val="00F95711"/>
    <w:rsid w:val="00F95CE8"/>
    <w:rsid w:val="00F95E3B"/>
    <w:rsid w:val="00F95F85"/>
    <w:rsid w:val="00F96038"/>
    <w:rsid w:val="00F96050"/>
    <w:rsid w:val="00F9657A"/>
    <w:rsid w:val="00F969F8"/>
    <w:rsid w:val="00F96E48"/>
    <w:rsid w:val="00F96FD0"/>
    <w:rsid w:val="00F9711E"/>
    <w:rsid w:val="00F97973"/>
    <w:rsid w:val="00F97A78"/>
    <w:rsid w:val="00F97FB9"/>
    <w:rsid w:val="00FA011B"/>
    <w:rsid w:val="00FA08FF"/>
    <w:rsid w:val="00FA09C6"/>
    <w:rsid w:val="00FA0AD2"/>
    <w:rsid w:val="00FA0B20"/>
    <w:rsid w:val="00FA1034"/>
    <w:rsid w:val="00FA11D8"/>
    <w:rsid w:val="00FA188E"/>
    <w:rsid w:val="00FA19F0"/>
    <w:rsid w:val="00FA2235"/>
    <w:rsid w:val="00FA24E7"/>
    <w:rsid w:val="00FA2517"/>
    <w:rsid w:val="00FA2696"/>
    <w:rsid w:val="00FA2917"/>
    <w:rsid w:val="00FA2B14"/>
    <w:rsid w:val="00FA33E3"/>
    <w:rsid w:val="00FA3519"/>
    <w:rsid w:val="00FA398C"/>
    <w:rsid w:val="00FA3D1C"/>
    <w:rsid w:val="00FA414F"/>
    <w:rsid w:val="00FA4731"/>
    <w:rsid w:val="00FA4E95"/>
    <w:rsid w:val="00FA546F"/>
    <w:rsid w:val="00FA54D4"/>
    <w:rsid w:val="00FA572A"/>
    <w:rsid w:val="00FA5AB7"/>
    <w:rsid w:val="00FA5CB9"/>
    <w:rsid w:val="00FA5EE6"/>
    <w:rsid w:val="00FA630B"/>
    <w:rsid w:val="00FA63BB"/>
    <w:rsid w:val="00FA6408"/>
    <w:rsid w:val="00FA64B9"/>
    <w:rsid w:val="00FA64C3"/>
    <w:rsid w:val="00FA661F"/>
    <w:rsid w:val="00FA6665"/>
    <w:rsid w:val="00FA6974"/>
    <w:rsid w:val="00FA6EF1"/>
    <w:rsid w:val="00FA713C"/>
    <w:rsid w:val="00FA72FB"/>
    <w:rsid w:val="00FA73A9"/>
    <w:rsid w:val="00FA7612"/>
    <w:rsid w:val="00FA7956"/>
    <w:rsid w:val="00FA79F1"/>
    <w:rsid w:val="00FA7F2C"/>
    <w:rsid w:val="00FB025B"/>
    <w:rsid w:val="00FB038C"/>
    <w:rsid w:val="00FB048E"/>
    <w:rsid w:val="00FB07C7"/>
    <w:rsid w:val="00FB0824"/>
    <w:rsid w:val="00FB0E3A"/>
    <w:rsid w:val="00FB0F92"/>
    <w:rsid w:val="00FB12B0"/>
    <w:rsid w:val="00FB143C"/>
    <w:rsid w:val="00FB1621"/>
    <w:rsid w:val="00FB19AE"/>
    <w:rsid w:val="00FB1A66"/>
    <w:rsid w:val="00FB1B04"/>
    <w:rsid w:val="00FB1B1D"/>
    <w:rsid w:val="00FB1B55"/>
    <w:rsid w:val="00FB1BAD"/>
    <w:rsid w:val="00FB1EA9"/>
    <w:rsid w:val="00FB21A2"/>
    <w:rsid w:val="00FB2536"/>
    <w:rsid w:val="00FB2748"/>
    <w:rsid w:val="00FB2A21"/>
    <w:rsid w:val="00FB2FCB"/>
    <w:rsid w:val="00FB32CB"/>
    <w:rsid w:val="00FB3BF3"/>
    <w:rsid w:val="00FB3E8F"/>
    <w:rsid w:val="00FB4040"/>
    <w:rsid w:val="00FB422D"/>
    <w:rsid w:val="00FB4702"/>
    <w:rsid w:val="00FB4A4F"/>
    <w:rsid w:val="00FB4B59"/>
    <w:rsid w:val="00FB4C9C"/>
    <w:rsid w:val="00FB4F3B"/>
    <w:rsid w:val="00FB5678"/>
    <w:rsid w:val="00FB5C49"/>
    <w:rsid w:val="00FB5EA3"/>
    <w:rsid w:val="00FB633E"/>
    <w:rsid w:val="00FB6345"/>
    <w:rsid w:val="00FB685C"/>
    <w:rsid w:val="00FB6A8A"/>
    <w:rsid w:val="00FB6C8C"/>
    <w:rsid w:val="00FB6EE3"/>
    <w:rsid w:val="00FB7940"/>
    <w:rsid w:val="00FB7C55"/>
    <w:rsid w:val="00FC0046"/>
    <w:rsid w:val="00FC0789"/>
    <w:rsid w:val="00FC08E7"/>
    <w:rsid w:val="00FC0B5F"/>
    <w:rsid w:val="00FC0FED"/>
    <w:rsid w:val="00FC1017"/>
    <w:rsid w:val="00FC1074"/>
    <w:rsid w:val="00FC1686"/>
    <w:rsid w:val="00FC1884"/>
    <w:rsid w:val="00FC18EF"/>
    <w:rsid w:val="00FC1A72"/>
    <w:rsid w:val="00FC1B76"/>
    <w:rsid w:val="00FC1F73"/>
    <w:rsid w:val="00FC1FFF"/>
    <w:rsid w:val="00FC21F2"/>
    <w:rsid w:val="00FC22FF"/>
    <w:rsid w:val="00FC2306"/>
    <w:rsid w:val="00FC23CE"/>
    <w:rsid w:val="00FC2AA2"/>
    <w:rsid w:val="00FC2AD5"/>
    <w:rsid w:val="00FC2C0B"/>
    <w:rsid w:val="00FC2D5E"/>
    <w:rsid w:val="00FC2FCB"/>
    <w:rsid w:val="00FC3369"/>
    <w:rsid w:val="00FC350E"/>
    <w:rsid w:val="00FC3582"/>
    <w:rsid w:val="00FC371D"/>
    <w:rsid w:val="00FC39C9"/>
    <w:rsid w:val="00FC3D00"/>
    <w:rsid w:val="00FC403A"/>
    <w:rsid w:val="00FC4159"/>
    <w:rsid w:val="00FC431D"/>
    <w:rsid w:val="00FC4856"/>
    <w:rsid w:val="00FC495E"/>
    <w:rsid w:val="00FC499F"/>
    <w:rsid w:val="00FC4F8F"/>
    <w:rsid w:val="00FC54F2"/>
    <w:rsid w:val="00FC571D"/>
    <w:rsid w:val="00FC57AC"/>
    <w:rsid w:val="00FC57D5"/>
    <w:rsid w:val="00FC585A"/>
    <w:rsid w:val="00FC5A7B"/>
    <w:rsid w:val="00FC5E32"/>
    <w:rsid w:val="00FC5F0B"/>
    <w:rsid w:val="00FC626C"/>
    <w:rsid w:val="00FC6BCE"/>
    <w:rsid w:val="00FC6BE0"/>
    <w:rsid w:val="00FC6EB6"/>
    <w:rsid w:val="00FC6EF0"/>
    <w:rsid w:val="00FC7041"/>
    <w:rsid w:val="00FC71BC"/>
    <w:rsid w:val="00FC7330"/>
    <w:rsid w:val="00FC74CF"/>
    <w:rsid w:val="00FC78C6"/>
    <w:rsid w:val="00FC7A4C"/>
    <w:rsid w:val="00FC7A4E"/>
    <w:rsid w:val="00FD0A42"/>
    <w:rsid w:val="00FD0AF8"/>
    <w:rsid w:val="00FD0C56"/>
    <w:rsid w:val="00FD1724"/>
    <w:rsid w:val="00FD17FC"/>
    <w:rsid w:val="00FD1C55"/>
    <w:rsid w:val="00FD2100"/>
    <w:rsid w:val="00FD221D"/>
    <w:rsid w:val="00FD2757"/>
    <w:rsid w:val="00FD28EA"/>
    <w:rsid w:val="00FD3582"/>
    <w:rsid w:val="00FD37B2"/>
    <w:rsid w:val="00FD3B8B"/>
    <w:rsid w:val="00FD41B6"/>
    <w:rsid w:val="00FD436C"/>
    <w:rsid w:val="00FD446D"/>
    <w:rsid w:val="00FD44A9"/>
    <w:rsid w:val="00FD450A"/>
    <w:rsid w:val="00FD4538"/>
    <w:rsid w:val="00FD4577"/>
    <w:rsid w:val="00FD4BD4"/>
    <w:rsid w:val="00FD4D45"/>
    <w:rsid w:val="00FD4F2C"/>
    <w:rsid w:val="00FD5212"/>
    <w:rsid w:val="00FD5CF7"/>
    <w:rsid w:val="00FD5D25"/>
    <w:rsid w:val="00FD5E99"/>
    <w:rsid w:val="00FD5EFC"/>
    <w:rsid w:val="00FD6394"/>
    <w:rsid w:val="00FD6561"/>
    <w:rsid w:val="00FD6569"/>
    <w:rsid w:val="00FD69AB"/>
    <w:rsid w:val="00FD6E1B"/>
    <w:rsid w:val="00FD6E4B"/>
    <w:rsid w:val="00FD6E77"/>
    <w:rsid w:val="00FD720A"/>
    <w:rsid w:val="00FD73F4"/>
    <w:rsid w:val="00FD7761"/>
    <w:rsid w:val="00FD7954"/>
    <w:rsid w:val="00FD79C1"/>
    <w:rsid w:val="00FD7BA1"/>
    <w:rsid w:val="00FD7F20"/>
    <w:rsid w:val="00FD7F3D"/>
    <w:rsid w:val="00FE0216"/>
    <w:rsid w:val="00FE04CC"/>
    <w:rsid w:val="00FE0530"/>
    <w:rsid w:val="00FE0E6C"/>
    <w:rsid w:val="00FE10C1"/>
    <w:rsid w:val="00FE12DB"/>
    <w:rsid w:val="00FE175A"/>
    <w:rsid w:val="00FE1CDC"/>
    <w:rsid w:val="00FE1E87"/>
    <w:rsid w:val="00FE27A2"/>
    <w:rsid w:val="00FE2D29"/>
    <w:rsid w:val="00FE2E30"/>
    <w:rsid w:val="00FE2FAD"/>
    <w:rsid w:val="00FE311B"/>
    <w:rsid w:val="00FE3370"/>
    <w:rsid w:val="00FE3D27"/>
    <w:rsid w:val="00FE3E91"/>
    <w:rsid w:val="00FE42BE"/>
    <w:rsid w:val="00FE4B7F"/>
    <w:rsid w:val="00FE4C13"/>
    <w:rsid w:val="00FE4E43"/>
    <w:rsid w:val="00FE5119"/>
    <w:rsid w:val="00FE5129"/>
    <w:rsid w:val="00FE5447"/>
    <w:rsid w:val="00FE5638"/>
    <w:rsid w:val="00FE5743"/>
    <w:rsid w:val="00FE60F6"/>
    <w:rsid w:val="00FE6611"/>
    <w:rsid w:val="00FE6DC7"/>
    <w:rsid w:val="00FE6FE8"/>
    <w:rsid w:val="00FE705F"/>
    <w:rsid w:val="00FE70C3"/>
    <w:rsid w:val="00FE72BE"/>
    <w:rsid w:val="00FE744E"/>
    <w:rsid w:val="00FE75B0"/>
    <w:rsid w:val="00FE7A32"/>
    <w:rsid w:val="00FE7A6F"/>
    <w:rsid w:val="00FE7E4D"/>
    <w:rsid w:val="00FE7E5F"/>
    <w:rsid w:val="00FF0156"/>
    <w:rsid w:val="00FF018B"/>
    <w:rsid w:val="00FF0191"/>
    <w:rsid w:val="00FF0225"/>
    <w:rsid w:val="00FF032E"/>
    <w:rsid w:val="00FF04F6"/>
    <w:rsid w:val="00FF0519"/>
    <w:rsid w:val="00FF05DD"/>
    <w:rsid w:val="00FF061E"/>
    <w:rsid w:val="00FF0E5D"/>
    <w:rsid w:val="00FF0E92"/>
    <w:rsid w:val="00FF1287"/>
    <w:rsid w:val="00FF12A3"/>
    <w:rsid w:val="00FF13DF"/>
    <w:rsid w:val="00FF1448"/>
    <w:rsid w:val="00FF15A9"/>
    <w:rsid w:val="00FF194B"/>
    <w:rsid w:val="00FF1A8B"/>
    <w:rsid w:val="00FF1FAC"/>
    <w:rsid w:val="00FF240F"/>
    <w:rsid w:val="00FF268B"/>
    <w:rsid w:val="00FF279F"/>
    <w:rsid w:val="00FF2A60"/>
    <w:rsid w:val="00FF2AD9"/>
    <w:rsid w:val="00FF32FC"/>
    <w:rsid w:val="00FF359F"/>
    <w:rsid w:val="00FF35AF"/>
    <w:rsid w:val="00FF3A2C"/>
    <w:rsid w:val="00FF3B76"/>
    <w:rsid w:val="00FF3DCF"/>
    <w:rsid w:val="00FF3F2F"/>
    <w:rsid w:val="00FF492C"/>
    <w:rsid w:val="00FF4A21"/>
    <w:rsid w:val="00FF4CA5"/>
    <w:rsid w:val="00FF5464"/>
    <w:rsid w:val="00FF5AA3"/>
    <w:rsid w:val="00FF5AD8"/>
    <w:rsid w:val="00FF65D7"/>
    <w:rsid w:val="00FF677A"/>
    <w:rsid w:val="00FF686F"/>
    <w:rsid w:val="00FF7224"/>
    <w:rsid w:val="00FF725B"/>
    <w:rsid w:val="00FF7291"/>
    <w:rsid w:val="00FF7501"/>
    <w:rsid w:val="00FF751E"/>
    <w:rsid w:val="00FF7617"/>
    <w:rsid w:val="00FF7671"/>
    <w:rsid w:val="00FF7E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80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2C"/>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BMS Heading 2,Subsection Headings"/>
    <w:basedOn w:val="Normal"/>
    <w:next w:val="Normal"/>
    <w:link w:val="Heading2Char"/>
    <w:uiPriority w:val="1"/>
    <w:qFormat/>
    <w:rsid w:val="001B204E"/>
    <w:pPr>
      <w:outlineLvl w:val="1"/>
    </w:pPr>
    <w:rPr>
      <w:b/>
      <w:i/>
      <w:sz w:val="28"/>
    </w:rPr>
  </w:style>
  <w:style w:type="paragraph" w:styleId="Heading3">
    <w:name w:val="heading 3"/>
    <w:aliases w:val="BMS Heading 3"/>
    <w:basedOn w:val="Normal"/>
    <w:next w:val="Normal"/>
    <w:link w:val="Heading3Char"/>
    <w:qFormat/>
    <w:rsid w:val="001F7361"/>
    <w:pPr>
      <w:outlineLvl w:val="2"/>
    </w:pPr>
    <w:rPr>
      <w:u w:val="single"/>
    </w:rPr>
  </w:style>
  <w:style w:type="paragraph" w:styleId="Heading4">
    <w:name w:val="heading 4"/>
    <w:aliases w:val="BMS Heading 4"/>
    <w:basedOn w:val="Normal"/>
    <w:next w:val="Normal"/>
    <w:qFormat/>
    <w:rsid w:val="007C2927"/>
    <w:pPr>
      <w:keepNext/>
      <w:spacing w:before="240" w:after="60"/>
      <w:outlineLvl w:val="3"/>
    </w:pPr>
    <w:rPr>
      <w:bCs/>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MS Heading 2 Char,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Normal: Bullets,Table Legend,Bullet1,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eader Table,NICE instructions,Source table_,PBAC table,Lash Style Table,PHE Table Grid,HTAtableplain,MSD Table Grid,Dossier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link w:val="TOC2Char"/>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7607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notes">
    <w:name w:val="Table notes"/>
    <w:basedOn w:val="Normal"/>
    <w:link w:val="TablenotesChar"/>
    <w:qFormat/>
    <w:rsid w:val="001C24F9"/>
    <w:rPr>
      <w:rFonts w:ascii="Trebuchet MS" w:eastAsiaTheme="minorHAnsi" w:hAnsi="Trebuchet MS" w:cstheme="minorBidi"/>
      <w:sz w:val="16"/>
      <w:szCs w:val="22"/>
      <w:lang w:eastAsia="en-US"/>
    </w:rPr>
  </w:style>
  <w:style w:type="character" w:customStyle="1" w:styleId="TablenotesChar">
    <w:name w:val="Table notes Char"/>
    <w:basedOn w:val="DefaultParagraphFont"/>
    <w:link w:val="Tablenotes"/>
    <w:rsid w:val="001C24F9"/>
    <w:rPr>
      <w:rFonts w:ascii="Trebuchet MS" w:eastAsiaTheme="minorHAnsi" w:hAnsi="Trebuchet MS" w:cstheme="minorBidi"/>
      <w:sz w:val="16"/>
      <w:szCs w:val="22"/>
      <w:lang w:eastAsia="en-US"/>
    </w:rPr>
  </w:style>
  <w:style w:type="paragraph" w:styleId="FootnoteText">
    <w:name w:val="footnote text"/>
    <w:basedOn w:val="Normal"/>
    <w:link w:val="FootnoteTextChar"/>
    <w:uiPriority w:val="99"/>
    <w:unhideWhenUsed/>
    <w:rsid w:val="00C805DD"/>
    <w:rPr>
      <w:sz w:val="20"/>
      <w:szCs w:val="20"/>
    </w:rPr>
  </w:style>
  <w:style w:type="character" w:customStyle="1" w:styleId="FootnoteTextChar">
    <w:name w:val="Footnote Text Char"/>
    <w:basedOn w:val="DefaultParagraphFont"/>
    <w:link w:val="FootnoteText"/>
    <w:uiPriority w:val="99"/>
    <w:rsid w:val="00C805DD"/>
    <w:rPr>
      <w:rFonts w:ascii="Calibri" w:hAnsi="Calibri" w:cs="Arial"/>
    </w:rPr>
  </w:style>
  <w:style w:type="character" w:styleId="FootnoteReference">
    <w:name w:val="footnote reference"/>
    <w:basedOn w:val="DefaultParagraphFont"/>
    <w:uiPriority w:val="99"/>
    <w:unhideWhenUsed/>
    <w:qFormat/>
    <w:rsid w:val="00C805DD"/>
    <w:rPr>
      <w:vertAlign w:val="superscript"/>
    </w:rPr>
  </w:style>
  <w:style w:type="character" w:styleId="UnresolvedMention">
    <w:name w:val="Unresolved Mention"/>
    <w:basedOn w:val="DefaultParagraphFont"/>
    <w:uiPriority w:val="99"/>
    <w:semiHidden/>
    <w:unhideWhenUsed/>
    <w:rsid w:val="002D3F82"/>
    <w:rPr>
      <w:color w:val="605E5C"/>
      <w:shd w:val="clear" w:color="auto" w:fill="E1DFDD"/>
    </w:rPr>
  </w:style>
  <w:style w:type="paragraph" w:customStyle="1" w:styleId="C-AlphabeticList">
    <w:name w:val="C-Alphabetic List"/>
    <w:rsid w:val="00387A5D"/>
    <w:pPr>
      <w:numPr>
        <w:ilvl w:val="1"/>
        <w:numId w:val="7"/>
      </w:numPr>
      <w:jc w:val="both"/>
    </w:pPr>
    <w:rPr>
      <w:sz w:val="24"/>
      <w:lang w:val="en-US" w:eastAsia="en-US"/>
    </w:rPr>
  </w:style>
  <w:style w:type="table" w:customStyle="1" w:styleId="HTATableshaded">
    <w:name w:val="HTA Table shaded"/>
    <w:basedOn w:val="TableNormal"/>
    <w:rsid w:val="008A68EB"/>
    <w:pPr>
      <w:spacing w:before="40" w:after="20"/>
      <w:jc w:val="both"/>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PBACtable11">
    <w:name w:val="PBAC table11"/>
    <w:basedOn w:val="TableNormal"/>
    <w:next w:val="TableGrid"/>
    <w:uiPriority w:val="39"/>
    <w:rsid w:val="00650676"/>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61D7"/>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665D19"/>
    <w:pPr>
      <w:keepNext/>
      <w:spacing w:after="60"/>
      <w:jc w:val="left"/>
    </w:pPr>
    <w:rPr>
      <w:rFonts w:ascii="Arial Narrow" w:eastAsiaTheme="minorHAnsi" w:hAnsi="Arial Narrow" w:cstheme="minorBidi"/>
      <w:b/>
      <w:sz w:val="20"/>
      <w:szCs w:val="22"/>
      <w:lang w:eastAsia="en-US"/>
    </w:rPr>
  </w:style>
  <w:style w:type="paragraph" w:customStyle="1" w:styleId="Tableheadingleft">
    <w:name w:val="Table heading left"/>
    <w:basedOn w:val="TableText0"/>
    <w:qFormat/>
    <w:rsid w:val="0005002D"/>
    <w:pPr>
      <w:keepNext w:val="0"/>
    </w:pPr>
    <w:rPr>
      <w:rFonts w:asciiTheme="minorHAnsi" w:eastAsiaTheme="minorHAnsi" w:hAnsiTheme="minorHAnsi" w:cs="Arial"/>
      <w:b/>
      <w:bCs w:val="0"/>
      <w:color w:val="000000"/>
      <w:szCs w:val="18"/>
      <w:lang w:eastAsia="en-US"/>
    </w:rPr>
  </w:style>
  <w:style w:type="paragraph" w:customStyle="1" w:styleId="TableText1">
    <w:name w:val="TableText"/>
    <w:basedOn w:val="Normal"/>
    <w:link w:val="TableTextChar1"/>
    <w:uiPriority w:val="3"/>
    <w:qFormat/>
    <w:rsid w:val="00C66EDF"/>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C66EDF"/>
    <w:rPr>
      <w:rFonts w:ascii="Calibri" w:hAnsi="Calibri" w:cs="Calibri"/>
      <w:bCs/>
      <w:lang w:eastAsia="zh-CN"/>
    </w:rPr>
  </w:style>
  <w:style w:type="table" w:styleId="GridTable1Light">
    <w:name w:val="Grid Table 1 Light"/>
    <w:basedOn w:val="TableNormal"/>
    <w:uiPriority w:val="46"/>
    <w:rsid w:val="004178E1"/>
    <w:pPr>
      <w:jc w:val="both"/>
    </w:pPr>
    <w:rPr>
      <w:rFonts w:ascii="Trebuchet MS" w:eastAsiaTheme="minorHAnsi" w:hAnsi="Trebuchet MS"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OC2Char">
    <w:name w:val="TOC 2 Char"/>
    <w:basedOn w:val="DefaultParagraphFont"/>
    <w:link w:val="TOC2"/>
    <w:uiPriority w:val="39"/>
    <w:rsid w:val="004178E1"/>
    <w:rPr>
      <w:rFonts w:ascii="Calibri" w:hAnsi="Calibri" w:cs="Arial"/>
      <w:iCs/>
      <w:szCs w:val="24"/>
    </w:rPr>
  </w:style>
  <w:style w:type="table" w:styleId="PlainTable2">
    <w:name w:val="Plain Table 2"/>
    <w:basedOn w:val="TableNormal"/>
    <w:uiPriority w:val="42"/>
    <w:rsid w:val="004178E1"/>
    <w:pPr>
      <w:jc w:val="both"/>
    </w:pPr>
    <w:rPr>
      <w:rFonts w:ascii="Trebuchet MS" w:eastAsiaTheme="minorHAnsi" w:hAnsi="Trebuchet MS"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BACtable2">
    <w:name w:val="PBAC table2"/>
    <w:basedOn w:val="TableNormal"/>
    <w:next w:val="TableGrid"/>
    <w:uiPriority w:val="39"/>
    <w:rsid w:val="004178E1"/>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Letter">
    <w:name w:val="Bullet+0 (Letter)"/>
    <w:basedOn w:val="Normal"/>
    <w:qFormat/>
    <w:rsid w:val="004178E1"/>
    <w:pPr>
      <w:numPr>
        <w:numId w:val="10"/>
      </w:numPr>
      <w:tabs>
        <w:tab w:val="num" w:pos="643"/>
        <w:tab w:val="num" w:pos="1492"/>
      </w:tabs>
      <w:spacing w:line="276" w:lineRule="auto"/>
      <w:ind w:left="643"/>
    </w:pPr>
    <w:rPr>
      <w:rFonts w:asciiTheme="minorHAnsi" w:eastAsiaTheme="minorHAnsi" w:hAnsiTheme="minorHAnsi"/>
      <w:sz w:val="22"/>
      <w:szCs w:val="22"/>
      <w:lang w:eastAsia="en-US"/>
    </w:rPr>
  </w:style>
  <w:style w:type="table" w:customStyle="1" w:styleId="PBACtable3">
    <w:name w:val="PBAC table3"/>
    <w:basedOn w:val="TableNormal"/>
    <w:next w:val="TableGrid"/>
    <w:uiPriority w:val="39"/>
    <w:rsid w:val="004178E1"/>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5">
    <w:name w:val="PBAC table5"/>
    <w:basedOn w:val="TableNormal"/>
    <w:next w:val="TableGrid"/>
    <w:rsid w:val="004178E1"/>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178E1"/>
    <w:pPr>
      <w:jc w:val="center"/>
    </w:pPr>
    <w:rPr>
      <w:rFonts w:eastAsiaTheme="majorEastAsia" w:cs="Calibri"/>
      <w:noProof/>
    </w:rPr>
  </w:style>
  <w:style w:type="character" w:customStyle="1" w:styleId="EndNoteBibliographyTitleChar">
    <w:name w:val="EndNote Bibliography Title Char"/>
    <w:basedOn w:val="TableTextChar0"/>
    <w:link w:val="EndNoteBibliographyTitle"/>
    <w:rsid w:val="004178E1"/>
    <w:rPr>
      <w:rFonts w:ascii="Calibri" w:eastAsiaTheme="majorEastAsia" w:hAnsi="Calibri" w:cs="Calibri"/>
      <w:bCs w:val="0"/>
      <w:noProof/>
      <w:sz w:val="24"/>
      <w:szCs w:val="24"/>
    </w:rPr>
  </w:style>
  <w:style w:type="paragraph" w:customStyle="1" w:styleId="EndNoteBibliography">
    <w:name w:val="EndNote Bibliography"/>
    <w:basedOn w:val="Normal"/>
    <w:link w:val="EndNoteBibliographyChar"/>
    <w:rsid w:val="004178E1"/>
    <w:rPr>
      <w:rFonts w:eastAsiaTheme="majorEastAsia" w:cs="Calibri"/>
      <w:noProof/>
    </w:rPr>
  </w:style>
  <w:style w:type="character" w:customStyle="1" w:styleId="EndNoteBibliographyChar">
    <w:name w:val="EndNote Bibliography Char"/>
    <w:basedOn w:val="TableTextChar0"/>
    <w:link w:val="EndNoteBibliography"/>
    <w:rsid w:val="004178E1"/>
    <w:rPr>
      <w:rFonts w:ascii="Calibri" w:eastAsiaTheme="majorEastAsia" w:hAnsi="Calibri" w:cs="Calibri"/>
      <w:bCs w:val="0"/>
      <w:noProof/>
      <w:sz w:val="24"/>
      <w:szCs w:val="24"/>
    </w:rPr>
  </w:style>
  <w:style w:type="table" w:customStyle="1" w:styleId="PBACtable4">
    <w:name w:val="PBAC table4"/>
    <w:basedOn w:val="TableNormal"/>
    <w:next w:val="TableGrid"/>
    <w:rsid w:val="004178E1"/>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7">
    <w:name w:val="PBAC table7"/>
    <w:basedOn w:val="TableNormal"/>
    <w:next w:val="TableGrid"/>
    <w:rsid w:val="004178E1"/>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9">
    <w:name w:val="PBAC table9"/>
    <w:basedOn w:val="TableNormal"/>
    <w:next w:val="TableGrid"/>
    <w:rsid w:val="004178E1"/>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0">
    <w:name w:val="PBAC table10"/>
    <w:basedOn w:val="TableNormal"/>
    <w:next w:val="TableGrid"/>
    <w:rsid w:val="004178E1"/>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178E1"/>
  </w:style>
  <w:style w:type="paragraph" w:customStyle="1" w:styleId="TableFigureFooter">
    <w:name w:val="Table/Figure Footer"/>
    <w:basedOn w:val="Normal"/>
    <w:link w:val="TableFigureFooterChar"/>
    <w:qFormat/>
    <w:rsid w:val="004178E1"/>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4178E1"/>
    <w:rPr>
      <w:rFonts w:ascii="Arial Narrow" w:hAnsi="Arial Narrow" w:cs="Arial"/>
      <w:snapToGrid w:val="0"/>
      <w:sz w:val="18"/>
      <w:szCs w:val="22"/>
    </w:rPr>
  </w:style>
  <w:style w:type="table" w:customStyle="1" w:styleId="Submissionstandard1">
    <w:name w:val="Submission standard1"/>
    <w:basedOn w:val="TableNormal"/>
    <w:uiPriority w:val="99"/>
    <w:qFormat/>
    <w:rsid w:val="004178E1"/>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eorgia Pro Cond Light" w:hAnsi="Georgia Pro Cond Light" w:cstheme="majorBidi"/>
        <w:b/>
        <w:sz w:val="20"/>
      </w:rPr>
      <w:tblPr/>
      <w:tcPr>
        <w:shd w:val="clear" w:color="auto" w:fill="BFBFBF" w:themeFill="background1" w:themeFillShade="BF"/>
      </w:tcPr>
    </w:tblStylePr>
  </w:style>
  <w:style w:type="character" w:customStyle="1" w:styleId="refseries">
    <w:name w:val="ref__series"/>
    <w:basedOn w:val="DefaultParagraphFont"/>
    <w:rsid w:val="004178E1"/>
  </w:style>
  <w:style w:type="character" w:customStyle="1" w:styleId="refseriesdate">
    <w:name w:val="ref__seriesdate"/>
    <w:basedOn w:val="DefaultParagraphFont"/>
    <w:rsid w:val="004178E1"/>
  </w:style>
  <w:style w:type="character" w:customStyle="1" w:styleId="refseriesvolume">
    <w:name w:val="ref__seriesvolume"/>
    <w:basedOn w:val="DefaultParagraphFont"/>
    <w:rsid w:val="004178E1"/>
  </w:style>
  <w:style w:type="character" w:customStyle="1" w:styleId="refseriespages">
    <w:name w:val="ref__seriespages"/>
    <w:basedOn w:val="DefaultParagraphFont"/>
    <w:rsid w:val="004178E1"/>
  </w:style>
  <w:style w:type="character" w:customStyle="1" w:styleId="hgkelc">
    <w:name w:val="hgkelc"/>
    <w:basedOn w:val="DefaultParagraphFont"/>
    <w:rsid w:val="004178E1"/>
  </w:style>
  <w:style w:type="character" w:customStyle="1" w:styleId="Heading3Char">
    <w:name w:val="Heading 3 Char"/>
    <w:aliases w:val="BMS Heading 3 Char"/>
    <w:basedOn w:val="DefaultParagraphFont"/>
    <w:link w:val="Heading3"/>
    <w:uiPriority w:val="1"/>
    <w:rsid w:val="00C14A62"/>
    <w:rPr>
      <w:rFonts w:ascii="Calibri" w:hAnsi="Calibri" w:cs="Arial"/>
      <w:sz w:val="24"/>
      <w:szCs w:val="24"/>
      <w:u w:val="single"/>
    </w:rPr>
  </w:style>
  <w:style w:type="character" w:customStyle="1" w:styleId="cf01">
    <w:name w:val="cf01"/>
    <w:basedOn w:val="DefaultParagraphFont"/>
    <w:rsid w:val="00417733"/>
    <w:rPr>
      <w:rFonts w:ascii="Segoe UI" w:hAnsi="Segoe UI" w:cs="Segoe UI" w:hint="default"/>
      <w:sz w:val="18"/>
      <w:szCs w:val="18"/>
    </w:rPr>
  </w:style>
  <w:style w:type="character" w:customStyle="1" w:styleId="cf11">
    <w:name w:val="cf11"/>
    <w:basedOn w:val="DefaultParagraphFont"/>
    <w:rsid w:val="0048631A"/>
    <w:rPr>
      <w:rFonts w:ascii="Segoe UI" w:hAnsi="Segoe UI" w:cs="Segoe UI" w:hint="default"/>
      <w:i/>
      <w:iCs/>
      <w:sz w:val="18"/>
      <w:szCs w:val="18"/>
    </w:rPr>
  </w:style>
  <w:style w:type="table" w:customStyle="1" w:styleId="newstyle1">
    <w:name w:val="new style1"/>
    <w:basedOn w:val="TableNormal"/>
    <w:next w:val="TableGrid"/>
    <w:uiPriority w:val="39"/>
    <w:rsid w:val="00B37E14"/>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21">
    <w:name w:val="cf21"/>
    <w:basedOn w:val="DefaultParagraphFont"/>
    <w:rsid w:val="001202C4"/>
    <w:rPr>
      <w:rFonts w:ascii="Segoe UI" w:hAnsi="Segoe UI" w:cs="Segoe UI" w:hint="default"/>
      <w:sz w:val="18"/>
      <w:szCs w:val="18"/>
    </w:rPr>
  </w:style>
  <w:style w:type="character" w:customStyle="1" w:styleId="cf31">
    <w:name w:val="cf31"/>
    <w:basedOn w:val="DefaultParagraphFont"/>
    <w:rsid w:val="001202C4"/>
    <w:rPr>
      <w:rFonts w:ascii="Segoe UI" w:hAnsi="Segoe UI" w:cs="Segoe UI" w:hint="default"/>
      <w:i/>
      <w:iCs/>
      <w:sz w:val="18"/>
      <w:szCs w:val="18"/>
    </w:rPr>
  </w:style>
  <w:style w:type="table" w:customStyle="1" w:styleId="PBACtable91">
    <w:name w:val="PBAC table91"/>
    <w:basedOn w:val="TableNormal"/>
    <w:next w:val="TableGrid"/>
    <w:rsid w:val="00D454FF"/>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39"/>
    <w:rsid w:val="00F149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0D45"/>
    <w:rPr>
      <w:color w:val="808080"/>
    </w:rPr>
  </w:style>
  <w:style w:type="paragraph" w:customStyle="1" w:styleId="pf0">
    <w:name w:val="pf0"/>
    <w:basedOn w:val="Normal"/>
    <w:rsid w:val="00E34282"/>
    <w:pPr>
      <w:spacing w:before="100" w:beforeAutospacing="1" w:after="100" w:afterAutospacing="1"/>
      <w:jc w:val="left"/>
    </w:pPr>
    <w:rPr>
      <w:rFonts w:ascii="Times New Roman" w:hAnsi="Times New Roman" w:cs="Times New Roman"/>
    </w:rPr>
  </w:style>
  <w:style w:type="paragraph" w:customStyle="1" w:styleId="COMH1-non-numbered">
    <w:name w:val="COM H1 - non-numbered"/>
    <w:next w:val="Normal"/>
    <w:link w:val="COMH1-non-numberedChar"/>
    <w:qFormat/>
    <w:rsid w:val="002B5563"/>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2B5563"/>
    <w:rPr>
      <w:rFonts w:asciiTheme="minorHAnsi" w:eastAsiaTheme="majorEastAsia" w:hAnsiTheme="minorHAnsi" w:cstheme="majorBidi"/>
      <w:b/>
      <w:spacing w:val="5"/>
      <w:kern w:val="28"/>
      <w:sz w:val="32"/>
      <w:szCs w:val="36"/>
    </w:rPr>
  </w:style>
  <w:style w:type="character" w:customStyle="1" w:styleId="Heading1Char">
    <w:name w:val="Heading 1 Char"/>
    <w:basedOn w:val="DefaultParagraphFont"/>
    <w:link w:val="Heading1"/>
    <w:uiPriority w:val="1"/>
    <w:rsid w:val="00E56CF3"/>
    <w:rPr>
      <w:rFonts w:ascii="Calibri" w:hAnsi="Calibri" w:cs="Arial"/>
      <w:b/>
      <w:caps/>
      <w:sz w:val="32"/>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56CF3"/>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E56CF3"/>
  </w:style>
  <w:style w:type="table" w:customStyle="1" w:styleId="TableGrid1">
    <w:name w:val="Table Grid1"/>
    <w:basedOn w:val="TableNormal"/>
    <w:next w:val="TableGrid"/>
    <w:uiPriority w:val="39"/>
    <w:rsid w:val="00E56CF3"/>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6CF3"/>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4133F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133FC"/>
    <w:rPr>
      <w:rFonts w:asciiTheme="minorHAnsi" w:eastAsiaTheme="majorEastAsia" w:hAnsiTheme="minorHAnsi" w:cstheme="majorBidi"/>
      <w:b/>
      <w:i/>
      <w:snapToGrid/>
      <w:spacing w:val="5"/>
      <w:kern w:val="28"/>
      <w:sz w:val="28"/>
      <w:szCs w:val="36"/>
      <w:lang w:eastAsia="en-US"/>
    </w:rPr>
  </w:style>
  <w:style w:type="paragraph" w:customStyle="1" w:styleId="xxmsolistparagraph">
    <w:name w:val="x_xmsolistparagraph"/>
    <w:basedOn w:val="Normal"/>
    <w:rsid w:val="00225C0C"/>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840">
      <w:bodyDiv w:val="1"/>
      <w:marLeft w:val="0"/>
      <w:marRight w:val="0"/>
      <w:marTop w:val="0"/>
      <w:marBottom w:val="0"/>
      <w:divBdr>
        <w:top w:val="none" w:sz="0" w:space="0" w:color="auto"/>
        <w:left w:val="none" w:sz="0" w:space="0" w:color="auto"/>
        <w:bottom w:val="none" w:sz="0" w:space="0" w:color="auto"/>
        <w:right w:val="none" w:sz="0" w:space="0" w:color="auto"/>
      </w:divBdr>
    </w:div>
    <w:div w:id="7320978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4370454">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4247728">
      <w:bodyDiv w:val="1"/>
      <w:marLeft w:val="0"/>
      <w:marRight w:val="0"/>
      <w:marTop w:val="0"/>
      <w:marBottom w:val="0"/>
      <w:divBdr>
        <w:top w:val="none" w:sz="0" w:space="0" w:color="auto"/>
        <w:left w:val="none" w:sz="0" w:space="0" w:color="auto"/>
        <w:bottom w:val="none" w:sz="0" w:space="0" w:color="auto"/>
        <w:right w:val="none" w:sz="0" w:space="0" w:color="auto"/>
      </w:divBdr>
    </w:div>
    <w:div w:id="268315506">
      <w:bodyDiv w:val="1"/>
      <w:marLeft w:val="0"/>
      <w:marRight w:val="0"/>
      <w:marTop w:val="0"/>
      <w:marBottom w:val="0"/>
      <w:divBdr>
        <w:top w:val="none" w:sz="0" w:space="0" w:color="auto"/>
        <w:left w:val="none" w:sz="0" w:space="0" w:color="auto"/>
        <w:bottom w:val="none" w:sz="0" w:space="0" w:color="auto"/>
        <w:right w:val="none" w:sz="0" w:space="0" w:color="auto"/>
      </w:divBdr>
    </w:div>
    <w:div w:id="27252015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6230203">
      <w:bodyDiv w:val="1"/>
      <w:marLeft w:val="0"/>
      <w:marRight w:val="0"/>
      <w:marTop w:val="0"/>
      <w:marBottom w:val="0"/>
      <w:divBdr>
        <w:top w:val="none" w:sz="0" w:space="0" w:color="auto"/>
        <w:left w:val="none" w:sz="0" w:space="0" w:color="auto"/>
        <w:bottom w:val="none" w:sz="0" w:space="0" w:color="auto"/>
        <w:right w:val="none" w:sz="0" w:space="0" w:color="auto"/>
      </w:divBdr>
    </w:div>
    <w:div w:id="417479469">
      <w:bodyDiv w:val="1"/>
      <w:marLeft w:val="0"/>
      <w:marRight w:val="0"/>
      <w:marTop w:val="0"/>
      <w:marBottom w:val="0"/>
      <w:divBdr>
        <w:top w:val="none" w:sz="0" w:space="0" w:color="auto"/>
        <w:left w:val="none" w:sz="0" w:space="0" w:color="auto"/>
        <w:bottom w:val="none" w:sz="0" w:space="0" w:color="auto"/>
        <w:right w:val="none" w:sz="0" w:space="0" w:color="auto"/>
      </w:divBdr>
    </w:div>
    <w:div w:id="466973977">
      <w:bodyDiv w:val="1"/>
      <w:marLeft w:val="0"/>
      <w:marRight w:val="0"/>
      <w:marTop w:val="0"/>
      <w:marBottom w:val="0"/>
      <w:divBdr>
        <w:top w:val="none" w:sz="0" w:space="0" w:color="auto"/>
        <w:left w:val="none" w:sz="0" w:space="0" w:color="auto"/>
        <w:bottom w:val="none" w:sz="0" w:space="0" w:color="auto"/>
        <w:right w:val="none" w:sz="0" w:space="0" w:color="auto"/>
      </w:divBdr>
    </w:div>
    <w:div w:id="477723184">
      <w:bodyDiv w:val="1"/>
      <w:marLeft w:val="0"/>
      <w:marRight w:val="0"/>
      <w:marTop w:val="0"/>
      <w:marBottom w:val="0"/>
      <w:divBdr>
        <w:top w:val="none" w:sz="0" w:space="0" w:color="auto"/>
        <w:left w:val="none" w:sz="0" w:space="0" w:color="auto"/>
        <w:bottom w:val="none" w:sz="0" w:space="0" w:color="auto"/>
        <w:right w:val="none" w:sz="0" w:space="0" w:color="auto"/>
      </w:divBdr>
    </w:div>
    <w:div w:id="500201570">
      <w:bodyDiv w:val="1"/>
      <w:marLeft w:val="0"/>
      <w:marRight w:val="0"/>
      <w:marTop w:val="0"/>
      <w:marBottom w:val="0"/>
      <w:divBdr>
        <w:top w:val="none" w:sz="0" w:space="0" w:color="auto"/>
        <w:left w:val="none" w:sz="0" w:space="0" w:color="auto"/>
        <w:bottom w:val="none" w:sz="0" w:space="0" w:color="auto"/>
        <w:right w:val="none" w:sz="0" w:space="0" w:color="auto"/>
      </w:divBdr>
    </w:div>
    <w:div w:id="552815656">
      <w:bodyDiv w:val="1"/>
      <w:marLeft w:val="0"/>
      <w:marRight w:val="0"/>
      <w:marTop w:val="0"/>
      <w:marBottom w:val="0"/>
      <w:divBdr>
        <w:top w:val="none" w:sz="0" w:space="0" w:color="auto"/>
        <w:left w:val="none" w:sz="0" w:space="0" w:color="auto"/>
        <w:bottom w:val="none" w:sz="0" w:space="0" w:color="auto"/>
        <w:right w:val="none" w:sz="0" w:space="0" w:color="auto"/>
      </w:divBdr>
    </w:div>
    <w:div w:id="569508570">
      <w:bodyDiv w:val="1"/>
      <w:marLeft w:val="0"/>
      <w:marRight w:val="0"/>
      <w:marTop w:val="0"/>
      <w:marBottom w:val="0"/>
      <w:divBdr>
        <w:top w:val="none" w:sz="0" w:space="0" w:color="auto"/>
        <w:left w:val="none" w:sz="0" w:space="0" w:color="auto"/>
        <w:bottom w:val="none" w:sz="0" w:space="0" w:color="auto"/>
        <w:right w:val="none" w:sz="0" w:space="0" w:color="auto"/>
      </w:divBdr>
    </w:div>
    <w:div w:id="589896932">
      <w:bodyDiv w:val="1"/>
      <w:marLeft w:val="0"/>
      <w:marRight w:val="0"/>
      <w:marTop w:val="0"/>
      <w:marBottom w:val="0"/>
      <w:divBdr>
        <w:top w:val="none" w:sz="0" w:space="0" w:color="auto"/>
        <w:left w:val="none" w:sz="0" w:space="0" w:color="auto"/>
        <w:bottom w:val="none" w:sz="0" w:space="0" w:color="auto"/>
        <w:right w:val="none" w:sz="0" w:space="0" w:color="auto"/>
      </w:divBdr>
    </w:div>
    <w:div w:id="709649942">
      <w:bodyDiv w:val="1"/>
      <w:marLeft w:val="0"/>
      <w:marRight w:val="0"/>
      <w:marTop w:val="0"/>
      <w:marBottom w:val="0"/>
      <w:divBdr>
        <w:top w:val="none" w:sz="0" w:space="0" w:color="auto"/>
        <w:left w:val="none" w:sz="0" w:space="0" w:color="auto"/>
        <w:bottom w:val="none" w:sz="0" w:space="0" w:color="auto"/>
        <w:right w:val="none" w:sz="0" w:space="0" w:color="auto"/>
      </w:divBdr>
    </w:div>
    <w:div w:id="746272705">
      <w:bodyDiv w:val="1"/>
      <w:marLeft w:val="0"/>
      <w:marRight w:val="0"/>
      <w:marTop w:val="0"/>
      <w:marBottom w:val="0"/>
      <w:divBdr>
        <w:top w:val="none" w:sz="0" w:space="0" w:color="auto"/>
        <w:left w:val="none" w:sz="0" w:space="0" w:color="auto"/>
        <w:bottom w:val="none" w:sz="0" w:space="0" w:color="auto"/>
        <w:right w:val="none" w:sz="0" w:space="0" w:color="auto"/>
      </w:divBdr>
    </w:div>
    <w:div w:id="754594376">
      <w:bodyDiv w:val="1"/>
      <w:marLeft w:val="0"/>
      <w:marRight w:val="0"/>
      <w:marTop w:val="0"/>
      <w:marBottom w:val="0"/>
      <w:divBdr>
        <w:top w:val="none" w:sz="0" w:space="0" w:color="auto"/>
        <w:left w:val="none" w:sz="0" w:space="0" w:color="auto"/>
        <w:bottom w:val="none" w:sz="0" w:space="0" w:color="auto"/>
        <w:right w:val="none" w:sz="0" w:space="0" w:color="auto"/>
      </w:divBdr>
    </w:div>
    <w:div w:id="754933897">
      <w:bodyDiv w:val="1"/>
      <w:marLeft w:val="0"/>
      <w:marRight w:val="0"/>
      <w:marTop w:val="0"/>
      <w:marBottom w:val="0"/>
      <w:divBdr>
        <w:top w:val="none" w:sz="0" w:space="0" w:color="auto"/>
        <w:left w:val="none" w:sz="0" w:space="0" w:color="auto"/>
        <w:bottom w:val="none" w:sz="0" w:space="0" w:color="auto"/>
        <w:right w:val="none" w:sz="0" w:space="0" w:color="auto"/>
      </w:divBdr>
    </w:div>
    <w:div w:id="767888281">
      <w:bodyDiv w:val="1"/>
      <w:marLeft w:val="0"/>
      <w:marRight w:val="0"/>
      <w:marTop w:val="0"/>
      <w:marBottom w:val="0"/>
      <w:divBdr>
        <w:top w:val="none" w:sz="0" w:space="0" w:color="auto"/>
        <w:left w:val="none" w:sz="0" w:space="0" w:color="auto"/>
        <w:bottom w:val="none" w:sz="0" w:space="0" w:color="auto"/>
        <w:right w:val="none" w:sz="0" w:space="0" w:color="auto"/>
      </w:divBdr>
    </w:div>
    <w:div w:id="784932954">
      <w:bodyDiv w:val="1"/>
      <w:marLeft w:val="0"/>
      <w:marRight w:val="0"/>
      <w:marTop w:val="0"/>
      <w:marBottom w:val="0"/>
      <w:divBdr>
        <w:top w:val="none" w:sz="0" w:space="0" w:color="auto"/>
        <w:left w:val="none" w:sz="0" w:space="0" w:color="auto"/>
        <w:bottom w:val="none" w:sz="0" w:space="0" w:color="auto"/>
        <w:right w:val="none" w:sz="0" w:space="0" w:color="auto"/>
      </w:divBdr>
    </w:div>
    <w:div w:id="809400550">
      <w:bodyDiv w:val="1"/>
      <w:marLeft w:val="0"/>
      <w:marRight w:val="0"/>
      <w:marTop w:val="0"/>
      <w:marBottom w:val="0"/>
      <w:divBdr>
        <w:top w:val="none" w:sz="0" w:space="0" w:color="auto"/>
        <w:left w:val="none" w:sz="0" w:space="0" w:color="auto"/>
        <w:bottom w:val="none" w:sz="0" w:space="0" w:color="auto"/>
        <w:right w:val="none" w:sz="0" w:space="0" w:color="auto"/>
      </w:divBdr>
    </w:div>
    <w:div w:id="83010485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0703514">
      <w:bodyDiv w:val="1"/>
      <w:marLeft w:val="0"/>
      <w:marRight w:val="0"/>
      <w:marTop w:val="0"/>
      <w:marBottom w:val="0"/>
      <w:divBdr>
        <w:top w:val="none" w:sz="0" w:space="0" w:color="auto"/>
        <w:left w:val="none" w:sz="0" w:space="0" w:color="auto"/>
        <w:bottom w:val="none" w:sz="0" w:space="0" w:color="auto"/>
        <w:right w:val="none" w:sz="0" w:space="0" w:color="auto"/>
      </w:divBdr>
    </w:div>
    <w:div w:id="848375457">
      <w:bodyDiv w:val="1"/>
      <w:marLeft w:val="0"/>
      <w:marRight w:val="0"/>
      <w:marTop w:val="0"/>
      <w:marBottom w:val="0"/>
      <w:divBdr>
        <w:top w:val="none" w:sz="0" w:space="0" w:color="auto"/>
        <w:left w:val="none" w:sz="0" w:space="0" w:color="auto"/>
        <w:bottom w:val="none" w:sz="0" w:space="0" w:color="auto"/>
        <w:right w:val="none" w:sz="0" w:space="0" w:color="auto"/>
      </w:divBdr>
    </w:div>
    <w:div w:id="945162910">
      <w:bodyDiv w:val="1"/>
      <w:marLeft w:val="0"/>
      <w:marRight w:val="0"/>
      <w:marTop w:val="0"/>
      <w:marBottom w:val="0"/>
      <w:divBdr>
        <w:top w:val="none" w:sz="0" w:space="0" w:color="auto"/>
        <w:left w:val="none" w:sz="0" w:space="0" w:color="auto"/>
        <w:bottom w:val="none" w:sz="0" w:space="0" w:color="auto"/>
        <w:right w:val="none" w:sz="0" w:space="0" w:color="auto"/>
      </w:divBdr>
    </w:div>
    <w:div w:id="102054809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1181981">
      <w:bodyDiv w:val="1"/>
      <w:marLeft w:val="0"/>
      <w:marRight w:val="0"/>
      <w:marTop w:val="0"/>
      <w:marBottom w:val="0"/>
      <w:divBdr>
        <w:top w:val="none" w:sz="0" w:space="0" w:color="auto"/>
        <w:left w:val="none" w:sz="0" w:space="0" w:color="auto"/>
        <w:bottom w:val="none" w:sz="0" w:space="0" w:color="auto"/>
        <w:right w:val="none" w:sz="0" w:space="0" w:color="auto"/>
      </w:divBdr>
    </w:div>
    <w:div w:id="1616474211">
      <w:bodyDiv w:val="1"/>
      <w:marLeft w:val="0"/>
      <w:marRight w:val="0"/>
      <w:marTop w:val="0"/>
      <w:marBottom w:val="0"/>
      <w:divBdr>
        <w:top w:val="none" w:sz="0" w:space="0" w:color="auto"/>
        <w:left w:val="none" w:sz="0" w:space="0" w:color="auto"/>
        <w:bottom w:val="none" w:sz="0" w:space="0" w:color="auto"/>
        <w:right w:val="none" w:sz="0" w:space="0" w:color="auto"/>
      </w:divBdr>
    </w:div>
    <w:div w:id="1638416262">
      <w:bodyDiv w:val="1"/>
      <w:marLeft w:val="0"/>
      <w:marRight w:val="0"/>
      <w:marTop w:val="0"/>
      <w:marBottom w:val="0"/>
      <w:divBdr>
        <w:top w:val="none" w:sz="0" w:space="0" w:color="auto"/>
        <w:left w:val="none" w:sz="0" w:space="0" w:color="auto"/>
        <w:bottom w:val="none" w:sz="0" w:space="0" w:color="auto"/>
        <w:right w:val="none" w:sz="0" w:space="0" w:color="auto"/>
      </w:divBdr>
    </w:div>
    <w:div w:id="1719472323">
      <w:bodyDiv w:val="1"/>
      <w:marLeft w:val="0"/>
      <w:marRight w:val="0"/>
      <w:marTop w:val="0"/>
      <w:marBottom w:val="0"/>
      <w:divBdr>
        <w:top w:val="none" w:sz="0" w:space="0" w:color="auto"/>
        <w:left w:val="none" w:sz="0" w:space="0" w:color="auto"/>
        <w:bottom w:val="none" w:sz="0" w:space="0" w:color="auto"/>
        <w:right w:val="none" w:sz="0" w:space="0" w:color="auto"/>
      </w:divBdr>
      <w:divsChild>
        <w:div w:id="598372181">
          <w:marLeft w:val="1080"/>
          <w:marRight w:val="0"/>
          <w:marTop w:val="100"/>
          <w:marBottom w:val="0"/>
          <w:divBdr>
            <w:top w:val="none" w:sz="0" w:space="0" w:color="auto"/>
            <w:left w:val="none" w:sz="0" w:space="0" w:color="auto"/>
            <w:bottom w:val="none" w:sz="0" w:space="0" w:color="auto"/>
            <w:right w:val="none" w:sz="0" w:space="0" w:color="auto"/>
          </w:divBdr>
        </w:div>
        <w:div w:id="1423599482">
          <w:marLeft w:val="1800"/>
          <w:marRight w:val="0"/>
          <w:marTop w:val="100"/>
          <w:marBottom w:val="0"/>
          <w:divBdr>
            <w:top w:val="none" w:sz="0" w:space="0" w:color="auto"/>
            <w:left w:val="none" w:sz="0" w:space="0" w:color="auto"/>
            <w:bottom w:val="none" w:sz="0" w:space="0" w:color="auto"/>
            <w:right w:val="none" w:sz="0" w:space="0" w:color="auto"/>
          </w:divBdr>
        </w:div>
      </w:divsChild>
    </w:div>
    <w:div w:id="1801149108">
      <w:bodyDiv w:val="1"/>
      <w:marLeft w:val="0"/>
      <w:marRight w:val="0"/>
      <w:marTop w:val="0"/>
      <w:marBottom w:val="0"/>
      <w:divBdr>
        <w:top w:val="none" w:sz="0" w:space="0" w:color="auto"/>
        <w:left w:val="none" w:sz="0" w:space="0" w:color="auto"/>
        <w:bottom w:val="none" w:sz="0" w:space="0" w:color="auto"/>
        <w:right w:val="none" w:sz="0" w:space="0" w:color="auto"/>
      </w:divBdr>
    </w:div>
    <w:div w:id="1842156806">
      <w:bodyDiv w:val="1"/>
      <w:marLeft w:val="0"/>
      <w:marRight w:val="0"/>
      <w:marTop w:val="0"/>
      <w:marBottom w:val="0"/>
      <w:divBdr>
        <w:top w:val="none" w:sz="0" w:space="0" w:color="auto"/>
        <w:left w:val="none" w:sz="0" w:space="0" w:color="auto"/>
        <w:bottom w:val="none" w:sz="0" w:space="0" w:color="auto"/>
        <w:right w:val="none" w:sz="0" w:space="0" w:color="auto"/>
      </w:divBdr>
    </w:div>
    <w:div w:id="1868908231">
      <w:bodyDiv w:val="1"/>
      <w:marLeft w:val="0"/>
      <w:marRight w:val="0"/>
      <w:marTop w:val="0"/>
      <w:marBottom w:val="0"/>
      <w:divBdr>
        <w:top w:val="none" w:sz="0" w:space="0" w:color="auto"/>
        <w:left w:val="none" w:sz="0" w:space="0" w:color="auto"/>
        <w:bottom w:val="none" w:sz="0" w:space="0" w:color="auto"/>
        <w:right w:val="none" w:sz="0" w:space="0" w:color="auto"/>
      </w:divBdr>
    </w:div>
    <w:div w:id="19392924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6450231">
      <w:bodyDiv w:val="1"/>
      <w:marLeft w:val="0"/>
      <w:marRight w:val="0"/>
      <w:marTop w:val="0"/>
      <w:marBottom w:val="0"/>
      <w:divBdr>
        <w:top w:val="none" w:sz="0" w:space="0" w:color="auto"/>
        <w:left w:val="none" w:sz="0" w:space="0" w:color="auto"/>
        <w:bottom w:val="none" w:sz="0" w:space="0" w:color="auto"/>
        <w:right w:val="none" w:sz="0" w:space="0" w:color="auto"/>
      </w:divBdr>
    </w:div>
    <w:div w:id="2088070048">
      <w:bodyDiv w:val="1"/>
      <w:marLeft w:val="0"/>
      <w:marRight w:val="0"/>
      <w:marTop w:val="0"/>
      <w:marBottom w:val="0"/>
      <w:divBdr>
        <w:top w:val="none" w:sz="0" w:space="0" w:color="auto"/>
        <w:left w:val="none" w:sz="0" w:space="0" w:color="auto"/>
        <w:bottom w:val="none" w:sz="0" w:space="0" w:color="auto"/>
        <w:right w:val="none" w:sz="0" w:space="0" w:color="auto"/>
      </w:divBdr>
    </w:div>
    <w:div w:id="209874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how/NCT0372365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linicaltrials.gov/ct2/show/NCT0372365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hospitals/hospital-performance-costs-acute-patients-2011-12/contents/key-findings" TargetMode="External"/><Relationship Id="rId3" Type="http://schemas.openxmlformats.org/officeDocument/2006/relationships/hyperlink" Target="https://doi.org/10.1161/circ.138.suppl_1.14251" TargetMode="External"/><Relationship Id="rId7" Type="http://schemas.openxmlformats.org/officeDocument/2006/relationships/hyperlink" Target="https://doi.org/10.1016/S0735-1097(22)01229-3" TargetMode="External"/><Relationship Id="rId2" Type="http://schemas.openxmlformats.org/officeDocument/2006/relationships/hyperlink" Target="https://doi.org/10.1016/j.ijcard.2006.12.053" TargetMode="External"/><Relationship Id="rId1" Type="http://schemas.openxmlformats.org/officeDocument/2006/relationships/hyperlink" Target="https://doi.org/10.1016/j.jchf.2019.12.011" TargetMode="External"/><Relationship Id="rId6" Type="http://schemas.openxmlformats.org/officeDocument/2006/relationships/hyperlink" Target="https://doi.org/10.1002/ehf2.12363" TargetMode="External"/><Relationship Id="rId5" Type="http://schemas.openxmlformats.org/officeDocument/2006/relationships/hyperlink" Target="https://doi.org/https://doi.org/10.1016/j.cardfail.2022.03.101" TargetMode="External"/><Relationship Id="rId4" Type="http://schemas.openxmlformats.org/officeDocument/2006/relationships/hyperlink" Target="https://doi.org/10.1067/mhl.2002.124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769C-1FC0-4436-A475-570917E2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22743</Words>
  <Characters>125715</Characters>
  <Application>Microsoft Office Word</Application>
  <DocSecurity>0</DocSecurity>
  <Lines>1047</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2023-10-24T03:59:00Z</dcterms:created>
  <dcterms:modified xsi:type="dcterms:W3CDTF">2023-10-24T04:01:00Z</dcterms:modified>
</cp:coreProperties>
</file>