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02F4" w14:textId="61471306" w:rsidR="00F86069" w:rsidRPr="00FF09A2" w:rsidRDefault="002812F3" w:rsidP="006E36B3">
      <w:pPr>
        <w:pStyle w:val="1-MainHeading"/>
        <w:spacing w:before="0" w:after="0"/>
      </w:pPr>
      <w:bookmarkStart w:id="0" w:name="_Toc135204514"/>
      <w:r w:rsidRPr="00FF09A2">
        <w:t>6.03</w:t>
      </w:r>
      <w:r w:rsidR="00F86069" w:rsidRPr="00FF09A2">
        <w:tab/>
        <w:t xml:space="preserve">LUMACAFTOR </w:t>
      </w:r>
      <w:r w:rsidR="00716B56" w:rsidRPr="00FF09A2">
        <w:t>WITH</w:t>
      </w:r>
      <w:r w:rsidR="00F86069" w:rsidRPr="00FF09A2">
        <w:t xml:space="preserve"> IVACAFTOR</w:t>
      </w:r>
      <w:bookmarkEnd w:id="0"/>
      <w:r w:rsidR="00F86069" w:rsidRPr="00FF09A2">
        <w:t xml:space="preserve"> </w:t>
      </w:r>
    </w:p>
    <w:p w14:paraId="27FEB5F6" w14:textId="45D08B03" w:rsidR="00051171" w:rsidRPr="00FF09A2" w:rsidRDefault="00F86069" w:rsidP="00185E28">
      <w:pPr>
        <w:pStyle w:val="BodyText"/>
        <w:ind w:left="720"/>
        <w:rPr>
          <w:b/>
          <w:sz w:val="36"/>
          <w:szCs w:val="36"/>
        </w:rPr>
      </w:pPr>
      <w:r w:rsidRPr="00FF09A2">
        <w:rPr>
          <w:b/>
          <w:sz w:val="36"/>
          <w:szCs w:val="36"/>
        </w:rPr>
        <w:t xml:space="preserve">Sachet containing granules, lumacaftor 150 mg </w:t>
      </w:r>
      <w:r w:rsidR="00561115">
        <w:rPr>
          <w:b/>
          <w:sz w:val="36"/>
          <w:szCs w:val="36"/>
        </w:rPr>
        <w:t>with</w:t>
      </w:r>
      <w:r w:rsidR="00FF1C65" w:rsidRPr="00FF09A2">
        <w:rPr>
          <w:b/>
          <w:sz w:val="36"/>
          <w:szCs w:val="36"/>
        </w:rPr>
        <w:t xml:space="preserve"> </w:t>
      </w:r>
      <w:r w:rsidRPr="00FF09A2">
        <w:rPr>
          <w:b/>
          <w:sz w:val="36"/>
          <w:szCs w:val="36"/>
        </w:rPr>
        <w:t>ivacaftor 188 mg</w:t>
      </w:r>
      <w:r w:rsidR="00FF1C65" w:rsidRPr="00FF09A2">
        <w:rPr>
          <w:b/>
          <w:sz w:val="36"/>
          <w:szCs w:val="36"/>
        </w:rPr>
        <w:t>;</w:t>
      </w:r>
      <w:r w:rsidRPr="00FF09A2">
        <w:rPr>
          <w:b/>
          <w:sz w:val="36"/>
          <w:szCs w:val="36"/>
        </w:rPr>
        <w:t xml:space="preserve"> </w:t>
      </w:r>
      <w:r w:rsidR="00A32E1B">
        <w:rPr>
          <w:b/>
          <w:sz w:val="36"/>
          <w:szCs w:val="36"/>
        </w:rPr>
        <w:br/>
      </w:r>
      <w:r w:rsidRPr="00FF09A2">
        <w:rPr>
          <w:b/>
          <w:sz w:val="36"/>
          <w:szCs w:val="36"/>
        </w:rPr>
        <w:t>Sachet containing granules, lumacaftor 75</w:t>
      </w:r>
      <w:r w:rsidR="00FF09A2">
        <w:rPr>
          <w:b/>
          <w:sz w:val="36"/>
          <w:szCs w:val="36"/>
        </w:rPr>
        <w:t> </w:t>
      </w:r>
      <w:r w:rsidRPr="00FF09A2">
        <w:rPr>
          <w:b/>
          <w:sz w:val="36"/>
          <w:szCs w:val="36"/>
        </w:rPr>
        <w:t xml:space="preserve">mg </w:t>
      </w:r>
      <w:r w:rsidR="00561115">
        <w:rPr>
          <w:b/>
          <w:sz w:val="36"/>
          <w:szCs w:val="36"/>
        </w:rPr>
        <w:t>with</w:t>
      </w:r>
      <w:r w:rsidR="00FF1C65" w:rsidRPr="00FF09A2">
        <w:rPr>
          <w:b/>
          <w:sz w:val="36"/>
          <w:szCs w:val="36"/>
        </w:rPr>
        <w:t xml:space="preserve"> </w:t>
      </w:r>
      <w:r w:rsidRPr="00FF09A2">
        <w:rPr>
          <w:b/>
          <w:sz w:val="36"/>
          <w:szCs w:val="36"/>
        </w:rPr>
        <w:t>ivacaftor 94 mg</w:t>
      </w:r>
      <w:r w:rsidR="00FF1C65" w:rsidRPr="00FF09A2">
        <w:rPr>
          <w:b/>
          <w:sz w:val="36"/>
          <w:szCs w:val="36"/>
        </w:rPr>
        <w:t>;</w:t>
      </w:r>
      <w:r w:rsidRPr="00FF09A2">
        <w:rPr>
          <w:b/>
          <w:sz w:val="36"/>
          <w:szCs w:val="36"/>
        </w:rPr>
        <w:t xml:space="preserve"> </w:t>
      </w:r>
      <w:r w:rsidR="00A32E1B">
        <w:rPr>
          <w:b/>
          <w:sz w:val="36"/>
          <w:szCs w:val="36"/>
        </w:rPr>
        <w:br/>
      </w:r>
      <w:r w:rsidRPr="00FF09A2">
        <w:rPr>
          <w:b/>
          <w:sz w:val="36"/>
          <w:szCs w:val="36"/>
        </w:rPr>
        <w:t xml:space="preserve">Sachet containing granules, lumacaftor 100 mg </w:t>
      </w:r>
      <w:r w:rsidR="00561115">
        <w:rPr>
          <w:b/>
          <w:sz w:val="36"/>
          <w:szCs w:val="36"/>
        </w:rPr>
        <w:t>with</w:t>
      </w:r>
      <w:r w:rsidR="00FF1C65" w:rsidRPr="00FF09A2">
        <w:rPr>
          <w:b/>
          <w:sz w:val="36"/>
          <w:szCs w:val="36"/>
        </w:rPr>
        <w:t xml:space="preserve"> </w:t>
      </w:r>
      <w:r w:rsidRPr="00FF09A2">
        <w:rPr>
          <w:b/>
          <w:sz w:val="36"/>
          <w:szCs w:val="36"/>
        </w:rPr>
        <w:t>ivacaftor 125 mg,</w:t>
      </w:r>
      <w:r w:rsidRPr="00FF09A2">
        <w:rPr>
          <w:b/>
          <w:sz w:val="36"/>
          <w:szCs w:val="36"/>
        </w:rPr>
        <w:br/>
        <w:t>Orkambi®,</w:t>
      </w:r>
      <w:r w:rsidRPr="00FF09A2">
        <w:rPr>
          <w:b/>
          <w:sz w:val="36"/>
          <w:szCs w:val="36"/>
        </w:rPr>
        <w:br/>
        <w:t xml:space="preserve">VERTEX PHARMACEUTICALS (AUSTRALIA) PTY LTD </w:t>
      </w:r>
    </w:p>
    <w:p w14:paraId="4625002A" w14:textId="77777777" w:rsidR="00F86069" w:rsidRPr="00FF09A2" w:rsidRDefault="00F86069" w:rsidP="00F86069">
      <w:pPr>
        <w:pStyle w:val="2-SectionHeading"/>
      </w:pPr>
      <w:bookmarkStart w:id="1" w:name="_Toc135204516"/>
      <w:r w:rsidRPr="00FE62AF">
        <w:t>P</w:t>
      </w:r>
      <w:r w:rsidRPr="00FF09A2">
        <w:t>urpose of submission</w:t>
      </w:r>
      <w:bookmarkEnd w:id="1"/>
    </w:p>
    <w:p w14:paraId="14842985" w14:textId="7C032046" w:rsidR="00F86069" w:rsidRPr="00FF09A2" w:rsidRDefault="00F86069" w:rsidP="006E36B3">
      <w:pPr>
        <w:pStyle w:val="3-BodyText"/>
        <w:ind w:left="720"/>
        <w:rPr>
          <w:lang w:val="en-AU"/>
        </w:rPr>
      </w:pPr>
      <w:r w:rsidRPr="00FF09A2">
        <w:rPr>
          <w:lang w:val="en-AU"/>
        </w:rPr>
        <w:t>The Category 2 submission requested an extension to the current listing of lumacaftor/ivacaftor for the treatment of</w:t>
      </w:r>
      <w:r w:rsidR="00BD3102" w:rsidRPr="00FF09A2">
        <w:rPr>
          <w:lang w:val="en-AU"/>
        </w:rPr>
        <w:t xml:space="preserve"> </w:t>
      </w:r>
      <w:r w:rsidR="00DE7506" w:rsidRPr="00FF09A2">
        <w:rPr>
          <w:lang w:val="en-AU"/>
        </w:rPr>
        <w:t>c</w:t>
      </w:r>
      <w:r w:rsidR="00BD3102" w:rsidRPr="00FF09A2">
        <w:rPr>
          <w:lang w:val="en-AU"/>
        </w:rPr>
        <w:t xml:space="preserve">ystic </w:t>
      </w:r>
      <w:r w:rsidR="00DE7506" w:rsidRPr="00FF09A2">
        <w:rPr>
          <w:lang w:val="en-AU"/>
        </w:rPr>
        <w:t>f</w:t>
      </w:r>
      <w:r w:rsidR="00BD3102" w:rsidRPr="00FF09A2">
        <w:rPr>
          <w:lang w:val="en-AU"/>
        </w:rPr>
        <w:t>ibrosis (</w:t>
      </w:r>
      <w:r w:rsidRPr="00FF09A2">
        <w:rPr>
          <w:lang w:val="en-AU"/>
        </w:rPr>
        <w:t>CF</w:t>
      </w:r>
      <w:r w:rsidR="00BD3102" w:rsidRPr="00FF09A2">
        <w:rPr>
          <w:lang w:val="en-AU"/>
        </w:rPr>
        <w:t>)</w:t>
      </w:r>
      <w:r w:rsidRPr="00FF09A2">
        <w:rPr>
          <w:lang w:val="en-AU"/>
        </w:rPr>
        <w:t xml:space="preserve"> patients homozygous for the F508del mutation in the </w:t>
      </w:r>
      <w:r w:rsidR="006E36B3" w:rsidRPr="00FF09A2">
        <w:t>cystic fibrosis transmembrane conductance regulator</w:t>
      </w:r>
      <w:r w:rsidR="006E36B3" w:rsidRPr="00FF09A2">
        <w:rPr>
          <w:lang w:val="en-AU"/>
        </w:rPr>
        <w:t xml:space="preserve"> </w:t>
      </w:r>
      <w:r w:rsidR="006E36B3">
        <w:rPr>
          <w:lang w:val="en-AU"/>
        </w:rPr>
        <w:t>(</w:t>
      </w:r>
      <w:r w:rsidRPr="00FF09A2">
        <w:rPr>
          <w:lang w:val="en-AU"/>
        </w:rPr>
        <w:t>CFTR</w:t>
      </w:r>
      <w:r w:rsidR="006E36B3">
        <w:rPr>
          <w:lang w:val="en-AU"/>
        </w:rPr>
        <w:t>)</w:t>
      </w:r>
      <w:r w:rsidRPr="00FF09A2">
        <w:rPr>
          <w:lang w:val="en-AU"/>
        </w:rPr>
        <w:t xml:space="preserve"> gene (herein referred to as </w:t>
      </w:r>
      <w:r w:rsidR="003F0F9F" w:rsidRPr="00FF09A2">
        <w:rPr>
          <w:lang w:val="en-AU"/>
        </w:rPr>
        <w:t xml:space="preserve">the </w:t>
      </w:r>
      <w:r w:rsidRPr="00FF09A2">
        <w:rPr>
          <w:lang w:val="en-AU"/>
        </w:rPr>
        <w:t>F/F p</w:t>
      </w:r>
      <w:r w:rsidR="003F0F9F" w:rsidRPr="00FF09A2">
        <w:rPr>
          <w:lang w:val="en-AU"/>
        </w:rPr>
        <w:t>opulation</w:t>
      </w:r>
      <w:r w:rsidR="004D0E83" w:rsidRPr="00FF09A2">
        <w:rPr>
          <w:lang w:val="en-AU"/>
        </w:rPr>
        <w:t>)</w:t>
      </w:r>
      <w:r w:rsidRPr="00FF09A2">
        <w:rPr>
          <w:lang w:val="en-AU"/>
        </w:rPr>
        <w:t xml:space="preserve"> to include patients aged 1 to less than 2 years. The submission included a request to list an additional strength of the granules for use in the proposed population (lumacaftor 75 mg/ivacaftor 94 mg granules), in addition to those currently available on the PBS.</w:t>
      </w:r>
      <w:r w:rsidR="006E36B3">
        <w:rPr>
          <w:lang w:val="en-AU"/>
        </w:rPr>
        <w:t xml:space="preserve"> Lumacaftor/ivacaftor is currently listed for patients aged 2 years and older.</w:t>
      </w:r>
    </w:p>
    <w:p w14:paraId="47D5F58A" w14:textId="77777777" w:rsidR="00025B72" w:rsidRDefault="00F86069">
      <w:pPr>
        <w:jc w:val="left"/>
        <w:rPr>
          <w:rFonts w:ascii="Arial Narrow" w:eastAsiaTheme="majorEastAsia" w:hAnsi="Arial Narrow" w:cstheme="majorBidi"/>
          <w:b/>
          <w:bCs/>
          <w:sz w:val="20"/>
        </w:rPr>
      </w:pPr>
      <w:r w:rsidRPr="00FF09A2">
        <w:t xml:space="preserve">Listing was requested </w:t>
      </w:r>
      <w:proofErr w:type="gramStart"/>
      <w:r w:rsidRPr="00FF09A2">
        <w:t>on the basis of</w:t>
      </w:r>
      <w:proofErr w:type="gramEnd"/>
      <w:r w:rsidRPr="00FF09A2">
        <w:t xml:space="preserve"> a modelled cost-utility analysis comparing lumacaftor/ivacaftor + best supportive care (BSC) with BSC. The components of the overall clinical claim addressed by the submission are summarised in </w:t>
      </w:r>
      <w:r w:rsidRPr="00FF09A2">
        <w:fldChar w:fldCharType="begin"/>
      </w:r>
      <w:r w:rsidRPr="00FF09A2">
        <w:instrText xml:space="preserve"> REF _Ref132483180 \h </w:instrText>
      </w:r>
      <w:r w:rsidRPr="00FF09A2">
        <w:fldChar w:fldCharType="separate"/>
      </w:r>
      <w:r w:rsidR="00025B72">
        <w:br w:type="page"/>
      </w:r>
    </w:p>
    <w:p w14:paraId="2D399A20" w14:textId="1AAFAE75" w:rsidR="00F86069" w:rsidRPr="00FF09A2" w:rsidRDefault="00025B72" w:rsidP="006E36B3">
      <w:pPr>
        <w:pStyle w:val="3-BodyText"/>
        <w:ind w:left="720"/>
        <w:rPr>
          <w:lang w:val="en-AU"/>
        </w:rPr>
      </w:pPr>
      <w:r w:rsidRPr="00FF09A2">
        <w:lastRenderedPageBreak/>
        <w:t xml:space="preserve">Table </w:t>
      </w:r>
      <w:r>
        <w:rPr>
          <w:noProof/>
        </w:rPr>
        <w:t>1</w:t>
      </w:r>
      <w:r w:rsidR="00F86069" w:rsidRPr="00FF09A2">
        <w:rPr>
          <w:lang w:val="en-AU"/>
        </w:rPr>
        <w:fldChar w:fldCharType="end"/>
      </w:r>
      <w:r w:rsidR="00F86069" w:rsidRPr="00FF09A2">
        <w:rPr>
          <w:lang w:val="en-AU"/>
        </w:rPr>
        <w:t>.</w:t>
      </w:r>
    </w:p>
    <w:p w14:paraId="40E092F3" w14:textId="77777777" w:rsidR="009B23CA" w:rsidRDefault="009B23CA">
      <w:pPr>
        <w:jc w:val="left"/>
        <w:rPr>
          <w:rFonts w:ascii="Arial Narrow" w:eastAsiaTheme="majorEastAsia" w:hAnsi="Arial Narrow" w:cstheme="majorBidi"/>
          <w:b/>
          <w:bCs/>
          <w:sz w:val="20"/>
        </w:rPr>
      </w:pPr>
      <w:bookmarkStart w:id="2" w:name="_Ref132483180"/>
      <w:r>
        <w:br w:type="page"/>
      </w:r>
    </w:p>
    <w:p w14:paraId="15DA8A0E" w14:textId="15BC9E00" w:rsidR="00F86069" w:rsidRPr="00FF09A2" w:rsidRDefault="00F86069" w:rsidP="006E36B3">
      <w:pPr>
        <w:pStyle w:val="TableFigureHeading"/>
        <w:keepLines/>
        <w:widowControl w:val="0"/>
        <w:rPr>
          <w:rStyle w:val="CommentReference"/>
          <w:b/>
          <w:szCs w:val="24"/>
        </w:rPr>
      </w:pPr>
      <w:r w:rsidRPr="00FF09A2">
        <w:lastRenderedPageBreak/>
        <w:t xml:space="preserve">Table </w:t>
      </w:r>
      <w:r w:rsidR="00025B72">
        <w:fldChar w:fldCharType="begin"/>
      </w:r>
      <w:r w:rsidR="00025B72">
        <w:instrText xml:space="preserve"> SEQ Table \* ARABIC </w:instrText>
      </w:r>
      <w:r w:rsidR="00025B72">
        <w:fldChar w:fldCharType="separate"/>
      </w:r>
      <w:r w:rsidR="00025B72">
        <w:rPr>
          <w:noProof/>
        </w:rPr>
        <w:t>1</w:t>
      </w:r>
      <w:r w:rsidR="00025B72">
        <w:rPr>
          <w:noProof/>
        </w:rPr>
        <w:fldChar w:fldCharType="end"/>
      </w:r>
      <w:bookmarkEnd w:id="2"/>
      <w:r w:rsidRPr="00FF09A2">
        <w:t>:</w:t>
      </w:r>
      <w:r w:rsidRPr="00FF09A2">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841"/>
      </w:tblGrid>
      <w:tr w:rsidR="00F86069" w:rsidRPr="00FF09A2" w14:paraId="268014C8" w14:textId="77777777" w:rsidTr="00A32E1B">
        <w:tc>
          <w:tcPr>
            <w:tcW w:w="1315" w:type="dxa"/>
            <w:vAlign w:val="center"/>
          </w:tcPr>
          <w:p w14:paraId="7BEEF90C" w14:textId="77777777" w:rsidR="00F86069" w:rsidRPr="00FF09A2" w:rsidRDefault="00F86069" w:rsidP="006E36B3">
            <w:pPr>
              <w:pStyle w:val="TableHyerlink"/>
              <w:keepNext/>
              <w:keepLines/>
              <w:widowControl w:val="0"/>
              <w:rPr>
                <w:rFonts w:ascii="Arial Narrow" w:hAnsi="Arial Narrow"/>
                <w:sz w:val="20"/>
              </w:rPr>
            </w:pPr>
            <w:r w:rsidRPr="00FF09A2">
              <w:rPr>
                <w:rFonts w:ascii="Arial Narrow" w:hAnsi="Arial Narrow"/>
                <w:b/>
                <w:sz w:val="20"/>
              </w:rPr>
              <w:t>Component</w:t>
            </w:r>
          </w:p>
        </w:tc>
        <w:tc>
          <w:tcPr>
            <w:tcW w:w="7841" w:type="dxa"/>
            <w:vAlign w:val="center"/>
          </w:tcPr>
          <w:p w14:paraId="19D549E2" w14:textId="77777777" w:rsidR="00F86069" w:rsidRPr="00FF09A2" w:rsidRDefault="00F86069" w:rsidP="006E36B3">
            <w:pPr>
              <w:pStyle w:val="In-tableHeading"/>
              <w:keepLines/>
              <w:widowControl w:val="0"/>
              <w:rPr>
                <w:szCs w:val="20"/>
                <w:lang w:val="en-AU"/>
              </w:rPr>
            </w:pPr>
            <w:r w:rsidRPr="00FF09A2">
              <w:rPr>
                <w:szCs w:val="20"/>
                <w:lang w:val="en-AU"/>
              </w:rPr>
              <w:t>Description</w:t>
            </w:r>
          </w:p>
        </w:tc>
      </w:tr>
      <w:tr w:rsidR="00F86069" w:rsidRPr="00FF09A2" w14:paraId="6525C79F" w14:textId="77777777" w:rsidTr="00A32E1B">
        <w:tc>
          <w:tcPr>
            <w:tcW w:w="1315" w:type="dxa"/>
            <w:vAlign w:val="center"/>
          </w:tcPr>
          <w:p w14:paraId="1AAA008B" w14:textId="77777777" w:rsidR="00F86069" w:rsidRPr="00FF09A2" w:rsidRDefault="00F86069" w:rsidP="006E36B3">
            <w:pPr>
              <w:pStyle w:val="TableText0"/>
              <w:keepLines/>
              <w:widowControl w:val="0"/>
              <w:rPr>
                <w:szCs w:val="20"/>
              </w:rPr>
            </w:pPr>
            <w:r w:rsidRPr="00FF09A2">
              <w:rPr>
                <w:szCs w:val="20"/>
              </w:rPr>
              <w:t>Population</w:t>
            </w:r>
          </w:p>
        </w:tc>
        <w:tc>
          <w:tcPr>
            <w:tcW w:w="7841" w:type="dxa"/>
            <w:vAlign w:val="center"/>
          </w:tcPr>
          <w:p w14:paraId="06E39DB4" w14:textId="77777777" w:rsidR="00F86069" w:rsidRPr="00FF09A2" w:rsidRDefault="00F86069" w:rsidP="006E36B3">
            <w:pPr>
              <w:pStyle w:val="TableText0"/>
              <w:keepLines/>
              <w:widowControl w:val="0"/>
              <w:rPr>
                <w:szCs w:val="20"/>
              </w:rPr>
            </w:pPr>
            <w:r w:rsidRPr="00FF09A2">
              <w:rPr>
                <w:szCs w:val="20"/>
              </w:rPr>
              <w:t xml:space="preserve">CF patients aged 1 to less than 2 years who are homozygous for the </w:t>
            </w:r>
            <w:r w:rsidRPr="00FF09A2">
              <w:rPr>
                <w:i/>
                <w:szCs w:val="20"/>
              </w:rPr>
              <w:t>F508del</w:t>
            </w:r>
            <w:r w:rsidRPr="00FF09A2">
              <w:rPr>
                <w:szCs w:val="20"/>
              </w:rPr>
              <w:t xml:space="preserve"> mutation in the </w:t>
            </w:r>
            <w:r w:rsidRPr="00FF09A2">
              <w:rPr>
                <w:i/>
                <w:szCs w:val="20"/>
              </w:rPr>
              <w:t xml:space="preserve">CFTR </w:t>
            </w:r>
            <w:r w:rsidRPr="00FF09A2">
              <w:rPr>
                <w:szCs w:val="20"/>
              </w:rPr>
              <w:t xml:space="preserve">gene  </w:t>
            </w:r>
          </w:p>
        </w:tc>
      </w:tr>
      <w:tr w:rsidR="00F86069" w:rsidRPr="00FF09A2" w14:paraId="10F12024" w14:textId="77777777" w:rsidTr="00A32E1B">
        <w:tc>
          <w:tcPr>
            <w:tcW w:w="1315" w:type="dxa"/>
            <w:vAlign w:val="center"/>
          </w:tcPr>
          <w:p w14:paraId="756818AB" w14:textId="77777777" w:rsidR="00F86069" w:rsidRPr="00FF09A2" w:rsidRDefault="00F86069" w:rsidP="006E36B3">
            <w:pPr>
              <w:pStyle w:val="TableText0"/>
              <w:keepLines/>
              <w:widowControl w:val="0"/>
              <w:rPr>
                <w:szCs w:val="20"/>
              </w:rPr>
            </w:pPr>
            <w:r w:rsidRPr="00FF09A2">
              <w:rPr>
                <w:szCs w:val="20"/>
              </w:rPr>
              <w:t>Intervention</w:t>
            </w:r>
          </w:p>
        </w:tc>
        <w:tc>
          <w:tcPr>
            <w:tcW w:w="7841" w:type="dxa"/>
            <w:vAlign w:val="center"/>
          </w:tcPr>
          <w:p w14:paraId="35874644" w14:textId="30532105" w:rsidR="00F86069" w:rsidRPr="00FF09A2" w:rsidRDefault="00F86069" w:rsidP="006E36B3">
            <w:pPr>
              <w:keepNext/>
              <w:keepLines/>
              <w:widowControl w:val="0"/>
              <w:rPr>
                <w:rFonts w:ascii="Arial Narrow" w:hAnsi="Arial Narrow"/>
                <w:sz w:val="20"/>
                <w:szCs w:val="20"/>
              </w:rPr>
            </w:pPr>
            <w:r w:rsidRPr="00FF09A2">
              <w:rPr>
                <w:rFonts w:ascii="Arial Narrow" w:hAnsi="Arial Narrow"/>
                <w:sz w:val="20"/>
                <w:szCs w:val="20"/>
              </w:rPr>
              <w:t xml:space="preserve">For CF patients 1 to less than 2 years weighing 7 kg to &lt;9 kg: one </w:t>
            </w:r>
            <w:r w:rsidRPr="00FF09A2">
              <w:rPr>
                <w:rFonts w:ascii="Arial Narrow" w:hAnsi="Arial Narrow"/>
                <w:iCs/>
                <w:sz w:val="20"/>
                <w:szCs w:val="20"/>
              </w:rPr>
              <w:t>sachet</w:t>
            </w:r>
            <w:r w:rsidRPr="00FF09A2">
              <w:rPr>
                <w:rFonts w:ascii="Arial Narrow" w:hAnsi="Arial Narrow"/>
                <w:sz w:val="20"/>
                <w:szCs w:val="20"/>
              </w:rPr>
              <w:t xml:space="preserve"> containing 75 mg of LUM and 94 mg of IVA</w:t>
            </w:r>
            <w:r w:rsidR="003F0F9F" w:rsidRPr="00FF09A2">
              <w:rPr>
                <w:rFonts w:ascii="Arial Narrow" w:hAnsi="Arial Narrow"/>
                <w:sz w:val="20"/>
                <w:szCs w:val="20"/>
              </w:rPr>
              <w:t xml:space="preserve"> twice daily</w:t>
            </w:r>
            <w:r w:rsidRPr="00FF09A2">
              <w:rPr>
                <w:rFonts w:ascii="Arial Narrow" w:hAnsi="Arial Narrow"/>
                <w:sz w:val="20"/>
                <w:szCs w:val="20"/>
              </w:rPr>
              <w:t>, approximately 12 hours apart.</w:t>
            </w:r>
          </w:p>
          <w:p w14:paraId="219F7925" w14:textId="4CFFF768" w:rsidR="00F86069" w:rsidRPr="00FF09A2" w:rsidRDefault="00F86069" w:rsidP="006E36B3">
            <w:pPr>
              <w:keepNext/>
              <w:keepLines/>
              <w:widowControl w:val="0"/>
              <w:rPr>
                <w:rFonts w:ascii="Arial Narrow" w:hAnsi="Arial Narrow"/>
                <w:sz w:val="20"/>
                <w:szCs w:val="20"/>
              </w:rPr>
            </w:pPr>
            <w:r w:rsidRPr="00FF09A2">
              <w:rPr>
                <w:rFonts w:ascii="Arial Narrow" w:hAnsi="Arial Narrow"/>
                <w:sz w:val="20"/>
                <w:szCs w:val="20"/>
              </w:rPr>
              <w:t xml:space="preserve">For CF patients 1 to less than 2 years weighing 9 kg to &lt;14 kg: one </w:t>
            </w:r>
            <w:r w:rsidRPr="00FF09A2">
              <w:rPr>
                <w:rFonts w:ascii="Arial Narrow" w:hAnsi="Arial Narrow"/>
                <w:iCs/>
                <w:sz w:val="20"/>
                <w:szCs w:val="20"/>
              </w:rPr>
              <w:t>sachet</w:t>
            </w:r>
            <w:r w:rsidRPr="00FF09A2">
              <w:rPr>
                <w:rFonts w:ascii="Arial Narrow" w:hAnsi="Arial Narrow"/>
                <w:sz w:val="20"/>
                <w:szCs w:val="20"/>
              </w:rPr>
              <w:t xml:space="preserve"> containing 100 mg of LUM and 125 mg of IVA</w:t>
            </w:r>
            <w:r w:rsidR="003F0F9F" w:rsidRPr="00FF09A2">
              <w:rPr>
                <w:rFonts w:ascii="Arial Narrow" w:hAnsi="Arial Narrow"/>
                <w:sz w:val="20"/>
                <w:szCs w:val="20"/>
              </w:rPr>
              <w:t xml:space="preserve"> twice daily,</w:t>
            </w:r>
            <w:r w:rsidRPr="00FF09A2">
              <w:rPr>
                <w:rFonts w:ascii="Arial Narrow" w:hAnsi="Arial Narrow"/>
                <w:sz w:val="20"/>
                <w:szCs w:val="20"/>
              </w:rPr>
              <w:t xml:space="preserve"> approximately 12 hours apart.</w:t>
            </w:r>
          </w:p>
          <w:p w14:paraId="7DF73D21" w14:textId="6B444247" w:rsidR="00F86069" w:rsidRPr="00FF09A2" w:rsidRDefault="00F86069" w:rsidP="006E36B3">
            <w:pPr>
              <w:pStyle w:val="TableText0"/>
              <w:keepLines/>
              <w:widowControl w:val="0"/>
              <w:rPr>
                <w:szCs w:val="20"/>
              </w:rPr>
            </w:pPr>
            <w:r w:rsidRPr="00FF09A2">
              <w:rPr>
                <w:szCs w:val="20"/>
              </w:rPr>
              <w:t xml:space="preserve">For CF patients 1 to less than 2 years weighing ≥14 kg: one </w:t>
            </w:r>
            <w:r w:rsidRPr="00FF09A2">
              <w:rPr>
                <w:iCs/>
                <w:szCs w:val="20"/>
              </w:rPr>
              <w:t>sachet</w:t>
            </w:r>
            <w:r w:rsidRPr="00FF09A2">
              <w:rPr>
                <w:szCs w:val="20"/>
              </w:rPr>
              <w:t xml:space="preserve"> containing 150 mg of LUM and 188 mg of IVA</w:t>
            </w:r>
            <w:r w:rsidR="003F0F9F" w:rsidRPr="00FF09A2">
              <w:rPr>
                <w:szCs w:val="20"/>
              </w:rPr>
              <w:t xml:space="preserve"> twice daily, </w:t>
            </w:r>
            <w:r w:rsidRPr="00FF09A2">
              <w:rPr>
                <w:szCs w:val="20"/>
              </w:rPr>
              <w:t>approximately 12 hours apart.</w:t>
            </w:r>
          </w:p>
        </w:tc>
      </w:tr>
      <w:tr w:rsidR="00F86069" w:rsidRPr="00FF09A2" w14:paraId="057722D6" w14:textId="77777777" w:rsidTr="00A32E1B">
        <w:tc>
          <w:tcPr>
            <w:tcW w:w="1315" w:type="dxa"/>
            <w:vAlign w:val="center"/>
          </w:tcPr>
          <w:p w14:paraId="0D6AB004" w14:textId="77777777" w:rsidR="00F86069" w:rsidRPr="00FF09A2" w:rsidRDefault="00F86069" w:rsidP="006E36B3">
            <w:pPr>
              <w:pStyle w:val="TableText0"/>
              <w:keepLines/>
              <w:widowControl w:val="0"/>
              <w:rPr>
                <w:szCs w:val="20"/>
              </w:rPr>
            </w:pPr>
            <w:r w:rsidRPr="00FF09A2">
              <w:rPr>
                <w:szCs w:val="20"/>
              </w:rPr>
              <w:t>Comparator</w:t>
            </w:r>
          </w:p>
        </w:tc>
        <w:tc>
          <w:tcPr>
            <w:tcW w:w="7841" w:type="dxa"/>
            <w:vAlign w:val="center"/>
          </w:tcPr>
          <w:p w14:paraId="50EF4000" w14:textId="77777777" w:rsidR="00F86069" w:rsidRPr="00FF09A2" w:rsidRDefault="00F86069" w:rsidP="006E36B3">
            <w:pPr>
              <w:pStyle w:val="TableText0"/>
              <w:keepLines/>
              <w:widowControl w:val="0"/>
              <w:rPr>
                <w:szCs w:val="20"/>
              </w:rPr>
            </w:pPr>
            <w:r w:rsidRPr="00FF09A2">
              <w:rPr>
                <w:szCs w:val="20"/>
              </w:rPr>
              <w:t>BSC</w:t>
            </w:r>
          </w:p>
        </w:tc>
      </w:tr>
      <w:tr w:rsidR="00F86069" w:rsidRPr="00FF09A2" w14:paraId="178D73A2" w14:textId="77777777" w:rsidTr="00A32E1B">
        <w:tc>
          <w:tcPr>
            <w:tcW w:w="1315" w:type="dxa"/>
            <w:vAlign w:val="center"/>
          </w:tcPr>
          <w:p w14:paraId="46800F42" w14:textId="77777777" w:rsidR="00F86069" w:rsidRPr="00FF09A2" w:rsidRDefault="00F86069" w:rsidP="006E36B3">
            <w:pPr>
              <w:pStyle w:val="TableText0"/>
              <w:keepLines/>
              <w:widowControl w:val="0"/>
              <w:rPr>
                <w:szCs w:val="20"/>
              </w:rPr>
            </w:pPr>
            <w:r w:rsidRPr="00FF09A2">
              <w:rPr>
                <w:szCs w:val="20"/>
              </w:rPr>
              <w:t>Outcomes</w:t>
            </w:r>
          </w:p>
        </w:tc>
        <w:tc>
          <w:tcPr>
            <w:tcW w:w="7841" w:type="dxa"/>
            <w:vAlign w:val="center"/>
          </w:tcPr>
          <w:p w14:paraId="39D63490" w14:textId="77777777" w:rsidR="00F86069" w:rsidRPr="00FF09A2" w:rsidRDefault="00F86069" w:rsidP="006E36B3">
            <w:pPr>
              <w:keepNext/>
              <w:keepLines/>
              <w:widowControl w:val="0"/>
              <w:rPr>
                <w:rFonts w:ascii="Arial Narrow" w:hAnsi="Arial Narrow"/>
                <w:sz w:val="20"/>
                <w:szCs w:val="20"/>
              </w:rPr>
            </w:pPr>
            <w:r w:rsidRPr="00FF09A2">
              <w:rPr>
                <w:rFonts w:ascii="Arial Narrow" w:hAnsi="Arial Narrow"/>
                <w:sz w:val="20"/>
                <w:szCs w:val="20"/>
              </w:rPr>
              <w:t>Absolute change from baseline in sweat chloride</w:t>
            </w:r>
          </w:p>
          <w:p w14:paraId="69AB4D21" w14:textId="37482397" w:rsidR="00F86069" w:rsidRPr="00FF09A2" w:rsidRDefault="00F86069" w:rsidP="006E36B3">
            <w:pPr>
              <w:keepNext/>
              <w:keepLines/>
              <w:widowControl w:val="0"/>
              <w:rPr>
                <w:rFonts w:ascii="Arial Narrow" w:hAnsi="Arial Narrow"/>
                <w:sz w:val="20"/>
                <w:szCs w:val="20"/>
              </w:rPr>
            </w:pPr>
            <w:r w:rsidRPr="00FF09A2">
              <w:rPr>
                <w:rFonts w:ascii="Arial Narrow" w:hAnsi="Arial Narrow"/>
                <w:sz w:val="20"/>
                <w:szCs w:val="20"/>
              </w:rPr>
              <w:t xml:space="preserve">Absolute change from baseline in growth parameters (BMI, BMI-for-age z-score, weight, weight-for-age z-score, length, length-for-age z-score, weight-for-length </w:t>
            </w:r>
            <w:r w:rsidR="00F96919">
              <w:rPr>
                <w:rFonts w:ascii="Arial Narrow" w:hAnsi="Arial Narrow"/>
                <w:sz w:val="20"/>
                <w:szCs w:val="20"/>
              </w:rPr>
              <w:t>z</w:t>
            </w:r>
            <w:r w:rsidRPr="00FF09A2">
              <w:rPr>
                <w:rFonts w:ascii="Arial Narrow" w:hAnsi="Arial Narrow"/>
                <w:sz w:val="20"/>
                <w:szCs w:val="20"/>
              </w:rPr>
              <w:t>-score)</w:t>
            </w:r>
          </w:p>
          <w:p w14:paraId="6BBADC81" w14:textId="521DC349" w:rsidR="00F86069" w:rsidRPr="00FF09A2" w:rsidRDefault="00F86069" w:rsidP="006E36B3">
            <w:pPr>
              <w:keepNext/>
              <w:keepLines/>
              <w:widowControl w:val="0"/>
              <w:rPr>
                <w:rFonts w:ascii="Arial Narrow" w:hAnsi="Arial Narrow"/>
                <w:sz w:val="20"/>
                <w:szCs w:val="20"/>
              </w:rPr>
            </w:pPr>
            <w:r w:rsidRPr="00FF09A2">
              <w:rPr>
                <w:rFonts w:ascii="Arial Narrow" w:hAnsi="Arial Narrow"/>
                <w:sz w:val="20"/>
                <w:szCs w:val="20"/>
              </w:rPr>
              <w:t>Pulmonary exacerbation/hospitalisation measures</w:t>
            </w:r>
          </w:p>
          <w:p w14:paraId="7AAA21D1" w14:textId="43D8F4AD" w:rsidR="00F86069" w:rsidRPr="00FF09A2" w:rsidRDefault="00F86069" w:rsidP="006E36B3">
            <w:pPr>
              <w:keepNext/>
              <w:keepLines/>
              <w:widowControl w:val="0"/>
              <w:rPr>
                <w:rFonts w:ascii="Arial Narrow" w:hAnsi="Arial Narrow"/>
                <w:sz w:val="20"/>
                <w:szCs w:val="20"/>
              </w:rPr>
            </w:pPr>
            <w:r w:rsidRPr="00FF09A2">
              <w:rPr>
                <w:rFonts w:ascii="Arial Narrow" w:hAnsi="Arial Narrow"/>
                <w:sz w:val="20"/>
                <w:szCs w:val="20"/>
              </w:rPr>
              <w:t>Absolute change in: FE-1; IRT; lipase; amylase; faecal calprotectin</w:t>
            </w:r>
          </w:p>
          <w:p w14:paraId="6BE050ED" w14:textId="77777777" w:rsidR="00F86069" w:rsidRPr="00FF09A2" w:rsidRDefault="00F86069" w:rsidP="006E36B3">
            <w:pPr>
              <w:pStyle w:val="TableText0"/>
              <w:keepLines/>
              <w:widowControl w:val="0"/>
              <w:rPr>
                <w:szCs w:val="20"/>
              </w:rPr>
            </w:pPr>
            <w:r w:rsidRPr="00FF09A2">
              <w:rPr>
                <w:szCs w:val="20"/>
              </w:rPr>
              <w:t>Change from baseline in microbiology cultures</w:t>
            </w:r>
          </w:p>
        </w:tc>
      </w:tr>
      <w:tr w:rsidR="00F86069" w:rsidRPr="00FF09A2" w14:paraId="7312DFE1" w14:textId="77777777" w:rsidTr="00A32E1B">
        <w:tc>
          <w:tcPr>
            <w:tcW w:w="1315" w:type="dxa"/>
            <w:vAlign w:val="center"/>
          </w:tcPr>
          <w:p w14:paraId="2899D81B" w14:textId="77777777" w:rsidR="00F86069" w:rsidRPr="00FF09A2" w:rsidRDefault="00F86069" w:rsidP="006E36B3">
            <w:pPr>
              <w:pStyle w:val="TableText0"/>
              <w:keepLines/>
              <w:widowControl w:val="0"/>
              <w:rPr>
                <w:szCs w:val="20"/>
              </w:rPr>
            </w:pPr>
            <w:r w:rsidRPr="00FF09A2">
              <w:rPr>
                <w:szCs w:val="20"/>
              </w:rPr>
              <w:t>Clinical claim</w:t>
            </w:r>
          </w:p>
        </w:tc>
        <w:tc>
          <w:tcPr>
            <w:tcW w:w="7841" w:type="dxa"/>
            <w:vAlign w:val="center"/>
          </w:tcPr>
          <w:p w14:paraId="31045DE0" w14:textId="77777777" w:rsidR="00F86069" w:rsidRPr="00FF09A2" w:rsidRDefault="00F86069" w:rsidP="006E36B3">
            <w:pPr>
              <w:keepNext/>
              <w:widowControl w:val="0"/>
              <w:rPr>
                <w:rFonts w:ascii="Arial Narrow" w:hAnsi="Arial Narrow"/>
                <w:sz w:val="20"/>
                <w:szCs w:val="20"/>
              </w:rPr>
            </w:pPr>
            <w:r w:rsidRPr="00FF09A2">
              <w:rPr>
                <w:rFonts w:ascii="Arial Narrow" w:hAnsi="Arial Narrow"/>
                <w:sz w:val="20"/>
                <w:szCs w:val="20"/>
              </w:rPr>
              <w:t>LUM/IVA plus BSC is superior in terms of effectiveness compared with BSC alone.</w:t>
            </w:r>
          </w:p>
          <w:p w14:paraId="0F921A98" w14:textId="752F7ADE" w:rsidR="00F86069" w:rsidRPr="00FF09A2" w:rsidRDefault="00F86069" w:rsidP="006E36B3">
            <w:pPr>
              <w:pStyle w:val="TableText0"/>
              <w:widowControl w:val="0"/>
              <w:rPr>
                <w:szCs w:val="20"/>
              </w:rPr>
            </w:pPr>
            <w:r w:rsidRPr="00FF09A2">
              <w:rPr>
                <w:szCs w:val="20"/>
              </w:rPr>
              <w:t>LUM/IVA plus BSC is comparable in terms of safety to BSC alone.</w:t>
            </w:r>
          </w:p>
        </w:tc>
      </w:tr>
    </w:tbl>
    <w:p w14:paraId="3623B074" w14:textId="77777777" w:rsidR="00F86069" w:rsidRPr="00FF09A2" w:rsidRDefault="00F86069" w:rsidP="00F86069">
      <w:pPr>
        <w:pStyle w:val="FooterTableFigure"/>
      </w:pPr>
      <w:r w:rsidRPr="00FF09A2">
        <w:t>Source: Table 1.1.1, p25 of the submission.</w:t>
      </w:r>
    </w:p>
    <w:p w14:paraId="12351368" w14:textId="77777777" w:rsidR="00F86069" w:rsidRPr="00FF09A2" w:rsidRDefault="00F86069" w:rsidP="006E36B3">
      <w:pPr>
        <w:pStyle w:val="FooterTableFigure"/>
      </w:pPr>
      <w:r w:rsidRPr="00FF09A2">
        <w:t xml:space="preserve">BMI = body mass index; BSC = best supportive care; CF = cystic fibrosis; CFTR = cystic fibrosis transmembrane conductance regulator; FE-1 = faecal elastase 1; IRT = immunoreactive trypsinogen; IVA = ivacaftor; LUM = lumacaftor. </w:t>
      </w:r>
    </w:p>
    <w:p w14:paraId="5019B7CF" w14:textId="77777777" w:rsidR="00F86069" w:rsidRPr="00FF09A2" w:rsidRDefault="00F86069" w:rsidP="00F86069">
      <w:pPr>
        <w:pStyle w:val="2-SectionHeading"/>
      </w:pPr>
      <w:bookmarkStart w:id="3" w:name="_Toc135204517"/>
      <w:r w:rsidRPr="00FF09A2">
        <w:t>Background</w:t>
      </w:r>
      <w:bookmarkEnd w:id="3"/>
    </w:p>
    <w:p w14:paraId="05AD6D00" w14:textId="77777777" w:rsidR="00F86069" w:rsidRPr="00FF09A2" w:rsidRDefault="00F86069" w:rsidP="00F86069">
      <w:pPr>
        <w:pStyle w:val="4-SubsectionHeading"/>
      </w:pPr>
      <w:bookmarkStart w:id="4" w:name="_Toc22897638"/>
      <w:bookmarkStart w:id="5" w:name="_Toc135204518"/>
      <w:r w:rsidRPr="00FF09A2">
        <w:t>Registration status</w:t>
      </w:r>
      <w:bookmarkEnd w:id="4"/>
      <w:bookmarkEnd w:id="5"/>
    </w:p>
    <w:p w14:paraId="693B4295" w14:textId="35866D43" w:rsidR="00F86069" w:rsidRPr="00051171" w:rsidRDefault="00D907DA" w:rsidP="006E36B3">
      <w:pPr>
        <w:pStyle w:val="3-BodyText"/>
        <w:ind w:left="720"/>
        <w:rPr>
          <w:lang w:val="en-AU"/>
        </w:rPr>
      </w:pPr>
      <w:r>
        <w:rPr>
          <w:lang w:val="en-AU"/>
        </w:rPr>
        <w:t>The TGA approval for l</w:t>
      </w:r>
      <w:r w:rsidR="00F86069" w:rsidRPr="00051171">
        <w:rPr>
          <w:lang w:val="en-AU"/>
        </w:rPr>
        <w:t xml:space="preserve">umacaftor/ivacaftor </w:t>
      </w:r>
      <w:r>
        <w:rPr>
          <w:lang w:val="en-AU"/>
        </w:rPr>
        <w:t xml:space="preserve">was extended on 16 May 2023 to include patients aged 1 year and older </w:t>
      </w:r>
      <w:r w:rsidR="00F86069" w:rsidRPr="00051171">
        <w:rPr>
          <w:lang w:val="en-AU"/>
        </w:rPr>
        <w:t xml:space="preserve">for </w:t>
      </w:r>
      <w:r w:rsidR="003F0F9F" w:rsidRPr="00051171">
        <w:rPr>
          <w:lang w:val="en-AU"/>
        </w:rPr>
        <w:t>the treatment of cystic fibrosis who are homozygous for the F508del mutation in the CFTR gene</w:t>
      </w:r>
      <w:r w:rsidR="004F4B29" w:rsidRPr="00051171">
        <w:rPr>
          <w:lang w:val="en-AU"/>
        </w:rPr>
        <w:t>.</w:t>
      </w:r>
    </w:p>
    <w:p w14:paraId="21764711" w14:textId="44B85980" w:rsidR="00F86069" w:rsidRPr="00071564" w:rsidRDefault="00F86069" w:rsidP="006E36B3">
      <w:pPr>
        <w:pStyle w:val="3-BodyText"/>
        <w:ind w:left="720"/>
        <w:rPr>
          <w:i/>
          <w:iCs/>
        </w:rPr>
      </w:pPr>
      <w:bookmarkStart w:id="6" w:name="_Hlk132480144"/>
      <w:bookmarkStart w:id="7" w:name="_Hlk132210040"/>
      <w:r w:rsidRPr="00051171">
        <w:t xml:space="preserve">The </w:t>
      </w:r>
      <w:r w:rsidR="00071564" w:rsidRPr="00051171">
        <w:t xml:space="preserve">TGA Delegate’s Overview </w:t>
      </w:r>
      <w:proofErr w:type="gramStart"/>
      <w:r w:rsidR="00071564" w:rsidRPr="00051171">
        <w:t>was provided</w:t>
      </w:r>
      <w:proofErr w:type="gramEnd"/>
      <w:r w:rsidR="00071564" w:rsidRPr="00051171">
        <w:t xml:space="preserve"> in the submission and the </w:t>
      </w:r>
      <w:r w:rsidRPr="00051171">
        <w:t xml:space="preserve">minutes of the </w:t>
      </w:r>
      <w:r w:rsidR="00003CDA" w:rsidRPr="00051171">
        <w:t>Advisory Committee on Medicines (</w:t>
      </w:r>
      <w:r w:rsidRPr="00051171">
        <w:t>ACM</w:t>
      </w:r>
      <w:r w:rsidR="00003CDA" w:rsidRPr="00051171">
        <w:t>)</w:t>
      </w:r>
      <w:r w:rsidRPr="00051171">
        <w:t xml:space="preserve"> meeting </w:t>
      </w:r>
      <w:r w:rsidR="00FF7C8A" w:rsidRPr="00051171">
        <w:t>became available during the</w:t>
      </w:r>
      <w:r w:rsidRPr="00051171">
        <w:t xml:space="preserve"> evaluation</w:t>
      </w:r>
      <w:bookmarkEnd w:id="6"/>
      <w:r w:rsidRPr="00051171">
        <w:t>.</w:t>
      </w:r>
      <w:r w:rsidR="00FF7C8A" w:rsidRPr="00051171">
        <w:t xml:space="preserve"> </w:t>
      </w:r>
      <w:r w:rsidR="004F4B29" w:rsidRPr="00051171">
        <w:t xml:space="preserve">The ACM advised that the overall benefit-risk </w:t>
      </w:r>
      <w:r w:rsidR="00C64452" w:rsidRPr="00051171">
        <w:t xml:space="preserve">was </w:t>
      </w:r>
      <w:r w:rsidR="004F4B29" w:rsidRPr="00051171">
        <w:t>positive for lumacaftor/ivacaftor in the 1–2-year age group. In the absence of efficacy data</w:t>
      </w:r>
      <w:r w:rsidR="007A35B5" w:rsidRPr="00051171">
        <w:t xml:space="preserve">, the pharmacodynamic data </w:t>
      </w:r>
      <w:proofErr w:type="gramStart"/>
      <w:r w:rsidR="007A35B5" w:rsidRPr="00051171">
        <w:t>was considered</w:t>
      </w:r>
      <w:proofErr w:type="gramEnd"/>
      <w:r w:rsidR="007A35B5" w:rsidRPr="00051171">
        <w:t xml:space="preserve"> a suitable surrogate for efficacy. The ACM noted the positive effects on sweat chloride (SwCl), pancreatic function, pulmonary </w:t>
      </w:r>
      <w:proofErr w:type="gramStart"/>
      <w:r w:rsidR="007A35B5" w:rsidRPr="00051171">
        <w:t>exacerbations</w:t>
      </w:r>
      <w:proofErr w:type="gramEnd"/>
      <w:r w:rsidR="007A35B5" w:rsidRPr="00051171">
        <w:t xml:space="preserve"> and no negative effects on growth parameters</w:t>
      </w:r>
      <w:r w:rsidR="007A35B5" w:rsidRPr="00FF09A2">
        <w:t>.</w:t>
      </w:r>
      <w:bookmarkEnd w:id="7"/>
      <w:r w:rsidR="00071564">
        <w:t xml:space="preserve"> </w:t>
      </w:r>
    </w:p>
    <w:p w14:paraId="4549AF38" w14:textId="47681BF6" w:rsidR="00F86069" w:rsidRPr="00FF09A2" w:rsidRDefault="00F86069" w:rsidP="00F86069">
      <w:pPr>
        <w:pStyle w:val="4-SubsectionHeading"/>
      </w:pPr>
      <w:bookmarkStart w:id="8" w:name="_Toc22897639"/>
      <w:bookmarkStart w:id="9" w:name="_Toc135204519"/>
      <w:r w:rsidRPr="00FF09A2">
        <w:t>Previous PBAC consideration</w:t>
      </w:r>
      <w:bookmarkEnd w:id="8"/>
      <w:bookmarkEnd w:id="9"/>
    </w:p>
    <w:p w14:paraId="51F017D6" w14:textId="6B723A01" w:rsidR="00406297" w:rsidRPr="00FF09A2" w:rsidRDefault="00406297" w:rsidP="006E36B3">
      <w:pPr>
        <w:pStyle w:val="3-BodyText"/>
        <w:ind w:left="720"/>
      </w:pPr>
      <w:bookmarkStart w:id="10" w:name="_Hlk132480361"/>
      <w:r w:rsidRPr="00FF09A2">
        <w:t xml:space="preserve">The PBAC has previously </w:t>
      </w:r>
      <w:r w:rsidR="00CC76E5" w:rsidRPr="00FF09A2">
        <w:t xml:space="preserve">recommended </w:t>
      </w:r>
      <w:proofErr w:type="gramStart"/>
      <w:r w:rsidRPr="00FF09A2">
        <w:t>a number of</w:t>
      </w:r>
      <w:proofErr w:type="gramEnd"/>
      <w:r w:rsidRPr="00FF09A2">
        <w:t xml:space="preserve"> submissions to extend the age restriction for C</w:t>
      </w:r>
      <w:r w:rsidR="000A0FC0" w:rsidRPr="00FF09A2">
        <w:t>F</w:t>
      </w:r>
      <w:r w:rsidRPr="00FF09A2">
        <w:t xml:space="preserve">TR modulators </w:t>
      </w:r>
      <w:r w:rsidR="005815B7" w:rsidRPr="00FF09A2">
        <w:t>as summarised in</w:t>
      </w:r>
      <w:r w:rsidRPr="00FF09A2">
        <w:t xml:space="preserve"> </w:t>
      </w:r>
      <w:r w:rsidR="00DE6970" w:rsidRPr="00FF09A2">
        <w:fldChar w:fldCharType="begin"/>
      </w:r>
      <w:r w:rsidR="00DE6970" w:rsidRPr="00FF09A2">
        <w:instrText xml:space="preserve"> REF _Ref133830996 \h </w:instrText>
      </w:r>
      <w:r w:rsidR="00FF09A2">
        <w:instrText xml:space="preserve"> \* MERGEFORMAT </w:instrText>
      </w:r>
      <w:r w:rsidR="00DE6970" w:rsidRPr="00FF09A2">
        <w:fldChar w:fldCharType="separate"/>
      </w:r>
      <w:r w:rsidR="00025B72" w:rsidRPr="00B3449A">
        <w:t xml:space="preserve">Table </w:t>
      </w:r>
      <w:r w:rsidR="00025B72">
        <w:rPr>
          <w:noProof/>
        </w:rPr>
        <w:t>2</w:t>
      </w:r>
      <w:r w:rsidR="00DE6970" w:rsidRPr="00FF09A2">
        <w:fldChar w:fldCharType="end"/>
      </w:r>
      <w:r w:rsidR="00DE6970" w:rsidRPr="00FF09A2">
        <w:t>.</w:t>
      </w:r>
    </w:p>
    <w:p w14:paraId="0B2EA1E4" w14:textId="45B1E83A" w:rsidR="00DE6970" w:rsidRPr="00B3449A" w:rsidRDefault="00DE6970" w:rsidP="00DE6970">
      <w:pPr>
        <w:pStyle w:val="Caption"/>
      </w:pPr>
      <w:bookmarkStart w:id="11" w:name="_Ref133830996"/>
      <w:r w:rsidRPr="00B3449A">
        <w:lastRenderedPageBreak/>
        <w:t xml:space="preserve">Table </w:t>
      </w:r>
      <w:r w:rsidR="00025B72">
        <w:fldChar w:fldCharType="begin"/>
      </w:r>
      <w:r w:rsidR="00025B72">
        <w:instrText xml:space="preserve"> SEQ Table \* ARABIC </w:instrText>
      </w:r>
      <w:r w:rsidR="00025B72">
        <w:fldChar w:fldCharType="separate"/>
      </w:r>
      <w:r w:rsidR="00025B72">
        <w:rPr>
          <w:noProof/>
        </w:rPr>
        <w:t>2</w:t>
      </w:r>
      <w:r w:rsidR="00025B72">
        <w:rPr>
          <w:noProof/>
        </w:rPr>
        <w:fldChar w:fldCharType="end"/>
      </w:r>
      <w:bookmarkEnd w:id="11"/>
      <w:r w:rsidRPr="00B3449A">
        <w:t xml:space="preserve">: </w:t>
      </w:r>
      <w:r w:rsidR="00A670F9" w:rsidRPr="00B3449A">
        <w:t xml:space="preserve">First </w:t>
      </w:r>
      <w:r w:rsidRPr="00B3449A">
        <w:t xml:space="preserve">PBAC </w:t>
      </w:r>
      <w:r w:rsidR="00CC76E5" w:rsidRPr="00B3449A">
        <w:t xml:space="preserve">recommendation for </w:t>
      </w:r>
      <w:r w:rsidRPr="00B3449A">
        <w:t>CFTR modulators in CF</w:t>
      </w:r>
    </w:p>
    <w:tbl>
      <w:tblPr>
        <w:tblStyle w:val="TableGrid"/>
        <w:tblW w:w="5000" w:type="pct"/>
        <w:tblInd w:w="-5" w:type="dxa"/>
        <w:tblLook w:val="04A0" w:firstRow="1" w:lastRow="0" w:firstColumn="1" w:lastColumn="0" w:noHBand="0" w:noVBand="1"/>
      </w:tblPr>
      <w:tblGrid>
        <w:gridCol w:w="1276"/>
        <w:gridCol w:w="2581"/>
        <w:gridCol w:w="2581"/>
        <w:gridCol w:w="2579"/>
      </w:tblGrid>
      <w:tr w:rsidR="000B0757" w:rsidRPr="00051171" w14:paraId="3BDE98A1" w14:textId="20C5AEBB" w:rsidTr="006E36B3">
        <w:trPr>
          <w:trHeight w:val="439"/>
        </w:trPr>
        <w:tc>
          <w:tcPr>
            <w:tcW w:w="708" w:type="pct"/>
            <w:tcMar>
              <w:left w:w="40" w:type="dxa"/>
              <w:right w:w="40" w:type="dxa"/>
            </w:tcMar>
          </w:tcPr>
          <w:p w14:paraId="7DC9E8A7" w14:textId="77777777" w:rsidR="000B0757" w:rsidRPr="00051171" w:rsidRDefault="000B0757" w:rsidP="00185E28">
            <w:pPr>
              <w:pStyle w:val="TableText0"/>
            </w:pPr>
          </w:p>
        </w:tc>
        <w:tc>
          <w:tcPr>
            <w:tcW w:w="1431" w:type="pct"/>
            <w:tcMar>
              <w:left w:w="40" w:type="dxa"/>
              <w:right w:w="40" w:type="dxa"/>
            </w:tcMar>
            <w:vAlign w:val="center"/>
          </w:tcPr>
          <w:p w14:paraId="45EF3B2A" w14:textId="2DF2122C" w:rsidR="000B0757" w:rsidRPr="00051171" w:rsidRDefault="000B0757" w:rsidP="00185E28">
            <w:pPr>
              <w:pStyle w:val="TableText0"/>
              <w:jc w:val="center"/>
              <w:rPr>
                <w:b/>
                <w:bCs w:val="0"/>
              </w:rPr>
            </w:pPr>
            <w:r w:rsidRPr="00051171">
              <w:rPr>
                <w:b/>
                <w:bCs w:val="0"/>
              </w:rPr>
              <w:t>Lumacaftor/ivacaftor</w:t>
            </w:r>
          </w:p>
        </w:tc>
        <w:tc>
          <w:tcPr>
            <w:tcW w:w="1431" w:type="pct"/>
            <w:tcMar>
              <w:left w:w="40" w:type="dxa"/>
              <w:right w:w="40" w:type="dxa"/>
            </w:tcMar>
            <w:vAlign w:val="center"/>
          </w:tcPr>
          <w:p w14:paraId="05BD94B3" w14:textId="3CDF2970" w:rsidR="000B0757" w:rsidRPr="00051171" w:rsidRDefault="000B0757" w:rsidP="00185E28">
            <w:pPr>
              <w:pStyle w:val="TableText0"/>
              <w:jc w:val="center"/>
              <w:rPr>
                <w:b/>
                <w:bCs w:val="0"/>
              </w:rPr>
            </w:pPr>
            <w:r w:rsidRPr="00051171">
              <w:rPr>
                <w:b/>
                <w:bCs w:val="0"/>
              </w:rPr>
              <w:t>Ivacaftor</w:t>
            </w:r>
          </w:p>
        </w:tc>
        <w:tc>
          <w:tcPr>
            <w:tcW w:w="1431" w:type="pct"/>
            <w:tcMar>
              <w:left w:w="40" w:type="dxa"/>
              <w:right w:w="40" w:type="dxa"/>
            </w:tcMar>
            <w:vAlign w:val="center"/>
          </w:tcPr>
          <w:p w14:paraId="54FE53B8" w14:textId="36310E85" w:rsidR="000B0757" w:rsidRPr="00051171" w:rsidRDefault="000B0757" w:rsidP="00185E28">
            <w:pPr>
              <w:pStyle w:val="TableText0"/>
              <w:jc w:val="center"/>
              <w:rPr>
                <w:b/>
                <w:bCs w:val="0"/>
              </w:rPr>
            </w:pPr>
            <w:r w:rsidRPr="00051171">
              <w:rPr>
                <w:b/>
                <w:bCs w:val="0"/>
              </w:rPr>
              <w:t>Elexacaftor/tezacaftor/ivacaftor</w:t>
            </w:r>
          </w:p>
        </w:tc>
      </w:tr>
      <w:tr w:rsidR="00327D59" w:rsidRPr="00051171" w14:paraId="5B96056D" w14:textId="77777777" w:rsidTr="006E36B3">
        <w:trPr>
          <w:trHeight w:val="355"/>
        </w:trPr>
        <w:tc>
          <w:tcPr>
            <w:tcW w:w="708" w:type="pct"/>
            <w:tcMar>
              <w:left w:w="40" w:type="dxa"/>
              <w:right w:w="40" w:type="dxa"/>
            </w:tcMar>
          </w:tcPr>
          <w:p w14:paraId="18B871F5" w14:textId="75DF91C6" w:rsidR="00327D59" w:rsidRPr="00051171" w:rsidRDefault="00327D59" w:rsidP="00185E28">
            <w:pPr>
              <w:pStyle w:val="TableText0"/>
            </w:pPr>
            <w:r w:rsidRPr="00051171">
              <w:t>Current PBS listing</w:t>
            </w:r>
          </w:p>
        </w:tc>
        <w:tc>
          <w:tcPr>
            <w:tcW w:w="1431" w:type="pct"/>
            <w:tcMar>
              <w:left w:w="40" w:type="dxa"/>
              <w:right w:w="40" w:type="dxa"/>
            </w:tcMar>
          </w:tcPr>
          <w:p w14:paraId="76F88DCE" w14:textId="29E71DD0" w:rsidR="00327D59" w:rsidRPr="00051171" w:rsidRDefault="00327D59" w:rsidP="00185E28">
            <w:pPr>
              <w:pStyle w:val="TableText0"/>
            </w:pPr>
            <w:r w:rsidRPr="00051171">
              <w:t>CF homozygous for the F</w:t>
            </w:r>
            <w:r w:rsidR="00003CDA" w:rsidRPr="00051171">
              <w:t>5</w:t>
            </w:r>
            <w:r w:rsidRPr="00051171">
              <w:t>08del mutation in the CFTR gene.</w:t>
            </w:r>
          </w:p>
        </w:tc>
        <w:tc>
          <w:tcPr>
            <w:tcW w:w="1431" w:type="pct"/>
            <w:shd w:val="clear" w:color="auto" w:fill="auto"/>
            <w:tcMar>
              <w:left w:w="40" w:type="dxa"/>
              <w:right w:w="40" w:type="dxa"/>
            </w:tcMar>
          </w:tcPr>
          <w:p w14:paraId="1B889BE5" w14:textId="0ECE466B" w:rsidR="00327D59" w:rsidRPr="00051171" w:rsidRDefault="00327D59" w:rsidP="00185E28">
            <w:pPr>
              <w:shd w:val="clear" w:color="auto" w:fill="FFFFFF"/>
              <w:jc w:val="left"/>
              <w:rPr>
                <w:rFonts w:ascii="Arial Narrow" w:eastAsiaTheme="majorEastAsia" w:hAnsi="Arial Narrow" w:cstheme="majorBidi"/>
                <w:bCs/>
                <w:sz w:val="20"/>
              </w:rPr>
            </w:pPr>
            <w:r w:rsidRPr="00051171">
              <w:rPr>
                <w:rFonts w:ascii="Arial Narrow" w:eastAsiaTheme="majorEastAsia" w:hAnsi="Arial Narrow" w:cstheme="majorBidi"/>
                <w:bCs/>
                <w:sz w:val="20"/>
              </w:rPr>
              <w:t xml:space="preserve">CF with G551D mutation in the CFTR gene on at least </w:t>
            </w:r>
            <w:r w:rsidR="006E36B3" w:rsidRPr="00051171">
              <w:rPr>
                <w:rFonts w:ascii="Arial Narrow" w:eastAsiaTheme="majorEastAsia" w:hAnsi="Arial Narrow" w:cstheme="majorBidi"/>
                <w:bCs/>
                <w:sz w:val="20"/>
              </w:rPr>
              <w:t xml:space="preserve">one </w:t>
            </w:r>
            <w:r w:rsidRPr="00051171">
              <w:rPr>
                <w:rFonts w:ascii="Arial Narrow" w:eastAsiaTheme="majorEastAsia" w:hAnsi="Arial Narrow" w:cstheme="majorBidi"/>
                <w:bCs/>
                <w:sz w:val="20"/>
              </w:rPr>
              <w:t>allele</w:t>
            </w:r>
          </w:p>
          <w:p w14:paraId="358559D9" w14:textId="77777777" w:rsidR="00E605D0" w:rsidRPr="00051171" w:rsidRDefault="00E605D0" w:rsidP="00185E28">
            <w:pPr>
              <w:shd w:val="clear" w:color="auto" w:fill="FFFFFF"/>
              <w:jc w:val="left"/>
              <w:rPr>
                <w:rFonts w:ascii="Arial Narrow" w:eastAsiaTheme="majorEastAsia" w:hAnsi="Arial Narrow" w:cstheme="majorBidi"/>
                <w:bCs/>
                <w:sz w:val="20"/>
              </w:rPr>
            </w:pPr>
          </w:p>
          <w:p w14:paraId="386514D1" w14:textId="1E9061D0" w:rsidR="00327D59" w:rsidRPr="00051171" w:rsidRDefault="00327D59" w:rsidP="00185E28">
            <w:pPr>
              <w:shd w:val="clear" w:color="auto" w:fill="FFFFFF"/>
              <w:jc w:val="left"/>
              <w:rPr>
                <w:rFonts w:ascii="Arial Narrow" w:eastAsiaTheme="majorEastAsia" w:hAnsi="Arial Narrow" w:cstheme="majorBidi"/>
                <w:bCs/>
                <w:sz w:val="20"/>
              </w:rPr>
            </w:pPr>
            <w:r w:rsidRPr="00051171">
              <w:rPr>
                <w:rFonts w:ascii="Arial Narrow" w:eastAsiaTheme="majorEastAsia" w:hAnsi="Arial Narrow" w:cstheme="majorBidi"/>
                <w:bCs/>
                <w:sz w:val="20"/>
              </w:rPr>
              <w:t xml:space="preserve">CF with other gating (class III) mutation in the CFTR gene on at least </w:t>
            </w:r>
            <w:r w:rsidR="006E36B3" w:rsidRPr="00051171">
              <w:rPr>
                <w:rFonts w:ascii="Arial Narrow" w:eastAsiaTheme="majorEastAsia" w:hAnsi="Arial Narrow" w:cstheme="majorBidi"/>
                <w:bCs/>
                <w:sz w:val="20"/>
              </w:rPr>
              <w:t>one</w:t>
            </w:r>
            <w:r w:rsidRPr="00051171">
              <w:rPr>
                <w:rFonts w:ascii="Arial Narrow" w:eastAsiaTheme="majorEastAsia" w:hAnsi="Arial Narrow" w:cstheme="majorBidi"/>
                <w:bCs/>
                <w:sz w:val="20"/>
              </w:rPr>
              <w:t xml:space="preserve"> allele</w:t>
            </w:r>
          </w:p>
        </w:tc>
        <w:tc>
          <w:tcPr>
            <w:tcW w:w="1431" w:type="pct"/>
            <w:tcMar>
              <w:left w:w="40" w:type="dxa"/>
              <w:right w:w="40" w:type="dxa"/>
            </w:tcMar>
          </w:tcPr>
          <w:p w14:paraId="18DC6EDE" w14:textId="2EB2255F" w:rsidR="00327D59" w:rsidRPr="00051171" w:rsidRDefault="00327D59" w:rsidP="00185E28">
            <w:pPr>
              <w:pStyle w:val="TableText0"/>
            </w:pPr>
            <w:r w:rsidRPr="00051171">
              <w:t>CF with at least one F508del mutation in the CFTR gene</w:t>
            </w:r>
          </w:p>
        </w:tc>
      </w:tr>
      <w:tr w:rsidR="000B0757" w:rsidRPr="00051171" w14:paraId="554F2E44" w14:textId="033D1E7E" w:rsidTr="00185E28">
        <w:trPr>
          <w:trHeight w:val="1106"/>
        </w:trPr>
        <w:tc>
          <w:tcPr>
            <w:tcW w:w="708" w:type="pct"/>
            <w:tcMar>
              <w:left w:w="40" w:type="dxa"/>
              <w:right w:w="40" w:type="dxa"/>
            </w:tcMar>
          </w:tcPr>
          <w:p w14:paraId="4F20DFAB" w14:textId="392F7AC2" w:rsidR="000B0757" w:rsidRPr="00051171" w:rsidRDefault="00CC76E5" w:rsidP="00185E28">
            <w:pPr>
              <w:pStyle w:val="TableText0"/>
            </w:pPr>
            <w:r w:rsidRPr="00051171">
              <w:t xml:space="preserve">First recommended </w:t>
            </w:r>
            <w:r w:rsidR="000B0757" w:rsidRPr="00051171">
              <w:t>by PBAC</w:t>
            </w:r>
          </w:p>
        </w:tc>
        <w:tc>
          <w:tcPr>
            <w:tcW w:w="1431" w:type="pct"/>
            <w:tcMar>
              <w:left w:w="40" w:type="dxa"/>
              <w:right w:w="40" w:type="dxa"/>
            </w:tcMar>
          </w:tcPr>
          <w:p w14:paraId="49DB2787" w14:textId="008CB8B2" w:rsidR="000B0757" w:rsidRPr="00051171" w:rsidRDefault="000B0757" w:rsidP="00185E28">
            <w:pPr>
              <w:pStyle w:val="TableText0"/>
            </w:pPr>
            <w:r w:rsidRPr="00051171">
              <w:t xml:space="preserve">Aged ≥ 12 years: July 2018 </w:t>
            </w:r>
          </w:p>
          <w:p w14:paraId="431B5AD9" w14:textId="319627F5" w:rsidR="000B0757" w:rsidRPr="00051171" w:rsidRDefault="000B0757" w:rsidP="00185E28">
            <w:pPr>
              <w:pStyle w:val="TableText0"/>
            </w:pPr>
            <w:r w:rsidRPr="00051171">
              <w:t xml:space="preserve">Aged 6 to 11 years: July 2018 </w:t>
            </w:r>
          </w:p>
          <w:p w14:paraId="3F2DE066" w14:textId="6887AAAF" w:rsidR="000B0757" w:rsidRPr="00051171" w:rsidRDefault="000B0757" w:rsidP="00185E28">
            <w:pPr>
              <w:pStyle w:val="TableText0"/>
            </w:pPr>
            <w:r w:rsidRPr="00051171">
              <w:t xml:space="preserve">Aged 2 to 5 years: July 2019 </w:t>
            </w:r>
          </w:p>
          <w:p w14:paraId="3B318979" w14:textId="66994C12" w:rsidR="000B0757" w:rsidRPr="00051171" w:rsidRDefault="000B0757" w:rsidP="00185E28">
            <w:pPr>
              <w:pStyle w:val="TableText0"/>
            </w:pPr>
            <w:r w:rsidRPr="00051171">
              <w:t xml:space="preserve">Aged 1 to &lt; 2 years: </w:t>
            </w:r>
            <w:r w:rsidR="00457FA3">
              <w:t>current submission</w:t>
            </w:r>
          </w:p>
        </w:tc>
        <w:tc>
          <w:tcPr>
            <w:tcW w:w="1431" w:type="pct"/>
            <w:tcMar>
              <w:left w:w="40" w:type="dxa"/>
              <w:right w:w="40" w:type="dxa"/>
            </w:tcMar>
          </w:tcPr>
          <w:p w14:paraId="3837BB20" w14:textId="37ABE842" w:rsidR="000B0757" w:rsidRPr="00051171" w:rsidRDefault="000B0757" w:rsidP="00185E28">
            <w:pPr>
              <w:pStyle w:val="TableText0"/>
            </w:pPr>
            <w:r w:rsidRPr="00051171">
              <w:t xml:space="preserve">Aged ≥ 6 years: November 2013 </w:t>
            </w:r>
          </w:p>
          <w:p w14:paraId="5D8E62A0" w14:textId="58FA04B1" w:rsidR="000B0757" w:rsidRPr="00051171" w:rsidRDefault="000B0757" w:rsidP="00185E28">
            <w:pPr>
              <w:pStyle w:val="TableText0"/>
            </w:pPr>
            <w:r w:rsidRPr="00051171">
              <w:t>Aged 2 to 5 years:</w:t>
            </w:r>
            <w:r w:rsidR="00A670F9" w:rsidRPr="00051171">
              <w:t xml:space="preserve"> January 2017</w:t>
            </w:r>
          </w:p>
          <w:p w14:paraId="7673C570" w14:textId="0C10A310" w:rsidR="000B0757" w:rsidRPr="00051171" w:rsidRDefault="000B0757" w:rsidP="00185E28">
            <w:pPr>
              <w:pStyle w:val="TableText0"/>
            </w:pPr>
            <w:r w:rsidRPr="00051171">
              <w:t xml:space="preserve">Aged 1 to &lt; 2 years: March 2019 </w:t>
            </w:r>
          </w:p>
        </w:tc>
        <w:tc>
          <w:tcPr>
            <w:tcW w:w="1431" w:type="pct"/>
            <w:tcMar>
              <w:left w:w="40" w:type="dxa"/>
              <w:right w:w="40" w:type="dxa"/>
            </w:tcMar>
          </w:tcPr>
          <w:p w14:paraId="20B026E7" w14:textId="0A92D68B" w:rsidR="000B0757" w:rsidRPr="00051171" w:rsidRDefault="000B0757" w:rsidP="00185E28">
            <w:pPr>
              <w:pStyle w:val="TableText0"/>
            </w:pPr>
            <w:r w:rsidRPr="00051171">
              <w:t xml:space="preserve">Aged ≥ 12 years: July 2021 </w:t>
            </w:r>
          </w:p>
          <w:p w14:paraId="62CC315A" w14:textId="691D7599" w:rsidR="000B0757" w:rsidRPr="00051171" w:rsidRDefault="000B0757" w:rsidP="00185E28">
            <w:pPr>
              <w:pStyle w:val="TableText0"/>
            </w:pPr>
            <w:r w:rsidRPr="00051171">
              <w:t xml:space="preserve">Aged 6 to 11 years: November 2022 </w:t>
            </w:r>
          </w:p>
          <w:p w14:paraId="526A5BC3" w14:textId="77777777" w:rsidR="000B0757" w:rsidRPr="00051171" w:rsidRDefault="000B0757" w:rsidP="00185E28">
            <w:pPr>
              <w:pStyle w:val="TableText0"/>
            </w:pPr>
          </w:p>
        </w:tc>
      </w:tr>
    </w:tbl>
    <w:p w14:paraId="113948B4" w14:textId="143A15E8" w:rsidR="00406297" w:rsidRDefault="00DB4FCF" w:rsidP="00327D59">
      <w:pPr>
        <w:pStyle w:val="3-BodyText"/>
        <w:numPr>
          <w:ilvl w:val="0"/>
          <w:numId w:val="0"/>
        </w:numPr>
        <w:spacing w:after="0"/>
        <w:rPr>
          <w:rFonts w:ascii="Arial Narrow" w:hAnsi="Arial Narrow"/>
          <w:sz w:val="18"/>
          <w:szCs w:val="18"/>
        </w:rPr>
      </w:pPr>
      <w:r w:rsidRPr="00B3449A">
        <w:rPr>
          <w:rFonts w:ascii="Arial Narrow" w:hAnsi="Arial Narrow"/>
          <w:sz w:val="18"/>
          <w:szCs w:val="18"/>
        </w:rPr>
        <w:t xml:space="preserve">Source: constructed during evaluation </w:t>
      </w:r>
    </w:p>
    <w:p w14:paraId="13672DAA" w14:textId="3E32B7FC" w:rsidR="00327D59" w:rsidRPr="00B3449A" w:rsidRDefault="00327D59" w:rsidP="006E36B3">
      <w:pPr>
        <w:pStyle w:val="3-BodyText"/>
        <w:numPr>
          <w:ilvl w:val="0"/>
          <w:numId w:val="0"/>
        </w:numPr>
        <w:rPr>
          <w:rFonts w:ascii="Arial Narrow" w:hAnsi="Arial Narrow"/>
          <w:sz w:val="18"/>
          <w:szCs w:val="18"/>
        </w:rPr>
      </w:pPr>
      <w:r>
        <w:rPr>
          <w:rFonts w:ascii="Arial Narrow" w:hAnsi="Arial Narrow"/>
          <w:sz w:val="18"/>
          <w:szCs w:val="18"/>
        </w:rPr>
        <w:t>CF = cystic fibrosis; CFTR</w:t>
      </w:r>
      <w:r w:rsidRPr="00327D59">
        <w:rPr>
          <w:rFonts w:ascii="Arial Narrow" w:hAnsi="Arial Narrow"/>
          <w:sz w:val="18"/>
          <w:szCs w:val="18"/>
        </w:rPr>
        <w:t xml:space="preserve"> = cystic fibrosis transmembrane conductance regulator</w:t>
      </w:r>
      <w:r w:rsidR="006E36B3">
        <w:rPr>
          <w:rFonts w:ascii="Arial Narrow" w:hAnsi="Arial Narrow"/>
          <w:sz w:val="18"/>
          <w:szCs w:val="18"/>
        </w:rPr>
        <w:t>; PBAC = Pharmaceutical Benefits Advisory Committee; PBS = Pharmaceutical Benefits Scheme</w:t>
      </w:r>
    </w:p>
    <w:p w14:paraId="759CDA4C" w14:textId="1261C7C4" w:rsidR="00916C11" w:rsidRPr="00051171" w:rsidRDefault="00F86069" w:rsidP="006E36B3">
      <w:pPr>
        <w:pStyle w:val="3-BodyText"/>
        <w:ind w:left="720"/>
      </w:pPr>
      <w:r w:rsidRPr="00B3449A">
        <w:t xml:space="preserve">The submission for lumacaftor/ivacaftor for patients aged 2 to 5 years </w:t>
      </w:r>
      <w:proofErr w:type="gramStart"/>
      <w:r w:rsidRPr="00B3449A">
        <w:t>was recommended</w:t>
      </w:r>
      <w:proofErr w:type="gramEnd"/>
      <w:r w:rsidRPr="00B3449A">
        <w:t xml:space="preserve"> by the PBAC in July 2019. </w:t>
      </w:r>
      <w:r w:rsidRPr="006E36B3">
        <w:rPr>
          <w:rFonts w:cstheme="minorHAnsi"/>
        </w:rPr>
        <w:t xml:space="preserve">In making that recommendation, the PBAC noted the supporting evidence </w:t>
      </w:r>
      <w:proofErr w:type="gramStart"/>
      <w:r w:rsidRPr="006E36B3">
        <w:rPr>
          <w:rFonts w:cstheme="minorHAnsi"/>
        </w:rPr>
        <w:t>was limited</w:t>
      </w:r>
      <w:proofErr w:type="gramEnd"/>
      <w:r w:rsidRPr="006E36B3">
        <w:rPr>
          <w:rFonts w:cstheme="minorHAnsi"/>
        </w:rPr>
        <w:t xml:space="preserve"> but acknowledged the difficulties in obtaining efficacy data from paediatric patients. Overall, the PBAC concluded that the claim of superior efficacy over BSC in patients aged 2 to 5 years was biologically plausible (paragraph 7.1, lumacaftor/ivacaftor</w:t>
      </w:r>
      <w:r w:rsidR="00565D39" w:rsidRPr="006E36B3">
        <w:rPr>
          <w:rFonts w:cstheme="minorHAnsi"/>
        </w:rPr>
        <w:t xml:space="preserve"> </w:t>
      </w:r>
      <w:r w:rsidR="00D648C6">
        <w:rPr>
          <w:rFonts w:cstheme="minorHAnsi"/>
        </w:rPr>
        <w:t>Public Summary Document (</w:t>
      </w:r>
      <w:r w:rsidR="00D0653F" w:rsidRPr="006E36B3">
        <w:rPr>
          <w:rFonts w:cstheme="minorHAnsi"/>
        </w:rPr>
        <w:t>PSD</w:t>
      </w:r>
      <w:r w:rsidR="00D648C6">
        <w:rPr>
          <w:rFonts w:cstheme="minorHAnsi"/>
        </w:rPr>
        <w:t>)</w:t>
      </w:r>
      <w:r w:rsidRPr="006E36B3">
        <w:rPr>
          <w:rFonts w:cstheme="minorHAnsi"/>
        </w:rPr>
        <w:t>, July 2019</w:t>
      </w:r>
      <w:r w:rsidR="00624605" w:rsidRPr="006E36B3">
        <w:rPr>
          <w:rFonts w:cstheme="minorHAnsi"/>
        </w:rPr>
        <w:t xml:space="preserve"> PBAC meeting</w:t>
      </w:r>
      <w:r w:rsidRPr="006E36B3">
        <w:rPr>
          <w:rFonts w:cstheme="minorHAnsi"/>
        </w:rPr>
        <w:t>).</w:t>
      </w:r>
      <w:bookmarkEnd w:id="10"/>
    </w:p>
    <w:p w14:paraId="7531981A" w14:textId="3E28A416" w:rsidR="00051171" w:rsidRPr="00051171" w:rsidRDefault="00051171" w:rsidP="00051171">
      <w:pPr>
        <w:pStyle w:val="3-BodyText"/>
        <w:numPr>
          <w:ilvl w:val="0"/>
          <w:numId w:val="0"/>
        </w:numPr>
        <w:ind w:left="720"/>
        <w:rPr>
          <w:i/>
          <w:iCs/>
        </w:rPr>
      </w:pPr>
      <w:r w:rsidRPr="00051171">
        <w:rPr>
          <w:rFonts w:cstheme="minorHAnsi"/>
          <w:i/>
          <w:iCs/>
        </w:rPr>
        <w:t>For more detail on PBAC’s view, see section 7 PBAC outcome.</w:t>
      </w:r>
    </w:p>
    <w:p w14:paraId="08C3B8A1" w14:textId="77777777" w:rsidR="00F86069" w:rsidRPr="00FF09A2" w:rsidRDefault="00F86069" w:rsidP="006E36B3">
      <w:pPr>
        <w:pStyle w:val="2-SectionHeading"/>
        <w:keepNext w:val="0"/>
      </w:pPr>
      <w:bookmarkStart w:id="12" w:name="_Toc135204520"/>
      <w:r w:rsidRPr="00FF09A2">
        <w:t xml:space="preserve">Requested </w:t>
      </w:r>
      <w:proofErr w:type="gramStart"/>
      <w:r w:rsidRPr="00FF09A2">
        <w:t>listing</w:t>
      </w:r>
      <w:bookmarkEnd w:id="12"/>
      <w:proofErr w:type="gramEnd"/>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1261"/>
        <w:gridCol w:w="1226"/>
        <w:gridCol w:w="800"/>
        <w:gridCol w:w="1805"/>
        <w:gridCol w:w="1666"/>
      </w:tblGrid>
      <w:tr w:rsidR="007D7A61" w:rsidRPr="00B3449A" w14:paraId="195A88AF" w14:textId="77777777" w:rsidTr="00B12403">
        <w:tc>
          <w:tcPr>
            <w:tcW w:w="0" w:type="auto"/>
          </w:tcPr>
          <w:p w14:paraId="008BA2EF" w14:textId="77777777" w:rsidR="00F86069" w:rsidRPr="00B3449A" w:rsidRDefault="00F86069" w:rsidP="006E36B3">
            <w:pPr>
              <w:pStyle w:val="Tabletext"/>
              <w:rPr>
                <w:b/>
                <w:bCs/>
              </w:rPr>
            </w:pPr>
            <w:r w:rsidRPr="00B3449A">
              <w:rPr>
                <w:b/>
              </w:rPr>
              <w:t>Name, restriction, manner of administration, form</w:t>
            </w:r>
          </w:p>
        </w:tc>
        <w:tc>
          <w:tcPr>
            <w:tcW w:w="0" w:type="auto"/>
          </w:tcPr>
          <w:p w14:paraId="07F65550" w14:textId="77777777" w:rsidR="00F86069" w:rsidRPr="00B3449A" w:rsidRDefault="00F86069" w:rsidP="006E36B3">
            <w:pPr>
              <w:pStyle w:val="Tabletext"/>
              <w:jc w:val="center"/>
              <w:rPr>
                <w:b/>
                <w:bCs/>
              </w:rPr>
            </w:pPr>
            <w:r w:rsidRPr="00B3449A">
              <w:rPr>
                <w:b/>
              </w:rPr>
              <w:t>Maximum quantity (packs)</w:t>
            </w:r>
          </w:p>
        </w:tc>
        <w:tc>
          <w:tcPr>
            <w:tcW w:w="0" w:type="auto"/>
          </w:tcPr>
          <w:p w14:paraId="1033912B" w14:textId="77777777" w:rsidR="00F86069" w:rsidRPr="00B3449A" w:rsidRDefault="00F86069" w:rsidP="006E36B3">
            <w:pPr>
              <w:pStyle w:val="Tabletext"/>
              <w:jc w:val="center"/>
              <w:rPr>
                <w:b/>
                <w:bCs/>
              </w:rPr>
            </w:pPr>
            <w:r w:rsidRPr="00B3449A">
              <w:rPr>
                <w:b/>
              </w:rPr>
              <w:t>Maximum quantity (units)</w:t>
            </w:r>
          </w:p>
        </w:tc>
        <w:tc>
          <w:tcPr>
            <w:tcW w:w="0" w:type="auto"/>
          </w:tcPr>
          <w:p w14:paraId="2554D8F4" w14:textId="77777777" w:rsidR="00F86069" w:rsidRPr="00B3449A" w:rsidRDefault="00F86069" w:rsidP="006E36B3">
            <w:pPr>
              <w:pStyle w:val="Tabletext"/>
              <w:rPr>
                <w:b/>
                <w:bCs/>
              </w:rPr>
            </w:pPr>
            <w:r w:rsidRPr="00B3449A">
              <w:rPr>
                <w:b/>
              </w:rPr>
              <w:t>No. of repeats</w:t>
            </w:r>
          </w:p>
        </w:tc>
        <w:tc>
          <w:tcPr>
            <w:tcW w:w="0" w:type="auto"/>
          </w:tcPr>
          <w:p w14:paraId="4313DEEC" w14:textId="77777777" w:rsidR="00F86069" w:rsidRPr="00B3449A" w:rsidRDefault="00F86069" w:rsidP="006E36B3">
            <w:pPr>
              <w:pStyle w:val="Tabletext"/>
              <w:rPr>
                <w:b/>
                <w:bCs/>
              </w:rPr>
            </w:pPr>
            <w:r w:rsidRPr="00B3449A">
              <w:rPr>
                <w:b/>
              </w:rPr>
              <w:t>Dispensed price for maximum quantity</w:t>
            </w:r>
          </w:p>
        </w:tc>
        <w:tc>
          <w:tcPr>
            <w:tcW w:w="0" w:type="auto"/>
          </w:tcPr>
          <w:p w14:paraId="6C5BD07F" w14:textId="77777777" w:rsidR="00F86069" w:rsidRPr="00B3449A" w:rsidRDefault="00F86069" w:rsidP="006E36B3">
            <w:pPr>
              <w:pStyle w:val="Tabletext"/>
              <w:rPr>
                <w:b/>
                <w:bCs/>
              </w:rPr>
            </w:pPr>
            <w:r w:rsidRPr="00B3449A">
              <w:rPr>
                <w:b/>
              </w:rPr>
              <w:t>Proprietary name and manufacturer</w:t>
            </w:r>
          </w:p>
        </w:tc>
      </w:tr>
      <w:tr w:rsidR="007D7A61" w:rsidRPr="00B3449A" w14:paraId="0C01E0D0" w14:textId="77777777" w:rsidTr="00B12403">
        <w:tc>
          <w:tcPr>
            <w:tcW w:w="0" w:type="auto"/>
          </w:tcPr>
          <w:p w14:paraId="413A4E75" w14:textId="77777777" w:rsidR="00F86069" w:rsidRPr="00B3449A" w:rsidRDefault="00F86069" w:rsidP="006E36B3">
            <w:pPr>
              <w:pStyle w:val="Tabletext"/>
            </w:pPr>
            <w:r w:rsidRPr="00B3449A">
              <w:t>LUMACAFTOR/IVACAFTOR</w:t>
            </w:r>
          </w:p>
          <w:p w14:paraId="74E0B0C6" w14:textId="77777777" w:rsidR="00F86069" w:rsidRPr="00B3449A" w:rsidRDefault="00F86069" w:rsidP="006E36B3">
            <w:pPr>
              <w:pStyle w:val="Tabletext"/>
            </w:pPr>
            <w:r w:rsidRPr="00B3449A">
              <w:t>Lumacaftor 75 mg/ivacaftor 94 mg granules, 56 sachets</w:t>
            </w:r>
          </w:p>
        </w:tc>
        <w:tc>
          <w:tcPr>
            <w:tcW w:w="0" w:type="auto"/>
          </w:tcPr>
          <w:p w14:paraId="6AEA86B3" w14:textId="77777777" w:rsidR="00F86069" w:rsidRPr="00B3449A" w:rsidRDefault="00F86069" w:rsidP="006E36B3">
            <w:pPr>
              <w:pStyle w:val="Tabletext"/>
              <w:jc w:val="center"/>
            </w:pPr>
            <w:r w:rsidRPr="00B3449A">
              <w:t>1</w:t>
            </w:r>
          </w:p>
        </w:tc>
        <w:tc>
          <w:tcPr>
            <w:tcW w:w="0" w:type="auto"/>
          </w:tcPr>
          <w:p w14:paraId="423E7B16" w14:textId="77777777" w:rsidR="00F86069" w:rsidRPr="00B3449A" w:rsidRDefault="00F86069" w:rsidP="006E36B3">
            <w:pPr>
              <w:pStyle w:val="Tabletext"/>
              <w:jc w:val="center"/>
            </w:pPr>
            <w:r w:rsidRPr="00B3449A">
              <w:t>Pack containing 56 sachets</w:t>
            </w:r>
          </w:p>
        </w:tc>
        <w:tc>
          <w:tcPr>
            <w:tcW w:w="0" w:type="auto"/>
          </w:tcPr>
          <w:p w14:paraId="7204D0C8" w14:textId="77777777" w:rsidR="00F86069" w:rsidRPr="00B3449A" w:rsidRDefault="00F86069" w:rsidP="006E36B3">
            <w:pPr>
              <w:pStyle w:val="Tabletext"/>
              <w:jc w:val="center"/>
            </w:pPr>
            <w:r w:rsidRPr="00B3449A">
              <w:t>5</w:t>
            </w:r>
          </w:p>
        </w:tc>
        <w:tc>
          <w:tcPr>
            <w:tcW w:w="0" w:type="auto"/>
            <w:vMerge w:val="restart"/>
            <w:vAlign w:val="center"/>
          </w:tcPr>
          <w:p w14:paraId="352541F8" w14:textId="77777777" w:rsidR="00F4548A" w:rsidRPr="00B3449A" w:rsidRDefault="00F86069" w:rsidP="006E36B3">
            <w:pPr>
              <w:pStyle w:val="Tabletext"/>
            </w:pPr>
            <w:r w:rsidRPr="00B3449A">
              <w:t>Published</w:t>
            </w:r>
            <w:r w:rsidR="00F4548A" w:rsidRPr="00B3449A">
              <w:t xml:space="preserve"> (public)</w:t>
            </w:r>
            <w:r w:rsidRPr="00B3449A">
              <w:t xml:space="preserve">: </w:t>
            </w:r>
            <w:proofErr w:type="gramStart"/>
            <w:r w:rsidRPr="00B3449A">
              <w:t>$17,812.50</w:t>
            </w:r>
            <w:proofErr w:type="gramEnd"/>
          </w:p>
          <w:p w14:paraId="452AF40E" w14:textId="77777777" w:rsidR="00F4548A" w:rsidRPr="00B3449A" w:rsidRDefault="00F4548A" w:rsidP="006E36B3">
            <w:pPr>
              <w:pStyle w:val="Tabletext"/>
            </w:pPr>
            <w:r w:rsidRPr="00B3449A">
              <w:t>Published (private):</w:t>
            </w:r>
          </w:p>
          <w:p w14:paraId="2F72FB51" w14:textId="161A4671" w:rsidR="007D7A61" w:rsidRPr="00B3449A" w:rsidRDefault="00F4548A" w:rsidP="006E36B3">
            <w:pPr>
              <w:pStyle w:val="Tabletext"/>
            </w:pPr>
            <w:r w:rsidRPr="00B3449A">
              <w:t>$17,860.32</w:t>
            </w:r>
            <w:r w:rsidR="00F86069" w:rsidRPr="00B3449A">
              <w:br/>
              <w:t>Effective</w:t>
            </w:r>
            <w:r w:rsidR="004D0893" w:rsidRPr="00B3449A">
              <w:t xml:space="preserve"> (public)</w:t>
            </w:r>
            <w:r w:rsidR="00F86069" w:rsidRPr="00B3449A">
              <w:t>: $</w:t>
            </w:r>
            <w:r w:rsidR="00D62E6D" w:rsidRPr="00D62E6D">
              <w:rPr>
                <w:color w:val="000000"/>
                <w:spacing w:val="49"/>
                <w:shd w:val="solid" w:color="000000" w:fill="000000"/>
                <w:fitText w:val="320" w:id="-1167896832"/>
                <w14:textFill>
                  <w14:solidFill>
                    <w14:srgbClr w14:val="000000">
                      <w14:alpha w14:val="100000"/>
                    </w14:srgbClr>
                  </w14:solidFill>
                </w14:textFill>
              </w:rPr>
              <w:t>|||</w:t>
            </w:r>
            <w:r w:rsidR="00D62E6D" w:rsidRPr="00D62E6D">
              <w:rPr>
                <w:color w:val="000000"/>
                <w:spacing w:val="3"/>
                <w:shd w:val="solid" w:color="000000" w:fill="000000"/>
                <w:fitText w:val="320" w:id="-1167896832"/>
                <w14:textFill>
                  <w14:solidFill>
                    <w14:srgbClr w14:val="000000">
                      <w14:alpha w14:val="100000"/>
                    </w14:srgbClr>
                  </w14:solidFill>
                </w14:textFill>
              </w:rPr>
              <w:t>|</w:t>
            </w:r>
          </w:p>
          <w:p w14:paraId="3DCA8809" w14:textId="4A04A558" w:rsidR="00F86069" w:rsidRPr="00B3449A" w:rsidRDefault="007D7A61" w:rsidP="006E36B3">
            <w:pPr>
              <w:pStyle w:val="Tabletext"/>
            </w:pPr>
            <w:r w:rsidRPr="00B3449A">
              <w:rPr>
                <w:snapToGrid/>
              </w:rPr>
              <w:t>Effective (private): $</w:t>
            </w:r>
            <w:r w:rsidR="00D62E6D" w:rsidRPr="00D62E6D">
              <w:rPr>
                <w:snapToGrid/>
                <w:color w:val="000000"/>
                <w:spacing w:val="49"/>
                <w:shd w:val="solid" w:color="000000" w:fill="000000"/>
                <w:fitText w:val="320" w:id="-1167896831"/>
                <w14:textFill>
                  <w14:solidFill>
                    <w14:srgbClr w14:val="000000">
                      <w14:alpha w14:val="100000"/>
                    </w14:srgbClr>
                  </w14:solidFill>
                </w14:textFill>
              </w:rPr>
              <w:t>|||</w:t>
            </w:r>
            <w:r w:rsidR="00D62E6D" w:rsidRPr="00D62E6D">
              <w:rPr>
                <w:snapToGrid/>
                <w:color w:val="000000"/>
                <w:spacing w:val="3"/>
                <w:shd w:val="solid" w:color="000000" w:fill="000000"/>
                <w:fitText w:val="320" w:id="-1167896831"/>
                <w14:textFill>
                  <w14:solidFill>
                    <w14:srgbClr w14:val="000000">
                      <w14:alpha w14:val="100000"/>
                    </w14:srgbClr>
                  </w14:solidFill>
                </w14:textFill>
              </w:rPr>
              <w:t>|</w:t>
            </w:r>
            <w:r w:rsidR="00D05214" w:rsidRPr="00B3449A">
              <w:rPr>
                <w:snapToGrid/>
                <w:vertAlign w:val="superscript"/>
              </w:rPr>
              <w:t>a</w:t>
            </w:r>
          </w:p>
        </w:tc>
        <w:tc>
          <w:tcPr>
            <w:tcW w:w="0" w:type="auto"/>
            <w:vMerge w:val="restart"/>
            <w:vAlign w:val="center"/>
          </w:tcPr>
          <w:p w14:paraId="1DD19305" w14:textId="77777777" w:rsidR="00F86069" w:rsidRPr="00B3449A" w:rsidRDefault="00F86069" w:rsidP="006E36B3">
            <w:pPr>
              <w:pStyle w:val="Tabletext"/>
            </w:pPr>
            <w:r w:rsidRPr="00B3449A">
              <w:t>Orkambi®, VX</w:t>
            </w:r>
          </w:p>
        </w:tc>
      </w:tr>
      <w:tr w:rsidR="007D7A61" w:rsidRPr="00B3449A" w14:paraId="52AA455F" w14:textId="77777777" w:rsidTr="00B12403">
        <w:tc>
          <w:tcPr>
            <w:tcW w:w="0" w:type="auto"/>
          </w:tcPr>
          <w:p w14:paraId="3F1A55AB" w14:textId="77777777" w:rsidR="00F86069" w:rsidRPr="00B3449A" w:rsidRDefault="00F86069" w:rsidP="006E36B3">
            <w:pPr>
              <w:pStyle w:val="Tabletext"/>
            </w:pPr>
            <w:r w:rsidRPr="00B3449A">
              <w:t>LUMACAFTOR/IVACAFTOR</w:t>
            </w:r>
          </w:p>
          <w:p w14:paraId="70554D3F" w14:textId="77777777" w:rsidR="00F86069" w:rsidRPr="00B3449A" w:rsidRDefault="00F86069" w:rsidP="006E36B3">
            <w:pPr>
              <w:pStyle w:val="Tabletext"/>
            </w:pPr>
            <w:r w:rsidRPr="00B3449A">
              <w:t>Lumacaftor 100 mg/ivacaftor 125 mg granules, 56 sachets</w:t>
            </w:r>
          </w:p>
        </w:tc>
        <w:tc>
          <w:tcPr>
            <w:tcW w:w="0" w:type="auto"/>
          </w:tcPr>
          <w:p w14:paraId="138158B5" w14:textId="77777777" w:rsidR="00F86069" w:rsidRPr="00B3449A" w:rsidRDefault="00F86069" w:rsidP="006E36B3">
            <w:pPr>
              <w:pStyle w:val="Tabletext"/>
              <w:jc w:val="center"/>
              <w:rPr>
                <w:rFonts w:ascii="Times" w:hAnsi="Times"/>
              </w:rPr>
            </w:pPr>
            <w:r w:rsidRPr="00B3449A">
              <w:t>1</w:t>
            </w:r>
          </w:p>
        </w:tc>
        <w:tc>
          <w:tcPr>
            <w:tcW w:w="0" w:type="auto"/>
          </w:tcPr>
          <w:p w14:paraId="6434E41B" w14:textId="77777777" w:rsidR="00F86069" w:rsidRPr="00B3449A" w:rsidRDefault="00F86069" w:rsidP="006E36B3">
            <w:pPr>
              <w:pStyle w:val="Tabletext"/>
              <w:jc w:val="center"/>
              <w:rPr>
                <w:rFonts w:ascii="Times" w:hAnsi="Times"/>
              </w:rPr>
            </w:pPr>
            <w:r w:rsidRPr="00B3449A">
              <w:t>Pack containing 56 sachets</w:t>
            </w:r>
          </w:p>
        </w:tc>
        <w:tc>
          <w:tcPr>
            <w:tcW w:w="0" w:type="auto"/>
          </w:tcPr>
          <w:p w14:paraId="5C1FBD2B" w14:textId="77777777" w:rsidR="00F86069" w:rsidRPr="00B3449A" w:rsidRDefault="00F86069" w:rsidP="006E36B3">
            <w:pPr>
              <w:pStyle w:val="Tabletext"/>
              <w:jc w:val="center"/>
              <w:rPr>
                <w:rFonts w:ascii="Times" w:hAnsi="Times"/>
              </w:rPr>
            </w:pPr>
            <w:r w:rsidRPr="00B3449A">
              <w:t>5</w:t>
            </w:r>
          </w:p>
        </w:tc>
        <w:tc>
          <w:tcPr>
            <w:tcW w:w="0" w:type="auto"/>
            <w:vMerge/>
          </w:tcPr>
          <w:p w14:paraId="48A900E6" w14:textId="77777777" w:rsidR="00F86069" w:rsidRPr="00B3449A" w:rsidRDefault="00F86069" w:rsidP="006E36B3">
            <w:pPr>
              <w:pStyle w:val="Tabletext"/>
              <w:rPr>
                <w:rFonts w:ascii="Times" w:hAnsi="Times"/>
              </w:rPr>
            </w:pPr>
          </w:p>
        </w:tc>
        <w:tc>
          <w:tcPr>
            <w:tcW w:w="0" w:type="auto"/>
            <w:vMerge/>
          </w:tcPr>
          <w:p w14:paraId="16944F13" w14:textId="77777777" w:rsidR="00F86069" w:rsidRPr="00B3449A" w:rsidRDefault="00F86069" w:rsidP="006E36B3">
            <w:pPr>
              <w:pStyle w:val="Tabletext"/>
              <w:rPr>
                <w:rFonts w:ascii="Times" w:hAnsi="Times"/>
              </w:rPr>
            </w:pPr>
          </w:p>
        </w:tc>
      </w:tr>
      <w:tr w:rsidR="007D7A61" w:rsidRPr="00B3449A" w14:paraId="75574840" w14:textId="77777777" w:rsidTr="00B12403">
        <w:tc>
          <w:tcPr>
            <w:tcW w:w="0" w:type="auto"/>
          </w:tcPr>
          <w:p w14:paraId="69343390" w14:textId="77777777" w:rsidR="00F86069" w:rsidRPr="00B3449A" w:rsidRDefault="00F86069" w:rsidP="006E36B3">
            <w:pPr>
              <w:pStyle w:val="Tabletext"/>
            </w:pPr>
            <w:r w:rsidRPr="00B3449A">
              <w:t>LUMACAFTOR/IVACAFTOR</w:t>
            </w:r>
          </w:p>
          <w:p w14:paraId="12AB044A" w14:textId="77777777" w:rsidR="00F86069" w:rsidRPr="00B3449A" w:rsidRDefault="00F86069" w:rsidP="006E36B3">
            <w:pPr>
              <w:pStyle w:val="Tabletext"/>
            </w:pPr>
            <w:r w:rsidRPr="00B3449A">
              <w:t>Lumacaftor 150 mg/ivacaftor 188 mg granules, 56 sachets</w:t>
            </w:r>
          </w:p>
        </w:tc>
        <w:tc>
          <w:tcPr>
            <w:tcW w:w="0" w:type="auto"/>
          </w:tcPr>
          <w:p w14:paraId="45D050B7" w14:textId="77777777" w:rsidR="00F86069" w:rsidRPr="00B3449A" w:rsidRDefault="00F86069" w:rsidP="006E36B3">
            <w:pPr>
              <w:pStyle w:val="Tabletext"/>
              <w:jc w:val="center"/>
            </w:pPr>
            <w:r w:rsidRPr="00B3449A">
              <w:t>1</w:t>
            </w:r>
          </w:p>
        </w:tc>
        <w:tc>
          <w:tcPr>
            <w:tcW w:w="0" w:type="auto"/>
          </w:tcPr>
          <w:p w14:paraId="63B56168" w14:textId="77777777" w:rsidR="00F86069" w:rsidRPr="00B3449A" w:rsidRDefault="00F86069" w:rsidP="006E36B3">
            <w:pPr>
              <w:pStyle w:val="Tabletext"/>
              <w:jc w:val="center"/>
            </w:pPr>
            <w:r w:rsidRPr="00B3449A">
              <w:t>Pack containing 56 sachets</w:t>
            </w:r>
          </w:p>
        </w:tc>
        <w:tc>
          <w:tcPr>
            <w:tcW w:w="0" w:type="auto"/>
          </w:tcPr>
          <w:p w14:paraId="4066C652" w14:textId="77777777" w:rsidR="00F86069" w:rsidRPr="00B3449A" w:rsidRDefault="00F86069" w:rsidP="006E36B3">
            <w:pPr>
              <w:pStyle w:val="Tabletext"/>
              <w:jc w:val="center"/>
            </w:pPr>
            <w:r w:rsidRPr="00B3449A">
              <w:t>5</w:t>
            </w:r>
          </w:p>
        </w:tc>
        <w:tc>
          <w:tcPr>
            <w:tcW w:w="0" w:type="auto"/>
            <w:vMerge/>
          </w:tcPr>
          <w:p w14:paraId="41D31513" w14:textId="77777777" w:rsidR="00F86069" w:rsidRPr="00B3449A" w:rsidRDefault="00F86069" w:rsidP="006E36B3">
            <w:pPr>
              <w:pStyle w:val="Tabletext"/>
            </w:pPr>
          </w:p>
        </w:tc>
        <w:tc>
          <w:tcPr>
            <w:tcW w:w="0" w:type="auto"/>
            <w:vMerge/>
          </w:tcPr>
          <w:p w14:paraId="59DC5936" w14:textId="77777777" w:rsidR="00F86069" w:rsidRPr="00B3449A" w:rsidRDefault="00F86069" w:rsidP="006E36B3">
            <w:pPr>
              <w:pStyle w:val="Tabletext"/>
            </w:pPr>
          </w:p>
        </w:tc>
      </w:tr>
      <w:tr w:rsidR="00F86069" w:rsidRPr="00B3449A" w14:paraId="17442D44" w14:textId="77777777" w:rsidTr="00B12403">
        <w:tblPrEx>
          <w:tblCellMar>
            <w:top w:w="15" w:type="dxa"/>
            <w:bottom w:w="15" w:type="dxa"/>
          </w:tblCellMar>
        </w:tblPrEx>
        <w:trPr>
          <w:cantSplit/>
          <w:trHeight w:val="20"/>
        </w:trPr>
        <w:tc>
          <w:tcPr>
            <w:tcW w:w="5000" w:type="pct"/>
            <w:gridSpan w:val="6"/>
          </w:tcPr>
          <w:p w14:paraId="307BC513" w14:textId="77777777" w:rsidR="00F86069" w:rsidRPr="00B3449A" w:rsidRDefault="00F86069" w:rsidP="006E36B3">
            <w:pPr>
              <w:pStyle w:val="TableText0"/>
              <w:keepNext w:val="0"/>
            </w:pPr>
            <w:r w:rsidRPr="00B3449A">
              <w:rPr>
                <w:b/>
              </w:rPr>
              <w:t xml:space="preserve">Category / Program: </w:t>
            </w:r>
            <w:r w:rsidRPr="00B3449A">
              <w:t>Section 100</w:t>
            </w:r>
          </w:p>
        </w:tc>
      </w:tr>
      <w:tr w:rsidR="00F86069" w:rsidRPr="00B3449A" w14:paraId="06AEEBDC" w14:textId="77777777" w:rsidTr="00B12403">
        <w:tblPrEx>
          <w:tblCellMar>
            <w:top w:w="15" w:type="dxa"/>
            <w:bottom w:w="15" w:type="dxa"/>
          </w:tblCellMar>
        </w:tblPrEx>
        <w:trPr>
          <w:cantSplit/>
          <w:trHeight w:val="20"/>
        </w:trPr>
        <w:tc>
          <w:tcPr>
            <w:tcW w:w="5000" w:type="pct"/>
            <w:gridSpan w:val="6"/>
          </w:tcPr>
          <w:p w14:paraId="2D89487F" w14:textId="77777777" w:rsidR="00F86069" w:rsidRPr="00B3449A" w:rsidRDefault="00F86069" w:rsidP="006E36B3">
            <w:pPr>
              <w:pStyle w:val="TableText0"/>
              <w:keepNext w:val="0"/>
              <w:rPr>
                <w:b/>
              </w:rPr>
            </w:pPr>
            <w:r w:rsidRPr="00B3449A">
              <w:rPr>
                <w:b/>
              </w:rPr>
              <w:t xml:space="preserve">Prescriber type: </w:t>
            </w:r>
            <w:r w:rsidRPr="00B3449A">
              <w:fldChar w:fldCharType="begin">
                <w:ffData>
                  <w:name w:val="Check1"/>
                  <w:enabled/>
                  <w:calcOnExit w:val="0"/>
                  <w:checkBox>
                    <w:sizeAuto/>
                    <w:default w:val="0"/>
                  </w:checkBox>
                </w:ffData>
              </w:fldChar>
            </w:r>
            <w:r w:rsidRPr="00B3449A">
              <w:instrText xml:space="preserve"> FORMCHECKBOX </w:instrText>
            </w:r>
            <w:r w:rsidR="00025B72">
              <w:fldChar w:fldCharType="separate"/>
            </w:r>
            <w:r w:rsidRPr="00B3449A">
              <w:fldChar w:fldCharType="end"/>
            </w:r>
            <w:r w:rsidRPr="00B3449A">
              <w:t xml:space="preserve">Dental </w:t>
            </w:r>
            <w:r w:rsidRPr="00B3449A">
              <w:fldChar w:fldCharType="begin">
                <w:ffData>
                  <w:name w:val=""/>
                  <w:enabled/>
                  <w:calcOnExit w:val="0"/>
                  <w:checkBox>
                    <w:sizeAuto/>
                    <w:default w:val="1"/>
                  </w:checkBox>
                </w:ffData>
              </w:fldChar>
            </w:r>
            <w:r w:rsidRPr="00B3449A">
              <w:instrText xml:space="preserve"> FORMCHECKBOX </w:instrText>
            </w:r>
            <w:r w:rsidR="00025B72">
              <w:fldChar w:fldCharType="separate"/>
            </w:r>
            <w:r w:rsidRPr="00B3449A">
              <w:fldChar w:fldCharType="end"/>
            </w:r>
            <w:r w:rsidRPr="00B3449A">
              <w:t xml:space="preserve">Medical Practitioners </w:t>
            </w:r>
            <w:r w:rsidRPr="00B3449A">
              <w:fldChar w:fldCharType="begin">
                <w:ffData>
                  <w:name w:val="Check3"/>
                  <w:enabled/>
                  <w:calcOnExit w:val="0"/>
                  <w:checkBox>
                    <w:sizeAuto/>
                    <w:default w:val="0"/>
                  </w:checkBox>
                </w:ffData>
              </w:fldChar>
            </w:r>
            <w:r w:rsidRPr="00B3449A">
              <w:instrText xml:space="preserve"> FORMCHECKBOX </w:instrText>
            </w:r>
            <w:r w:rsidR="00025B72">
              <w:fldChar w:fldCharType="separate"/>
            </w:r>
            <w:r w:rsidRPr="00B3449A">
              <w:fldChar w:fldCharType="end"/>
            </w:r>
            <w:r w:rsidRPr="00B3449A">
              <w:t xml:space="preserve">Nurse practitioners </w:t>
            </w:r>
            <w:r w:rsidRPr="00B3449A">
              <w:fldChar w:fldCharType="begin">
                <w:ffData>
                  <w:name w:val=""/>
                  <w:enabled/>
                  <w:calcOnExit w:val="0"/>
                  <w:checkBox>
                    <w:sizeAuto/>
                    <w:default w:val="0"/>
                  </w:checkBox>
                </w:ffData>
              </w:fldChar>
            </w:r>
            <w:r w:rsidRPr="00B3449A">
              <w:instrText xml:space="preserve"> FORMCHECKBOX </w:instrText>
            </w:r>
            <w:r w:rsidR="00025B72">
              <w:fldChar w:fldCharType="separate"/>
            </w:r>
            <w:r w:rsidRPr="00B3449A">
              <w:fldChar w:fldCharType="end"/>
            </w:r>
            <w:r w:rsidRPr="00B3449A">
              <w:t xml:space="preserve">Optometrists </w:t>
            </w:r>
            <w:r w:rsidRPr="00B3449A">
              <w:fldChar w:fldCharType="begin">
                <w:ffData>
                  <w:name w:val="Check5"/>
                  <w:enabled/>
                  <w:calcOnExit w:val="0"/>
                  <w:checkBox>
                    <w:sizeAuto/>
                    <w:default w:val="0"/>
                  </w:checkBox>
                </w:ffData>
              </w:fldChar>
            </w:r>
            <w:r w:rsidRPr="00B3449A">
              <w:instrText xml:space="preserve"> FORMCHECKBOX </w:instrText>
            </w:r>
            <w:r w:rsidR="00025B72">
              <w:fldChar w:fldCharType="separate"/>
            </w:r>
            <w:r w:rsidRPr="00B3449A">
              <w:fldChar w:fldCharType="end"/>
            </w:r>
          </w:p>
        </w:tc>
      </w:tr>
      <w:tr w:rsidR="00F86069" w:rsidRPr="00FF09A2" w14:paraId="7894AC1D" w14:textId="77777777" w:rsidTr="00B12403">
        <w:tblPrEx>
          <w:tblCellMar>
            <w:top w:w="15" w:type="dxa"/>
            <w:bottom w:w="15" w:type="dxa"/>
          </w:tblCellMar>
        </w:tblPrEx>
        <w:trPr>
          <w:cantSplit/>
          <w:trHeight w:val="20"/>
        </w:trPr>
        <w:tc>
          <w:tcPr>
            <w:tcW w:w="5000" w:type="pct"/>
            <w:gridSpan w:val="6"/>
          </w:tcPr>
          <w:p w14:paraId="7F9B017A" w14:textId="5428164E" w:rsidR="00F86069" w:rsidRPr="00FF09A2" w:rsidRDefault="00F86069" w:rsidP="006E36B3">
            <w:pPr>
              <w:pStyle w:val="TableText0"/>
              <w:keepNext w:val="0"/>
              <w:rPr>
                <w:rFonts w:eastAsia="Times New Roman"/>
              </w:rPr>
            </w:pPr>
            <w:r w:rsidRPr="00FF09A2">
              <w:rPr>
                <w:b/>
              </w:rPr>
              <w:t xml:space="preserve">Restriction type: </w:t>
            </w:r>
            <w:r w:rsidRPr="00FF09A2">
              <w:rPr>
                <w:rFonts w:eastAsia="Times New Roman"/>
              </w:rPr>
              <w:fldChar w:fldCharType="begin">
                <w:ffData>
                  <w:name w:val=""/>
                  <w:enabled/>
                  <w:calcOnExit w:val="0"/>
                  <w:checkBox>
                    <w:sizeAuto/>
                    <w:default w:val="1"/>
                  </w:checkBox>
                </w:ffData>
              </w:fldChar>
            </w:r>
            <w:r w:rsidRPr="00FF09A2">
              <w:rPr>
                <w:rFonts w:eastAsia="Times New Roman"/>
              </w:rPr>
              <w:instrText xml:space="preserve"> FORMCHECKBOX </w:instrText>
            </w:r>
            <w:r w:rsidR="00025B72">
              <w:rPr>
                <w:rFonts w:eastAsia="Times New Roman"/>
              </w:rPr>
            </w:r>
            <w:r w:rsidR="00025B72">
              <w:rPr>
                <w:rFonts w:eastAsia="Times New Roman"/>
              </w:rPr>
              <w:fldChar w:fldCharType="separate"/>
            </w:r>
            <w:r w:rsidRPr="00FF09A2">
              <w:rPr>
                <w:rFonts w:eastAsia="Times New Roman"/>
              </w:rPr>
              <w:fldChar w:fldCharType="end"/>
            </w:r>
            <w:r w:rsidRPr="00FF09A2">
              <w:rPr>
                <w:rFonts w:eastAsia="Times New Roman"/>
              </w:rPr>
              <w:t>Authority Required – non-immediate/delayed assessment by Services Australia</w:t>
            </w:r>
            <w:r w:rsidRPr="00FF09A2">
              <w:rPr>
                <w:sz w:val="18"/>
                <w:szCs w:val="18"/>
              </w:rPr>
              <w:t xml:space="preserve"> </w:t>
            </w:r>
          </w:p>
        </w:tc>
      </w:tr>
      <w:tr w:rsidR="00F86069" w:rsidRPr="00FF09A2" w14:paraId="45EFB769" w14:textId="77777777" w:rsidTr="00B12403">
        <w:tblPrEx>
          <w:tblCellMar>
            <w:top w:w="15" w:type="dxa"/>
            <w:bottom w:w="15" w:type="dxa"/>
          </w:tblCellMar>
        </w:tblPrEx>
        <w:trPr>
          <w:cantSplit/>
          <w:trHeight w:val="20"/>
        </w:trPr>
        <w:tc>
          <w:tcPr>
            <w:tcW w:w="5000" w:type="pct"/>
            <w:gridSpan w:val="6"/>
            <w:vAlign w:val="center"/>
          </w:tcPr>
          <w:p w14:paraId="7A9BCC0B" w14:textId="77777777" w:rsidR="00F86069" w:rsidRPr="00FF09A2" w:rsidRDefault="00F86069" w:rsidP="006E36B3">
            <w:pPr>
              <w:pStyle w:val="TableText0"/>
              <w:keepNext w:val="0"/>
              <w:rPr>
                <w:b/>
              </w:rPr>
            </w:pPr>
            <w:r w:rsidRPr="00FF09A2">
              <w:rPr>
                <w:b/>
              </w:rPr>
              <w:t xml:space="preserve">Condition: </w:t>
            </w:r>
            <w:r w:rsidRPr="00FF09A2">
              <w:t>cystic fibrosis - homozygous for the F508del mutation in the CFTR gene (CFTR) gene</w:t>
            </w:r>
          </w:p>
        </w:tc>
      </w:tr>
      <w:tr w:rsidR="00F86069" w:rsidRPr="00FF09A2" w14:paraId="0AF62B4B" w14:textId="77777777" w:rsidTr="00B12403">
        <w:tblPrEx>
          <w:tblCellMar>
            <w:top w:w="15" w:type="dxa"/>
            <w:bottom w:w="15" w:type="dxa"/>
          </w:tblCellMar>
        </w:tblPrEx>
        <w:trPr>
          <w:cantSplit/>
          <w:trHeight w:val="20"/>
        </w:trPr>
        <w:tc>
          <w:tcPr>
            <w:tcW w:w="5000" w:type="pct"/>
            <w:gridSpan w:val="6"/>
            <w:vAlign w:val="center"/>
            <w:hideMark/>
          </w:tcPr>
          <w:p w14:paraId="185C02E6" w14:textId="77777777" w:rsidR="00F86069" w:rsidRPr="00FF09A2" w:rsidRDefault="00F86069" w:rsidP="006E36B3">
            <w:pPr>
              <w:pStyle w:val="Tabletextleft"/>
              <w:rPr>
                <w:rFonts w:ascii="Arial Narrow" w:hAnsi="Arial Narrow"/>
                <w:sz w:val="20"/>
              </w:rPr>
            </w:pPr>
            <w:r w:rsidRPr="00FF09A2">
              <w:rPr>
                <w:rFonts w:ascii="Arial Narrow" w:hAnsi="Arial Narrow"/>
                <w:b/>
                <w:sz w:val="20"/>
              </w:rPr>
              <w:t>Indication:</w:t>
            </w:r>
            <w:r w:rsidRPr="00FF09A2">
              <w:rPr>
                <w:rFonts w:ascii="Arial Narrow" w:hAnsi="Arial Narrow"/>
                <w:sz w:val="20"/>
              </w:rPr>
              <w:t xml:space="preserve"> cystic fibrosis - homozygous for the F508del mutation in the CFTR gene (CFTR) gene</w:t>
            </w:r>
          </w:p>
          <w:p w14:paraId="1CE7FD89" w14:textId="77777777" w:rsidR="00F86069" w:rsidRPr="00FF09A2" w:rsidRDefault="00F86069" w:rsidP="006E36B3">
            <w:pPr>
              <w:pStyle w:val="Tabletextleft"/>
            </w:pPr>
            <w:r w:rsidRPr="00FF09A2">
              <w:rPr>
                <w:rFonts w:ascii="Arial Narrow" w:hAnsi="Arial Narrow"/>
                <w:sz w:val="20"/>
              </w:rPr>
              <w:t>(CFTR) gene</w:t>
            </w:r>
          </w:p>
        </w:tc>
      </w:tr>
      <w:tr w:rsidR="00F86069" w:rsidRPr="00FF09A2" w14:paraId="6DB5670F" w14:textId="77777777" w:rsidTr="00B12403">
        <w:tblPrEx>
          <w:tblCellMar>
            <w:top w:w="15" w:type="dxa"/>
            <w:bottom w:w="15" w:type="dxa"/>
          </w:tblCellMar>
        </w:tblPrEx>
        <w:trPr>
          <w:cantSplit/>
          <w:trHeight w:val="20"/>
        </w:trPr>
        <w:tc>
          <w:tcPr>
            <w:tcW w:w="5000" w:type="pct"/>
            <w:gridSpan w:val="6"/>
            <w:vAlign w:val="center"/>
            <w:hideMark/>
          </w:tcPr>
          <w:p w14:paraId="20E78A67" w14:textId="77777777" w:rsidR="00F86069" w:rsidRPr="00FF09A2" w:rsidRDefault="00F86069" w:rsidP="006E36B3">
            <w:pPr>
              <w:pStyle w:val="TableText0"/>
              <w:keepNext w:val="0"/>
            </w:pPr>
            <w:r w:rsidRPr="00FF09A2">
              <w:rPr>
                <w:b/>
              </w:rPr>
              <w:t>Treatment Phase:</w:t>
            </w:r>
            <w:r w:rsidRPr="00FF09A2">
              <w:t xml:space="preserve"> Initial treatment</w:t>
            </w:r>
          </w:p>
        </w:tc>
      </w:tr>
      <w:tr w:rsidR="00F86069" w:rsidRPr="00FF09A2" w14:paraId="1A4C53F8" w14:textId="77777777" w:rsidTr="00B12403">
        <w:tblPrEx>
          <w:tblCellMar>
            <w:top w:w="15" w:type="dxa"/>
            <w:bottom w:w="15" w:type="dxa"/>
          </w:tblCellMar>
        </w:tblPrEx>
        <w:trPr>
          <w:cantSplit/>
          <w:trHeight w:val="20"/>
        </w:trPr>
        <w:tc>
          <w:tcPr>
            <w:tcW w:w="5000" w:type="pct"/>
            <w:gridSpan w:val="6"/>
            <w:vAlign w:val="center"/>
            <w:hideMark/>
          </w:tcPr>
          <w:p w14:paraId="633F9BE4" w14:textId="77777777" w:rsidR="00F86069" w:rsidRPr="00FF09A2" w:rsidRDefault="00F86069" w:rsidP="006E36B3">
            <w:pPr>
              <w:pStyle w:val="TableText0"/>
              <w:keepNext w:val="0"/>
            </w:pPr>
            <w:r w:rsidRPr="00FF09A2">
              <w:rPr>
                <w:b/>
              </w:rPr>
              <w:t>Clinical criteria:</w:t>
            </w:r>
          </w:p>
        </w:tc>
      </w:tr>
      <w:tr w:rsidR="00F86069" w:rsidRPr="00FF09A2" w14:paraId="523624B3" w14:textId="77777777" w:rsidTr="00B12403">
        <w:tblPrEx>
          <w:tblCellMar>
            <w:top w:w="15" w:type="dxa"/>
            <w:bottom w:w="15" w:type="dxa"/>
          </w:tblCellMar>
        </w:tblPrEx>
        <w:trPr>
          <w:cantSplit/>
          <w:trHeight w:val="20"/>
        </w:trPr>
        <w:tc>
          <w:tcPr>
            <w:tcW w:w="5000" w:type="pct"/>
            <w:gridSpan w:val="6"/>
            <w:vAlign w:val="center"/>
            <w:hideMark/>
          </w:tcPr>
          <w:p w14:paraId="7D3E1846" w14:textId="77777777" w:rsidR="00F86069" w:rsidRPr="00FF09A2" w:rsidRDefault="00F86069" w:rsidP="006E36B3">
            <w:pPr>
              <w:pStyle w:val="TableText0"/>
              <w:keepNext w:val="0"/>
            </w:pPr>
            <w:r w:rsidRPr="00FF09A2">
              <w:t>Patient must be homozygous for the F508del mutation in the cystic fibrosis transmembrane conductance regulator (CFTR) gene</w:t>
            </w:r>
            <w:r w:rsidRPr="00FF09A2">
              <w:rPr>
                <w:color w:val="0066FF"/>
              </w:rPr>
              <w:t xml:space="preserve"> </w:t>
            </w:r>
          </w:p>
        </w:tc>
      </w:tr>
      <w:tr w:rsidR="00F86069" w:rsidRPr="00FF09A2" w14:paraId="3BB4A7A7" w14:textId="77777777" w:rsidTr="00B12403">
        <w:tblPrEx>
          <w:tblCellMar>
            <w:top w:w="15" w:type="dxa"/>
            <w:bottom w:w="15" w:type="dxa"/>
          </w:tblCellMar>
        </w:tblPrEx>
        <w:trPr>
          <w:cantSplit/>
          <w:trHeight w:val="20"/>
        </w:trPr>
        <w:tc>
          <w:tcPr>
            <w:tcW w:w="5000" w:type="pct"/>
            <w:gridSpan w:val="6"/>
            <w:vAlign w:val="center"/>
            <w:hideMark/>
          </w:tcPr>
          <w:p w14:paraId="022AB6D4" w14:textId="77777777" w:rsidR="00F86069" w:rsidRPr="00FF09A2" w:rsidRDefault="00F86069" w:rsidP="006E36B3">
            <w:pPr>
              <w:pStyle w:val="TableText0"/>
              <w:keepNext w:val="0"/>
            </w:pPr>
            <w:r w:rsidRPr="00FF09A2">
              <w:rPr>
                <w:b/>
              </w:rPr>
              <w:lastRenderedPageBreak/>
              <w:t>AND</w:t>
            </w:r>
          </w:p>
        </w:tc>
      </w:tr>
      <w:tr w:rsidR="00F86069" w:rsidRPr="00FF09A2" w14:paraId="6CB88BC4" w14:textId="77777777" w:rsidTr="00B12403">
        <w:tblPrEx>
          <w:tblCellMar>
            <w:top w:w="15" w:type="dxa"/>
            <w:bottom w:w="15" w:type="dxa"/>
          </w:tblCellMar>
        </w:tblPrEx>
        <w:trPr>
          <w:cantSplit/>
          <w:trHeight w:val="20"/>
        </w:trPr>
        <w:tc>
          <w:tcPr>
            <w:tcW w:w="5000" w:type="pct"/>
            <w:gridSpan w:val="6"/>
            <w:vAlign w:val="center"/>
            <w:hideMark/>
          </w:tcPr>
          <w:p w14:paraId="1C9073D6" w14:textId="77777777" w:rsidR="00F86069" w:rsidRPr="00FF09A2" w:rsidRDefault="00F86069" w:rsidP="006E36B3">
            <w:pPr>
              <w:pStyle w:val="TableText0"/>
              <w:keepNext w:val="0"/>
            </w:pPr>
            <w:r w:rsidRPr="00FF09A2">
              <w:rPr>
                <w:b/>
              </w:rPr>
              <w:t>Clinical criteria:</w:t>
            </w:r>
          </w:p>
        </w:tc>
      </w:tr>
      <w:tr w:rsidR="00F86069" w:rsidRPr="00FF09A2" w14:paraId="12618180" w14:textId="77777777" w:rsidTr="00B12403">
        <w:tblPrEx>
          <w:tblCellMar>
            <w:top w:w="15" w:type="dxa"/>
            <w:bottom w:w="15" w:type="dxa"/>
          </w:tblCellMar>
        </w:tblPrEx>
        <w:trPr>
          <w:cantSplit/>
          <w:trHeight w:val="20"/>
        </w:trPr>
        <w:tc>
          <w:tcPr>
            <w:tcW w:w="5000" w:type="pct"/>
            <w:gridSpan w:val="6"/>
            <w:hideMark/>
          </w:tcPr>
          <w:p w14:paraId="7ED6D2CA" w14:textId="77777777" w:rsidR="00F86069" w:rsidRPr="00FF09A2" w:rsidRDefault="00F86069" w:rsidP="006E36B3">
            <w:pPr>
              <w:pStyle w:val="TableText0"/>
              <w:keepNext w:val="0"/>
              <w:rPr>
                <w:color w:val="0066FF"/>
              </w:rPr>
            </w:pPr>
            <w:r w:rsidRPr="00FF09A2">
              <w:t>The treatment must be given concomitantly with standard therapy for this condition.</w:t>
            </w:r>
          </w:p>
        </w:tc>
      </w:tr>
      <w:tr w:rsidR="00F86069" w:rsidRPr="00FF09A2" w14:paraId="5EA72412" w14:textId="77777777" w:rsidTr="00B12403">
        <w:tblPrEx>
          <w:tblCellMar>
            <w:top w:w="15" w:type="dxa"/>
            <w:bottom w:w="15" w:type="dxa"/>
          </w:tblCellMar>
        </w:tblPrEx>
        <w:trPr>
          <w:cantSplit/>
          <w:trHeight w:val="20"/>
        </w:trPr>
        <w:tc>
          <w:tcPr>
            <w:tcW w:w="5000" w:type="pct"/>
            <w:gridSpan w:val="6"/>
            <w:vAlign w:val="center"/>
            <w:hideMark/>
          </w:tcPr>
          <w:p w14:paraId="41B1D78D" w14:textId="77777777" w:rsidR="00F86069" w:rsidRPr="00FF09A2" w:rsidRDefault="00F86069" w:rsidP="006E36B3">
            <w:pPr>
              <w:pStyle w:val="TableText0"/>
              <w:keepNext w:val="0"/>
            </w:pPr>
            <w:r w:rsidRPr="00FF09A2">
              <w:rPr>
                <w:b/>
              </w:rPr>
              <w:t>Treatment criteria:</w:t>
            </w:r>
          </w:p>
        </w:tc>
      </w:tr>
      <w:tr w:rsidR="00F86069" w:rsidRPr="00FF09A2" w14:paraId="55AE08FD" w14:textId="77777777" w:rsidTr="00B12403">
        <w:tblPrEx>
          <w:tblCellMar>
            <w:top w:w="15" w:type="dxa"/>
            <w:bottom w:w="15" w:type="dxa"/>
          </w:tblCellMar>
        </w:tblPrEx>
        <w:trPr>
          <w:cantSplit/>
          <w:trHeight w:val="20"/>
        </w:trPr>
        <w:tc>
          <w:tcPr>
            <w:tcW w:w="5000" w:type="pct"/>
            <w:gridSpan w:val="6"/>
            <w:hideMark/>
          </w:tcPr>
          <w:p w14:paraId="4D1FBD4D" w14:textId="77777777" w:rsidR="00F86069" w:rsidRPr="00FF09A2" w:rsidRDefault="00F86069" w:rsidP="006E36B3">
            <w:pPr>
              <w:pStyle w:val="TableText0"/>
              <w:keepNext w:val="0"/>
              <w:rPr>
                <w:i/>
                <w:iCs/>
              </w:rPr>
            </w:pPr>
            <w:r w:rsidRPr="00FF09A2">
              <w:t>Must be treated in a centre with expertise in cystic fibrosis or in consultation with a centre with expertise in cystic fibrosis if attendance is not possible due to geographic isolation</w:t>
            </w:r>
          </w:p>
        </w:tc>
      </w:tr>
      <w:tr w:rsidR="00F86069" w:rsidRPr="00FF09A2" w14:paraId="421B13C3" w14:textId="77777777" w:rsidTr="00B12403">
        <w:tblPrEx>
          <w:tblCellMar>
            <w:top w:w="15" w:type="dxa"/>
            <w:bottom w:w="15" w:type="dxa"/>
          </w:tblCellMar>
        </w:tblPrEx>
        <w:trPr>
          <w:cantSplit/>
          <w:trHeight w:val="20"/>
        </w:trPr>
        <w:tc>
          <w:tcPr>
            <w:tcW w:w="5000" w:type="pct"/>
            <w:gridSpan w:val="6"/>
          </w:tcPr>
          <w:p w14:paraId="109BBFD5" w14:textId="77777777" w:rsidR="00F86069" w:rsidRPr="00FF09A2" w:rsidRDefault="00F86069" w:rsidP="006E36B3">
            <w:pPr>
              <w:pStyle w:val="TableText0"/>
              <w:keepNext w:val="0"/>
              <w:rPr>
                <w:b/>
              </w:rPr>
            </w:pPr>
            <w:r w:rsidRPr="00FF09A2">
              <w:rPr>
                <w:b/>
              </w:rPr>
              <w:t>AND</w:t>
            </w:r>
          </w:p>
        </w:tc>
      </w:tr>
      <w:tr w:rsidR="00F86069" w:rsidRPr="00FF09A2" w14:paraId="4A898CB1" w14:textId="77777777" w:rsidTr="00B12403">
        <w:tblPrEx>
          <w:tblCellMar>
            <w:top w:w="15" w:type="dxa"/>
            <w:bottom w:w="15" w:type="dxa"/>
          </w:tblCellMar>
        </w:tblPrEx>
        <w:trPr>
          <w:cantSplit/>
          <w:trHeight w:val="20"/>
        </w:trPr>
        <w:tc>
          <w:tcPr>
            <w:tcW w:w="5000" w:type="pct"/>
            <w:gridSpan w:val="6"/>
          </w:tcPr>
          <w:p w14:paraId="23D20153" w14:textId="77777777" w:rsidR="00F86069" w:rsidRPr="00FF09A2" w:rsidRDefault="00F86069" w:rsidP="006E36B3">
            <w:pPr>
              <w:pStyle w:val="TableText0"/>
              <w:keepNext w:val="0"/>
            </w:pPr>
            <w:r w:rsidRPr="00FF09A2">
              <w:t>Must be treated by a specialist respiratory physician with expertise in cystic fibrosis or in consultation with a specialist respiratory physician with expertise in cystic fibrosis if attendance is not possible due to geographic isolation</w:t>
            </w:r>
          </w:p>
        </w:tc>
      </w:tr>
      <w:tr w:rsidR="00F86069" w:rsidRPr="00FF09A2" w14:paraId="572900AE" w14:textId="77777777" w:rsidTr="00B12403">
        <w:tblPrEx>
          <w:tblCellMar>
            <w:top w:w="15" w:type="dxa"/>
            <w:bottom w:w="15" w:type="dxa"/>
          </w:tblCellMar>
        </w:tblPrEx>
        <w:trPr>
          <w:cantSplit/>
          <w:trHeight w:val="20"/>
        </w:trPr>
        <w:tc>
          <w:tcPr>
            <w:tcW w:w="5000" w:type="pct"/>
            <w:gridSpan w:val="6"/>
            <w:vAlign w:val="center"/>
            <w:hideMark/>
          </w:tcPr>
          <w:p w14:paraId="19E73D57" w14:textId="77777777" w:rsidR="00F86069" w:rsidRPr="00FF09A2" w:rsidRDefault="00F86069" w:rsidP="006E36B3">
            <w:pPr>
              <w:pStyle w:val="TableText0"/>
              <w:keepNext w:val="0"/>
            </w:pPr>
            <w:r w:rsidRPr="00FF09A2">
              <w:rPr>
                <w:b/>
              </w:rPr>
              <w:t>Population criteria:</w:t>
            </w:r>
          </w:p>
        </w:tc>
      </w:tr>
      <w:tr w:rsidR="00F86069" w:rsidRPr="00FF09A2" w14:paraId="751E8B8B" w14:textId="77777777" w:rsidTr="00B12403">
        <w:tblPrEx>
          <w:tblCellMar>
            <w:top w:w="15" w:type="dxa"/>
            <w:bottom w:w="15" w:type="dxa"/>
          </w:tblCellMar>
        </w:tblPrEx>
        <w:trPr>
          <w:cantSplit/>
          <w:trHeight w:val="20"/>
        </w:trPr>
        <w:tc>
          <w:tcPr>
            <w:tcW w:w="5000" w:type="pct"/>
            <w:gridSpan w:val="6"/>
            <w:vAlign w:val="center"/>
          </w:tcPr>
          <w:p w14:paraId="5B0BF764" w14:textId="77777777" w:rsidR="00F86069" w:rsidRPr="00FF09A2" w:rsidRDefault="00F86069" w:rsidP="006E36B3">
            <w:pPr>
              <w:pStyle w:val="TableText0"/>
              <w:keepNext w:val="0"/>
              <w:rPr>
                <w:color w:val="0066FF"/>
              </w:rPr>
            </w:pPr>
            <w:r w:rsidRPr="00FF09A2">
              <w:t>Patient must be 1 year of age or older</w:t>
            </w:r>
          </w:p>
        </w:tc>
      </w:tr>
      <w:tr w:rsidR="00F86069" w:rsidRPr="00FF09A2" w14:paraId="337540E9" w14:textId="77777777" w:rsidTr="00B12403">
        <w:tblPrEx>
          <w:tblCellMar>
            <w:top w:w="15" w:type="dxa"/>
            <w:bottom w:w="15" w:type="dxa"/>
          </w:tblCellMar>
        </w:tblPrEx>
        <w:trPr>
          <w:cantSplit/>
          <w:trHeight w:val="20"/>
        </w:trPr>
        <w:tc>
          <w:tcPr>
            <w:tcW w:w="5000" w:type="pct"/>
            <w:gridSpan w:val="6"/>
            <w:vAlign w:val="center"/>
            <w:hideMark/>
          </w:tcPr>
          <w:p w14:paraId="2FDC59FE" w14:textId="77777777" w:rsidR="00F86069" w:rsidRPr="00FF09A2" w:rsidRDefault="00F86069" w:rsidP="006E36B3">
            <w:pPr>
              <w:pStyle w:val="TableText0"/>
              <w:keepNext w:val="0"/>
            </w:pPr>
            <w:r w:rsidRPr="00FF09A2">
              <w:rPr>
                <w:b/>
              </w:rPr>
              <w:t xml:space="preserve">Prescribing Instructions: </w:t>
            </w:r>
            <w:r w:rsidRPr="00FF09A2">
              <w:t>This pharmaceutical benefit is not PBS-subsidised for this condition in a patient who is currently receiving one of the strong CYP3A4 inducers outlined in the Product Information.</w:t>
            </w:r>
          </w:p>
        </w:tc>
      </w:tr>
      <w:tr w:rsidR="00F86069" w:rsidRPr="00FF09A2" w14:paraId="74D278CF" w14:textId="77777777" w:rsidTr="00B12403">
        <w:tblPrEx>
          <w:tblCellMar>
            <w:top w:w="15" w:type="dxa"/>
            <w:bottom w:w="15" w:type="dxa"/>
          </w:tblCellMar>
        </w:tblPrEx>
        <w:trPr>
          <w:cantSplit/>
          <w:trHeight w:val="20"/>
        </w:trPr>
        <w:tc>
          <w:tcPr>
            <w:tcW w:w="5000" w:type="pct"/>
            <w:gridSpan w:val="6"/>
            <w:vAlign w:val="center"/>
            <w:hideMark/>
          </w:tcPr>
          <w:p w14:paraId="34480A1B" w14:textId="77777777" w:rsidR="00F86069" w:rsidRPr="00FF09A2" w:rsidRDefault="00F86069" w:rsidP="006E36B3">
            <w:pPr>
              <w:pStyle w:val="TableText0"/>
              <w:keepNext w:val="0"/>
              <w:rPr>
                <w:bCs w:val="0"/>
                <w:color w:val="0066FF"/>
              </w:rPr>
            </w:pPr>
            <w:r w:rsidRPr="00FF09A2">
              <w:rPr>
                <w:b/>
              </w:rPr>
              <w:t xml:space="preserve">Administrative Advice: </w:t>
            </w:r>
          </w:p>
          <w:p w14:paraId="4AB87105" w14:textId="5BE962D5" w:rsidR="00F86069" w:rsidRPr="00FF09A2" w:rsidRDefault="00F86069" w:rsidP="006E36B3">
            <w:pPr>
              <w:pStyle w:val="Tabletextleft"/>
              <w:rPr>
                <w:rFonts w:ascii="Arial Narrow" w:hAnsi="Arial Narrow"/>
                <w:sz w:val="20"/>
              </w:rPr>
            </w:pPr>
            <w:r w:rsidRPr="00FF09A2">
              <w:rPr>
                <w:rFonts w:ascii="Arial Narrow" w:hAnsi="Arial Narrow"/>
                <w:sz w:val="20"/>
              </w:rPr>
              <w:t>For the purposes of this restriction, PBS-subsidised 'CFTR modulator' means ivacaftor, lumacaftor/ivacaftor, tezacaftor/ivacaftor and elexacaftor/tezacaftor/ivacaftor.</w:t>
            </w:r>
          </w:p>
          <w:p w14:paraId="20D4A409" w14:textId="77777777" w:rsidR="00F86069" w:rsidRPr="00FF09A2" w:rsidRDefault="00F86069" w:rsidP="006E36B3">
            <w:pPr>
              <w:pStyle w:val="Tabletextleft"/>
              <w:rPr>
                <w:rFonts w:ascii="Arial Narrow" w:hAnsi="Arial Narrow"/>
                <w:sz w:val="20"/>
              </w:rPr>
            </w:pPr>
            <w:r w:rsidRPr="00FF09A2">
              <w:rPr>
                <w:rFonts w:ascii="Arial Narrow" w:hAnsi="Arial Narrow"/>
                <w:sz w:val="20"/>
              </w:rPr>
              <w:t>The authority application must be in writing and must include:</w:t>
            </w:r>
          </w:p>
          <w:p w14:paraId="18A5B13B" w14:textId="77777777" w:rsidR="00F86069" w:rsidRPr="00FF09A2" w:rsidRDefault="00F86069" w:rsidP="006E36B3">
            <w:pPr>
              <w:pStyle w:val="Tabletextleft"/>
              <w:rPr>
                <w:rFonts w:ascii="Arial Narrow" w:hAnsi="Arial Narrow"/>
                <w:sz w:val="20"/>
              </w:rPr>
            </w:pPr>
            <w:r w:rsidRPr="00FF09A2">
              <w:rPr>
                <w:rFonts w:ascii="Arial Narrow" w:hAnsi="Arial Narrow"/>
                <w:sz w:val="20"/>
              </w:rPr>
              <w:t>(1) a completed authority prescription; and</w:t>
            </w:r>
          </w:p>
          <w:p w14:paraId="278CF49C" w14:textId="77777777" w:rsidR="00F86069" w:rsidRPr="00FF09A2" w:rsidRDefault="00F86069" w:rsidP="006E36B3">
            <w:pPr>
              <w:pStyle w:val="Tabletextleft"/>
              <w:rPr>
                <w:rFonts w:ascii="Arial Narrow" w:hAnsi="Arial Narrow"/>
                <w:sz w:val="20"/>
              </w:rPr>
            </w:pPr>
            <w:r w:rsidRPr="00FF09A2">
              <w:rPr>
                <w:rFonts w:ascii="Arial Narrow" w:hAnsi="Arial Narrow"/>
                <w:sz w:val="20"/>
              </w:rPr>
              <w:t xml:space="preserve">(2) a completed Cystic Fibrosis Authority Application Supporting Information </w:t>
            </w:r>
            <w:proofErr w:type="gramStart"/>
            <w:r w:rsidRPr="00FF09A2">
              <w:rPr>
                <w:rFonts w:ascii="Arial Narrow" w:hAnsi="Arial Narrow"/>
                <w:sz w:val="20"/>
              </w:rPr>
              <w:t>Form;</w:t>
            </w:r>
            <w:proofErr w:type="gramEnd"/>
          </w:p>
          <w:p w14:paraId="6590C5C8" w14:textId="77777777" w:rsidR="00F86069" w:rsidRPr="00FF09A2" w:rsidRDefault="00F86069" w:rsidP="006E36B3">
            <w:pPr>
              <w:pStyle w:val="Tabletextleft"/>
              <w:rPr>
                <w:rFonts w:ascii="Arial Narrow" w:hAnsi="Arial Narrow"/>
                <w:sz w:val="20"/>
              </w:rPr>
            </w:pPr>
            <w:r w:rsidRPr="00FF09A2">
              <w:rPr>
                <w:rFonts w:ascii="Arial Narrow" w:hAnsi="Arial Narrow"/>
                <w:sz w:val="20"/>
              </w:rPr>
              <w:t>(3) details of the pathology report substantiating the patient being homozygous for the F508del mutation on the CFTR gene - quote each of the: (i) name of the pathology report provider, (ii) date of pathology report, (iii) unique identifying number/code that links the pathology result to the individual patient; and</w:t>
            </w:r>
          </w:p>
          <w:p w14:paraId="7E0083F0" w14:textId="77777777" w:rsidR="00F86069" w:rsidRPr="00FF09A2" w:rsidRDefault="00F86069" w:rsidP="006E36B3">
            <w:pPr>
              <w:pStyle w:val="TableText0"/>
              <w:keepNext w:val="0"/>
            </w:pPr>
            <w:r w:rsidRPr="00FF09A2">
              <w:t>(4) current CYP3A4 inhibitors, CYP3A4 inducers and IV antibiotics.</w:t>
            </w:r>
          </w:p>
        </w:tc>
      </w:tr>
    </w:tbl>
    <w:p w14:paraId="49718952" w14:textId="77777777" w:rsidR="00F86069" w:rsidRPr="00FF09A2" w:rsidRDefault="00F86069" w:rsidP="00F86069">
      <w:pPr>
        <w:pStyle w:val="In-tableHeading"/>
        <w:rPr>
          <w:b w:val="0"/>
          <w:bCs/>
          <w:sz w:val="18"/>
          <w:szCs w:val="18"/>
          <w:lang w:val="en-AU"/>
        </w:rPr>
      </w:pPr>
      <w:r w:rsidRPr="00FF09A2">
        <w:rPr>
          <w:b w:val="0"/>
          <w:bCs/>
          <w:sz w:val="18"/>
          <w:szCs w:val="18"/>
          <w:lang w:val="en-AU"/>
        </w:rPr>
        <w:t>Source: Table 1.4.2, pp46-47 of the submission.</w:t>
      </w:r>
    </w:p>
    <w:p w14:paraId="23ADECD3" w14:textId="48385B04" w:rsidR="00F86069" w:rsidRPr="00FF09A2" w:rsidRDefault="00F86069" w:rsidP="00F86069">
      <w:pPr>
        <w:pStyle w:val="In-tableHeading"/>
        <w:rPr>
          <w:b w:val="0"/>
          <w:bCs/>
          <w:sz w:val="18"/>
          <w:szCs w:val="18"/>
          <w:lang w:val="en-AU"/>
        </w:rPr>
      </w:pPr>
      <w:r w:rsidRPr="00FF09A2">
        <w:rPr>
          <w:b w:val="0"/>
          <w:bCs/>
          <w:sz w:val="18"/>
          <w:szCs w:val="18"/>
          <w:lang w:val="en-AU"/>
        </w:rPr>
        <w:t>CFTR = cystic fibrosis transmembrane conductance regulator; IV = intravenous; PBS = Pharmaceutical Benefits Scheme.</w:t>
      </w:r>
    </w:p>
    <w:p w14:paraId="35088D02" w14:textId="4EEBD5FA" w:rsidR="00D05214" w:rsidRPr="00FF09A2" w:rsidRDefault="00D05214" w:rsidP="006E36B3">
      <w:pPr>
        <w:pStyle w:val="In-tableHeading"/>
        <w:spacing w:after="120"/>
        <w:rPr>
          <w:b w:val="0"/>
          <w:bCs/>
          <w:sz w:val="18"/>
          <w:szCs w:val="18"/>
          <w:lang w:val="en-AU"/>
        </w:rPr>
      </w:pPr>
      <w:r w:rsidRPr="00FF09A2">
        <w:rPr>
          <w:b w:val="0"/>
          <w:bCs/>
          <w:sz w:val="18"/>
          <w:szCs w:val="18"/>
          <w:vertAlign w:val="superscript"/>
          <w:lang w:val="en-AU"/>
        </w:rPr>
        <w:t>a</w:t>
      </w:r>
      <w:r w:rsidRPr="00FF09A2">
        <w:rPr>
          <w:b w:val="0"/>
          <w:bCs/>
          <w:sz w:val="18"/>
          <w:szCs w:val="18"/>
          <w:lang w:val="en-AU"/>
        </w:rPr>
        <w:t xml:space="preserve"> calculated during the evaluation.</w:t>
      </w:r>
    </w:p>
    <w:p w14:paraId="6D60168F" w14:textId="77777777" w:rsidR="00185E28" w:rsidRDefault="0075530A" w:rsidP="00D907DA">
      <w:pPr>
        <w:pStyle w:val="3-BodyText"/>
        <w:ind w:left="720"/>
        <w:rPr>
          <w:lang w:val="en-AU"/>
        </w:rPr>
      </w:pPr>
      <w:r w:rsidRPr="00FF09A2">
        <w:rPr>
          <w:lang w:val="en-AU"/>
        </w:rPr>
        <w:t xml:space="preserve">The proposed PBS listing is consistent with the </w:t>
      </w:r>
      <w:r w:rsidR="00954021" w:rsidRPr="00FF09A2">
        <w:rPr>
          <w:lang w:val="en-AU"/>
        </w:rPr>
        <w:t>current listing for lumacaftor/ivacaftor sachets</w:t>
      </w:r>
      <w:r w:rsidR="00B841B3" w:rsidRPr="00FF09A2">
        <w:rPr>
          <w:lang w:val="en-AU"/>
        </w:rPr>
        <w:t xml:space="preserve"> and the draft Product Information</w:t>
      </w:r>
      <w:r w:rsidR="00954021" w:rsidRPr="00FF09A2">
        <w:rPr>
          <w:lang w:val="en-AU"/>
        </w:rPr>
        <w:t>.</w:t>
      </w:r>
      <w:r w:rsidR="00D907DA">
        <w:rPr>
          <w:lang w:val="en-AU"/>
        </w:rPr>
        <w:t xml:space="preserve"> </w:t>
      </w:r>
    </w:p>
    <w:p w14:paraId="7D78A333" w14:textId="17E5FE79" w:rsidR="00051171" w:rsidRPr="00D907DA" w:rsidRDefault="0075530A" w:rsidP="00D907DA">
      <w:pPr>
        <w:pStyle w:val="3-BodyText"/>
        <w:ind w:left="720"/>
        <w:rPr>
          <w:lang w:val="en-AU"/>
        </w:rPr>
      </w:pPr>
      <w:r w:rsidRPr="00D907DA">
        <w:rPr>
          <w:lang w:val="en-AU"/>
        </w:rPr>
        <w:t>The submission proposed a</w:t>
      </w:r>
      <w:r w:rsidR="00CC76E5" w:rsidRPr="00D907DA">
        <w:rPr>
          <w:lang w:val="en-AU"/>
        </w:rPr>
        <w:t xml:space="preserve"> special pricing arrangement with </w:t>
      </w:r>
      <w:r w:rsidR="00457FA3">
        <w:rPr>
          <w:lang w:val="en-AU"/>
        </w:rPr>
        <w:t>the</w:t>
      </w:r>
      <w:r w:rsidR="00CC76E5" w:rsidRPr="00D907DA">
        <w:rPr>
          <w:lang w:val="en-AU"/>
        </w:rPr>
        <w:t xml:space="preserve"> </w:t>
      </w:r>
      <w:r w:rsidRPr="00D907DA">
        <w:rPr>
          <w:lang w:val="en-AU"/>
        </w:rPr>
        <w:t xml:space="preserve">published </w:t>
      </w:r>
      <w:r w:rsidR="00CC76E5" w:rsidRPr="00D907DA">
        <w:rPr>
          <w:lang w:val="en-AU"/>
        </w:rPr>
        <w:t>and effective price</w:t>
      </w:r>
      <w:r w:rsidR="00457FA3">
        <w:rPr>
          <w:lang w:val="en-AU"/>
        </w:rPr>
        <w:t>s being</w:t>
      </w:r>
      <w:r w:rsidR="00CC76E5" w:rsidRPr="00D907DA">
        <w:rPr>
          <w:lang w:val="en-AU"/>
        </w:rPr>
        <w:t xml:space="preserve"> the same as </w:t>
      </w:r>
      <w:r w:rsidR="00457FA3">
        <w:rPr>
          <w:lang w:val="en-AU"/>
        </w:rPr>
        <w:t xml:space="preserve">for </w:t>
      </w:r>
      <w:r w:rsidR="00CC76E5" w:rsidRPr="00D907DA">
        <w:rPr>
          <w:lang w:val="en-AU"/>
        </w:rPr>
        <w:t xml:space="preserve">the current </w:t>
      </w:r>
      <w:r w:rsidR="00457FA3">
        <w:rPr>
          <w:lang w:val="en-AU"/>
        </w:rPr>
        <w:t>listings</w:t>
      </w:r>
      <w:r w:rsidR="00457FA3" w:rsidRPr="00D907DA">
        <w:rPr>
          <w:lang w:val="en-AU"/>
        </w:rPr>
        <w:t xml:space="preserve"> </w:t>
      </w:r>
      <w:r w:rsidR="00CC76E5" w:rsidRPr="00D907DA">
        <w:rPr>
          <w:lang w:val="en-AU"/>
        </w:rPr>
        <w:t xml:space="preserve">for lumacaftor/ivacaftor sachets.  </w:t>
      </w:r>
    </w:p>
    <w:p w14:paraId="0EC2669D" w14:textId="0A085A30" w:rsidR="00BB55AF" w:rsidRPr="00051171" w:rsidRDefault="00051171" w:rsidP="00051171">
      <w:pPr>
        <w:pStyle w:val="3-BodyText"/>
        <w:numPr>
          <w:ilvl w:val="0"/>
          <w:numId w:val="0"/>
        </w:numPr>
        <w:ind w:left="720"/>
        <w:rPr>
          <w:i/>
          <w:iCs/>
        </w:rPr>
      </w:pPr>
      <w:r w:rsidRPr="00051171">
        <w:rPr>
          <w:rFonts w:cstheme="minorHAnsi"/>
          <w:i/>
          <w:iCs/>
        </w:rPr>
        <w:t>For more detail on PBAC’s view, see section 7 PBAC outcome.</w:t>
      </w:r>
    </w:p>
    <w:p w14:paraId="67B51A19" w14:textId="77777777" w:rsidR="00F86069" w:rsidRPr="00FF09A2" w:rsidDel="00195452" w:rsidRDefault="00F86069" w:rsidP="00F86069">
      <w:pPr>
        <w:pStyle w:val="2-SectionHeading"/>
      </w:pPr>
      <w:bookmarkStart w:id="13" w:name="_Toc135204521"/>
      <w:r w:rsidRPr="00FF09A2" w:rsidDel="00195452">
        <w:t>Population and disease</w:t>
      </w:r>
      <w:bookmarkEnd w:id="13"/>
    </w:p>
    <w:p w14:paraId="1B911E75" w14:textId="77777777" w:rsidR="00D907DA" w:rsidRPr="00D907DA" w:rsidRDefault="0075530A" w:rsidP="00D907DA">
      <w:pPr>
        <w:pStyle w:val="3-BodyText"/>
        <w:ind w:left="720"/>
        <w:rPr>
          <w:lang w:val="en-AU" w:eastAsia="en-US"/>
        </w:rPr>
      </w:pPr>
      <w:r w:rsidRPr="00B3449A">
        <w:rPr>
          <w:lang w:val="en-AU"/>
        </w:rPr>
        <w:t xml:space="preserve">CF is a rare, genetic, systemic disease caused by mutations in the CFTR gene which ultimately leads to defective transport of chloride and other ions. </w:t>
      </w:r>
      <w:r w:rsidRPr="00B3449A">
        <w:rPr>
          <w:rFonts w:cs="Tahoma"/>
          <w:lang w:val="en-AU"/>
        </w:rPr>
        <w:t>Patients with CF are subject to a progressive loss of lung function, significant excess morbidity and reduced quality of life (QoL), pancreatic insufficiency and gastrointestinal malabsorption, frequent pulmonary exacerbations (PEx) and early death.</w:t>
      </w:r>
      <w:r w:rsidRPr="00B3449A" w:rsidDel="00AC0116">
        <w:rPr>
          <w:color w:val="0066FF"/>
          <w:lang w:val="en-AU"/>
        </w:rPr>
        <w:t xml:space="preserve"> </w:t>
      </w:r>
      <w:r w:rsidR="00D907DA">
        <w:rPr>
          <w:color w:val="0066FF"/>
          <w:lang w:val="en-AU"/>
        </w:rPr>
        <w:t xml:space="preserve"> </w:t>
      </w:r>
    </w:p>
    <w:p w14:paraId="72567608" w14:textId="77809997" w:rsidR="00051171" w:rsidRPr="00D907DA" w:rsidRDefault="00F86069" w:rsidP="00D907DA">
      <w:pPr>
        <w:pStyle w:val="3-BodyText"/>
        <w:ind w:left="720"/>
        <w:rPr>
          <w:lang w:val="en-AU" w:eastAsia="en-US"/>
        </w:rPr>
      </w:pPr>
      <w:r w:rsidRPr="00D907DA">
        <w:rPr>
          <w:lang w:val="en-AU" w:eastAsia="en-US"/>
        </w:rPr>
        <w:t xml:space="preserve">The submission stated that the proposed clinical algorithm for </w:t>
      </w:r>
      <w:r w:rsidR="00C34D85" w:rsidRPr="00D907DA">
        <w:rPr>
          <w:lang w:val="en-AU" w:eastAsia="en-US"/>
        </w:rPr>
        <w:t xml:space="preserve">the </w:t>
      </w:r>
      <w:r w:rsidRPr="00D907DA">
        <w:rPr>
          <w:lang w:val="en-AU"/>
        </w:rPr>
        <w:t xml:space="preserve">F/F </w:t>
      </w:r>
      <w:r w:rsidR="00C34D85" w:rsidRPr="00D907DA">
        <w:rPr>
          <w:lang w:val="en-AU"/>
        </w:rPr>
        <w:t xml:space="preserve">population </w:t>
      </w:r>
      <w:r w:rsidRPr="00D907DA">
        <w:rPr>
          <w:lang w:val="en-AU"/>
        </w:rPr>
        <w:t xml:space="preserve">aged 1 to less than 2 years </w:t>
      </w:r>
      <w:r w:rsidRPr="00D907DA">
        <w:rPr>
          <w:lang w:val="en-AU" w:eastAsia="en-US"/>
        </w:rPr>
        <w:t>was the same as that currently applied in clinical practice for</w:t>
      </w:r>
      <w:r w:rsidRPr="00D907DA">
        <w:rPr>
          <w:lang w:val="en-AU"/>
        </w:rPr>
        <w:t xml:space="preserve"> patients </w:t>
      </w:r>
      <w:r w:rsidRPr="00D907DA">
        <w:rPr>
          <w:lang w:val="en-AU" w:eastAsia="en-US"/>
        </w:rPr>
        <w:t xml:space="preserve">aged 2 years and older treated with lumacaftor/ivacaftor granules and tablets. </w:t>
      </w:r>
    </w:p>
    <w:p w14:paraId="76EBC561" w14:textId="79FB00C5" w:rsidR="00F86069" w:rsidRPr="00051171" w:rsidRDefault="00051171" w:rsidP="00051171">
      <w:pPr>
        <w:pStyle w:val="3-BodyText"/>
        <w:numPr>
          <w:ilvl w:val="0"/>
          <w:numId w:val="0"/>
        </w:numPr>
        <w:ind w:left="720"/>
        <w:rPr>
          <w:i/>
          <w:iCs/>
        </w:rPr>
      </w:pPr>
      <w:r w:rsidRPr="00051171">
        <w:rPr>
          <w:rFonts w:cstheme="minorHAnsi"/>
          <w:i/>
          <w:iCs/>
        </w:rPr>
        <w:t>For more detail on PBAC’s view, see section 7 PBAC outcome.</w:t>
      </w:r>
    </w:p>
    <w:p w14:paraId="4E000E3A" w14:textId="26649E43" w:rsidR="00F86069" w:rsidRPr="00FF09A2" w:rsidRDefault="00F86069" w:rsidP="0065123F">
      <w:pPr>
        <w:pStyle w:val="2-SectionHeading"/>
      </w:pPr>
      <w:bookmarkStart w:id="14" w:name="_Toc135204522"/>
      <w:r w:rsidRPr="00FF09A2">
        <w:lastRenderedPageBreak/>
        <w:t>Comparator</w:t>
      </w:r>
      <w:bookmarkEnd w:id="14"/>
    </w:p>
    <w:p w14:paraId="732EA7CD" w14:textId="2B789999" w:rsidR="00F86069" w:rsidRPr="00051171" w:rsidRDefault="00F86069" w:rsidP="006E36B3">
      <w:pPr>
        <w:pStyle w:val="3-BodyText"/>
        <w:ind w:left="720"/>
        <w:rPr>
          <w:rFonts w:ascii="Times New Roman" w:hAnsi="Times New Roman" w:cs="Times New Roman"/>
          <w:bCs/>
          <w:lang w:val="en-AU"/>
        </w:rPr>
      </w:pPr>
      <w:r w:rsidRPr="00051171">
        <w:rPr>
          <w:lang w:val="en-AU"/>
        </w:rPr>
        <w:t xml:space="preserve">The submission nominated BSC as the main comparator. </w:t>
      </w:r>
      <w:r w:rsidR="00457FA3" w:rsidRPr="00051171">
        <w:rPr>
          <w:lang w:val="en-AU"/>
        </w:rPr>
        <w:t>The submission stated that there are no existing therapies on the PBS that would be substituted for by lumacaftor/ivacaftor.</w:t>
      </w:r>
    </w:p>
    <w:p w14:paraId="0C1E194D" w14:textId="59867872" w:rsidR="00D907DA" w:rsidRPr="00D907DA" w:rsidRDefault="00F86069" w:rsidP="00185E28">
      <w:pPr>
        <w:pStyle w:val="3-BodyText"/>
        <w:ind w:left="720"/>
        <w:rPr>
          <w:rFonts w:ascii="Calibri" w:hAnsi="Calibri"/>
          <w:snapToGrid/>
          <w:lang w:val="en-AU"/>
        </w:rPr>
      </w:pPr>
      <w:r w:rsidRPr="00051171">
        <w:rPr>
          <w:lang w:val="en-AU"/>
        </w:rPr>
        <w:t>The choice of comparator was consistent with previous submissions in older populations</w:t>
      </w:r>
      <w:r w:rsidRPr="00051171">
        <w:rPr>
          <w:bCs/>
          <w:lang w:val="en-AU"/>
        </w:rPr>
        <w:t xml:space="preserve"> in which the PBAC accepted BSC as the appropriate comparator for lumacaftor/ivacaftor</w:t>
      </w:r>
      <w:r w:rsidRPr="00051171">
        <w:rPr>
          <w:lang w:val="en-AU"/>
        </w:rPr>
        <w:t xml:space="preserve"> (paragraph 5.1, lumacaftor/ivacaftor</w:t>
      </w:r>
      <w:r w:rsidR="00AF587C" w:rsidRPr="00051171">
        <w:rPr>
          <w:lang w:val="en-AU"/>
        </w:rPr>
        <w:t xml:space="preserve"> PSD</w:t>
      </w:r>
      <w:r w:rsidRPr="00051171">
        <w:rPr>
          <w:lang w:val="en-AU"/>
        </w:rPr>
        <w:t xml:space="preserve">, July 2018 PBAC meeting; paragraph 5.1 and paragraph 7.3, lumacaftor/ivacaftor </w:t>
      </w:r>
      <w:r w:rsidR="00365D52" w:rsidRPr="00051171">
        <w:rPr>
          <w:lang w:val="en-AU"/>
        </w:rPr>
        <w:t>PSD</w:t>
      </w:r>
      <w:r w:rsidRPr="00051171">
        <w:rPr>
          <w:lang w:val="en-AU"/>
        </w:rPr>
        <w:t xml:space="preserve">, July 2019 PBAC meeting). However, the submission did not consider that the requested PBS listing represents an earlier start to therapy (potentially from 1-year of age) as compared with the current PBS listing for lumacaftor/ivacaftor (potentially from 2-years of age). Additionally, </w:t>
      </w:r>
      <w:bookmarkStart w:id="15" w:name="_Hlk132478166"/>
      <w:r w:rsidRPr="00051171">
        <w:rPr>
          <w:lang w:val="en-AU"/>
        </w:rPr>
        <w:t>the submission did not consider that once</w:t>
      </w:r>
      <w:r w:rsidR="005E03C7" w:rsidRPr="00051171">
        <w:rPr>
          <w:lang w:val="en-AU"/>
        </w:rPr>
        <w:t xml:space="preserve"> patients in the </w:t>
      </w:r>
      <w:r w:rsidRPr="00051171">
        <w:rPr>
          <w:lang w:val="en-AU"/>
        </w:rPr>
        <w:t xml:space="preserve">F/F </w:t>
      </w:r>
      <w:r w:rsidR="005E03C7" w:rsidRPr="00051171">
        <w:rPr>
          <w:lang w:val="en-AU"/>
        </w:rPr>
        <w:t xml:space="preserve">population </w:t>
      </w:r>
      <w:r w:rsidRPr="00051171">
        <w:rPr>
          <w:lang w:val="en-AU"/>
        </w:rPr>
        <w:t xml:space="preserve">reach 6 years of age, they will be eligible for elexacaftor/tezacaftor/ivacaftor (ELX/TEZ/IVA). </w:t>
      </w:r>
      <w:bookmarkEnd w:id="15"/>
    </w:p>
    <w:p w14:paraId="584ADE35" w14:textId="16A61B67" w:rsidR="00051171" w:rsidRPr="00D907DA" w:rsidRDefault="00003CDA" w:rsidP="00D907DA">
      <w:pPr>
        <w:pStyle w:val="3-BodyText"/>
        <w:ind w:left="720"/>
        <w:rPr>
          <w:rFonts w:ascii="Calibri" w:hAnsi="Calibri"/>
          <w:snapToGrid/>
          <w:lang w:val="en-AU"/>
        </w:rPr>
      </w:pPr>
      <w:r w:rsidRPr="00D907DA">
        <w:rPr>
          <w:rFonts w:ascii="Calibri" w:hAnsi="Calibri"/>
          <w:snapToGrid/>
          <w:lang w:val="en-AU"/>
        </w:rPr>
        <w:t xml:space="preserve">The ESC considered the nominated comparator </w:t>
      </w:r>
      <w:r w:rsidR="000863FD" w:rsidRPr="00D907DA">
        <w:rPr>
          <w:rFonts w:ascii="Calibri" w:hAnsi="Calibri"/>
          <w:snapToGrid/>
          <w:lang w:val="en-AU"/>
        </w:rPr>
        <w:t xml:space="preserve">was generally reasonable, </w:t>
      </w:r>
      <w:r w:rsidR="006E36B3" w:rsidRPr="00D907DA">
        <w:rPr>
          <w:rFonts w:ascii="Calibri" w:hAnsi="Calibri"/>
          <w:snapToGrid/>
          <w:lang w:val="en-AU"/>
        </w:rPr>
        <w:t>noting that</w:t>
      </w:r>
      <w:r w:rsidR="000863FD" w:rsidRPr="00D907DA">
        <w:rPr>
          <w:rFonts w:ascii="Calibri" w:hAnsi="Calibri"/>
          <w:snapToGrid/>
          <w:lang w:val="en-AU"/>
        </w:rPr>
        <w:t xml:space="preserve"> the intervention most likely to be</w:t>
      </w:r>
      <w:r w:rsidRPr="00D907DA">
        <w:rPr>
          <w:rFonts w:ascii="Calibri" w:hAnsi="Calibri"/>
          <w:snapToGrid/>
          <w:lang w:val="en-AU"/>
        </w:rPr>
        <w:t xml:space="preserve"> replaced was BSC from 1 to 2 years of age, followed by lumacaftor/ivacaftor from 2 years of age. </w:t>
      </w:r>
      <w:r w:rsidR="000863FD" w:rsidRPr="00D907DA">
        <w:rPr>
          <w:rFonts w:ascii="Calibri" w:hAnsi="Calibri"/>
          <w:snapToGrid/>
          <w:lang w:val="en-AU"/>
        </w:rPr>
        <w:t xml:space="preserve"> </w:t>
      </w:r>
    </w:p>
    <w:p w14:paraId="3FAFEF6D" w14:textId="4B3B89E5" w:rsidR="000863FD" w:rsidRPr="00051171" w:rsidRDefault="00051171" w:rsidP="00051171">
      <w:pPr>
        <w:pStyle w:val="3-BodyText"/>
        <w:numPr>
          <w:ilvl w:val="0"/>
          <w:numId w:val="0"/>
        </w:numPr>
        <w:ind w:left="720"/>
        <w:rPr>
          <w:i/>
          <w:iCs/>
        </w:rPr>
      </w:pPr>
      <w:r w:rsidRPr="00051171">
        <w:rPr>
          <w:rFonts w:cstheme="minorHAnsi"/>
          <w:i/>
          <w:iCs/>
        </w:rPr>
        <w:t>For more detail on PBAC’s view, see section 7 PBAC outcome.</w:t>
      </w:r>
    </w:p>
    <w:p w14:paraId="3F49FA8C" w14:textId="77777777" w:rsidR="00F86069" w:rsidRPr="00FF09A2" w:rsidRDefault="00F86069" w:rsidP="00F86069">
      <w:pPr>
        <w:pStyle w:val="2-SectionHeading"/>
      </w:pPr>
      <w:bookmarkStart w:id="16" w:name="_Toc135204523"/>
      <w:bookmarkStart w:id="17" w:name="_Toc22897640"/>
      <w:r w:rsidRPr="00FF09A2">
        <w:t>Consideration of the evidence</w:t>
      </w:r>
      <w:bookmarkEnd w:id="16"/>
    </w:p>
    <w:p w14:paraId="60AC78DE" w14:textId="77777777" w:rsidR="00051171" w:rsidRPr="006E1229" w:rsidRDefault="00051171" w:rsidP="00051171">
      <w:pPr>
        <w:pStyle w:val="4-SubsectionHeading"/>
      </w:pPr>
      <w:bookmarkStart w:id="18" w:name="_Hlk76375935"/>
      <w:bookmarkStart w:id="19" w:name="_Toc135204524"/>
      <w:r w:rsidRPr="006E1229">
        <w:t>Sponsor hearing</w:t>
      </w:r>
    </w:p>
    <w:p w14:paraId="53A5D249" w14:textId="6296BE5B" w:rsidR="00051171" w:rsidRPr="00836F75" w:rsidRDefault="00051171" w:rsidP="00051171">
      <w:pPr>
        <w:widowControl w:val="0"/>
        <w:numPr>
          <w:ilvl w:val="1"/>
          <w:numId w:val="1"/>
        </w:numPr>
        <w:spacing w:after="120"/>
        <w:ind w:left="720"/>
        <w:rPr>
          <w:rFonts w:asciiTheme="minorHAnsi" w:hAnsiTheme="minorHAnsi"/>
          <w:bCs/>
          <w:snapToGrid w:val="0"/>
        </w:rPr>
      </w:pPr>
      <w:bookmarkStart w:id="20" w:name="_Hlk76382586"/>
      <w:r w:rsidRPr="00836F75">
        <w:rPr>
          <w:rFonts w:asciiTheme="minorHAnsi" w:hAnsiTheme="minorHAnsi"/>
          <w:bCs/>
          <w:snapToGrid w:val="0"/>
        </w:rPr>
        <w:t>The sponsor requested a hearing for this item.  The clinician discussed the natural history of the disease</w:t>
      </w:r>
      <w:r w:rsidR="00D907DA">
        <w:rPr>
          <w:rFonts w:asciiTheme="minorHAnsi" w:hAnsiTheme="minorHAnsi"/>
          <w:bCs/>
          <w:snapToGrid w:val="0"/>
        </w:rPr>
        <w:t xml:space="preserve"> and stated the importance of commencing therapy with CFTR modulators early to prevent structural lung damage. The clinician described the benefits of treatment on lung function and quality of life. The clinician further described the benefit of CFTR modulators on the nutritional status of children and the associated weight gain. </w:t>
      </w:r>
      <w:r w:rsidRPr="00836F75">
        <w:rPr>
          <w:rFonts w:asciiTheme="minorHAnsi" w:hAnsiTheme="minorHAnsi"/>
          <w:bCs/>
          <w:snapToGrid w:val="0"/>
        </w:rPr>
        <w:t>The PBAC considered that the hearing was informative.</w:t>
      </w:r>
    </w:p>
    <w:bookmarkEnd w:id="20"/>
    <w:p w14:paraId="7B9AAF44" w14:textId="77777777" w:rsidR="00051171" w:rsidRPr="006E1229" w:rsidRDefault="00051171" w:rsidP="00051171">
      <w:pPr>
        <w:pStyle w:val="4-SubsectionHeading"/>
      </w:pPr>
      <w:r w:rsidRPr="006E1229">
        <w:t>Consumer comments</w:t>
      </w:r>
    </w:p>
    <w:p w14:paraId="7842B3A5" w14:textId="14474C4A" w:rsidR="00051171" w:rsidRPr="00836F75" w:rsidRDefault="00051171" w:rsidP="00051171">
      <w:pPr>
        <w:widowControl w:val="0"/>
        <w:numPr>
          <w:ilvl w:val="1"/>
          <w:numId w:val="1"/>
        </w:numPr>
        <w:spacing w:after="120"/>
        <w:ind w:left="720"/>
        <w:rPr>
          <w:rFonts w:asciiTheme="minorHAnsi" w:hAnsiTheme="minorHAnsi"/>
          <w:bCs/>
          <w:snapToGrid w:val="0"/>
        </w:rPr>
      </w:pPr>
      <w:bookmarkStart w:id="21" w:name="_Hlk76382618"/>
      <w:r w:rsidRPr="00836F75">
        <w:rPr>
          <w:rFonts w:asciiTheme="minorHAnsi" w:hAnsiTheme="minorHAnsi"/>
          <w:bCs/>
          <w:snapToGrid w:val="0"/>
        </w:rPr>
        <w:t>The PBAC noted and welcomed the input from individuals (</w:t>
      </w:r>
      <w:r w:rsidR="00D907DA">
        <w:rPr>
          <w:rFonts w:asciiTheme="minorHAnsi" w:hAnsiTheme="minorHAnsi"/>
          <w:bCs/>
          <w:snapToGrid w:val="0"/>
        </w:rPr>
        <w:t>68</w:t>
      </w:r>
      <w:r w:rsidRPr="00836F75">
        <w:rPr>
          <w:rFonts w:asciiTheme="minorHAnsi" w:hAnsiTheme="minorHAnsi"/>
          <w:bCs/>
          <w:snapToGrid w:val="0"/>
        </w:rPr>
        <w:t>), and organisations (1) via the Consumer Comments facility on the PBS website.  The comments</w:t>
      </w:r>
      <w:r w:rsidR="00D907DA">
        <w:rPr>
          <w:rFonts w:asciiTheme="minorHAnsi" w:hAnsiTheme="minorHAnsi"/>
          <w:bCs/>
          <w:snapToGrid w:val="0"/>
        </w:rPr>
        <w:t>, primarily</w:t>
      </w:r>
      <w:r w:rsidRPr="00836F75">
        <w:rPr>
          <w:rFonts w:asciiTheme="minorHAnsi" w:hAnsiTheme="minorHAnsi"/>
          <w:bCs/>
          <w:snapToGrid w:val="0"/>
        </w:rPr>
        <w:t xml:space="preserve"> </w:t>
      </w:r>
      <w:r w:rsidR="00D907DA">
        <w:rPr>
          <w:rFonts w:asciiTheme="minorHAnsi" w:hAnsiTheme="minorHAnsi"/>
          <w:bCs/>
          <w:snapToGrid w:val="0"/>
        </w:rPr>
        <w:t xml:space="preserve">from carers of children with CF, </w:t>
      </w:r>
      <w:r w:rsidRPr="00836F75">
        <w:rPr>
          <w:rFonts w:asciiTheme="minorHAnsi" w:hAnsiTheme="minorHAnsi"/>
          <w:bCs/>
          <w:snapToGrid w:val="0"/>
        </w:rPr>
        <w:t xml:space="preserve">described a range of benefits of treatment with </w:t>
      </w:r>
      <w:r w:rsidR="00D907DA">
        <w:rPr>
          <w:rFonts w:asciiTheme="minorHAnsi" w:hAnsiTheme="minorHAnsi"/>
          <w:bCs/>
          <w:snapToGrid w:val="0"/>
        </w:rPr>
        <w:t xml:space="preserve">lumacaftor with ivacaftor </w:t>
      </w:r>
      <w:r w:rsidRPr="00836F75">
        <w:rPr>
          <w:rFonts w:asciiTheme="minorHAnsi" w:hAnsiTheme="minorHAnsi"/>
          <w:bCs/>
          <w:snapToGrid w:val="0"/>
        </w:rPr>
        <w:t xml:space="preserve">including </w:t>
      </w:r>
      <w:r w:rsidR="00D907DA">
        <w:rPr>
          <w:rFonts w:asciiTheme="minorHAnsi" w:hAnsiTheme="minorHAnsi"/>
          <w:bCs/>
          <w:snapToGrid w:val="0"/>
        </w:rPr>
        <w:t xml:space="preserve">reduced long-term lung damage due to a reduced likelihood of contracting bacterial infections, reduced antibiotic use and hospitalisations and improved gastrointestinal symptoms. The comments also highlighted that listing lumacaftor with ivacaftor on the PBS for this age group would improve current access and equity issues. </w:t>
      </w:r>
    </w:p>
    <w:p w14:paraId="31F2A92B" w14:textId="3E6D03A7" w:rsidR="00051171" w:rsidRDefault="00051171" w:rsidP="00051171">
      <w:pPr>
        <w:widowControl w:val="0"/>
        <w:numPr>
          <w:ilvl w:val="1"/>
          <w:numId w:val="1"/>
        </w:numPr>
        <w:spacing w:after="120"/>
        <w:ind w:left="720"/>
        <w:rPr>
          <w:rFonts w:asciiTheme="minorHAnsi" w:hAnsiTheme="minorHAnsi"/>
          <w:bCs/>
          <w:snapToGrid w:val="0"/>
        </w:rPr>
      </w:pPr>
      <w:r w:rsidRPr="00836F75">
        <w:rPr>
          <w:rFonts w:asciiTheme="minorHAnsi" w:hAnsiTheme="minorHAnsi"/>
          <w:bCs/>
          <w:snapToGrid w:val="0"/>
        </w:rPr>
        <w:t xml:space="preserve">The PBAC noted the advice received from </w:t>
      </w:r>
      <w:r w:rsidR="00D907DA">
        <w:rPr>
          <w:rFonts w:asciiTheme="minorHAnsi" w:hAnsiTheme="minorHAnsi"/>
          <w:bCs/>
          <w:snapToGrid w:val="0"/>
        </w:rPr>
        <w:t xml:space="preserve">the National Paediatric Medicines Forum (NPMF) which strongly supported the extension of the lumacaftor with ivacaftor listing to children aged 1 to 2 years, stating that it would help slow the progression of CF and </w:t>
      </w:r>
      <w:r w:rsidR="00D907DA">
        <w:rPr>
          <w:rFonts w:asciiTheme="minorHAnsi" w:hAnsiTheme="minorHAnsi"/>
          <w:bCs/>
          <w:snapToGrid w:val="0"/>
        </w:rPr>
        <w:lastRenderedPageBreak/>
        <w:t xml:space="preserve">that it was a safe and well tolerated treatment. </w:t>
      </w:r>
    </w:p>
    <w:bookmarkEnd w:id="18"/>
    <w:bookmarkEnd w:id="21"/>
    <w:p w14:paraId="141DA5CD" w14:textId="7731E73F" w:rsidR="00F86069" w:rsidRPr="00FF09A2" w:rsidRDefault="00F86069" w:rsidP="00F86069">
      <w:pPr>
        <w:pStyle w:val="4-SubsectionHeading"/>
      </w:pPr>
      <w:r w:rsidRPr="00FF09A2">
        <w:t xml:space="preserve">Clinical </w:t>
      </w:r>
      <w:bookmarkEnd w:id="17"/>
      <w:bookmarkEnd w:id="19"/>
      <w:r w:rsidR="00544C5D">
        <w:t>study</w:t>
      </w:r>
    </w:p>
    <w:p w14:paraId="506E7440" w14:textId="508143F6" w:rsidR="00F86069" w:rsidRPr="00FF09A2" w:rsidRDefault="00087F80" w:rsidP="006E36B3">
      <w:pPr>
        <w:pStyle w:val="3-BodyText"/>
        <w:ind w:left="720"/>
        <w:rPr>
          <w:color w:val="0066FF"/>
          <w:lang w:val="en-AU"/>
        </w:rPr>
      </w:pPr>
      <w:r w:rsidRPr="00FF09A2">
        <w:rPr>
          <w:lang w:val="en-AU"/>
        </w:rPr>
        <w:t xml:space="preserve">There were no head-to-head randomised trials available comparing lumacaftor/ivacaftor plus BSC with BSC for the requested ages. </w:t>
      </w:r>
      <w:r w:rsidR="00F86069" w:rsidRPr="00FF09A2">
        <w:rPr>
          <w:rFonts w:cs="Calibri"/>
          <w:snapToGrid/>
          <w:lang w:val="en-AU"/>
        </w:rPr>
        <w:t xml:space="preserve">The submission was based on one 24-week </w:t>
      </w:r>
      <w:r w:rsidR="00556B6B" w:rsidRPr="00FF09A2">
        <w:rPr>
          <w:rFonts w:cs="Calibri"/>
          <w:snapToGrid/>
          <w:lang w:val="en-AU"/>
        </w:rPr>
        <w:t>single arm</w:t>
      </w:r>
      <w:r w:rsidR="00F86069" w:rsidRPr="00FF09A2">
        <w:rPr>
          <w:rFonts w:cs="Calibri"/>
          <w:snapToGrid/>
          <w:lang w:val="en-AU"/>
        </w:rPr>
        <w:t xml:space="preserve"> </w:t>
      </w:r>
      <w:r w:rsidR="00544C5D">
        <w:rPr>
          <w:rFonts w:cs="Calibri"/>
          <w:snapToGrid/>
          <w:lang w:val="en-AU"/>
        </w:rPr>
        <w:t>study</w:t>
      </w:r>
      <w:r w:rsidR="00544C5D" w:rsidRPr="00FF09A2">
        <w:rPr>
          <w:rFonts w:cs="Calibri"/>
          <w:snapToGrid/>
          <w:lang w:val="en-AU"/>
        </w:rPr>
        <w:t xml:space="preserve"> </w:t>
      </w:r>
      <w:r w:rsidR="00F86069" w:rsidRPr="00FF09A2">
        <w:rPr>
          <w:rFonts w:cs="Calibri"/>
          <w:snapToGrid/>
          <w:lang w:val="en-AU"/>
        </w:rPr>
        <w:t xml:space="preserve">evaluating the </w:t>
      </w:r>
      <w:r w:rsidR="00F86069" w:rsidRPr="00FF09A2">
        <w:rPr>
          <w:lang w:val="en-AU"/>
        </w:rPr>
        <w:t xml:space="preserve">safety and efficacy of lumacaftor/ivacaftor granules, Study 122 (Part A (N=14); Part B (N=46)). </w:t>
      </w:r>
    </w:p>
    <w:p w14:paraId="386E9FBB" w14:textId="1FB0860E" w:rsidR="00F86069" w:rsidRPr="00FF09A2" w:rsidRDefault="00F86069" w:rsidP="006E36B3">
      <w:pPr>
        <w:pStyle w:val="3-BodyText"/>
        <w:ind w:left="720"/>
        <w:rPr>
          <w:sz w:val="20"/>
          <w:lang w:val="en-AU"/>
        </w:rPr>
      </w:pPr>
      <w:r w:rsidRPr="00FF09A2">
        <w:rPr>
          <w:snapToGrid/>
          <w:lang w:val="en-AU"/>
        </w:rPr>
        <w:t xml:space="preserve">Details of the </w:t>
      </w:r>
      <w:r w:rsidR="00544C5D">
        <w:rPr>
          <w:snapToGrid/>
          <w:lang w:val="en-AU"/>
        </w:rPr>
        <w:t>study</w:t>
      </w:r>
      <w:r w:rsidR="00544C5D" w:rsidRPr="00FF09A2">
        <w:rPr>
          <w:snapToGrid/>
          <w:lang w:val="en-AU"/>
        </w:rPr>
        <w:t xml:space="preserve"> </w:t>
      </w:r>
      <w:r w:rsidRPr="00FF09A2">
        <w:rPr>
          <w:snapToGrid/>
          <w:lang w:val="en-AU"/>
        </w:rPr>
        <w:t>presented in the submission are provided in</w:t>
      </w:r>
      <w:r w:rsidR="00FF09A2">
        <w:rPr>
          <w:snapToGrid/>
          <w:lang w:val="en-AU"/>
        </w:rPr>
        <w:t xml:space="preserve"> </w:t>
      </w:r>
      <w:r w:rsidR="008B5905" w:rsidRPr="00FF09A2">
        <w:rPr>
          <w:snapToGrid/>
          <w:lang w:val="en-AU"/>
        </w:rPr>
        <w:fldChar w:fldCharType="begin"/>
      </w:r>
      <w:r w:rsidR="008B5905" w:rsidRPr="00FF09A2">
        <w:rPr>
          <w:snapToGrid/>
          <w:lang w:val="en-AU"/>
        </w:rPr>
        <w:instrText xml:space="preserve"> REF _Ref132608074 \h </w:instrText>
      </w:r>
      <w:r w:rsidR="008B5905" w:rsidRPr="00FF09A2">
        <w:rPr>
          <w:snapToGrid/>
          <w:lang w:val="en-AU"/>
        </w:rPr>
      </w:r>
      <w:r w:rsidR="008B5905" w:rsidRPr="00FF09A2">
        <w:rPr>
          <w:snapToGrid/>
          <w:lang w:val="en-AU"/>
        </w:rPr>
        <w:fldChar w:fldCharType="separate"/>
      </w:r>
      <w:r w:rsidR="00025B72" w:rsidRPr="00FF09A2">
        <w:t xml:space="preserve">Table </w:t>
      </w:r>
      <w:r w:rsidR="00025B72">
        <w:rPr>
          <w:noProof/>
        </w:rPr>
        <w:t>3</w:t>
      </w:r>
      <w:r w:rsidR="008B5905" w:rsidRPr="00FF09A2">
        <w:rPr>
          <w:snapToGrid/>
          <w:lang w:val="en-AU"/>
        </w:rPr>
        <w:fldChar w:fldCharType="end"/>
      </w:r>
      <w:r w:rsidRPr="00FF09A2">
        <w:rPr>
          <w:snapToGrid/>
          <w:lang w:val="en-AU"/>
        </w:rPr>
        <w:t xml:space="preserve">. </w:t>
      </w:r>
    </w:p>
    <w:p w14:paraId="06F292AB" w14:textId="1F1C335E" w:rsidR="00F86069" w:rsidRPr="00FF09A2" w:rsidRDefault="00F86069" w:rsidP="00A01452">
      <w:pPr>
        <w:pStyle w:val="Caption"/>
      </w:pPr>
      <w:bookmarkStart w:id="22" w:name="_Ref132608074"/>
      <w:r w:rsidRPr="00FF09A2">
        <w:t xml:space="preserve">Table </w:t>
      </w:r>
      <w:r w:rsidR="00025B72">
        <w:fldChar w:fldCharType="begin"/>
      </w:r>
      <w:r w:rsidR="00025B72">
        <w:instrText xml:space="preserve"> SEQ Table \* ARABIC </w:instrText>
      </w:r>
      <w:r w:rsidR="00025B72">
        <w:fldChar w:fldCharType="separate"/>
      </w:r>
      <w:r w:rsidR="00025B72">
        <w:rPr>
          <w:noProof/>
        </w:rPr>
        <w:t>3</w:t>
      </w:r>
      <w:r w:rsidR="00025B72">
        <w:rPr>
          <w:noProof/>
        </w:rPr>
        <w:fldChar w:fldCharType="end"/>
      </w:r>
      <w:bookmarkEnd w:id="22"/>
      <w:r w:rsidRPr="00FF09A2">
        <w:t xml:space="preserve">: </w:t>
      </w:r>
      <w:r w:rsidR="00544C5D">
        <w:t>Study</w:t>
      </w:r>
      <w:r w:rsidR="00544C5D" w:rsidRPr="00FF09A2">
        <w:t xml:space="preserve"> </w:t>
      </w:r>
      <w:r w:rsidRPr="00FF09A2">
        <w:t xml:space="preserve">and associated reports presented in the </w:t>
      </w:r>
      <w:proofErr w:type="gramStart"/>
      <w:r w:rsidRPr="00FF09A2">
        <w:t>submission</w:t>
      </w:r>
      <w:r w:rsidR="006E36B3" w:rsidRPr="006E36B3">
        <w:rPr>
          <w:vertAlign w:val="superscript"/>
        </w:rPr>
        <w:t>a</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78"/>
        <w:gridCol w:w="4725"/>
        <w:gridCol w:w="2714"/>
      </w:tblGrid>
      <w:tr w:rsidR="00F86069" w:rsidRPr="006E36B3" w14:paraId="2693FC04" w14:textId="77777777" w:rsidTr="00692EF1">
        <w:trPr>
          <w:tblHeader/>
        </w:trPr>
        <w:tc>
          <w:tcPr>
            <w:tcW w:w="875" w:type="pct"/>
            <w:vAlign w:val="center"/>
          </w:tcPr>
          <w:p w14:paraId="22F15369" w14:textId="3BE488A6" w:rsidR="00F86069" w:rsidRPr="006E36B3" w:rsidRDefault="00FD7757" w:rsidP="00B12403">
            <w:pPr>
              <w:pStyle w:val="TableText0"/>
              <w:rPr>
                <w:b/>
                <w:bCs w:val="0"/>
              </w:rPr>
            </w:pPr>
            <w:r>
              <w:rPr>
                <w:b/>
                <w:bCs w:val="0"/>
              </w:rPr>
              <w:t>Study ID</w:t>
            </w:r>
          </w:p>
        </w:tc>
        <w:tc>
          <w:tcPr>
            <w:tcW w:w="2620" w:type="pct"/>
            <w:tcBorders>
              <w:bottom w:val="single" w:sz="4" w:space="0" w:color="auto"/>
            </w:tcBorders>
            <w:vAlign w:val="center"/>
          </w:tcPr>
          <w:p w14:paraId="1F1999D8" w14:textId="5CA1B33F" w:rsidR="00F86069" w:rsidRPr="006E36B3" w:rsidRDefault="00F86069" w:rsidP="00B12403">
            <w:pPr>
              <w:pStyle w:val="TableText0"/>
              <w:rPr>
                <w:b/>
                <w:bCs w:val="0"/>
              </w:rPr>
            </w:pPr>
            <w:r w:rsidRPr="006E36B3">
              <w:rPr>
                <w:b/>
                <w:bCs w:val="0"/>
              </w:rPr>
              <w:t>Protocol title/Publication title</w:t>
            </w:r>
          </w:p>
        </w:tc>
        <w:tc>
          <w:tcPr>
            <w:tcW w:w="1505" w:type="pct"/>
            <w:tcBorders>
              <w:bottom w:val="single" w:sz="4" w:space="0" w:color="auto"/>
            </w:tcBorders>
            <w:vAlign w:val="center"/>
          </w:tcPr>
          <w:p w14:paraId="342FBDE0" w14:textId="77777777" w:rsidR="00F86069" w:rsidRPr="006E36B3" w:rsidRDefault="00F86069" w:rsidP="00B12403">
            <w:pPr>
              <w:pStyle w:val="TableText0"/>
              <w:rPr>
                <w:b/>
                <w:bCs w:val="0"/>
              </w:rPr>
            </w:pPr>
            <w:r w:rsidRPr="006E36B3">
              <w:rPr>
                <w:b/>
                <w:bCs w:val="0"/>
              </w:rPr>
              <w:t>Publication citation</w:t>
            </w:r>
          </w:p>
        </w:tc>
      </w:tr>
      <w:tr w:rsidR="00692EF1" w:rsidRPr="00FF09A2" w14:paraId="2EA98504" w14:textId="77777777" w:rsidTr="00692EF1">
        <w:tc>
          <w:tcPr>
            <w:tcW w:w="875" w:type="pct"/>
            <w:vMerge w:val="restart"/>
            <w:tcBorders>
              <w:top w:val="nil"/>
            </w:tcBorders>
          </w:tcPr>
          <w:p w14:paraId="1637DD6D" w14:textId="77777777" w:rsidR="00692EF1" w:rsidRPr="00FF09A2" w:rsidRDefault="00692EF1" w:rsidP="00B12403">
            <w:pPr>
              <w:pStyle w:val="TableText0"/>
            </w:pPr>
            <w:r w:rsidRPr="00FF09A2">
              <w:t>Study 809-122</w:t>
            </w:r>
          </w:p>
          <w:p w14:paraId="78366C5F" w14:textId="3926727D" w:rsidR="00692EF1" w:rsidRPr="00FF09A2" w:rsidRDefault="00692EF1" w:rsidP="00B12403">
            <w:pPr>
              <w:pStyle w:val="TableText0"/>
            </w:pPr>
            <w:r w:rsidRPr="00FF09A2">
              <w:t>(NCT03601637)</w:t>
            </w:r>
          </w:p>
        </w:tc>
        <w:tc>
          <w:tcPr>
            <w:tcW w:w="2620" w:type="pct"/>
            <w:tcBorders>
              <w:top w:val="single" w:sz="4" w:space="0" w:color="auto"/>
              <w:bottom w:val="nil"/>
            </w:tcBorders>
          </w:tcPr>
          <w:p w14:paraId="5AE8672E" w14:textId="77777777" w:rsidR="00692EF1" w:rsidRPr="00FF09A2" w:rsidRDefault="00692EF1" w:rsidP="00B12403">
            <w:pPr>
              <w:pStyle w:val="TableText0"/>
              <w:rPr>
                <w:szCs w:val="18"/>
              </w:rPr>
            </w:pPr>
            <w:r w:rsidRPr="00FF09A2">
              <w:t xml:space="preserve">A Phase 3, Open-Label Study of Lumacaftor/Ivacaftor in Children 1 to Less Than 2 Years of Age with Cystic Fibrosis Homozygous for </w:t>
            </w:r>
            <w:r w:rsidRPr="00FF09A2">
              <w:rPr>
                <w:i/>
                <w:iCs/>
              </w:rPr>
              <w:t>F508del</w:t>
            </w:r>
            <w:r w:rsidRPr="00FF09A2">
              <w:t>-</w:t>
            </w:r>
            <w:r w:rsidRPr="00FF09A2">
              <w:rPr>
                <w:i/>
                <w:iCs/>
              </w:rPr>
              <w:t>CFTR</w:t>
            </w:r>
          </w:p>
        </w:tc>
        <w:tc>
          <w:tcPr>
            <w:tcW w:w="1505" w:type="pct"/>
            <w:tcBorders>
              <w:top w:val="single" w:sz="4" w:space="0" w:color="auto"/>
              <w:bottom w:val="nil"/>
            </w:tcBorders>
            <w:vAlign w:val="center"/>
          </w:tcPr>
          <w:p w14:paraId="32721A59" w14:textId="59988AB0" w:rsidR="00692EF1" w:rsidRPr="00FF09A2" w:rsidRDefault="00692EF1" w:rsidP="00B12403">
            <w:pPr>
              <w:pStyle w:val="TableText0"/>
            </w:pPr>
            <w:r w:rsidRPr="00FF09A2">
              <w:t>Clinical Study Report, Protocol VX16-809-122</w:t>
            </w:r>
          </w:p>
          <w:p w14:paraId="54011033" w14:textId="77777777" w:rsidR="00692EF1" w:rsidRPr="00FF09A2" w:rsidRDefault="00692EF1" w:rsidP="00B12403">
            <w:pPr>
              <w:pStyle w:val="TableText0"/>
            </w:pPr>
          </w:p>
          <w:p w14:paraId="20CB347E" w14:textId="4480FA5E" w:rsidR="00692EF1" w:rsidRPr="00FF09A2" w:rsidRDefault="00692EF1" w:rsidP="00B12403">
            <w:pPr>
              <w:pStyle w:val="TableText0"/>
              <w:rPr>
                <w:i/>
                <w:szCs w:val="18"/>
              </w:rPr>
            </w:pPr>
          </w:p>
        </w:tc>
      </w:tr>
      <w:tr w:rsidR="00692EF1" w:rsidRPr="00FF09A2" w14:paraId="66173A7D" w14:textId="77777777" w:rsidTr="006E36B3">
        <w:tc>
          <w:tcPr>
            <w:tcW w:w="875" w:type="pct"/>
            <w:vMerge/>
            <w:tcBorders>
              <w:bottom w:val="single" w:sz="4" w:space="0" w:color="auto"/>
            </w:tcBorders>
          </w:tcPr>
          <w:p w14:paraId="1F9ED359" w14:textId="77777777" w:rsidR="00692EF1" w:rsidRPr="00FF09A2" w:rsidRDefault="00692EF1" w:rsidP="00B12403">
            <w:pPr>
              <w:pStyle w:val="TableText0"/>
            </w:pPr>
          </w:p>
        </w:tc>
        <w:tc>
          <w:tcPr>
            <w:tcW w:w="2620" w:type="pct"/>
            <w:tcBorders>
              <w:top w:val="nil"/>
              <w:bottom w:val="single" w:sz="4" w:space="0" w:color="auto"/>
            </w:tcBorders>
          </w:tcPr>
          <w:p w14:paraId="2B1EC291" w14:textId="71493D6B" w:rsidR="00692EF1" w:rsidRPr="00B3449A" w:rsidRDefault="00692EF1" w:rsidP="00B12403">
            <w:pPr>
              <w:pStyle w:val="TableText0"/>
            </w:pPr>
            <w:r w:rsidRPr="00B3449A">
              <w:t>Rayment, J.H., Asfour, F., Rosenfeld, M., Higgins, M., Liu, L., Mascia, M., Paz-Diaz, H., Tian, S., Zahigian, R. and McColley, S.A., 2022. A phase 3, open-label study of lumacaftor/ivacaftor in children 1 to less than 2 years of age with cystic fibrosis homozygous for F508del-CFTR.</w:t>
            </w:r>
          </w:p>
        </w:tc>
        <w:tc>
          <w:tcPr>
            <w:tcW w:w="1505" w:type="pct"/>
            <w:tcBorders>
              <w:top w:val="nil"/>
              <w:bottom w:val="single" w:sz="4" w:space="0" w:color="auto"/>
            </w:tcBorders>
          </w:tcPr>
          <w:p w14:paraId="561B0838" w14:textId="716A7B8B" w:rsidR="00692EF1" w:rsidRPr="00FF09A2" w:rsidDel="00687EAB" w:rsidRDefault="00692EF1" w:rsidP="006E36B3">
            <w:pPr>
              <w:pStyle w:val="TableText0"/>
              <w:rPr>
                <w:i/>
                <w:iCs/>
              </w:rPr>
            </w:pPr>
            <w:r w:rsidRPr="00FF09A2">
              <w:rPr>
                <w:i/>
                <w:iCs/>
                <w:szCs w:val="18"/>
              </w:rPr>
              <w:t xml:space="preserve">Am J Respir Crit Care Med. </w:t>
            </w:r>
            <w:r w:rsidRPr="00B3449A">
              <w:rPr>
                <w:szCs w:val="18"/>
              </w:rPr>
              <w:t>2022 Nov 15;206(10):1239-1247</w:t>
            </w:r>
          </w:p>
        </w:tc>
      </w:tr>
    </w:tbl>
    <w:p w14:paraId="38012DC9" w14:textId="77777777" w:rsidR="00F86069" w:rsidRPr="00FF09A2" w:rsidRDefault="00F86069" w:rsidP="00F86069">
      <w:pPr>
        <w:pStyle w:val="TableFooter"/>
      </w:pPr>
      <w:r w:rsidRPr="00FF09A2">
        <w:t>Source: Table 2.2.1 p52 of the submission</w:t>
      </w:r>
    </w:p>
    <w:p w14:paraId="447D1991" w14:textId="46E62053" w:rsidR="00F86069" w:rsidRPr="00FF09A2" w:rsidRDefault="003670D1" w:rsidP="006E36B3">
      <w:pPr>
        <w:spacing w:after="120"/>
        <w:rPr>
          <w:rFonts w:ascii="Arial Narrow" w:hAnsi="Arial Narrow"/>
          <w:sz w:val="18"/>
          <w:szCs w:val="18"/>
        </w:rPr>
      </w:pPr>
      <w:r w:rsidRPr="00FF09A2">
        <w:rPr>
          <w:rFonts w:ascii="Arial Narrow" w:hAnsi="Arial Narrow"/>
          <w:sz w:val="18"/>
          <w:szCs w:val="18"/>
          <w:vertAlign w:val="superscript"/>
        </w:rPr>
        <w:t>a</w:t>
      </w:r>
      <w:r w:rsidR="0030765B" w:rsidRPr="00FF09A2">
        <w:rPr>
          <w:rFonts w:ascii="Arial Narrow" w:hAnsi="Arial Narrow"/>
          <w:sz w:val="18"/>
          <w:szCs w:val="18"/>
        </w:rPr>
        <w:t xml:space="preserve"> Study</w:t>
      </w:r>
      <w:r w:rsidRPr="00FF09A2">
        <w:rPr>
          <w:rFonts w:ascii="Arial Narrow" w:hAnsi="Arial Narrow"/>
          <w:sz w:val="18"/>
          <w:szCs w:val="18"/>
        </w:rPr>
        <w:t xml:space="preserve"> 809 –</w:t>
      </w:r>
      <w:r w:rsidR="0030765B" w:rsidRPr="00FF09A2">
        <w:rPr>
          <w:rFonts w:ascii="Arial Narrow" w:hAnsi="Arial Narrow"/>
          <w:sz w:val="18"/>
          <w:szCs w:val="18"/>
        </w:rPr>
        <w:t xml:space="preserve"> 124</w:t>
      </w:r>
      <w:r w:rsidRPr="00FF09A2">
        <w:rPr>
          <w:rFonts w:ascii="Arial Narrow" w:hAnsi="Arial Narrow"/>
          <w:sz w:val="18"/>
          <w:szCs w:val="18"/>
        </w:rPr>
        <w:t xml:space="preserve"> (Long-term Safety of Lumacaftor/Ivacaftor in Subjects </w:t>
      </w:r>
      <w:r w:rsidR="004774C3" w:rsidRPr="00FF09A2">
        <w:rPr>
          <w:rFonts w:ascii="Arial Narrow" w:hAnsi="Arial Narrow"/>
          <w:sz w:val="18"/>
          <w:szCs w:val="18"/>
        </w:rPr>
        <w:t>with</w:t>
      </w:r>
      <w:r w:rsidRPr="00FF09A2">
        <w:rPr>
          <w:rFonts w:ascii="Arial Narrow" w:hAnsi="Arial Narrow"/>
          <w:sz w:val="18"/>
          <w:szCs w:val="18"/>
        </w:rPr>
        <w:t xml:space="preserve"> Cystic Fibrosis Who Are Homozygous for F508del and 12 to &lt;24 Months of Age at Treatment Initiation)</w:t>
      </w:r>
      <w:r w:rsidR="0030765B" w:rsidRPr="00FF09A2">
        <w:rPr>
          <w:rFonts w:ascii="Arial Narrow" w:hAnsi="Arial Narrow"/>
          <w:sz w:val="18"/>
          <w:szCs w:val="18"/>
        </w:rPr>
        <w:t xml:space="preserve"> was mentioned in the </w:t>
      </w:r>
      <w:r w:rsidR="008B152E" w:rsidRPr="00FF09A2">
        <w:rPr>
          <w:rFonts w:ascii="Arial Narrow" w:hAnsi="Arial Narrow"/>
          <w:sz w:val="18"/>
          <w:szCs w:val="18"/>
        </w:rPr>
        <w:t>submission</w:t>
      </w:r>
      <w:r w:rsidR="004774C3" w:rsidRPr="00FF09A2">
        <w:rPr>
          <w:rFonts w:ascii="Arial Narrow" w:hAnsi="Arial Narrow"/>
          <w:sz w:val="18"/>
          <w:szCs w:val="18"/>
        </w:rPr>
        <w:t xml:space="preserve"> and a protocol was attached</w:t>
      </w:r>
      <w:r w:rsidR="008B152E" w:rsidRPr="00FF09A2">
        <w:rPr>
          <w:rFonts w:ascii="Arial Narrow" w:hAnsi="Arial Narrow"/>
          <w:sz w:val="18"/>
          <w:szCs w:val="18"/>
        </w:rPr>
        <w:t>, however no results were available.</w:t>
      </w:r>
    </w:p>
    <w:p w14:paraId="6D82BB6F" w14:textId="7ABC6B50" w:rsidR="00FC5456" w:rsidRPr="00FF09A2" w:rsidRDefault="00F86069" w:rsidP="006E36B3">
      <w:pPr>
        <w:pStyle w:val="3-BodyText"/>
        <w:ind w:left="720"/>
        <w:rPr>
          <w:lang w:val="en-AU"/>
        </w:rPr>
      </w:pPr>
      <w:r w:rsidRPr="00FF09A2">
        <w:rPr>
          <w:lang w:val="en-AU"/>
        </w:rPr>
        <w:t>The key features of Study 122 are summarised in</w:t>
      </w:r>
      <w:r w:rsidR="00D642F9" w:rsidRPr="00FF09A2">
        <w:rPr>
          <w:lang w:val="en-AU"/>
        </w:rPr>
        <w:t xml:space="preserve"> </w:t>
      </w:r>
      <w:r w:rsidR="008B5905" w:rsidRPr="00FF09A2">
        <w:rPr>
          <w:lang w:val="en-AU"/>
        </w:rPr>
        <w:fldChar w:fldCharType="begin"/>
      </w:r>
      <w:r w:rsidR="008B5905" w:rsidRPr="00FF09A2">
        <w:rPr>
          <w:lang w:val="en-AU"/>
        </w:rPr>
        <w:instrText xml:space="preserve"> REF _Ref132608111 \h </w:instrText>
      </w:r>
      <w:r w:rsidR="008B5905" w:rsidRPr="00FF09A2">
        <w:rPr>
          <w:lang w:val="en-AU"/>
        </w:rPr>
      </w:r>
      <w:r w:rsidR="008B5905" w:rsidRPr="00FF09A2">
        <w:rPr>
          <w:lang w:val="en-AU"/>
        </w:rPr>
        <w:fldChar w:fldCharType="separate"/>
      </w:r>
      <w:r w:rsidR="00025B72" w:rsidRPr="00FF09A2">
        <w:t xml:space="preserve">Table </w:t>
      </w:r>
      <w:r w:rsidR="00025B72">
        <w:rPr>
          <w:noProof/>
        </w:rPr>
        <w:t>4</w:t>
      </w:r>
      <w:r w:rsidR="008B5905" w:rsidRPr="00FF09A2">
        <w:rPr>
          <w:lang w:val="en-AU"/>
        </w:rPr>
        <w:fldChar w:fldCharType="end"/>
      </w:r>
      <w:r w:rsidRPr="00FF09A2">
        <w:rPr>
          <w:lang w:val="en-AU"/>
        </w:rPr>
        <w:t xml:space="preserve">. </w:t>
      </w:r>
    </w:p>
    <w:p w14:paraId="63F9803B" w14:textId="0B5E76B7" w:rsidR="00F86069" w:rsidRPr="00FF09A2" w:rsidRDefault="00F86069" w:rsidP="00F86069">
      <w:pPr>
        <w:pStyle w:val="Caption"/>
      </w:pPr>
      <w:bookmarkStart w:id="23" w:name="_Ref132608111"/>
      <w:r w:rsidRPr="00FF09A2">
        <w:lastRenderedPageBreak/>
        <w:t xml:space="preserve">Table </w:t>
      </w:r>
      <w:r w:rsidR="00025B72">
        <w:fldChar w:fldCharType="begin"/>
      </w:r>
      <w:r w:rsidR="00025B72">
        <w:instrText xml:space="preserve"> SEQ Table \* ARABIC </w:instrText>
      </w:r>
      <w:r w:rsidR="00025B72">
        <w:fldChar w:fldCharType="separate"/>
      </w:r>
      <w:r w:rsidR="00025B72">
        <w:rPr>
          <w:noProof/>
        </w:rPr>
        <w:t>4</w:t>
      </w:r>
      <w:r w:rsidR="00025B72">
        <w:rPr>
          <w:noProof/>
        </w:rPr>
        <w:fldChar w:fldCharType="end"/>
      </w:r>
      <w:bookmarkEnd w:id="23"/>
      <w:r w:rsidRPr="00FF09A2">
        <w:t xml:space="preserve">: Key features of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5"/>
        <w:gridCol w:w="842"/>
        <w:gridCol w:w="2234"/>
        <w:gridCol w:w="636"/>
        <w:gridCol w:w="986"/>
        <w:gridCol w:w="2290"/>
        <w:gridCol w:w="1204"/>
      </w:tblGrid>
      <w:tr w:rsidR="00C97B14" w:rsidRPr="00FF09A2" w14:paraId="001070C3" w14:textId="77777777" w:rsidTr="006E36B3">
        <w:trPr>
          <w:cantSplit/>
          <w:tblHeader/>
        </w:trPr>
        <w:tc>
          <w:tcPr>
            <w:tcW w:w="460" w:type="pct"/>
            <w:shd w:val="clear" w:color="auto" w:fill="auto"/>
            <w:vAlign w:val="center"/>
          </w:tcPr>
          <w:p w14:paraId="75B94DD1" w14:textId="377EEB87" w:rsidR="00F86069" w:rsidRPr="00FF09A2" w:rsidRDefault="00F86069" w:rsidP="00B12403">
            <w:pPr>
              <w:pStyle w:val="In-tableHeading"/>
              <w:rPr>
                <w:lang w:val="en-AU"/>
              </w:rPr>
            </w:pPr>
          </w:p>
        </w:tc>
        <w:tc>
          <w:tcPr>
            <w:tcW w:w="469" w:type="pct"/>
            <w:shd w:val="clear" w:color="auto" w:fill="auto"/>
            <w:vAlign w:val="center"/>
          </w:tcPr>
          <w:p w14:paraId="60EB4AD4" w14:textId="77777777" w:rsidR="00F86069" w:rsidRPr="00FF09A2" w:rsidRDefault="00F86069" w:rsidP="00B12403">
            <w:pPr>
              <w:pStyle w:val="In-tableHeading"/>
              <w:jc w:val="center"/>
              <w:rPr>
                <w:lang w:val="en-AU"/>
              </w:rPr>
            </w:pPr>
            <w:r w:rsidRPr="00FF09A2">
              <w:rPr>
                <w:lang w:val="en-AU"/>
              </w:rPr>
              <w:t>N</w:t>
            </w:r>
          </w:p>
        </w:tc>
        <w:tc>
          <w:tcPr>
            <w:tcW w:w="1241" w:type="pct"/>
            <w:shd w:val="clear" w:color="auto" w:fill="auto"/>
            <w:vAlign w:val="center"/>
          </w:tcPr>
          <w:p w14:paraId="3DA28341" w14:textId="426658FE" w:rsidR="00F86069" w:rsidRPr="00FF09A2" w:rsidRDefault="00F86069" w:rsidP="00B12403">
            <w:pPr>
              <w:pStyle w:val="In-tableHeading"/>
              <w:jc w:val="center"/>
              <w:rPr>
                <w:lang w:val="en-AU"/>
              </w:rPr>
            </w:pPr>
            <w:r w:rsidRPr="00FF09A2">
              <w:rPr>
                <w:lang w:val="en-AU"/>
              </w:rPr>
              <w:t>Design/duration</w:t>
            </w:r>
          </w:p>
        </w:tc>
        <w:tc>
          <w:tcPr>
            <w:tcW w:w="355" w:type="pct"/>
            <w:shd w:val="clear" w:color="auto" w:fill="auto"/>
            <w:vAlign w:val="center"/>
          </w:tcPr>
          <w:p w14:paraId="1E921F18" w14:textId="77777777" w:rsidR="00F86069" w:rsidRPr="00FF09A2" w:rsidRDefault="00F86069" w:rsidP="00B12403">
            <w:pPr>
              <w:pStyle w:val="In-tableHeading"/>
              <w:jc w:val="center"/>
              <w:rPr>
                <w:lang w:val="en-AU"/>
              </w:rPr>
            </w:pPr>
            <w:r w:rsidRPr="00FF09A2">
              <w:rPr>
                <w:lang w:val="en-AU"/>
              </w:rPr>
              <w:t>Risk of bias</w:t>
            </w:r>
          </w:p>
        </w:tc>
        <w:tc>
          <w:tcPr>
            <w:tcW w:w="533" w:type="pct"/>
            <w:shd w:val="clear" w:color="auto" w:fill="auto"/>
            <w:vAlign w:val="center"/>
          </w:tcPr>
          <w:p w14:paraId="66BFA452" w14:textId="77777777" w:rsidR="00F86069" w:rsidRPr="00FF09A2" w:rsidRDefault="00F86069" w:rsidP="00B12403">
            <w:pPr>
              <w:pStyle w:val="In-tableHeading"/>
              <w:jc w:val="center"/>
              <w:rPr>
                <w:lang w:val="en-AU"/>
              </w:rPr>
            </w:pPr>
            <w:r w:rsidRPr="00FF09A2">
              <w:rPr>
                <w:lang w:val="en-AU"/>
              </w:rPr>
              <w:t>Patient population</w:t>
            </w:r>
          </w:p>
        </w:tc>
        <w:tc>
          <w:tcPr>
            <w:tcW w:w="1272" w:type="pct"/>
            <w:shd w:val="clear" w:color="auto" w:fill="auto"/>
            <w:vAlign w:val="center"/>
          </w:tcPr>
          <w:p w14:paraId="610FDE5D" w14:textId="592A74F6" w:rsidR="00F86069" w:rsidRPr="00FF09A2" w:rsidRDefault="00F86069" w:rsidP="00B12403">
            <w:pPr>
              <w:pStyle w:val="In-tableHeading"/>
              <w:jc w:val="center"/>
              <w:rPr>
                <w:lang w:val="en-AU"/>
              </w:rPr>
            </w:pPr>
            <w:r w:rsidRPr="00FF09A2">
              <w:rPr>
                <w:lang w:val="en-AU"/>
              </w:rPr>
              <w:t>Outcomes</w:t>
            </w:r>
          </w:p>
        </w:tc>
        <w:tc>
          <w:tcPr>
            <w:tcW w:w="670" w:type="pct"/>
            <w:shd w:val="clear" w:color="auto" w:fill="auto"/>
            <w:vAlign w:val="center"/>
          </w:tcPr>
          <w:p w14:paraId="38D28A4D" w14:textId="77777777" w:rsidR="00F86069" w:rsidRPr="00FF09A2" w:rsidRDefault="00F86069" w:rsidP="00B12403">
            <w:pPr>
              <w:pStyle w:val="In-tableHeading"/>
              <w:jc w:val="center"/>
              <w:rPr>
                <w:lang w:val="en-AU"/>
              </w:rPr>
            </w:pPr>
            <w:r w:rsidRPr="00FF09A2">
              <w:rPr>
                <w:lang w:val="en-AU"/>
              </w:rPr>
              <w:t>Use in modelled evaluation</w:t>
            </w:r>
          </w:p>
        </w:tc>
      </w:tr>
      <w:tr w:rsidR="00F86069" w:rsidRPr="00FF09A2" w14:paraId="707DF1E9" w14:textId="77777777" w:rsidTr="00B12403">
        <w:trPr>
          <w:cantSplit/>
        </w:trPr>
        <w:tc>
          <w:tcPr>
            <w:tcW w:w="5000" w:type="pct"/>
            <w:gridSpan w:val="7"/>
            <w:shd w:val="clear" w:color="auto" w:fill="auto"/>
            <w:vAlign w:val="center"/>
          </w:tcPr>
          <w:p w14:paraId="11C29294" w14:textId="77777777" w:rsidR="00F86069" w:rsidRPr="00FF09A2" w:rsidRDefault="00F86069" w:rsidP="00B12403">
            <w:pPr>
              <w:pStyle w:val="In-tableHeading"/>
              <w:rPr>
                <w:lang w:val="en-AU"/>
              </w:rPr>
            </w:pPr>
            <w:r w:rsidRPr="00FF09A2">
              <w:rPr>
                <w:lang w:val="en-AU"/>
              </w:rPr>
              <w:t>Lumacaftor/ivacaftor + BSC</w:t>
            </w:r>
          </w:p>
        </w:tc>
      </w:tr>
      <w:tr w:rsidR="00C97B14" w:rsidRPr="00FF09A2" w14:paraId="70F77FC0" w14:textId="77777777" w:rsidTr="006E36B3">
        <w:trPr>
          <w:cantSplit/>
          <w:trHeight w:val="2096"/>
        </w:trPr>
        <w:tc>
          <w:tcPr>
            <w:tcW w:w="460" w:type="pct"/>
            <w:vMerge w:val="restart"/>
            <w:shd w:val="clear" w:color="auto" w:fill="auto"/>
            <w:vAlign w:val="center"/>
          </w:tcPr>
          <w:p w14:paraId="2AB65D58" w14:textId="77777777" w:rsidR="008B5905" w:rsidRPr="00FF09A2" w:rsidRDefault="008B5905" w:rsidP="00B12403">
            <w:pPr>
              <w:pStyle w:val="TableText0"/>
            </w:pPr>
            <w:r w:rsidRPr="00FF09A2">
              <w:t>Study 122</w:t>
            </w:r>
          </w:p>
        </w:tc>
        <w:tc>
          <w:tcPr>
            <w:tcW w:w="469" w:type="pct"/>
            <w:vMerge w:val="restart"/>
            <w:shd w:val="clear" w:color="auto" w:fill="auto"/>
            <w:vAlign w:val="center"/>
          </w:tcPr>
          <w:p w14:paraId="3127B763" w14:textId="4CD5D536" w:rsidR="008B5905" w:rsidRPr="00FF09A2" w:rsidRDefault="008B5905" w:rsidP="00B12403">
            <w:pPr>
              <w:pStyle w:val="TableText0"/>
            </w:pPr>
            <w:r w:rsidRPr="00FF09A2">
              <w:t>Part A (N=14)</w:t>
            </w:r>
          </w:p>
          <w:p w14:paraId="5BB31034" w14:textId="77777777" w:rsidR="008B5905" w:rsidRPr="00FF09A2" w:rsidRDefault="008B5905" w:rsidP="00B12403">
            <w:pPr>
              <w:pStyle w:val="TableText0"/>
            </w:pPr>
            <w:r w:rsidRPr="00FF09A2">
              <w:t>Part B (N=46)</w:t>
            </w:r>
          </w:p>
        </w:tc>
        <w:tc>
          <w:tcPr>
            <w:tcW w:w="1241" w:type="pct"/>
            <w:shd w:val="clear" w:color="auto" w:fill="auto"/>
          </w:tcPr>
          <w:p w14:paraId="72FDC4D1" w14:textId="77777777" w:rsidR="008B5905" w:rsidRPr="00FF09A2" w:rsidRDefault="008B5905" w:rsidP="003F5A2A">
            <w:pPr>
              <w:pStyle w:val="TableText0"/>
              <w:rPr>
                <w:szCs w:val="20"/>
              </w:rPr>
            </w:pPr>
            <w:r w:rsidRPr="00FF09A2">
              <w:t>OL, MC, 2-part study</w:t>
            </w:r>
            <w:r w:rsidRPr="00FF09A2">
              <w:rPr>
                <w:szCs w:val="20"/>
              </w:rPr>
              <w:t xml:space="preserve"> </w:t>
            </w:r>
          </w:p>
          <w:p w14:paraId="29F0612A" w14:textId="77777777" w:rsidR="006E36B3" w:rsidRDefault="006E36B3" w:rsidP="003F5A2A">
            <w:pPr>
              <w:pStyle w:val="TableText0"/>
              <w:rPr>
                <w:szCs w:val="20"/>
              </w:rPr>
            </w:pPr>
          </w:p>
          <w:p w14:paraId="6D401545" w14:textId="5361832C" w:rsidR="008B5905" w:rsidRPr="00FF09A2" w:rsidRDefault="008B5905" w:rsidP="003F5A2A">
            <w:pPr>
              <w:pStyle w:val="TableText0"/>
              <w:rPr>
                <w:szCs w:val="20"/>
              </w:rPr>
            </w:pPr>
            <w:r w:rsidRPr="00FF09A2">
              <w:rPr>
                <w:szCs w:val="20"/>
              </w:rPr>
              <w:t>Part A: 15 days</w:t>
            </w:r>
            <w:r w:rsidR="00FD7757">
              <w:rPr>
                <w:szCs w:val="20"/>
              </w:rPr>
              <w:t xml:space="preserve">, dose based on patient </w:t>
            </w:r>
            <w:proofErr w:type="gramStart"/>
            <w:r w:rsidR="00FD7757">
              <w:rPr>
                <w:szCs w:val="20"/>
              </w:rPr>
              <w:t>weight</w:t>
            </w:r>
            <w:proofErr w:type="gramEnd"/>
          </w:p>
          <w:p w14:paraId="2A4D6C66" w14:textId="25BB1532" w:rsidR="008B5905" w:rsidRPr="00FF09A2" w:rsidRDefault="006E36B3" w:rsidP="003F5A2A">
            <w:pPr>
              <w:pStyle w:val="TableText0"/>
              <w:rPr>
                <w:rFonts w:cstheme="minorHAnsi"/>
                <w:szCs w:val="18"/>
              </w:rPr>
            </w:pPr>
            <w:r>
              <w:rPr>
                <w:rFonts w:cstheme="minorHAnsi"/>
                <w:szCs w:val="18"/>
              </w:rPr>
              <w:t xml:space="preserve">- </w:t>
            </w:r>
            <w:r w:rsidR="008B5905" w:rsidRPr="00FF09A2">
              <w:rPr>
                <w:rFonts w:cstheme="minorHAnsi"/>
                <w:szCs w:val="18"/>
              </w:rPr>
              <w:t>7 to &lt; 10 kg: LUM 75 mg</w:t>
            </w:r>
            <w:r>
              <w:rPr>
                <w:rFonts w:cstheme="minorHAnsi"/>
                <w:szCs w:val="18"/>
              </w:rPr>
              <w:t xml:space="preserve">, </w:t>
            </w:r>
            <w:r w:rsidR="008B5905" w:rsidRPr="00FF09A2">
              <w:rPr>
                <w:rFonts w:cstheme="minorHAnsi"/>
                <w:szCs w:val="18"/>
              </w:rPr>
              <w:t>IVA 94 mg</w:t>
            </w:r>
            <w:r w:rsidR="008B5905" w:rsidRPr="00FF09A2">
              <w:rPr>
                <w:rFonts w:cstheme="minorHAnsi"/>
                <w:spacing w:val="-5"/>
                <w:szCs w:val="18"/>
              </w:rPr>
              <w:t xml:space="preserve"> </w:t>
            </w:r>
            <w:r w:rsidR="008B5905" w:rsidRPr="00FF09A2">
              <w:rPr>
                <w:rFonts w:cstheme="minorHAnsi"/>
                <w:spacing w:val="-4"/>
                <w:szCs w:val="18"/>
              </w:rPr>
              <w:t>q12h</w:t>
            </w:r>
          </w:p>
          <w:p w14:paraId="77445B85" w14:textId="1B1E7DED" w:rsidR="008B5905" w:rsidRPr="00FF09A2" w:rsidRDefault="006E36B3" w:rsidP="003F5A2A">
            <w:pPr>
              <w:pStyle w:val="TableText0"/>
              <w:rPr>
                <w:rFonts w:cstheme="minorHAnsi"/>
                <w:spacing w:val="-5"/>
                <w:szCs w:val="18"/>
              </w:rPr>
            </w:pPr>
            <w:r>
              <w:rPr>
                <w:rFonts w:cstheme="minorHAnsi"/>
                <w:szCs w:val="18"/>
              </w:rPr>
              <w:t xml:space="preserve">- </w:t>
            </w:r>
            <w:r w:rsidR="008B5905" w:rsidRPr="00FF09A2">
              <w:rPr>
                <w:rFonts w:cstheme="minorHAnsi"/>
                <w:szCs w:val="18"/>
              </w:rPr>
              <w:t>10</w:t>
            </w:r>
            <w:r w:rsidR="008B5905" w:rsidRPr="00FF09A2">
              <w:rPr>
                <w:rFonts w:cstheme="minorHAnsi"/>
                <w:spacing w:val="-2"/>
                <w:szCs w:val="18"/>
              </w:rPr>
              <w:t xml:space="preserve"> </w:t>
            </w:r>
            <w:r w:rsidR="008B5905" w:rsidRPr="00FF09A2">
              <w:rPr>
                <w:rFonts w:cstheme="minorHAnsi"/>
                <w:szCs w:val="18"/>
              </w:rPr>
              <w:t>to</w:t>
            </w:r>
            <w:r w:rsidR="008B5905" w:rsidRPr="00FF09A2">
              <w:rPr>
                <w:rFonts w:cstheme="minorHAnsi"/>
                <w:spacing w:val="-2"/>
                <w:szCs w:val="18"/>
              </w:rPr>
              <w:t xml:space="preserve"> </w:t>
            </w:r>
            <w:r w:rsidR="008B5905" w:rsidRPr="00FF09A2">
              <w:rPr>
                <w:rFonts w:cstheme="minorHAnsi"/>
                <w:szCs w:val="18"/>
              </w:rPr>
              <w:t>&lt; 14</w:t>
            </w:r>
            <w:r w:rsidR="008B5905" w:rsidRPr="00FF09A2">
              <w:rPr>
                <w:rFonts w:cstheme="minorHAnsi"/>
                <w:spacing w:val="-1"/>
                <w:szCs w:val="18"/>
              </w:rPr>
              <w:t xml:space="preserve"> </w:t>
            </w:r>
            <w:r w:rsidR="008B5905" w:rsidRPr="00FF09A2">
              <w:rPr>
                <w:rFonts w:cstheme="minorHAnsi"/>
                <w:spacing w:val="-5"/>
                <w:szCs w:val="18"/>
              </w:rPr>
              <w:t xml:space="preserve">kg: </w:t>
            </w:r>
            <w:r w:rsidR="008B5905" w:rsidRPr="00FF09A2">
              <w:rPr>
                <w:rFonts w:cstheme="minorHAnsi"/>
                <w:szCs w:val="18"/>
              </w:rPr>
              <w:t>LUM 100 mg</w:t>
            </w:r>
            <w:r>
              <w:rPr>
                <w:rFonts w:cstheme="minorHAnsi"/>
                <w:szCs w:val="18"/>
              </w:rPr>
              <w:t>, I</w:t>
            </w:r>
            <w:r w:rsidR="008B5905" w:rsidRPr="00FF09A2">
              <w:rPr>
                <w:rFonts w:cstheme="minorHAnsi"/>
                <w:szCs w:val="18"/>
              </w:rPr>
              <w:t>VA 125 mg</w:t>
            </w:r>
            <w:r w:rsidR="008B5905" w:rsidRPr="00FF09A2">
              <w:rPr>
                <w:rFonts w:cstheme="minorHAnsi"/>
                <w:spacing w:val="-8"/>
                <w:szCs w:val="18"/>
              </w:rPr>
              <w:t xml:space="preserve"> </w:t>
            </w:r>
            <w:r w:rsidR="008B5905" w:rsidRPr="00FF09A2">
              <w:rPr>
                <w:rFonts w:cstheme="minorHAnsi"/>
                <w:spacing w:val="-4"/>
                <w:szCs w:val="18"/>
              </w:rPr>
              <w:t>q12h</w:t>
            </w:r>
          </w:p>
          <w:p w14:paraId="7F81806A" w14:textId="7E93171E" w:rsidR="008B5905" w:rsidRPr="00FF09A2" w:rsidRDefault="006E36B3" w:rsidP="003F5A2A">
            <w:pPr>
              <w:pStyle w:val="TableText0"/>
            </w:pPr>
            <w:r>
              <w:rPr>
                <w:rFonts w:cstheme="minorHAnsi"/>
                <w:szCs w:val="18"/>
              </w:rPr>
              <w:t xml:space="preserve">- </w:t>
            </w:r>
            <w:r w:rsidR="008B5905" w:rsidRPr="00FF09A2">
              <w:rPr>
                <w:rFonts w:cstheme="minorHAnsi"/>
                <w:szCs w:val="18"/>
              </w:rPr>
              <w:t>≥ 14</w:t>
            </w:r>
            <w:r w:rsidR="008B5905" w:rsidRPr="00FF09A2">
              <w:rPr>
                <w:rFonts w:cstheme="minorHAnsi"/>
                <w:spacing w:val="-1"/>
                <w:szCs w:val="18"/>
              </w:rPr>
              <w:t xml:space="preserve"> </w:t>
            </w:r>
            <w:r w:rsidR="008B5905" w:rsidRPr="00FF09A2">
              <w:rPr>
                <w:rFonts w:cstheme="minorHAnsi"/>
                <w:spacing w:val="-5"/>
                <w:szCs w:val="18"/>
              </w:rPr>
              <w:t xml:space="preserve">kg: </w:t>
            </w:r>
            <w:r w:rsidR="008B5905" w:rsidRPr="00FF09A2">
              <w:rPr>
                <w:rFonts w:cstheme="minorHAnsi"/>
                <w:szCs w:val="18"/>
              </w:rPr>
              <w:t>LUM 150 mg</w:t>
            </w:r>
            <w:r>
              <w:rPr>
                <w:rFonts w:cstheme="minorHAnsi"/>
                <w:szCs w:val="18"/>
              </w:rPr>
              <w:t xml:space="preserve">, </w:t>
            </w:r>
            <w:r w:rsidR="008B5905" w:rsidRPr="00FF09A2">
              <w:rPr>
                <w:rFonts w:cstheme="minorHAnsi"/>
                <w:szCs w:val="18"/>
              </w:rPr>
              <w:t>IVA 188</w:t>
            </w:r>
            <w:r w:rsidR="008B5905" w:rsidRPr="00FF09A2">
              <w:rPr>
                <w:rFonts w:cstheme="minorHAnsi"/>
                <w:spacing w:val="-7"/>
                <w:szCs w:val="18"/>
              </w:rPr>
              <w:t xml:space="preserve"> mg </w:t>
            </w:r>
            <w:r w:rsidR="008B5905" w:rsidRPr="00FF09A2">
              <w:rPr>
                <w:rFonts w:cstheme="minorHAnsi"/>
                <w:spacing w:val="-4"/>
                <w:szCs w:val="18"/>
              </w:rPr>
              <w:t>q12h</w:t>
            </w:r>
          </w:p>
        </w:tc>
        <w:tc>
          <w:tcPr>
            <w:tcW w:w="355" w:type="pct"/>
            <w:vMerge w:val="restart"/>
            <w:shd w:val="clear" w:color="auto" w:fill="auto"/>
            <w:vAlign w:val="center"/>
          </w:tcPr>
          <w:p w14:paraId="2628676F" w14:textId="77777777" w:rsidR="008B5905" w:rsidRPr="00B3449A" w:rsidRDefault="008B5905" w:rsidP="00B12403">
            <w:pPr>
              <w:pStyle w:val="TableText0"/>
              <w:jc w:val="center"/>
              <w:rPr>
                <w:iCs/>
              </w:rPr>
            </w:pPr>
            <w:r w:rsidRPr="00B3449A">
              <w:rPr>
                <w:iCs/>
              </w:rPr>
              <w:t>High</w:t>
            </w:r>
            <w:r w:rsidRPr="00B3449A">
              <w:rPr>
                <w:iCs/>
                <w:vertAlign w:val="superscript"/>
              </w:rPr>
              <w:t>b</w:t>
            </w:r>
          </w:p>
        </w:tc>
        <w:tc>
          <w:tcPr>
            <w:tcW w:w="533" w:type="pct"/>
            <w:vMerge w:val="restart"/>
            <w:shd w:val="clear" w:color="auto" w:fill="auto"/>
            <w:vAlign w:val="center"/>
          </w:tcPr>
          <w:p w14:paraId="7714C9CA" w14:textId="77777777" w:rsidR="008B5905" w:rsidRPr="00FF09A2" w:rsidRDefault="008B5905" w:rsidP="00B12403">
            <w:pPr>
              <w:pStyle w:val="TableText0"/>
              <w:jc w:val="center"/>
            </w:pPr>
            <w:r w:rsidRPr="00FF09A2">
              <w:rPr>
                <w:rFonts w:cs="Times New Roman"/>
              </w:rPr>
              <w:t>Aged 1 to less than 2 years with CF homozygous for the F508del mutation.</w:t>
            </w:r>
          </w:p>
        </w:tc>
        <w:tc>
          <w:tcPr>
            <w:tcW w:w="1272" w:type="pct"/>
            <w:shd w:val="clear" w:color="auto" w:fill="auto"/>
          </w:tcPr>
          <w:p w14:paraId="261FE782" w14:textId="77777777" w:rsidR="006E36B3" w:rsidRDefault="006E36B3" w:rsidP="006E36B3">
            <w:pPr>
              <w:pStyle w:val="Tablebulletlist"/>
              <w:numPr>
                <w:ilvl w:val="0"/>
                <w:numId w:val="0"/>
              </w:numPr>
              <w:spacing w:before="0"/>
              <w:ind w:left="144"/>
              <w:rPr>
                <w:rFonts w:ascii="Arial Narrow" w:hAnsi="Arial Narrow"/>
                <w:sz w:val="20"/>
                <w:szCs w:val="20"/>
                <w:lang w:val="en-AU"/>
              </w:rPr>
            </w:pPr>
          </w:p>
          <w:p w14:paraId="1709891A" w14:textId="77777777" w:rsidR="006E36B3" w:rsidRDefault="006E36B3" w:rsidP="006E36B3">
            <w:pPr>
              <w:pStyle w:val="Tablebulletlist"/>
              <w:numPr>
                <w:ilvl w:val="0"/>
                <w:numId w:val="0"/>
              </w:numPr>
              <w:spacing w:before="0"/>
              <w:ind w:left="144"/>
              <w:rPr>
                <w:rFonts w:ascii="Arial Narrow" w:hAnsi="Arial Narrow"/>
                <w:sz w:val="20"/>
                <w:szCs w:val="20"/>
                <w:lang w:val="en-AU"/>
              </w:rPr>
            </w:pPr>
          </w:p>
          <w:p w14:paraId="1BF2E98B" w14:textId="3101398C" w:rsidR="008B5905" w:rsidRPr="00FF09A2" w:rsidRDefault="008B5905" w:rsidP="003F5A2A">
            <w:pPr>
              <w:pStyle w:val="Tablebulletlist"/>
              <w:spacing w:before="0"/>
              <w:ind w:left="144" w:hanging="144"/>
              <w:rPr>
                <w:rFonts w:ascii="Arial Narrow" w:hAnsi="Arial Narrow"/>
                <w:sz w:val="20"/>
                <w:szCs w:val="20"/>
                <w:lang w:val="en-AU"/>
              </w:rPr>
            </w:pPr>
            <w:r w:rsidRPr="00FF09A2">
              <w:rPr>
                <w:rFonts w:ascii="Arial Narrow" w:hAnsi="Arial Narrow"/>
                <w:sz w:val="20"/>
                <w:szCs w:val="20"/>
                <w:lang w:val="en-AU"/>
              </w:rPr>
              <w:t xml:space="preserve">Primary: PK. </w:t>
            </w:r>
          </w:p>
          <w:p w14:paraId="738E3A9F" w14:textId="34C4D0AB" w:rsidR="008B5905" w:rsidRPr="00FF09A2" w:rsidRDefault="008B5905" w:rsidP="003F5A2A">
            <w:pPr>
              <w:pStyle w:val="Tablebulletlist"/>
              <w:ind w:left="144" w:hanging="144"/>
              <w:rPr>
                <w:rFonts w:ascii="Arial Narrow" w:hAnsi="Arial Narrow"/>
                <w:sz w:val="20"/>
                <w:szCs w:val="20"/>
                <w:lang w:val="en-AU"/>
              </w:rPr>
            </w:pPr>
            <w:r w:rsidRPr="00FF09A2">
              <w:rPr>
                <w:rFonts w:ascii="Arial Narrow" w:hAnsi="Arial Narrow"/>
                <w:sz w:val="20"/>
                <w:szCs w:val="20"/>
                <w:lang w:val="en-AU"/>
              </w:rPr>
              <w:t xml:space="preserve">Secondary: safety, tolerability, PK parameters of the metabolites of </w:t>
            </w:r>
            <w:r w:rsidR="00FD7757">
              <w:rPr>
                <w:rFonts w:ascii="Arial Narrow" w:hAnsi="Arial Narrow"/>
                <w:sz w:val="20"/>
                <w:szCs w:val="20"/>
                <w:lang w:val="en-AU"/>
              </w:rPr>
              <w:t>LUM</w:t>
            </w:r>
            <w:r w:rsidR="00FD7757" w:rsidRPr="00FF09A2">
              <w:rPr>
                <w:rFonts w:ascii="Arial Narrow" w:hAnsi="Arial Narrow"/>
                <w:sz w:val="20"/>
                <w:szCs w:val="20"/>
                <w:lang w:val="en-AU"/>
              </w:rPr>
              <w:t xml:space="preserve"> </w:t>
            </w:r>
            <w:r w:rsidRPr="00FF09A2">
              <w:rPr>
                <w:rFonts w:ascii="Arial Narrow" w:hAnsi="Arial Narrow"/>
                <w:sz w:val="20"/>
                <w:szCs w:val="20"/>
                <w:lang w:val="en-AU"/>
              </w:rPr>
              <w:t xml:space="preserve">and </w:t>
            </w:r>
            <w:r w:rsidR="00FD7757">
              <w:rPr>
                <w:rFonts w:ascii="Arial Narrow" w:hAnsi="Arial Narrow"/>
                <w:sz w:val="20"/>
                <w:szCs w:val="20"/>
                <w:lang w:val="en-AU"/>
              </w:rPr>
              <w:t>IVA</w:t>
            </w:r>
            <w:r w:rsidRPr="00FF09A2">
              <w:rPr>
                <w:rFonts w:ascii="Arial Narrow" w:hAnsi="Arial Narrow"/>
                <w:sz w:val="20"/>
                <w:szCs w:val="20"/>
                <w:lang w:val="en-AU"/>
              </w:rPr>
              <w:t>.</w:t>
            </w:r>
          </w:p>
        </w:tc>
        <w:tc>
          <w:tcPr>
            <w:tcW w:w="670" w:type="pct"/>
            <w:shd w:val="clear" w:color="auto" w:fill="auto"/>
            <w:vAlign w:val="center"/>
          </w:tcPr>
          <w:p w14:paraId="326BE9DD" w14:textId="652981C7" w:rsidR="008B5905" w:rsidRPr="00FF09A2" w:rsidRDefault="00185E28" w:rsidP="00B12403">
            <w:pPr>
              <w:pStyle w:val="TableText0"/>
              <w:jc w:val="center"/>
            </w:pPr>
            <w:r>
              <w:t>No</w:t>
            </w:r>
          </w:p>
        </w:tc>
      </w:tr>
      <w:tr w:rsidR="00C97B14" w:rsidRPr="00FF09A2" w14:paraId="53D4F856" w14:textId="77777777" w:rsidTr="006E36B3">
        <w:trPr>
          <w:cantSplit/>
          <w:trHeight w:val="1375"/>
        </w:trPr>
        <w:tc>
          <w:tcPr>
            <w:tcW w:w="460" w:type="pct"/>
            <w:vMerge/>
            <w:shd w:val="clear" w:color="auto" w:fill="auto"/>
            <w:vAlign w:val="center"/>
          </w:tcPr>
          <w:p w14:paraId="1437789E" w14:textId="77777777" w:rsidR="00F86069" w:rsidRPr="00FF09A2" w:rsidRDefault="00F86069" w:rsidP="00B12403">
            <w:pPr>
              <w:pStyle w:val="TableText0"/>
            </w:pPr>
          </w:p>
        </w:tc>
        <w:tc>
          <w:tcPr>
            <w:tcW w:w="469" w:type="pct"/>
            <w:vMerge/>
            <w:shd w:val="clear" w:color="auto" w:fill="auto"/>
            <w:vAlign w:val="center"/>
          </w:tcPr>
          <w:p w14:paraId="2F1AF5F4" w14:textId="77777777" w:rsidR="00F86069" w:rsidRPr="00FF09A2" w:rsidRDefault="00F86069" w:rsidP="00B12403">
            <w:pPr>
              <w:pStyle w:val="TableText0"/>
            </w:pPr>
          </w:p>
        </w:tc>
        <w:tc>
          <w:tcPr>
            <w:tcW w:w="1241" w:type="pct"/>
            <w:shd w:val="clear" w:color="auto" w:fill="auto"/>
            <w:vAlign w:val="center"/>
          </w:tcPr>
          <w:p w14:paraId="385A6017" w14:textId="7D860A42" w:rsidR="00F86069" w:rsidRPr="00FF09A2" w:rsidRDefault="00F86069" w:rsidP="00B12403">
            <w:pPr>
              <w:keepNext/>
              <w:jc w:val="left"/>
              <w:rPr>
                <w:rFonts w:ascii="Arial Narrow" w:hAnsi="Arial Narrow"/>
                <w:sz w:val="20"/>
                <w:szCs w:val="20"/>
              </w:rPr>
            </w:pPr>
            <w:r w:rsidRPr="00FF09A2">
              <w:rPr>
                <w:rFonts w:ascii="Arial Narrow" w:hAnsi="Arial Narrow"/>
                <w:sz w:val="20"/>
                <w:szCs w:val="20"/>
              </w:rPr>
              <w:t>Part B: 24 weeks</w:t>
            </w:r>
            <w:r w:rsidR="00FD7757">
              <w:rPr>
                <w:rFonts w:ascii="Arial Narrow" w:hAnsi="Arial Narrow"/>
                <w:sz w:val="20"/>
                <w:szCs w:val="20"/>
              </w:rPr>
              <w:t xml:space="preserve">, dose based on patient </w:t>
            </w:r>
            <w:proofErr w:type="gramStart"/>
            <w:r w:rsidR="00FD7757">
              <w:rPr>
                <w:rFonts w:ascii="Arial Narrow" w:hAnsi="Arial Narrow"/>
                <w:sz w:val="20"/>
                <w:szCs w:val="20"/>
              </w:rPr>
              <w:t>weight</w:t>
            </w:r>
            <w:proofErr w:type="gramEnd"/>
          </w:p>
          <w:p w14:paraId="7422E010" w14:textId="4BEEF739" w:rsidR="00F86069" w:rsidRPr="00FF09A2" w:rsidRDefault="006E36B3" w:rsidP="00B12403">
            <w:pPr>
              <w:pStyle w:val="TableText0"/>
              <w:rPr>
                <w:rFonts w:cstheme="minorHAnsi"/>
                <w:spacing w:val="-4"/>
                <w:szCs w:val="18"/>
              </w:rPr>
            </w:pPr>
            <w:r>
              <w:rPr>
                <w:rFonts w:cstheme="minorHAnsi"/>
                <w:szCs w:val="18"/>
              </w:rPr>
              <w:t xml:space="preserve">- </w:t>
            </w:r>
            <w:r w:rsidR="00F86069" w:rsidRPr="00FF09A2">
              <w:rPr>
                <w:rFonts w:cstheme="minorHAnsi"/>
                <w:szCs w:val="18"/>
              </w:rPr>
              <w:t>7 to &lt; 9</w:t>
            </w:r>
            <w:r w:rsidR="00F86069" w:rsidRPr="00FF09A2">
              <w:rPr>
                <w:rFonts w:cstheme="minorHAnsi"/>
                <w:szCs w:val="18"/>
                <w:vertAlign w:val="superscript"/>
              </w:rPr>
              <w:t xml:space="preserve">a </w:t>
            </w:r>
            <w:r w:rsidR="00F86069" w:rsidRPr="00FF09A2">
              <w:rPr>
                <w:rFonts w:cstheme="minorHAnsi"/>
                <w:szCs w:val="18"/>
              </w:rPr>
              <w:t>kg: LUM 75 mg</w:t>
            </w:r>
            <w:r>
              <w:rPr>
                <w:rFonts w:cstheme="minorHAnsi"/>
                <w:szCs w:val="18"/>
              </w:rPr>
              <w:t xml:space="preserve">, </w:t>
            </w:r>
            <w:r w:rsidR="00F86069" w:rsidRPr="00FF09A2">
              <w:rPr>
                <w:rFonts w:cstheme="minorHAnsi"/>
                <w:szCs w:val="18"/>
              </w:rPr>
              <w:t>IVA 94</w:t>
            </w:r>
            <w:r w:rsidR="00F86069" w:rsidRPr="00FF09A2">
              <w:rPr>
                <w:rFonts w:cstheme="minorHAnsi"/>
                <w:spacing w:val="-5"/>
                <w:szCs w:val="18"/>
              </w:rPr>
              <w:t xml:space="preserve"> mg </w:t>
            </w:r>
            <w:r w:rsidR="00F86069" w:rsidRPr="00FF09A2">
              <w:rPr>
                <w:rFonts w:cstheme="minorHAnsi"/>
                <w:spacing w:val="-4"/>
                <w:szCs w:val="18"/>
              </w:rPr>
              <w:t>q12h</w:t>
            </w:r>
          </w:p>
          <w:p w14:paraId="78FACE41" w14:textId="5B6B7C34" w:rsidR="00F86069" w:rsidRPr="00FF09A2" w:rsidRDefault="006E36B3" w:rsidP="00B12403">
            <w:pPr>
              <w:pStyle w:val="TableText0"/>
              <w:rPr>
                <w:rFonts w:cstheme="minorHAnsi"/>
                <w:spacing w:val="-4"/>
                <w:szCs w:val="18"/>
              </w:rPr>
            </w:pPr>
            <w:r>
              <w:rPr>
                <w:rFonts w:cstheme="minorHAnsi"/>
                <w:spacing w:val="-2"/>
                <w:szCs w:val="18"/>
              </w:rPr>
              <w:t xml:space="preserve">- </w:t>
            </w:r>
            <w:r w:rsidR="00F86069" w:rsidRPr="00FF09A2">
              <w:rPr>
                <w:rFonts w:cstheme="minorHAnsi"/>
                <w:spacing w:val="-2"/>
                <w:szCs w:val="18"/>
              </w:rPr>
              <w:t>9</w:t>
            </w:r>
            <w:r w:rsidR="00F86069" w:rsidRPr="00FF09A2">
              <w:rPr>
                <w:rFonts w:cstheme="minorHAnsi"/>
                <w:spacing w:val="-2"/>
                <w:szCs w:val="18"/>
                <w:vertAlign w:val="superscript"/>
              </w:rPr>
              <w:t>a</w:t>
            </w:r>
            <w:r w:rsidR="00F86069" w:rsidRPr="00FF09A2">
              <w:rPr>
                <w:rFonts w:cstheme="minorHAnsi"/>
                <w:spacing w:val="-2"/>
                <w:szCs w:val="18"/>
              </w:rPr>
              <w:t xml:space="preserve"> </w:t>
            </w:r>
            <w:r w:rsidR="00F86069" w:rsidRPr="00FF09A2">
              <w:rPr>
                <w:rFonts w:cstheme="minorHAnsi"/>
                <w:szCs w:val="18"/>
              </w:rPr>
              <w:t>to</w:t>
            </w:r>
            <w:r w:rsidR="00F86069" w:rsidRPr="00FF09A2">
              <w:rPr>
                <w:rFonts w:cstheme="minorHAnsi"/>
                <w:spacing w:val="-2"/>
                <w:szCs w:val="18"/>
              </w:rPr>
              <w:t xml:space="preserve"> </w:t>
            </w:r>
            <w:r w:rsidR="00F86069" w:rsidRPr="00FF09A2">
              <w:rPr>
                <w:rFonts w:cstheme="minorHAnsi"/>
                <w:szCs w:val="18"/>
              </w:rPr>
              <w:t>&lt; 14</w:t>
            </w:r>
            <w:r w:rsidR="00F86069" w:rsidRPr="00FF09A2">
              <w:rPr>
                <w:rFonts w:cstheme="minorHAnsi"/>
                <w:spacing w:val="-1"/>
                <w:szCs w:val="18"/>
              </w:rPr>
              <w:t xml:space="preserve"> </w:t>
            </w:r>
            <w:r w:rsidR="00F86069" w:rsidRPr="00FF09A2">
              <w:rPr>
                <w:rFonts w:cstheme="minorHAnsi"/>
                <w:spacing w:val="-5"/>
                <w:szCs w:val="18"/>
              </w:rPr>
              <w:t xml:space="preserve">kg: </w:t>
            </w:r>
            <w:r w:rsidR="00F86069" w:rsidRPr="00FF09A2">
              <w:rPr>
                <w:rFonts w:cstheme="minorHAnsi"/>
                <w:szCs w:val="18"/>
              </w:rPr>
              <w:t>LUM 100 mg</w:t>
            </w:r>
            <w:r>
              <w:rPr>
                <w:rFonts w:cstheme="minorHAnsi"/>
                <w:szCs w:val="18"/>
              </w:rPr>
              <w:t xml:space="preserve">, </w:t>
            </w:r>
            <w:r w:rsidR="00F86069" w:rsidRPr="00FF09A2">
              <w:rPr>
                <w:rFonts w:cstheme="minorHAnsi"/>
                <w:szCs w:val="18"/>
              </w:rPr>
              <w:t>IVA 125</w:t>
            </w:r>
            <w:r w:rsidR="00F86069" w:rsidRPr="00FF09A2">
              <w:rPr>
                <w:rFonts w:cstheme="minorHAnsi"/>
                <w:spacing w:val="-8"/>
                <w:szCs w:val="18"/>
              </w:rPr>
              <w:t xml:space="preserve"> mg </w:t>
            </w:r>
            <w:r w:rsidR="00F86069" w:rsidRPr="00FF09A2">
              <w:rPr>
                <w:rFonts w:cstheme="minorHAnsi"/>
                <w:spacing w:val="-4"/>
                <w:szCs w:val="18"/>
              </w:rPr>
              <w:t>q12h</w:t>
            </w:r>
          </w:p>
          <w:p w14:paraId="2A2B59EF" w14:textId="351273F8" w:rsidR="00F86069" w:rsidRPr="00FF09A2" w:rsidRDefault="006E36B3" w:rsidP="00B12403">
            <w:pPr>
              <w:pStyle w:val="TableText0"/>
            </w:pPr>
            <w:r>
              <w:rPr>
                <w:rFonts w:cstheme="minorHAnsi"/>
                <w:szCs w:val="18"/>
              </w:rPr>
              <w:t xml:space="preserve">- </w:t>
            </w:r>
            <w:r w:rsidR="00F86069" w:rsidRPr="00FF09A2">
              <w:rPr>
                <w:rFonts w:cstheme="minorHAnsi"/>
                <w:szCs w:val="18"/>
              </w:rPr>
              <w:t>≥ 14</w:t>
            </w:r>
            <w:r w:rsidR="00F86069" w:rsidRPr="00FF09A2">
              <w:rPr>
                <w:rFonts w:cstheme="minorHAnsi"/>
                <w:spacing w:val="-1"/>
                <w:szCs w:val="18"/>
              </w:rPr>
              <w:t xml:space="preserve"> </w:t>
            </w:r>
            <w:r w:rsidR="00F86069" w:rsidRPr="00FF09A2">
              <w:rPr>
                <w:rFonts w:cstheme="minorHAnsi"/>
                <w:spacing w:val="-5"/>
                <w:szCs w:val="18"/>
              </w:rPr>
              <w:t xml:space="preserve">kg: </w:t>
            </w:r>
            <w:r w:rsidR="00F86069" w:rsidRPr="00FF09A2">
              <w:rPr>
                <w:rFonts w:cstheme="minorHAnsi"/>
                <w:szCs w:val="18"/>
              </w:rPr>
              <w:t>LUM 150 mg</w:t>
            </w:r>
            <w:r>
              <w:rPr>
                <w:rFonts w:cstheme="minorHAnsi"/>
                <w:szCs w:val="18"/>
              </w:rPr>
              <w:t xml:space="preserve">, </w:t>
            </w:r>
            <w:r w:rsidR="00F86069" w:rsidRPr="00FF09A2">
              <w:rPr>
                <w:rFonts w:cstheme="minorHAnsi"/>
                <w:szCs w:val="18"/>
              </w:rPr>
              <w:t>IVA 188 mg</w:t>
            </w:r>
            <w:r w:rsidR="00F86069" w:rsidRPr="00FF09A2">
              <w:rPr>
                <w:rFonts w:cstheme="minorHAnsi"/>
                <w:spacing w:val="-7"/>
                <w:szCs w:val="18"/>
              </w:rPr>
              <w:t xml:space="preserve"> </w:t>
            </w:r>
            <w:r w:rsidR="00F86069" w:rsidRPr="00FF09A2">
              <w:rPr>
                <w:rFonts w:cstheme="minorHAnsi"/>
                <w:spacing w:val="-4"/>
                <w:szCs w:val="18"/>
              </w:rPr>
              <w:t>q12h</w:t>
            </w:r>
          </w:p>
        </w:tc>
        <w:tc>
          <w:tcPr>
            <w:tcW w:w="355" w:type="pct"/>
            <w:vMerge/>
            <w:shd w:val="clear" w:color="auto" w:fill="auto"/>
            <w:vAlign w:val="center"/>
          </w:tcPr>
          <w:p w14:paraId="5C25F9BE" w14:textId="77777777" w:rsidR="00F86069" w:rsidRPr="00FF09A2" w:rsidRDefault="00F86069" w:rsidP="00B12403">
            <w:pPr>
              <w:pStyle w:val="TableText0"/>
              <w:jc w:val="center"/>
              <w:rPr>
                <w:i/>
              </w:rPr>
            </w:pPr>
          </w:p>
        </w:tc>
        <w:tc>
          <w:tcPr>
            <w:tcW w:w="533" w:type="pct"/>
            <w:vMerge/>
            <w:shd w:val="clear" w:color="auto" w:fill="auto"/>
            <w:vAlign w:val="center"/>
          </w:tcPr>
          <w:p w14:paraId="37EAD8A6" w14:textId="77777777" w:rsidR="00F86069" w:rsidRPr="00FF09A2" w:rsidRDefault="00F86069" w:rsidP="00B12403">
            <w:pPr>
              <w:pStyle w:val="TableText0"/>
              <w:jc w:val="center"/>
              <w:rPr>
                <w:rFonts w:cs="Times New Roman"/>
              </w:rPr>
            </w:pPr>
          </w:p>
        </w:tc>
        <w:tc>
          <w:tcPr>
            <w:tcW w:w="1272" w:type="pct"/>
            <w:shd w:val="clear" w:color="auto" w:fill="auto"/>
            <w:vAlign w:val="center"/>
          </w:tcPr>
          <w:p w14:paraId="62D8D597" w14:textId="7F7EC1E5" w:rsidR="007E5132" w:rsidRPr="00FF09A2" w:rsidRDefault="007E5132" w:rsidP="00EB6821">
            <w:pPr>
              <w:pStyle w:val="Tablebulletlist"/>
              <w:ind w:left="144" w:hanging="144"/>
              <w:rPr>
                <w:rFonts w:ascii="Arial Narrow" w:hAnsi="Arial Narrow"/>
                <w:sz w:val="20"/>
                <w:szCs w:val="20"/>
                <w:lang w:val="en-AU"/>
              </w:rPr>
            </w:pPr>
            <w:r w:rsidRPr="00FF09A2">
              <w:rPr>
                <w:rFonts w:ascii="Arial Narrow" w:hAnsi="Arial Narrow"/>
                <w:sz w:val="20"/>
                <w:szCs w:val="20"/>
                <w:lang w:val="en-AU"/>
              </w:rPr>
              <w:t xml:space="preserve">Primary: </w:t>
            </w:r>
            <w:r w:rsidR="00FB1D4D" w:rsidRPr="00FF09A2">
              <w:rPr>
                <w:rFonts w:ascii="Arial Narrow" w:hAnsi="Arial Narrow"/>
                <w:sz w:val="20"/>
                <w:szCs w:val="20"/>
                <w:lang w:val="en-AU"/>
              </w:rPr>
              <w:t>safety and tolerability</w:t>
            </w:r>
            <w:r w:rsidRPr="00FF09A2">
              <w:rPr>
                <w:rFonts w:ascii="Arial Narrow" w:hAnsi="Arial Narrow"/>
                <w:sz w:val="20"/>
                <w:szCs w:val="20"/>
                <w:lang w:val="en-AU"/>
              </w:rPr>
              <w:t>.</w:t>
            </w:r>
          </w:p>
          <w:p w14:paraId="5AD10C99" w14:textId="1A447386" w:rsidR="008B5905" w:rsidRPr="00FF09A2" w:rsidRDefault="007E5132" w:rsidP="00EB6821">
            <w:pPr>
              <w:pStyle w:val="Tablebulletlist"/>
              <w:ind w:left="144" w:hanging="144"/>
              <w:rPr>
                <w:rFonts w:ascii="Arial Narrow" w:hAnsi="Arial Narrow"/>
                <w:sz w:val="20"/>
                <w:szCs w:val="20"/>
                <w:lang w:val="en-AU"/>
              </w:rPr>
            </w:pPr>
            <w:r w:rsidRPr="00FF09A2">
              <w:rPr>
                <w:rFonts w:ascii="Arial Narrow" w:hAnsi="Arial Narrow"/>
                <w:sz w:val="20"/>
                <w:szCs w:val="20"/>
                <w:lang w:val="en-AU"/>
              </w:rPr>
              <w:t>Secondary:</w:t>
            </w:r>
            <w:r w:rsidR="00FB1D4D" w:rsidRPr="00FF09A2">
              <w:rPr>
                <w:rFonts w:ascii="Arial Narrow" w:hAnsi="Arial Narrow"/>
                <w:sz w:val="20"/>
                <w:szCs w:val="20"/>
                <w:lang w:val="en-AU"/>
              </w:rPr>
              <w:t xml:space="preserve"> absolute change from baseline in </w:t>
            </w:r>
            <w:r w:rsidR="00FD7757">
              <w:rPr>
                <w:rFonts w:ascii="Arial Narrow" w:hAnsi="Arial Narrow"/>
                <w:sz w:val="20"/>
                <w:szCs w:val="20"/>
                <w:lang w:val="en-AU"/>
              </w:rPr>
              <w:t>SwCl</w:t>
            </w:r>
            <w:r w:rsidR="00C97B14" w:rsidRPr="00FF09A2">
              <w:rPr>
                <w:rFonts w:ascii="Arial Narrow" w:hAnsi="Arial Narrow"/>
                <w:sz w:val="20"/>
                <w:szCs w:val="20"/>
                <w:lang w:val="en-AU"/>
              </w:rPr>
              <w:t xml:space="preserve"> at week 24</w:t>
            </w:r>
            <w:r w:rsidR="00590DDF" w:rsidRPr="00FF09A2">
              <w:rPr>
                <w:rFonts w:ascii="Arial Narrow" w:hAnsi="Arial Narrow"/>
                <w:sz w:val="20"/>
                <w:szCs w:val="20"/>
                <w:lang w:val="en-AU"/>
              </w:rPr>
              <w:t>.</w:t>
            </w:r>
          </w:p>
          <w:p w14:paraId="47861DFD" w14:textId="4102B29A" w:rsidR="00F86069" w:rsidRPr="00FF09A2" w:rsidRDefault="00590DDF" w:rsidP="00EB6821">
            <w:pPr>
              <w:pStyle w:val="Tablebulletlist"/>
              <w:ind w:left="144" w:hanging="144"/>
              <w:rPr>
                <w:rFonts w:ascii="Arial Narrow" w:hAnsi="Arial Narrow"/>
                <w:sz w:val="20"/>
                <w:szCs w:val="20"/>
                <w:lang w:val="en-AU"/>
              </w:rPr>
            </w:pPr>
            <w:r w:rsidRPr="00FF09A2">
              <w:rPr>
                <w:rFonts w:ascii="Arial Narrow" w:hAnsi="Arial Narrow"/>
                <w:sz w:val="20"/>
                <w:szCs w:val="20"/>
                <w:lang w:val="en-AU"/>
              </w:rPr>
              <w:t xml:space="preserve">Additional PD outcomes: </w:t>
            </w:r>
            <w:r w:rsidR="006E36B3">
              <w:rPr>
                <w:rFonts w:ascii="Arial Narrow" w:hAnsi="Arial Narrow"/>
                <w:sz w:val="20"/>
                <w:szCs w:val="20"/>
                <w:lang w:val="en-AU"/>
              </w:rPr>
              <w:t>A</w:t>
            </w:r>
            <w:r w:rsidR="008B5905" w:rsidRPr="00FF09A2">
              <w:rPr>
                <w:rFonts w:ascii="Arial Narrow" w:eastAsiaTheme="majorEastAsia" w:hAnsi="Arial Narrow" w:cstheme="majorBidi"/>
                <w:sz w:val="20"/>
                <w:szCs w:val="20"/>
                <w:lang w:val="en-AU"/>
              </w:rPr>
              <w:t xml:space="preserve">bsolute change in SwCl from Week 24 </w:t>
            </w:r>
            <w:r w:rsidR="003F5A2A">
              <w:rPr>
                <w:rFonts w:ascii="Arial Narrow" w:eastAsiaTheme="majorEastAsia" w:hAnsi="Arial Narrow" w:cstheme="majorBidi"/>
                <w:sz w:val="20"/>
                <w:szCs w:val="20"/>
                <w:lang w:val="en-AU"/>
              </w:rPr>
              <w:t>to</w:t>
            </w:r>
            <w:r w:rsidR="006E36B3">
              <w:rPr>
                <w:rFonts w:ascii="Arial Narrow" w:eastAsiaTheme="majorEastAsia" w:hAnsi="Arial Narrow" w:cstheme="majorBidi"/>
                <w:sz w:val="20"/>
                <w:szCs w:val="20"/>
                <w:lang w:val="en-AU"/>
              </w:rPr>
              <w:t xml:space="preserve"> </w:t>
            </w:r>
            <w:r w:rsidR="008B5905" w:rsidRPr="00FF09A2">
              <w:rPr>
                <w:rFonts w:ascii="Arial Narrow" w:eastAsiaTheme="majorEastAsia" w:hAnsi="Arial Narrow" w:cstheme="majorBidi"/>
                <w:sz w:val="20"/>
                <w:szCs w:val="20"/>
                <w:lang w:val="en-AU"/>
              </w:rPr>
              <w:t>Week 26</w:t>
            </w:r>
            <w:r w:rsidR="00C97B14" w:rsidRPr="00FF09A2">
              <w:rPr>
                <w:rFonts w:ascii="Arial Narrow" w:eastAsiaTheme="majorEastAsia" w:hAnsi="Arial Narrow" w:cstheme="majorBidi"/>
                <w:sz w:val="20"/>
                <w:szCs w:val="20"/>
                <w:lang w:val="en-AU"/>
              </w:rPr>
              <w:t>. A</w:t>
            </w:r>
            <w:r w:rsidRPr="00FF09A2">
              <w:rPr>
                <w:rFonts w:ascii="Arial Narrow" w:hAnsi="Arial Narrow"/>
                <w:sz w:val="20"/>
                <w:szCs w:val="20"/>
                <w:lang w:val="en-AU"/>
              </w:rPr>
              <w:t>bsolute change from baseline</w:t>
            </w:r>
            <w:r w:rsidR="00C97B14" w:rsidRPr="00FF09A2">
              <w:rPr>
                <w:rFonts w:ascii="Arial Narrow" w:hAnsi="Arial Narrow"/>
                <w:sz w:val="20"/>
                <w:szCs w:val="20"/>
                <w:lang w:val="en-AU"/>
              </w:rPr>
              <w:t xml:space="preserve"> at week 24 in:</w:t>
            </w:r>
            <w:r w:rsidR="00FB1D4D" w:rsidRPr="00FF09A2">
              <w:rPr>
                <w:rFonts w:ascii="Arial Narrow" w:hAnsi="Arial Narrow"/>
                <w:sz w:val="20"/>
                <w:szCs w:val="20"/>
                <w:lang w:val="en-AU"/>
              </w:rPr>
              <w:t xml:space="preserve"> BMI, BMI-for-age z-score, weight, weight-for-age z-score, length, length-for-age z-score, weight for length z-score</w:t>
            </w:r>
            <w:r w:rsidR="00C97B14" w:rsidRPr="00FF09A2">
              <w:rPr>
                <w:rFonts w:ascii="Arial Narrow" w:hAnsi="Arial Narrow"/>
                <w:sz w:val="20"/>
                <w:szCs w:val="20"/>
                <w:lang w:val="en-AU"/>
              </w:rPr>
              <w:t>,</w:t>
            </w:r>
            <w:r w:rsidR="006E36B3">
              <w:rPr>
                <w:rFonts w:ascii="Arial Narrow" w:hAnsi="Arial Narrow"/>
                <w:sz w:val="20"/>
                <w:szCs w:val="20"/>
                <w:lang w:val="en-AU"/>
              </w:rPr>
              <w:t xml:space="preserve"> </w:t>
            </w:r>
            <w:r w:rsidRPr="00FF09A2">
              <w:rPr>
                <w:rFonts w:ascii="Arial Narrow" w:hAnsi="Arial Narrow"/>
                <w:sz w:val="20"/>
                <w:szCs w:val="20"/>
                <w:lang w:val="en-AU"/>
              </w:rPr>
              <w:t>FE-1; IRT, faecal calprotectin</w:t>
            </w:r>
            <w:r w:rsidR="00C97B14" w:rsidRPr="00FF09A2">
              <w:rPr>
                <w:rFonts w:ascii="Arial Narrow" w:hAnsi="Arial Narrow"/>
                <w:sz w:val="20"/>
                <w:szCs w:val="20"/>
                <w:lang w:val="en-AU"/>
              </w:rPr>
              <w:t xml:space="preserve">, </w:t>
            </w:r>
            <w:r w:rsidR="008B5905" w:rsidRPr="00FF09A2">
              <w:rPr>
                <w:rFonts w:ascii="Arial Narrow" w:hAnsi="Arial Narrow"/>
                <w:sz w:val="20"/>
                <w:szCs w:val="20"/>
                <w:lang w:val="en-AU"/>
              </w:rPr>
              <w:t>microbiology cultures, LCI</w:t>
            </w:r>
            <w:r w:rsidR="00A776EC" w:rsidRPr="00FF09A2">
              <w:rPr>
                <w:rFonts w:ascii="Arial Narrow" w:hAnsi="Arial Narrow"/>
                <w:sz w:val="20"/>
                <w:szCs w:val="20"/>
                <w:lang w:val="en-AU"/>
              </w:rPr>
              <w:t>,</w:t>
            </w:r>
            <w:r w:rsidRPr="00FF09A2">
              <w:rPr>
                <w:rFonts w:ascii="Arial Narrow" w:hAnsi="Arial Narrow"/>
                <w:sz w:val="20"/>
                <w:szCs w:val="20"/>
                <w:lang w:val="en-AU"/>
              </w:rPr>
              <w:t xml:space="preserve"> </w:t>
            </w:r>
            <w:r w:rsidR="00FB1D4D" w:rsidRPr="00FF09A2">
              <w:rPr>
                <w:rFonts w:ascii="Arial Narrow" w:hAnsi="Arial Narrow"/>
                <w:sz w:val="20"/>
                <w:szCs w:val="20"/>
                <w:lang w:val="en-AU"/>
              </w:rPr>
              <w:t xml:space="preserve">PEx </w:t>
            </w:r>
            <w:r w:rsidR="00C97B14" w:rsidRPr="00FF09A2">
              <w:rPr>
                <w:rFonts w:ascii="Arial Narrow" w:hAnsi="Arial Narrow"/>
                <w:sz w:val="20"/>
                <w:szCs w:val="20"/>
                <w:lang w:val="en-AU"/>
              </w:rPr>
              <w:t>and CF related hospitali</w:t>
            </w:r>
            <w:r w:rsidR="00A776EC" w:rsidRPr="00FF09A2">
              <w:rPr>
                <w:rFonts w:ascii="Arial Narrow" w:hAnsi="Arial Narrow"/>
                <w:sz w:val="20"/>
                <w:szCs w:val="20"/>
                <w:lang w:val="en-AU"/>
              </w:rPr>
              <w:t>s</w:t>
            </w:r>
            <w:r w:rsidR="00C97B14" w:rsidRPr="00FF09A2">
              <w:rPr>
                <w:rFonts w:ascii="Arial Narrow" w:hAnsi="Arial Narrow"/>
                <w:sz w:val="20"/>
                <w:szCs w:val="20"/>
                <w:lang w:val="en-AU"/>
              </w:rPr>
              <w:t>ation.</w:t>
            </w:r>
            <w:r w:rsidR="00FB1D4D" w:rsidRPr="00FF09A2">
              <w:rPr>
                <w:rFonts w:ascii="Arial Narrow" w:hAnsi="Arial Narrow"/>
                <w:sz w:val="20"/>
                <w:szCs w:val="20"/>
                <w:lang w:val="en-AU"/>
              </w:rPr>
              <w:t xml:space="preserve"> </w:t>
            </w:r>
            <w:r w:rsidR="00A776EC" w:rsidRPr="00FF09A2">
              <w:rPr>
                <w:rFonts w:ascii="Arial Narrow" w:eastAsiaTheme="majorEastAsia" w:hAnsi="Arial Narrow" w:cstheme="majorBidi"/>
                <w:bCs/>
                <w:sz w:val="20"/>
                <w:szCs w:val="20"/>
                <w:lang w:val="en-AU"/>
              </w:rPr>
              <w:t>Acceptability/palatability of LUM/IVA granules at Day 1</w:t>
            </w:r>
          </w:p>
        </w:tc>
        <w:tc>
          <w:tcPr>
            <w:tcW w:w="670" w:type="pct"/>
            <w:shd w:val="clear" w:color="auto" w:fill="auto"/>
            <w:vAlign w:val="center"/>
          </w:tcPr>
          <w:p w14:paraId="7F3949E6" w14:textId="4C7880DF" w:rsidR="00F86069" w:rsidRPr="00FF09A2" w:rsidRDefault="00FB1D4D" w:rsidP="00EB6821">
            <w:pPr>
              <w:pStyle w:val="TableText0"/>
            </w:pPr>
            <w:r w:rsidRPr="00FF09A2">
              <w:t>The only outcome from Study 122 used in the model was weight for age-z score</w:t>
            </w:r>
          </w:p>
        </w:tc>
      </w:tr>
    </w:tbl>
    <w:p w14:paraId="2C47D7C8" w14:textId="77777777" w:rsidR="00F86069" w:rsidRPr="00FF09A2" w:rsidRDefault="00F86069" w:rsidP="00F86069">
      <w:pPr>
        <w:pStyle w:val="TableFooter"/>
      </w:pPr>
      <w:r w:rsidRPr="00FF09A2">
        <w:t xml:space="preserve">Source: Table 2.4.7 pp63-64, Table 2.4.8 p65, </w:t>
      </w:r>
      <w:r w:rsidRPr="00FF09A2">
        <w:rPr>
          <w:rFonts w:eastAsiaTheme="majorEastAsia"/>
        </w:rPr>
        <w:t>Table 2.4.9 p67 of the submission</w:t>
      </w:r>
      <w:r w:rsidRPr="00FF09A2">
        <w:t xml:space="preserve">, p3 Attachment 8 of the submission </w:t>
      </w:r>
    </w:p>
    <w:p w14:paraId="35737EE1" w14:textId="6681F450" w:rsidR="00A776EC" w:rsidRPr="00FF09A2" w:rsidRDefault="00F86069" w:rsidP="00A776EC">
      <w:pPr>
        <w:pStyle w:val="TableFooter"/>
        <w:rPr>
          <w:rFonts w:eastAsiaTheme="majorEastAsia"/>
        </w:rPr>
      </w:pPr>
      <w:r w:rsidRPr="00FF09A2">
        <w:rPr>
          <w:rFonts w:eastAsiaTheme="majorEastAsia"/>
        </w:rPr>
        <w:t>BMI = body mass index; CF = cystic fibrosis; FE-1 = faecal elastase-1;</w:t>
      </w:r>
      <w:r w:rsidR="003671A0" w:rsidRPr="00FF09A2">
        <w:rPr>
          <w:rFonts w:eastAsiaTheme="majorEastAsia"/>
        </w:rPr>
        <w:t xml:space="preserve"> </w:t>
      </w:r>
      <w:r w:rsidRPr="00FF09A2">
        <w:rPr>
          <w:rFonts w:eastAsiaTheme="majorEastAsia"/>
        </w:rPr>
        <w:t xml:space="preserve">IRT = </w:t>
      </w:r>
      <w:r w:rsidR="00561115" w:rsidRPr="00FF09A2">
        <w:rPr>
          <w:rFonts w:eastAsiaTheme="majorEastAsia"/>
        </w:rPr>
        <w:t>immunoreactive trypsin</w:t>
      </w:r>
      <w:r w:rsidRPr="00FF09A2">
        <w:rPr>
          <w:rFonts w:eastAsiaTheme="majorEastAsia"/>
        </w:rPr>
        <w:t xml:space="preserve">; </w:t>
      </w:r>
      <w:r w:rsidRPr="00FF09A2">
        <w:t xml:space="preserve">IVA = ivacaftor; </w:t>
      </w:r>
      <w:r w:rsidR="00A776EC" w:rsidRPr="00FF09A2">
        <w:rPr>
          <w:rFonts w:eastAsiaTheme="majorEastAsia"/>
        </w:rPr>
        <w:t xml:space="preserve">LCI = lung clearance index; </w:t>
      </w:r>
      <w:r w:rsidRPr="00FF09A2">
        <w:t xml:space="preserve">LUM = lumacaftor; MC = multi-centre; OL = open label; </w:t>
      </w:r>
      <w:r w:rsidR="00A776EC" w:rsidRPr="00FF09A2">
        <w:rPr>
          <w:rFonts w:eastAsiaTheme="majorEastAsia"/>
        </w:rPr>
        <w:t xml:space="preserve">PD = pharmacodynamics; </w:t>
      </w:r>
      <w:r w:rsidRPr="00FF09A2">
        <w:rPr>
          <w:rFonts w:eastAsiaTheme="majorEastAsia"/>
        </w:rPr>
        <w:t>PEx = pulmonary exacerbations</w:t>
      </w:r>
      <w:r w:rsidRPr="00FF09A2">
        <w:t>; PK = pharmacokinetics; q12h = every 12 hours;</w:t>
      </w:r>
      <w:r w:rsidRPr="00FF09A2">
        <w:rPr>
          <w:rFonts w:eastAsiaTheme="majorEastAsia"/>
        </w:rPr>
        <w:t xml:space="preserve"> SwCl = sweat chloride</w:t>
      </w:r>
      <w:r w:rsidR="00A776EC" w:rsidRPr="00FF09A2">
        <w:rPr>
          <w:rFonts w:eastAsiaTheme="majorEastAsia"/>
        </w:rPr>
        <w:t>.</w:t>
      </w:r>
    </w:p>
    <w:p w14:paraId="081D3F6E" w14:textId="6B70F1B2" w:rsidR="00F86069" w:rsidRPr="00FF09A2" w:rsidRDefault="00F86069" w:rsidP="00F86069">
      <w:pPr>
        <w:pStyle w:val="TableFooter"/>
      </w:pPr>
      <w:r w:rsidRPr="00FF09A2">
        <w:rPr>
          <w:vertAlign w:val="superscript"/>
        </w:rPr>
        <w:t>a</w:t>
      </w:r>
      <w:r w:rsidRPr="00FF09A2">
        <w:t xml:space="preserve"> During Part B, a review of safety and PK data in Part A and a subset of patients in Part B was completed and incorporated into the popPK models. The updated popPK models supported a decrease in the upper weight bound for the LUM75/IVA94 dose and the lower weight bound for the LUM100/IVA125 dose from 10 kg to 9 kg.</w:t>
      </w:r>
    </w:p>
    <w:p w14:paraId="6517144F" w14:textId="1A48ECC4" w:rsidR="00F86069" w:rsidRPr="00FF09A2" w:rsidRDefault="00F86069" w:rsidP="006E36B3">
      <w:pPr>
        <w:pStyle w:val="TableFooter"/>
        <w:spacing w:after="120"/>
      </w:pPr>
      <w:bookmarkStart w:id="24" w:name="_Hlk132482381"/>
      <w:r w:rsidRPr="00FF09A2">
        <w:rPr>
          <w:vertAlign w:val="superscript"/>
        </w:rPr>
        <w:t>b</w:t>
      </w:r>
      <w:r w:rsidRPr="00FF09A2">
        <w:t xml:space="preserve"> Assessed by the evaluation using the Cochrane Collaboration’s tool for assessing risk of bias, to ensure consistency with lumacaftor/ivacaftor submission </w:t>
      </w:r>
      <w:r w:rsidR="009F2A53" w:rsidRPr="00FF09A2">
        <w:t>for the</w:t>
      </w:r>
      <w:r w:rsidRPr="00FF09A2">
        <w:t xml:space="preserve"> F/F </w:t>
      </w:r>
      <w:r w:rsidR="005E03C7" w:rsidRPr="00FF09A2">
        <w:t xml:space="preserve">population </w:t>
      </w:r>
      <w:r w:rsidRPr="00FF09A2">
        <w:t>aged 2 to 5 years.</w:t>
      </w:r>
    </w:p>
    <w:p w14:paraId="3587CF1F" w14:textId="046490A1" w:rsidR="003A77E3" w:rsidRPr="00FF09A2" w:rsidRDefault="003A77E3" w:rsidP="006E36B3">
      <w:pPr>
        <w:pStyle w:val="3-BodyText"/>
        <w:ind w:left="720"/>
      </w:pPr>
      <w:bookmarkStart w:id="25" w:name="_Hlk132478508"/>
      <w:bookmarkEnd w:id="24"/>
      <w:r w:rsidRPr="00FF09A2">
        <w:t xml:space="preserve">Study 122 was a 2-part </w:t>
      </w:r>
      <w:r w:rsidR="00544C5D">
        <w:t>study</w:t>
      </w:r>
      <w:r w:rsidRPr="00FF09A2">
        <w:t>:</w:t>
      </w:r>
    </w:p>
    <w:p w14:paraId="3621A54A" w14:textId="3816EC0A" w:rsidR="003A77E3" w:rsidRPr="00FF09A2" w:rsidRDefault="003A77E3" w:rsidP="002020C9">
      <w:pPr>
        <w:pStyle w:val="3-BodyText"/>
        <w:numPr>
          <w:ilvl w:val="0"/>
          <w:numId w:val="11"/>
        </w:numPr>
        <w:ind w:left="1080"/>
        <w:rPr>
          <w:lang w:val="en-AU"/>
        </w:rPr>
      </w:pPr>
      <w:r w:rsidRPr="00FF09A2">
        <w:rPr>
          <w:lang w:val="en-AU"/>
        </w:rPr>
        <w:t xml:space="preserve">Part A was a dose finding study with </w:t>
      </w:r>
      <w:r w:rsidR="00FB1D4D" w:rsidRPr="00FF09A2">
        <w:rPr>
          <w:lang w:val="en-AU"/>
        </w:rPr>
        <w:t xml:space="preserve">3 </w:t>
      </w:r>
      <w:r w:rsidRPr="00FF09A2">
        <w:rPr>
          <w:lang w:val="en-AU"/>
        </w:rPr>
        <w:t xml:space="preserve">doses. The objectives were to evaluate the pharmacokinetics (PK) and safety of lumacaftor/ivacaftor. Participants received 15 days of weight-based treatment. </w:t>
      </w:r>
    </w:p>
    <w:p w14:paraId="43CED73B" w14:textId="77777777" w:rsidR="003A77E3" w:rsidRPr="00FF09A2" w:rsidRDefault="003A77E3" w:rsidP="002020C9">
      <w:pPr>
        <w:pStyle w:val="3-BodyText"/>
        <w:numPr>
          <w:ilvl w:val="0"/>
          <w:numId w:val="11"/>
        </w:numPr>
        <w:ind w:left="1080"/>
        <w:rPr>
          <w:lang w:val="en-AU"/>
        </w:rPr>
      </w:pPr>
      <w:r w:rsidRPr="00FF09A2">
        <w:rPr>
          <w:lang w:val="en-AU"/>
        </w:rPr>
        <w:t xml:space="preserve">Part B was a dose confirmation study. The objectives were to evaluate the PK, pharmacodynamics (PD) and safety of lumacaftor/ivacaftor. Participants received 24 weeks of weight-based treatment. The PK and PD of multiple doses of </w:t>
      </w:r>
      <w:r w:rsidRPr="00FF09A2">
        <w:rPr>
          <w:lang w:val="en-AU"/>
        </w:rPr>
        <w:lastRenderedPageBreak/>
        <w:t>lumacaftor/ivacaftor over 24 weeks of dosing were evaluated, and a 2-week washout period was included in order to evaluate the off-drug PD response.</w:t>
      </w:r>
    </w:p>
    <w:p w14:paraId="1ACBECDC" w14:textId="210D2218" w:rsidR="00F86069" w:rsidRPr="00B3449A" w:rsidRDefault="00F86069" w:rsidP="006E36B3">
      <w:pPr>
        <w:pStyle w:val="3-BodyText"/>
        <w:ind w:left="720"/>
        <w:rPr>
          <w:lang w:val="en-AU"/>
        </w:rPr>
      </w:pPr>
      <w:r w:rsidRPr="00B3449A">
        <w:rPr>
          <w:lang w:val="en-AU"/>
        </w:rPr>
        <w:t xml:space="preserve">The results of Study 122 </w:t>
      </w:r>
      <w:r w:rsidR="006E36B3">
        <w:rPr>
          <w:lang w:val="en-AU"/>
        </w:rPr>
        <w:t>we</w:t>
      </w:r>
      <w:r w:rsidR="006E36B3" w:rsidRPr="00B3449A">
        <w:rPr>
          <w:lang w:val="en-AU"/>
        </w:rPr>
        <w:t xml:space="preserve">re </w:t>
      </w:r>
      <w:r w:rsidRPr="00B3449A">
        <w:rPr>
          <w:lang w:val="en-AU"/>
        </w:rPr>
        <w:t>vulnerable to confounders and uncertainty</w:t>
      </w:r>
      <w:bookmarkEnd w:id="25"/>
      <w:r w:rsidRPr="00B3449A">
        <w:rPr>
          <w:lang w:val="en-AU"/>
        </w:rPr>
        <w:t xml:space="preserve"> due to </w:t>
      </w:r>
      <w:r w:rsidR="0032739F" w:rsidRPr="00B3449A">
        <w:rPr>
          <w:lang w:val="en-AU"/>
        </w:rPr>
        <w:t xml:space="preserve">its </w:t>
      </w:r>
      <w:r w:rsidRPr="00B3449A">
        <w:rPr>
          <w:lang w:val="en-AU"/>
        </w:rPr>
        <w:t>open-label nature, absence of</w:t>
      </w:r>
      <w:r w:rsidR="0032739F" w:rsidRPr="00B3449A">
        <w:rPr>
          <w:lang w:val="en-AU"/>
        </w:rPr>
        <w:t xml:space="preserve"> a</w:t>
      </w:r>
      <w:r w:rsidRPr="00B3449A">
        <w:rPr>
          <w:lang w:val="en-AU"/>
        </w:rPr>
        <w:t xml:space="preserve"> comparator, small sample size and short duration of treatment. </w:t>
      </w:r>
    </w:p>
    <w:p w14:paraId="6F61AF39" w14:textId="77777777" w:rsidR="00F86069" w:rsidRPr="00FF09A2" w:rsidRDefault="00F86069" w:rsidP="00F86069">
      <w:pPr>
        <w:pStyle w:val="4-SubsectionHeading"/>
      </w:pPr>
      <w:bookmarkStart w:id="26" w:name="_Toc22897641"/>
      <w:bookmarkStart w:id="27" w:name="_Toc135204525"/>
      <w:r w:rsidRPr="00FF09A2">
        <w:t>Comparative effectiveness</w:t>
      </w:r>
      <w:bookmarkEnd w:id="26"/>
      <w:bookmarkEnd w:id="27"/>
    </w:p>
    <w:p w14:paraId="6862D853" w14:textId="4106076A" w:rsidR="000F41FD" w:rsidRPr="00B3449A" w:rsidRDefault="00F13EC0" w:rsidP="006E36B3">
      <w:pPr>
        <w:pStyle w:val="3-BodyText"/>
        <w:ind w:left="720"/>
        <w:rPr>
          <w:lang w:val="en-AU"/>
        </w:rPr>
      </w:pPr>
      <w:bookmarkStart w:id="28" w:name="_Toc22897642"/>
      <w:r w:rsidRPr="00B3449A">
        <w:rPr>
          <w:lang w:val="en-AU"/>
        </w:rPr>
        <w:t xml:space="preserve">PK assessment: </w:t>
      </w:r>
      <w:r w:rsidR="00CE3384" w:rsidRPr="00B3449A">
        <w:rPr>
          <w:lang w:val="en-AU"/>
        </w:rPr>
        <w:t xml:space="preserve">The lumacaftor and ivacaftor trough concentrations in Parts A and B suggest steady state was achieved prior to Day 15. The lumacaftor and ivacaftor metabolite trough concentrations at steady state and time to achieve steady-state plasma concentrations in subjects 1 to less than 2 years of age with CF were </w:t>
      </w:r>
      <w:proofErr w:type="gramStart"/>
      <w:r w:rsidR="00CE3384" w:rsidRPr="00B3449A">
        <w:rPr>
          <w:lang w:val="en-AU"/>
        </w:rPr>
        <w:t>similar to</w:t>
      </w:r>
      <w:proofErr w:type="gramEnd"/>
      <w:r w:rsidR="00CE3384" w:rsidRPr="00B3449A">
        <w:rPr>
          <w:lang w:val="en-AU"/>
        </w:rPr>
        <w:t xml:space="preserve"> those in subjects 2 to 11 years of age. The TGA Delegate’s overview remarked that the number of subjects and PK sampling timepoints appear to be adequate to characterise the PK in this population</w:t>
      </w:r>
      <w:r w:rsidR="00963A05">
        <w:rPr>
          <w:lang w:val="en-AU"/>
        </w:rPr>
        <w:t>.</w:t>
      </w:r>
      <w:r w:rsidR="00CE3384" w:rsidRPr="00B3449A">
        <w:rPr>
          <w:lang w:val="en-AU"/>
        </w:rPr>
        <w:t xml:space="preserve"> </w:t>
      </w:r>
    </w:p>
    <w:p w14:paraId="4EE25E04" w14:textId="6A094C9A" w:rsidR="00EA20EC" w:rsidRPr="00B3449A" w:rsidRDefault="00473177" w:rsidP="006E36B3">
      <w:pPr>
        <w:pStyle w:val="3-BodyText"/>
        <w:ind w:left="720"/>
        <w:rPr>
          <w:lang w:val="en-AU"/>
        </w:rPr>
      </w:pPr>
      <w:r w:rsidRPr="00B3449A">
        <w:rPr>
          <w:lang w:val="en-AU"/>
        </w:rPr>
        <w:t xml:space="preserve">The PBAC has previously considered </w:t>
      </w:r>
      <w:r w:rsidR="006E36B3">
        <w:rPr>
          <w:lang w:val="en-AU"/>
        </w:rPr>
        <w:t>percent predicted forced expiratory volume in 1 second (</w:t>
      </w:r>
      <w:r w:rsidRPr="00B3449A">
        <w:rPr>
          <w:lang w:val="en-AU"/>
        </w:rPr>
        <w:t>ppFEV</w:t>
      </w:r>
      <w:r w:rsidRPr="00B3449A">
        <w:rPr>
          <w:vertAlign w:val="subscript"/>
          <w:lang w:val="en-AU"/>
        </w:rPr>
        <w:t>1</w:t>
      </w:r>
      <w:r w:rsidR="006E36B3" w:rsidRPr="006E36B3">
        <w:rPr>
          <w:lang w:val="en-AU"/>
        </w:rPr>
        <w:t>)</w:t>
      </w:r>
      <w:r w:rsidRPr="00B3449A">
        <w:rPr>
          <w:sz w:val="16"/>
          <w:szCs w:val="16"/>
          <w:lang w:val="en-AU"/>
        </w:rPr>
        <w:t xml:space="preserve"> </w:t>
      </w:r>
      <w:r w:rsidRPr="00B3449A">
        <w:rPr>
          <w:lang w:val="en-AU"/>
        </w:rPr>
        <w:t>as the outcome of interest in CF patients aged ≥ 2 years. The submission noted the difficulty in conducting spirometry in the 1 to less than 2 years cohort</w:t>
      </w:r>
      <w:r w:rsidR="006E36B3">
        <w:rPr>
          <w:lang w:val="en-AU"/>
        </w:rPr>
        <w:t xml:space="preserve">. Further, the submission noted </w:t>
      </w:r>
      <w:r w:rsidRPr="00B3449A">
        <w:rPr>
          <w:lang w:val="en-AU"/>
        </w:rPr>
        <w:t>the limited interpretability of this outcome in young children with CF</w:t>
      </w:r>
      <w:r w:rsidR="00EA20EC" w:rsidRPr="00B3449A">
        <w:rPr>
          <w:lang w:val="en-AU"/>
        </w:rPr>
        <w:t>, as ppFEV</w:t>
      </w:r>
      <w:r w:rsidR="00EA20EC" w:rsidRPr="00B3449A">
        <w:rPr>
          <w:vertAlign w:val="subscript"/>
          <w:lang w:val="en-AU"/>
        </w:rPr>
        <w:t>1</w:t>
      </w:r>
      <w:r w:rsidR="00EA20EC" w:rsidRPr="00B3449A">
        <w:rPr>
          <w:lang w:val="en-AU"/>
        </w:rPr>
        <w:t xml:space="preserve"> is not a sensitive measure of early structural and functional changes in peripheral airways of young children with CF who are more likely to have normal ppFEV</w:t>
      </w:r>
      <w:r w:rsidR="00EA20EC" w:rsidRPr="00B3449A">
        <w:rPr>
          <w:vertAlign w:val="subscript"/>
          <w:lang w:val="en-AU"/>
        </w:rPr>
        <w:t>1</w:t>
      </w:r>
      <w:r w:rsidR="00EA20EC" w:rsidRPr="00B3449A">
        <w:rPr>
          <w:lang w:val="en-AU"/>
        </w:rPr>
        <w:t xml:space="preserve"> values than older children. </w:t>
      </w:r>
      <w:r w:rsidR="00EA20EC" w:rsidRPr="00B3449A">
        <w:rPr>
          <w:rFonts w:cs="Calibri"/>
          <w:bCs/>
          <w:color w:val="000000"/>
          <w:lang w:val="en-AU"/>
        </w:rPr>
        <w:t>Given the absence of ppFEV</w:t>
      </w:r>
      <w:r w:rsidR="00EA20EC" w:rsidRPr="00B3449A">
        <w:rPr>
          <w:rFonts w:cs="Calibri"/>
          <w:bCs/>
          <w:color w:val="000000"/>
          <w:vertAlign w:val="subscript"/>
          <w:lang w:val="en-AU"/>
        </w:rPr>
        <w:t>1</w:t>
      </w:r>
      <w:r w:rsidR="00EA20EC" w:rsidRPr="00B3449A">
        <w:rPr>
          <w:rFonts w:cs="Calibri"/>
          <w:bCs/>
          <w:color w:val="000000"/>
          <w:lang w:val="en-AU"/>
        </w:rPr>
        <w:t xml:space="preserve"> data for Study 122, it </w:t>
      </w:r>
      <w:r w:rsidR="006E36B3">
        <w:rPr>
          <w:rFonts w:cs="Calibri"/>
          <w:bCs/>
          <w:color w:val="000000"/>
          <w:lang w:val="en-AU"/>
        </w:rPr>
        <w:t>wa</w:t>
      </w:r>
      <w:r w:rsidR="006E36B3" w:rsidRPr="00B3449A">
        <w:rPr>
          <w:rFonts w:cs="Calibri"/>
          <w:bCs/>
          <w:color w:val="000000"/>
          <w:lang w:val="en-AU"/>
        </w:rPr>
        <w:t xml:space="preserve">s </w:t>
      </w:r>
      <w:r w:rsidR="00EA20EC" w:rsidRPr="00B3449A">
        <w:rPr>
          <w:rFonts w:cs="Calibri"/>
          <w:bCs/>
          <w:color w:val="000000"/>
          <w:lang w:val="en-AU"/>
        </w:rPr>
        <w:t xml:space="preserve">not possible to provide a comparison based on that outcome, </w:t>
      </w:r>
      <w:r w:rsidR="006E36B3">
        <w:rPr>
          <w:rFonts w:cs="Calibri"/>
          <w:bCs/>
          <w:color w:val="000000"/>
          <w:lang w:val="en-AU"/>
        </w:rPr>
        <w:t>despite it being</w:t>
      </w:r>
      <w:r w:rsidR="006E36B3" w:rsidRPr="00B3449A">
        <w:rPr>
          <w:rFonts w:cs="Calibri"/>
          <w:bCs/>
          <w:color w:val="000000"/>
          <w:lang w:val="en-AU"/>
        </w:rPr>
        <w:t xml:space="preserve"> </w:t>
      </w:r>
      <w:r w:rsidR="00EA20EC" w:rsidRPr="00B3449A">
        <w:rPr>
          <w:rFonts w:cs="Calibri"/>
          <w:bCs/>
          <w:color w:val="000000"/>
          <w:lang w:val="en-AU"/>
        </w:rPr>
        <w:t>a key driver of the economic model used to assess the cost-effectiveness of lumacaftor/ivacaftor relative to BSC.</w:t>
      </w:r>
    </w:p>
    <w:p w14:paraId="73B40A61" w14:textId="2C01DCE8" w:rsidR="00F13EC0" w:rsidRPr="00B3449A" w:rsidRDefault="00EA20EC" w:rsidP="006E36B3">
      <w:pPr>
        <w:pStyle w:val="3-BodyText"/>
        <w:ind w:left="720"/>
        <w:rPr>
          <w:lang w:val="en-AU"/>
        </w:rPr>
      </w:pPr>
      <w:r w:rsidRPr="00B3449A">
        <w:rPr>
          <w:rStyle w:val="BodyTextChar"/>
          <w:rFonts w:asciiTheme="minorHAnsi" w:hAnsiTheme="minorHAnsi" w:cstheme="minorHAnsi"/>
          <w:sz w:val="24"/>
          <w:lang w:val="en-AU"/>
        </w:rPr>
        <w:t>In the absence of ppFEV</w:t>
      </w:r>
      <w:r w:rsidRPr="00B3449A">
        <w:rPr>
          <w:rStyle w:val="BodyTextChar"/>
          <w:rFonts w:asciiTheme="minorHAnsi" w:hAnsiTheme="minorHAnsi" w:cstheme="minorHAnsi"/>
          <w:sz w:val="24"/>
          <w:vertAlign w:val="subscript"/>
          <w:lang w:val="en-AU"/>
        </w:rPr>
        <w:t>1</w:t>
      </w:r>
      <w:r w:rsidRPr="00B3449A">
        <w:rPr>
          <w:rStyle w:val="BodyTextChar"/>
          <w:rFonts w:asciiTheme="minorHAnsi" w:hAnsiTheme="minorHAnsi" w:cstheme="minorHAnsi"/>
          <w:sz w:val="24"/>
          <w:lang w:val="en-AU"/>
        </w:rPr>
        <w:t xml:space="preserve"> in this patient cohort, the submission </w:t>
      </w:r>
      <w:r w:rsidR="00D642F9" w:rsidRPr="00B3449A">
        <w:rPr>
          <w:rStyle w:val="BodyTextChar"/>
          <w:rFonts w:asciiTheme="minorHAnsi" w:hAnsiTheme="minorHAnsi" w:cstheme="minorHAnsi"/>
          <w:sz w:val="24"/>
          <w:lang w:val="en-AU"/>
        </w:rPr>
        <w:t xml:space="preserve">presented </w:t>
      </w:r>
      <w:proofErr w:type="gramStart"/>
      <w:r w:rsidR="00D642F9" w:rsidRPr="00B3449A">
        <w:rPr>
          <w:rStyle w:val="BodyTextChar"/>
          <w:rFonts w:asciiTheme="minorHAnsi" w:hAnsiTheme="minorHAnsi" w:cstheme="minorHAnsi"/>
          <w:sz w:val="24"/>
          <w:lang w:val="en-AU"/>
        </w:rPr>
        <w:t>a number of</w:t>
      </w:r>
      <w:proofErr w:type="gramEnd"/>
      <w:r w:rsidR="00D642F9" w:rsidRPr="00B3449A">
        <w:rPr>
          <w:rStyle w:val="BodyTextChar"/>
          <w:rFonts w:asciiTheme="minorHAnsi" w:hAnsiTheme="minorHAnsi" w:cstheme="minorHAnsi"/>
          <w:sz w:val="24"/>
          <w:lang w:val="en-AU"/>
        </w:rPr>
        <w:t xml:space="preserve"> PD outcomes as a measure of efficacy. </w:t>
      </w:r>
      <w:r w:rsidR="006E36B3">
        <w:rPr>
          <w:rStyle w:val="BodyTextChar"/>
          <w:rFonts w:asciiTheme="minorHAnsi" w:hAnsiTheme="minorHAnsi" w:cstheme="minorHAnsi"/>
          <w:sz w:val="24"/>
          <w:lang w:val="en-AU"/>
        </w:rPr>
        <w:t>Study 122 demonstrated a</w:t>
      </w:r>
      <w:r w:rsidR="00F86069" w:rsidRPr="00B3449A">
        <w:rPr>
          <w:lang w:val="en-AU"/>
        </w:rPr>
        <w:t xml:space="preserve">n overall reduction in </w:t>
      </w:r>
      <w:proofErr w:type="spellStart"/>
      <w:r w:rsidR="00F86069" w:rsidRPr="00B3449A">
        <w:rPr>
          <w:lang w:val="en-AU"/>
        </w:rPr>
        <w:t>SwCl</w:t>
      </w:r>
      <w:proofErr w:type="spellEnd"/>
      <w:r w:rsidR="00F86069" w:rsidRPr="00B3449A">
        <w:rPr>
          <w:lang w:val="en-AU"/>
        </w:rPr>
        <w:t xml:space="preserve"> from baseline at </w:t>
      </w:r>
      <w:r w:rsidR="006E36B3">
        <w:rPr>
          <w:lang w:val="en-AU"/>
        </w:rPr>
        <w:t>W</w:t>
      </w:r>
      <w:r w:rsidR="006E36B3" w:rsidRPr="00B3449A">
        <w:rPr>
          <w:lang w:val="en-AU"/>
        </w:rPr>
        <w:t xml:space="preserve">eek </w:t>
      </w:r>
      <w:r w:rsidR="00F86069" w:rsidRPr="00B3449A">
        <w:rPr>
          <w:lang w:val="en-AU"/>
        </w:rPr>
        <w:t>24</w:t>
      </w:r>
      <w:r w:rsidR="006E36B3">
        <w:rPr>
          <w:lang w:val="en-AU"/>
        </w:rPr>
        <w:t xml:space="preserve">, with levels returning close to baseline after the </w:t>
      </w:r>
      <w:proofErr w:type="gramStart"/>
      <w:r w:rsidR="006E36B3">
        <w:rPr>
          <w:lang w:val="en-AU"/>
        </w:rPr>
        <w:t>2 week</w:t>
      </w:r>
      <w:proofErr w:type="gramEnd"/>
      <w:r w:rsidR="006E36B3">
        <w:rPr>
          <w:lang w:val="en-AU"/>
        </w:rPr>
        <w:t xml:space="preserve"> washout period (see</w:t>
      </w:r>
      <w:r w:rsidR="00F86069" w:rsidRPr="00B3449A">
        <w:rPr>
          <w:lang w:val="en-AU"/>
        </w:rPr>
        <w:t xml:space="preserve"> </w:t>
      </w:r>
      <w:r w:rsidR="00F86069" w:rsidRPr="00B3449A">
        <w:rPr>
          <w:lang w:val="en-AU"/>
        </w:rPr>
        <w:fldChar w:fldCharType="begin"/>
      </w:r>
      <w:r w:rsidR="00F86069" w:rsidRPr="00B3449A">
        <w:rPr>
          <w:lang w:val="en-AU"/>
        </w:rPr>
        <w:instrText xml:space="preserve"> REF _Ref132483354 \h </w:instrText>
      </w:r>
      <w:r w:rsidR="00B3449A" w:rsidRPr="00B3449A">
        <w:rPr>
          <w:lang w:val="en-AU"/>
        </w:rPr>
        <w:instrText xml:space="preserve"> \* MERGEFORMAT </w:instrText>
      </w:r>
      <w:r w:rsidR="00F86069" w:rsidRPr="00B3449A">
        <w:rPr>
          <w:lang w:val="en-AU"/>
        </w:rPr>
      </w:r>
      <w:r w:rsidR="00F86069" w:rsidRPr="00B3449A">
        <w:rPr>
          <w:lang w:val="en-AU"/>
        </w:rPr>
        <w:fldChar w:fldCharType="separate"/>
      </w:r>
      <w:r w:rsidR="00025B72" w:rsidRPr="00FF09A2">
        <w:t xml:space="preserve">Figure </w:t>
      </w:r>
      <w:r w:rsidR="00025B72">
        <w:rPr>
          <w:noProof/>
        </w:rPr>
        <w:t>1</w:t>
      </w:r>
      <w:r w:rsidR="00F86069" w:rsidRPr="00B3449A">
        <w:rPr>
          <w:lang w:val="en-AU"/>
        </w:rPr>
        <w:fldChar w:fldCharType="end"/>
      </w:r>
      <w:r w:rsidR="006E36B3">
        <w:rPr>
          <w:lang w:val="en-AU"/>
        </w:rPr>
        <w:t>)</w:t>
      </w:r>
      <w:r w:rsidR="00F86069" w:rsidRPr="00B3449A">
        <w:rPr>
          <w:lang w:val="en-AU"/>
        </w:rPr>
        <w:t xml:space="preserve">. The mean absolute change from baseline for SwCl at </w:t>
      </w:r>
      <w:r w:rsidR="006E36B3">
        <w:rPr>
          <w:lang w:val="en-AU"/>
        </w:rPr>
        <w:t>W</w:t>
      </w:r>
      <w:r w:rsidR="006E36B3" w:rsidRPr="00B3449A">
        <w:rPr>
          <w:lang w:val="en-AU"/>
        </w:rPr>
        <w:t xml:space="preserve">eek </w:t>
      </w:r>
      <w:r w:rsidR="00F86069" w:rsidRPr="00B3449A">
        <w:rPr>
          <w:lang w:val="en-AU"/>
        </w:rPr>
        <w:t xml:space="preserve">24 was -29.1 mmol/L. This represents a SwCl reduction of 27.9%. </w:t>
      </w:r>
      <w:r w:rsidR="006E36B3" w:rsidRPr="00B3449A">
        <w:rPr>
          <w:lang w:val="en-AU"/>
        </w:rPr>
        <w:t>The submission did not provide a</w:t>
      </w:r>
      <w:r w:rsidR="006E36B3">
        <w:rPr>
          <w:lang w:val="en-AU"/>
        </w:rPr>
        <w:t xml:space="preserve"> minimal clinically important difference (MCID) </w:t>
      </w:r>
      <w:r w:rsidR="006E36B3" w:rsidRPr="00B3449A">
        <w:rPr>
          <w:lang w:val="en-AU"/>
        </w:rPr>
        <w:t xml:space="preserve">for this outcome. </w:t>
      </w:r>
      <w:r w:rsidR="00F86069" w:rsidRPr="00B3449A">
        <w:rPr>
          <w:lang w:val="en-AU"/>
        </w:rPr>
        <w:t xml:space="preserve">The National Health Service </w:t>
      </w:r>
      <w:r w:rsidR="00687EAB" w:rsidRPr="00B3449A">
        <w:rPr>
          <w:lang w:val="en-AU"/>
        </w:rPr>
        <w:t>(</w:t>
      </w:r>
      <w:r w:rsidR="00F86069" w:rsidRPr="00B3449A">
        <w:rPr>
          <w:lang w:val="en-AU"/>
        </w:rPr>
        <w:t>NHS</w:t>
      </w:r>
      <w:r w:rsidR="00687EAB" w:rsidRPr="00B3449A">
        <w:rPr>
          <w:lang w:val="en-AU"/>
        </w:rPr>
        <w:t>)</w:t>
      </w:r>
      <w:r w:rsidR="00F86069" w:rsidRPr="00B3449A">
        <w:rPr>
          <w:lang w:val="en-AU"/>
        </w:rPr>
        <w:t xml:space="preserve"> of England considers a 30% reduction in SwCl, or SwCl falling below 60 mmol/L, as indicating a response to ivacaftor treatment.</w:t>
      </w:r>
      <w:r w:rsidR="00F86069" w:rsidRPr="00B3449A">
        <w:rPr>
          <w:rStyle w:val="FootnoteReference"/>
          <w:lang w:val="en-AU"/>
        </w:rPr>
        <w:footnoteReference w:id="1"/>
      </w:r>
      <w:r w:rsidR="00F86069" w:rsidRPr="00B3449A">
        <w:rPr>
          <w:lang w:val="en-AU"/>
        </w:rPr>
        <w:t xml:space="preserve"> </w:t>
      </w:r>
      <w:r w:rsidR="00F13EC0" w:rsidRPr="00B3449A">
        <w:rPr>
          <w:lang w:val="en-AU"/>
        </w:rPr>
        <w:t>The PBAC has previously considered a reduction in SwCl as evidence of biological activity (paragraph 6.22, ivacaftor PSD, March 2019 PBAC meeting) for CFTR modulators in the treatment of patients with CF. In the absence of ppFEV</w:t>
      </w:r>
      <w:r w:rsidR="00F13EC0" w:rsidRPr="00B3449A">
        <w:rPr>
          <w:vertAlign w:val="subscript"/>
          <w:lang w:val="en-AU"/>
        </w:rPr>
        <w:t>1</w:t>
      </w:r>
      <w:r w:rsidR="00F13EC0" w:rsidRPr="00B3449A">
        <w:rPr>
          <w:lang w:val="en-AU"/>
        </w:rPr>
        <w:t xml:space="preserve"> results, the PBAC has considered the comparative improvements in SwCl in the 1 to 2 years cohort, in relation to older age cohorts, as an uncertain but plausible measure of effectiveness (paragraph 6.22, ivacaftor PSD, March 2019 PBAC meeting). </w:t>
      </w:r>
    </w:p>
    <w:p w14:paraId="59C2050C" w14:textId="516D5C92" w:rsidR="00F86069" w:rsidRPr="00FF09A2" w:rsidRDefault="00F86069" w:rsidP="00F86069">
      <w:pPr>
        <w:pStyle w:val="TableHeading0"/>
      </w:pPr>
      <w:bookmarkStart w:id="29" w:name="_Ref132483354"/>
      <w:r w:rsidRPr="00FF09A2">
        <w:lastRenderedPageBreak/>
        <w:t xml:space="preserve">Figure </w:t>
      </w:r>
      <w:r w:rsidR="00025B72">
        <w:fldChar w:fldCharType="begin"/>
      </w:r>
      <w:r w:rsidR="00025B72">
        <w:instrText xml:space="preserve"> SEQ Figure \* ARABIC </w:instrText>
      </w:r>
      <w:r w:rsidR="00025B72">
        <w:fldChar w:fldCharType="separate"/>
      </w:r>
      <w:r w:rsidR="00025B72">
        <w:rPr>
          <w:noProof/>
        </w:rPr>
        <w:t>1</w:t>
      </w:r>
      <w:r w:rsidR="00025B72">
        <w:rPr>
          <w:noProof/>
        </w:rPr>
        <w:fldChar w:fldCharType="end"/>
      </w:r>
      <w:bookmarkEnd w:id="29"/>
      <w:r w:rsidRPr="00FF09A2">
        <w:t>: Mean (95% CI) for sweat chloride (mmol/L) at each visit, FAS, Part B</w:t>
      </w:r>
      <w:r w:rsidRPr="00FF09A2">
        <w:rPr>
          <w:noProof/>
        </w:rPr>
        <w:drawing>
          <wp:inline distT="0" distB="0" distL="0" distR="0" wp14:anchorId="683DBA71" wp14:editId="232666CE">
            <wp:extent cx="5731510" cy="2569210"/>
            <wp:effectExtent l="0" t="0" r="2540" b="2540"/>
            <wp:docPr id="399914119" name="Picture 39991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69210"/>
                    </a:xfrm>
                    <a:prstGeom prst="rect">
                      <a:avLst/>
                    </a:prstGeom>
                  </pic:spPr>
                </pic:pic>
              </a:graphicData>
            </a:graphic>
          </wp:inline>
        </w:drawing>
      </w:r>
    </w:p>
    <w:p w14:paraId="03487A0D" w14:textId="77777777" w:rsidR="00F86069" w:rsidRPr="00FF09A2" w:rsidRDefault="00F86069" w:rsidP="00F86069">
      <w:pPr>
        <w:pStyle w:val="TableFooter"/>
      </w:pPr>
      <w:r w:rsidRPr="00FF09A2">
        <w:t>Source: 2.5.1 p70 of the submission</w:t>
      </w:r>
    </w:p>
    <w:p w14:paraId="0E7EEC4A" w14:textId="77777777" w:rsidR="00F86069" w:rsidRPr="00FF09A2" w:rsidRDefault="00F86069" w:rsidP="006E36B3">
      <w:pPr>
        <w:pStyle w:val="TableFooter"/>
        <w:spacing w:after="120"/>
      </w:pPr>
      <w:r w:rsidRPr="00FF09A2">
        <w:t>CI = confidence interval; FAS = full analysis set.</w:t>
      </w:r>
    </w:p>
    <w:p w14:paraId="22ABF1CA" w14:textId="3B0CFA1B" w:rsidR="00BC00CD" w:rsidRPr="00B3449A" w:rsidRDefault="00BC00CD" w:rsidP="006E36B3">
      <w:pPr>
        <w:pStyle w:val="3-BodyText"/>
        <w:ind w:left="720"/>
        <w:rPr>
          <w:lang w:val="en-AU"/>
        </w:rPr>
      </w:pPr>
      <w:r w:rsidRPr="00B3449A">
        <w:rPr>
          <w:lang w:val="en-AU"/>
        </w:rPr>
        <w:t xml:space="preserve">Improvements were </w:t>
      </w:r>
      <w:r w:rsidR="006E36B3">
        <w:rPr>
          <w:lang w:val="en-AU"/>
        </w:rPr>
        <w:t xml:space="preserve">also </w:t>
      </w:r>
      <w:r w:rsidRPr="00B3449A">
        <w:rPr>
          <w:lang w:val="en-AU"/>
        </w:rPr>
        <w:t>observed in markers of pancreatic function and inflammation (FE-1, IRT, faecal calprotectin) over the 24-week treatment period. All growth parameters remained stable over time.</w:t>
      </w:r>
    </w:p>
    <w:p w14:paraId="2414664E" w14:textId="67627519" w:rsidR="00F86069" w:rsidRPr="00B3449A" w:rsidRDefault="00F86069" w:rsidP="006E36B3">
      <w:pPr>
        <w:pStyle w:val="3-BodyText"/>
        <w:ind w:left="720"/>
        <w:rPr>
          <w:lang w:val="en-AU"/>
        </w:rPr>
      </w:pPr>
      <w:r w:rsidRPr="00B3449A">
        <w:rPr>
          <w:lang w:val="en-AU"/>
        </w:rPr>
        <w:t>The benefits of treatment with lumacaftor/ivacaftor for each of the PD outcomes should be interpreted with caution due to the small sample size of the study</w:t>
      </w:r>
      <w:r w:rsidR="006E36B3">
        <w:rPr>
          <w:lang w:val="en-AU"/>
        </w:rPr>
        <w:t xml:space="preserve"> (N = 46)</w:t>
      </w:r>
      <w:r w:rsidRPr="00B3449A">
        <w:rPr>
          <w:lang w:val="en-AU"/>
        </w:rPr>
        <w:t xml:space="preserve">, short duration of follow up and the lack of a comparable control group.  </w:t>
      </w:r>
    </w:p>
    <w:p w14:paraId="29D7D059" w14:textId="70060600" w:rsidR="00F86069" w:rsidRPr="00B3449A" w:rsidRDefault="00F86069" w:rsidP="006E36B3">
      <w:pPr>
        <w:pStyle w:val="3-BodyText"/>
        <w:ind w:left="720"/>
        <w:rPr>
          <w:rFonts w:eastAsia="Calibri"/>
        </w:rPr>
      </w:pPr>
      <w:r w:rsidRPr="00B3449A">
        <w:t xml:space="preserve">The submission </w:t>
      </w:r>
      <w:r w:rsidR="00715513" w:rsidRPr="00B3449A">
        <w:t xml:space="preserve">presented </w:t>
      </w:r>
      <w:r w:rsidR="006E36B3">
        <w:t xml:space="preserve">a comparison of </w:t>
      </w:r>
      <w:r w:rsidR="00B52ECB" w:rsidRPr="00B3449A">
        <w:t xml:space="preserve">SwCl response to 24-week CFTR treatment </w:t>
      </w:r>
      <w:r w:rsidR="006E36B3">
        <w:t>across</w:t>
      </w:r>
      <w:r w:rsidR="006E36B3" w:rsidRPr="00B3449A">
        <w:t xml:space="preserve"> </w:t>
      </w:r>
      <w:r w:rsidR="00715513" w:rsidRPr="00B3449A">
        <w:t>Study 122, Study 115 (2 to 5 years), Study 109 (6 to 11 years) and Study 106 (tezacaftor/ivaca</w:t>
      </w:r>
      <w:r w:rsidR="00790BDF" w:rsidRPr="00B3449A">
        <w:t>f</w:t>
      </w:r>
      <w:r w:rsidR="00715513" w:rsidRPr="00B3449A">
        <w:t>tor</w:t>
      </w:r>
      <w:r w:rsidR="00F56954" w:rsidRPr="00B3449A">
        <w:t xml:space="preserve"> </w:t>
      </w:r>
      <w:r w:rsidR="00715513" w:rsidRPr="00B3449A">
        <w:t>aged ≥ 12 years</w:t>
      </w:r>
      <w:r w:rsidR="00817011" w:rsidRPr="00B3449A">
        <w:rPr>
          <w:rStyle w:val="FootnoteReference"/>
          <w:rFonts w:cs="Calibri"/>
          <w:bCs/>
          <w:color w:val="000000"/>
          <w:lang w:val="en-AU"/>
        </w:rPr>
        <w:footnoteReference w:id="2"/>
      </w:r>
      <w:r w:rsidR="00715513" w:rsidRPr="00B3449A">
        <w:t xml:space="preserve">) </w:t>
      </w:r>
      <w:r w:rsidR="00F56954" w:rsidRPr="00B3449A">
        <w:t xml:space="preserve">in the F/F population </w:t>
      </w:r>
      <w:r w:rsidR="006E36B3">
        <w:t>(see</w:t>
      </w:r>
      <w:r w:rsidR="00715513" w:rsidRPr="00B3449A">
        <w:t xml:space="preserve"> </w:t>
      </w:r>
      <w:r w:rsidR="00790BDF" w:rsidRPr="00B3449A">
        <w:fldChar w:fldCharType="begin"/>
      </w:r>
      <w:r w:rsidR="00790BDF" w:rsidRPr="00B3449A">
        <w:instrText xml:space="preserve"> REF _Ref133831334 \h </w:instrText>
      </w:r>
      <w:r w:rsidR="00B3449A" w:rsidRPr="00B3449A">
        <w:instrText xml:space="preserve"> \* MERGEFORMAT </w:instrText>
      </w:r>
      <w:r w:rsidR="00790BDF" w:rsidRPr="00B3449A">
        <w:fldChar w:fldCharType="separate"/>
      </w:r>
      <w:r w:rsidR="00025B72" w:rsidRPr="00FF09A2">
        <w:t xml:space="preserve">Figure </w:t>
      </w:r>
      <w:r w:rsidR="00025B72">
        <w:rPr>
          <w:noProof/>
        </w:rPr>
        <w:t>2</w:t>
      </w:r>
      <w:r w:rsidR="00790BDF" w:rsidRPr="00B3449A">
        <w:fldChar w:fldCharType="end"/>
      </w:r>
      <w:r w:rsidR="006E36B3">
        <w:t>)</w:t>
      </w:r>
      <w:r w:rsidR="00715513" w:rsidRPr="00B3449A">
        <w:t xml:space="preserve">. The submission </w:t>
      </w:r>
      <w:r w:rsidRPr="00B3449A">
        <w:t xml:space="preserve">provided a qualitative interpretation that </w:t>
      </w:r>
      <w:r w:rsidR="006E36B3">
        <w:t xml:space="preserve">change in SwCl at Week 24 in </w:t>
      </w:r>
      <w:r w:rsidRPr="00B3449A">
        <w:t xml:space="preserve">Study 122 </w:t>
      </w:r>
      <w:r w:rsidR="006E36B3">
        <w:t>was</w:t>
      </w:r>
      <w:r w:rsidR="006E36B3" w:rsidRPr="00B3449A">
        <w:t xml:space="preserve"> </w:t>
      </w:r>
      <w:r w:rsidRPr="00B3449A">
        <w:t xml:space="preserve">comparable with </w:t>
      </w:r>
      <w:r w:rsidR="006E36B3">
        <w:t>the</w:t>
      </w:r>
      <w:r w:rsidRPr="00B3449A">
        <w:t xml:space="preserve"> studies in older patients. </w:t>
      </w:r>
      <w:r w:rsidR="006D7874" w:rsidRPr="00B3449A">
        <w:rPr>
          <w:rStyle w:val="BodyTextChar"/>
          <w:rFonts w:asciiTheme="minorHAnsi" w:hAnsiTheme="minorHAnsi" w:cstheme="minorHAnsi"/>
          <w:sz w:val="24"/>
          <w:lang w:val="en-AU"/>
        </w:rPr>
        <w:t>The submission noted that patients aged 6 years and older experienced rapid and sustained</w:t>
      </w:r>
      <w:r w:rsidR="006D7874" w:rsidRPr="00B3449A">
        <w:rPr>
          <w:rFonts w:cstheme="minorHAnsi"/>
        </w:rPr>
        <w:t xml:space="preserve"> reductions in SwCl, along with </w:t>
      </w:r>
      <w:r w:rsidR="006E36B3">
        <w:rPr>
          <w:rFonts w:cstheme="minorHAnsi"/>
        </w:rPr>
        <w:t xml:space="preserve">a </w:t>
      </w:r>
      <w:r w:rsidR="006D7874" w:rsidRPr="00B3449A">
        <w:rPr>
          <w:rFonts w:cstheme="minorHAnsi"/>
        </w:rPr>
        <w:t xml:space="preserve">clinically meaningful change in lung function. </w:t>
      </w:r>
      <w:proofErr w:type="gramStart"/>
      <w:r w:rsidR="00294490" w:rsidRPr="00B3449A">
        <w:rPr>
          <w:rFonts w:cstheme="minorHAnsi"/>
        </w:rPr>
        <w:t>On the basis of</w:t>
      </w:r>
      <w:proofErr w:type="gramEnd"/>
      <w:r w:rsidR="00294490" w:rsidRPr="00B3449A">
        <w:rPr>
          <w:rFonts w:cstheme="minorHAnsi"/>
        </w:rPr>
        <w:t xml:space="preserve"> the comparable rapid and sustained reduction in SwCl seen in Study 122, </w:t>
      </w:r>
      <w:r w:rsidR="00294490" w:rsidRPr="00B3449A">
        <w:t xml:space="preserve">the submission claimed that it </w:t>
      </w:r>
      <w:r w:rsidR="006E36B3">
        <w:t>was</w:t>
      </w:r>
      <w:r w:rsidR="006E36B3" w:rsidRPr="00B3449A">
        <w:t xml:space="preserve"> </w:t>
      </w:r>
      <w:r w:rsidR="00294490" w:rsidRPr="00B3449A">
        <w:t xml:space="preserve">both plausible and reasonable to anticipate </w:t>
      </w:r>
      <w:r w:rsidR="006E36B3">
        <w:t>that</w:t>
      </w:r>
      <w:r w:rsidR="00294490" w:rsidRPr="00B3449A">
        <w:t xml:space="preserve"> lumacaftor/ivacaftor </w:t>
      </w:r>
      <w:r w:rsidR="006E36B3">
        <w:t xml:space="preserve">would have a positive impact </w:t>
      </w:r>
      <w:r w:rsidR="00294490" w:rsidRPr="00B3449A">
        <w:t xml:space="preserve">on lung function in younger patients. </w:t>
      </w:r>
      <w:r w:rsidR="00B52ECB" w:rsidRPr="00B3449A">
        <w:t xml:space="preserve">The submission did not present any other comparative PK or PD data for patients aged 2 years and older. </w:t>
      </w:r>
    </w:p>
    <w:p w14:paraId="7D3C0E61" w14:textId="6D6D85B9" w:rsidR="00790BDF" w:rsidRPr="00ED2220" w:rsidRDefault="00790BDF" w:rsidP="00790BDF">
      <w:pPr>
        <w:pStyle w:val="Caption"/>
        <w:jc w:val="left"/>
        <w:rPr>
          <w:vertAlign w:val="superscript"/>
        </w:rPr>
      </w:pPr>
      <w:bookmarkStart w:id="30" w:name="_Ref133831334"/>
      <w:r w:rsidRPr="00FF09A2">
        <w:lastRenderedPageBreak/>
        <w:t xml:space="preserve">Figure </w:t>
      </w:r>
      <w:r w:rsidR="00025B72">
        <w:fldChar w:fldCharType="begin"/>
      </w:r>
      <w:r w:rsidR="00025B72">
        <w:instrText xml:space="preserve"> SEQ Figure \* ARABIC </w:instrText>
      </w:r>
      <w:r w:rsidR="00025B72">
        <w:fldChar w:fldCharType="separate"/>
      </w:r>
      <w:r w:rsidR="00025B72">
        <w:rPr>
          <w:noProof/>
        </w:rPr>
        <w:t>2</w:t>
      </w:r>
      <w:r w:rsidR="00025B72">
        <w:rPr>
          <w:noProof/>
        </w:rPr>
        <w:fldChar w:fldCharType="end"/>
      </w:r>
      <w:bookmarkEnd w:id="30"/>
      <w:r w:rsidRPr="00FF09A2">
        <w:t xml:space="preserve">: Mean absolute change in sweat chloride from baseline to Week 24 stratified by age, </w:t>
      </w:r>
      <w:proofErr w:type="gramStart"/>
      <w:r w:rsidRPr="00FF09A2">
        <w:t>FAS</w:t>
      </w:r>
      <w:r w:rsidR="00ED2220">
        <w:rPr>
          <w:vertAlign w:val="superscript"/>
        </w:rPr>
        <w:t>a</w:t>
      </w:r>
      <w:proofErr w:type="gramEnd"/>
    </w:p>
    <w:p w14:paraId="6D97F0DE" w14:textId="77777777" w:rsidR="008B4720" w:rsidRPr="00FF09A2" w:rsidRDefault="008B4720" w:rsidP="008B4720">
      <w:pPr>
        <w:pStyle w:val="BodyText"/>
      </w:pPr>
      <w:r w:rsidRPr="00FF09A2">
        <w:rPr>
          <w:noProof/>
        </w:rPr>
        <w:drawing>
          <wp:inline distT="0" distB="0" distL="0" distR="0" wp14:anchorId="2A96FF05" wp14:editId="7DC23705">
            <wp:extent cx="5731510" cy="30873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87370"/>
                    </a:xfrm>
                    <a:prstGeom prst="rect">
                      <a:avLst/>
                    </a:prstGeom>
                  </pic:spPr>
                </pic:pic>
              </a:graphicData>
            </a:graphic>
          </wp:inline>
        </w:drawing>
      </w:r>
    </w:p>
    <w:p w14:paraId="3FB758A2" w14:textId="46278C90" w:rsidR="008D5229" w:rsidRPr="00EB6821" w:rsidRDefault="008D5229" w:rsidP="00CF6A8C">
      <w:pPr>
        <w:pStyle w:val="TableFigNotes0"/>
        <w:jc w:val="both"/>
        <w:rPr>
          <w:rFonts w:ascii="Arial Narrow" w:hAnsi="Arial Narrow"/>
          <w:sz w:val="18"/>
          <w:lang w:val="en-AU"/>
        </w:rPr>
      </w:pPr>
      <w:r w:rsidRPr="00EB6821">
        <w:rPr>
          <w:rFonts w:ascii="Arial Narrow" w:hAnsi="Arial Narrow"/>
          <w:sz w:val="18"/>
          <w:lang w:val="en-AU"/>
        </w:rPr>
        <w:t>Source: Figure 2.7.1, p92 of the submission</w:t>
      </w:r>
    </w:p>
    <w:p w14:paraId="1E4E0673" w14:textId="55552D4A" w:rsidR="008B4720" w:rsidRPr="00EB6821" w:rsidRDefault="008B4720" w:rsidP="00CF6A8C">
      <w:pPr>
        <w:pStyle w:val="TableFigNotes0"/>
        <w:jc w:val="both"/>
        <w:rPr>
          <w:rFonts w:ascii="Arial Narrow" w:hAnsi="Arial Narrow"/>
          <w:sz w:val="18"/>
          <w:lang w:val="en-AU"/>
        </w:rPr>
      </w:pPr>
      <w:r w:rsidRPr="00EB6821">
        <w:rPr>
          <w:rFonts w:ascii="Arial Narrow" w:hAnsi="Arial Narrow"/>
          <w:sz w:val="18"/>
          <w:lang w:val="en-AU"/>
        </w:rPr>
        <w:t>CI = Confidence Interval; FAS = full analysis set; SwCl = sweat chloride.</w:t>
      </w:r>
    </w:p>
    <w:p w14:paraId="325A29B1" w14:textId="77777777" w:rsidR="008B4720" w:rsidRPr="00EB6821" w:rsidRDefault="008B4720" w:rsidP="00CF6A8C">
      <w:pPr>
        <w:pStyle w:val="TableFigNotes0"/>
        <w:jc w:val="both"/>
        <w:rPr>
          <w:rFonts w:ascii="Arial Narrow" w:hAnsi="Arial Narrow"/>
          <w:sz w:val="18"/>
          <w:lang w:val="en-AU"/>
        </w:rPr>
      </w:pPr>
      <w:r w:rsidRPr="00EB6821">
        <w:rPr>
          <w:rFonts w:ascii="Arial Narrow" w:hAnsi="Arial Narrow"/>
          <w:sz w:val="18"/>
          <w:lang w:val="en-AU"/>
        </w:rPr>
        <w:t>Note:</w:t>
      </w:r>
    </w:p>
    <w:p w14:paraId="589395B3" w14:textId="505A0D1D" w:rsidR="008B4720" w:rsidRPr="00EB6821" w:rsidRDefault="008B4720" w:rsidP="00CF6A8C">
      <w:pPr>
        <w:pStyle w:val="TableFigNotes0"/>
        <w:jc w:val="both"/>
        <w:rPr>
          <w:rFonts w:ascii="Arial Narrow" w:hAnsi="Arial Narrow"/>
          <w:sz w:val="18"/>
          <w:lang w:val="en-AU"/>
        </w:rPr>
      </w:pPr>
      <w:r w:rsidRPr="00EB6821">
        <w:rPr>
          <w:rFonts w:ascii="Arial Narrow" w:hAnsi="Arial Narrow"/>
          <w:sz w:val="18"/>
          <w:lang w:val="en-AU"/>
        </w:rPr>
        <w:t>Full Analysis set includes all enrolled or randomised subjects who are exposed to any amount of study drug. The Full Analysis set is defined the same across all studies.</w:t>
      </w:r>
    </w:p>
    <w:p w14:paraId="47FE42D1" w14:textId="29B5DF8A" w:rsidR="008B4720" w:rsidRPr="00EB6821" w:rsidRDefault="008B4720" w:rsidP="00CF6A8C">
      <w:pPr>
        <w:pStyle w:val="TableFigNotes0"/>
        <w:jc w:val="both"/>
        <w:rPr>
          <w:rFonts w:ascii="Arial Narrow" w:hAnsi="Arial Narrow"/>
          <w:sz w:val="18"/>
          <w:lang w:val="en-AU"/>
        </w:rPr>
      </w:pPr>
      <w:r w:rsidRPr="00EB6821">
        <w:rPr>
          <w:rFonts w:ascii="Arial Narrow" w:hAnsi="Arial Narrow"/>
          <w:sz w:val="18"/>
          <w:lang w:val="en-AU"/>
        </w:rPr>
        <w:t>CF patients with F/F genotype aged 1-2 years participated in study 809-122; patients aged 2-5 years participated in study 809-115; patients aged 6-11 years participated in study 809-109; patients aged 12+ years participated in study 809-106. All treatment dosage regimens are pooled from all studies.</w:t>
      </w:r>
    </w:p>
    <w:p w14:paraId="00562BC3" w14:textId="19384702" w:rsidR="008B4720" w:rsidRPr="00EB6821" w:rsidRDefault="008B4720" w:rsidP="00CF6A8C">
      <w:pPr>
        <w:pStyle w:val="TableFigNotes0"/>
        <w:jc w:val="both"/>
        <w:rPr>
          <w:rFonts w:ascii="Arial Narrow" w:hAnsi="Arial Narrow"/>
          <w:sz w:val="18"/>
          <w:lang w:val="en-AU"/>
        </w:rPr>
      </w:pPr>
      <w:r w:rsidRPr="00EB6821">
        <w:rPr>
          <w:rFonts w:ascii="Arial Narrow" w:hAnsi="Arial Narrow"/>
          <w:sz w:val="18"/>
          <w:lang w:val="en-AU"/>
        </w:rPr>
        <w:t>Baseline is defined as the most recent non-missing measurement (scheduled or unscheduled) prior to the initiation date of treatment. The baseline is defined the same for all studies.</w:t>
      </w:r>
    </w:p>
    <w:p w14:paraId="04D99788" w14:textId="0490A328" w:rsidR="008B4720" w:rsidRDefault="008B4720" w:rsidP="00CF6A8C">
      <w:pPr>
        <w:pStyle w:val="TableFigNotes18"/>
        <w:spacing w:after="0" w:line="240" w:lineRule="auto"/>
        <w:jc w:val="both"/>
        <w:rPr>
          <w:rFonts w:ascii="Arial Narrow" w:hAnsi="Arial Narrow"/>
          <w:sz w:val="18"/>
        </w:rPr>
      </w:pPr>
      <w:r w:rsidRPr="00EB6821">
        <w:rPr>
          <w:rFonts w:ascii="Arial Narrow" w:hAnsi="Arial Narrow"/>
          <w:sz w:val="18"/>
        </w:rPr>
        <w:t>The values of SwCl at each visit are based on the averaged measurements from left and right arms. This is calculated the same across all studies.</w:t>
      </w:r>
    </w:p>
    <w:p w14:paraId="3BCFE4A9" w14:textId="4D022424" w:rsidR="00ED2220" w:rsidRPr="00ED2220" w:rsidRDefault="00ED2220" w:rsidP="00A61595">
      <w:pPr>
        <w:pStyle w:val="BodyText"/>
        <w:spacing w:after="120"/>
        <w:jc w:val="both"/>
        <w:rPr>
          <w:i/>
          <w:iCs/>
        </w:rPr>
      </w:pPr>
      <w:r w:rsidRPr="004D79FC">
        <w:rPr>
          <w:rFonts w:ascii="Arial Narrow" w:eastAsiaTheme="minorHAnsi" w:hAnsi="Arial Narrow" w:cs="Tahoma"/>
          <w:color w:val="000000"/>
          <w:sz w:val="18"/>
          <w:szCs w:val="18"/>
          <w:vertAlign w:val="superscript"/>
        </w:rPr>
        <w:t>a</w:t>
      </w:r>
      <w:r w:rsidRPr="00ED2220">
        <w:rPr>
          <w:rFonts w:ascii="Arial Narrow" w:eastAsiaTheme="minorHAnsi" w:hAnsi="Arial Narrow" w:cs="Tahoma"/>
          <w:color w:val="000000"/>
          <w:sz w:val="18"/>
          <w:szCs w:val="18"/>
        </w:rPr>
        <w:t xml:space="preserve"> </w:t>
      </w:r>
      <w:r w:rsidRPr="00ED2220">
        <w:rPr>
          <w:rFonts w:ascii="Arial Narrow" w:eastAsiaTheme="minorHAnsi" w:hAnsi="Arial Narrow" w:cs="Tahoma"/>
          <w:i/>
          <w:iCs/>
          <w:color w:val="000000"/>
          <w:sz w:val="18"/>
          <w:szCs w:val="18"/>
        </w:rPr>
        <w:t>Note that the results presented in Figure 2 are derived from post-hoc analyses conducted by the applicant specifically for the purposes of informing the PBAC consideration. These analyses were not part of the pre-specified statistical plan for Studies 809-106, 809-109, 809-115 and 809-122. Interpretation of the results and their application should therefore be limited to seeking to understand the basis for the PBAC outcome and should not be used for any other purpose.</w:t>
      </w:r>
    </w:p>
    <w:p w14:paraId="2DDE500E" w14:textId="00B68AAD" w:rsidR="00963A05" w:rsidRPr="00051171" w:rsidRDefault="00963A05" w:rsidP="006E36B3">
      <w:pPr>
        <w:pStyle w:val="3-BodyText"/>
        <w:ind w:left="720"/>
      </w:pPr>
      <w:r w:rsidRPr="00051171">
        <w:t xml:space="preserve">The ESC noted the data from Study 116 presented in the </w:t>
      </w:r>
      <w:r w:rsidR="00D648C6">
        <w:t>Pre-Sub-Committee Response (</w:t>
      </w:r>
      <w:r w:rsidRPr="00051171">
        <w:t>PSCR</w:t>
      </w:r>
      <w:r w:rsidR="00D648C6">
        <w:t>)</w:t>
      </w:r>
      <w:r w:rsidRPr="00051171">
        <w:t xml:space="preserve"> supported sustained reduction in SwCl over 96 weeks but further noted </w:t>
      </w:r>
      <w:r w:rsidR="006E36B3" w:rsidRPr="00051171">
        <w:t xml:space="preserve">that </w:t>
      </w:r>
      <w:r w:rsidRPr="00051171">
        <w:t>this study was in children aged 2 to 5 years of age.</w:t>
      </w:r>
    </w:p>
    <w:p w14:paraId="13AE1156" w14:textId="3E18B0C8" w:rsidR="00F86069" w:rsidRPr="00FF09A2" w:rsidRDefault="00F86069" w:rsidP="00F86069">
      <w:pPr>
        <w:pStyle w:val="4-SubsectionHeading"/>
      </w:pPr>
      <w:bookmarkStart w:id="31" w:name="_Toc135204526"/>
      <w:r w:rsidRPr="00FF09A2">
        <w:t>Comparative harms</w:t>
      </w:r>
      <w:bookmarkEnd w:id="28"/>
      <w:bookmarkEnd w:id="31"/>
    </w:p>
    <w:p w14:paraId="17DBC0F3" w14:textId="54988271" w:rsidR="00F86069" w:rsidRPr="00B3449A" w:rsidRDefault="00F86069" w:rsidP="006E36B3">
      <w:pPr>
        <w:pStyle w:val="3-BodyText"/>
        <w:ind w:left="720"/>
        <w:rPr>
          <w:iCs/>
        </w:rPr>
      </w:pPr>
      <w:bookmarkStart w:id="32" w:name="_Hlk132206407"/>
      <w:r w:rsidRPr="00B3449A">
        <w:rPr>
          <w:iCs/>
        </w:rPr>
        <w:t xml:space="preserve">A summary of the adverse events (AEs) for lumacaftor/ivacaftor in Study 122 </w:t>
      </w:r>
      <w:proofErr w:type="gramStart"/>
      <w:r w:rsidRPr="00B3449A">
        <w:rPr>
          <w:iCs/>
        </w:rPr>
        <w:t>is presented</w:t>
      </w:r>
      <w:proofErr w:type="gramEnd"/>
      <w:r w:rsidRPr="00B3449A">
        <w:rPr>
          <w:iCs/>
        </w:rPr>
        <w:t xml:space="preserve"> in</w:t>
      </w:r>
      <w:r w:rsidR="001F03CF" w:rsidRPr="00B3449A">
        <w:rPr>
          <w:iCs/>
        </w:rPr>
        <w:t xml:space="preserve"> </w:t>
      </w:r>
      <w:r w:rsidR="001F03CF" w:rsidRPr="00B3449A">
        <w:rPr>
          <w:iCs/>
        </w:rPr>
        <w:fldChar w:fldCharType="begin"/>
      </w:r>
      <w:r w:rsidR="001F03CF" w:rsidRPr="00B3449A">
        <w:rPr>
          <w:iCs/>
        </w:rPr>
        <w:instrText xml:space="preserve"> REF _Ref132608241 \h </w:instrText>
      </w:r>
      <w:r w:rsidR="00B3449A" w:rsidRPr="00B3449A">
        <w:rPr>
          <w:iCs/>
        </w:rPr>
        <w:instrText xml:space="preserve"> \* MERGEFORMAT </w:instrText>
      </w:r>
      <w:r w:rsidR="001F03CF" w:rsidRPr="00B3449A">
        <w:rPr>
          <w:iCs/>
        </w:rPr>
      </w:r>
      <w:r w:rsidR="001F03CF" w:rsidRPr="00B3449A">
        <w:rPr>
          <w:iCs/>
        </w:rPr>
        <w:fldChar w:fldCharType="separate"/>
      </w:r>
      <w:r w:rsidR="00025B72" w:rsidRPr="00025B72">
        <w:rPr>
          <w:iCs/>
        </w:rPr>
        <w:t xml:space="preserve">Table </w:t>
      </w:r>
      <w:r w:rsidR="00025B72" w:rsidRPr="00025B72">
        <w:rPr>
          <w:iCs/>
          <w:noProof/>
        </w:rPr>
        <w:t>5</w:t>
      </w:r>
      <w:r w:rsidR="001F03CF" w:rsidRPr="00B3449A">
        <w:rPr>
          <w:iCs/>
        </w:rPr>
        <w:fldChar w:fldCharType="end"/>
      </w:r>
      <w:r w:rsidR="00312029" w:rsidRPr="00B3449A">
        <w:rPr>
          <w:iCs/>
        </w:rPr>
        <w:t>.</w:t>
      </w:r>
    </w:p>
    <w:bookmarkEnd w:id="32"/>
    <w:p w14:paraId="6485E04C" w14:textId="573D220D" w:rsidR="00F86069" w:rsidRPr="00B3449A" w:rsidRDefault="00F86069" w:rsidP="006E36B3">
      <w:pPr>
        <w:pStyle w:val="3-BodyText"/>
        <w:ind w:left="720"/>
        <w:rPr>
          <w:iCs/>
          <w:lang w:val="en-AU"/>
        </w:rPr>
      </w:pPr>
      <w:r w:rsidRPr="00B3449A">
        <w:rPr>
          <w:iCs/>
          <w:lang w:val="en-AU"/>
        </w:rPr>
        <w:t xml:space="preserve">Of the 14 patients enrolled in Part A, 12 (85.7%) experienced an AE. No patients experienced a serious AE. Treatment was discontinued in </w:t>
      </w:r>
      <w:r w:rsidR="006E36B3">
        <w:rPr>
          <w:iCs/>
          <w:lang w:val="en-AU"/>
        </w:rPr>
        <w:t>one</w:t>
      </w:r>
      <w:r w:rsidRPr="00B3449A">
        <w:rPr>
          <w:iCs/>
          <w:lang w:val="en-AU"/>
        </w:rPr>
        <w:t xml:space="preserve"> (7.1%) patient who experienced a rash. The </w:t>
      </w:r>
      <w:proofErr w:type="gramStart"/>
      <w:r w:rsidRPr="00B3449A">
        <w:rPr>
          <w:iCs/>
          <w:lang w:val="en-AU"/>
        </w:rPr>
        <w:t>most commonly reported</w:t>
      </w:r>
      <w:proofErr w:type="gramEnd"/>
      <w:r w:rsidRPr="00B3449A">
        <w:rPr>
          <w:iCs/>
          <w:lang w:val="en-AU"/>
        </w:rPr>
        <w:t xml:space="preserve"> AEs were rhinorrhoea (35.7%), cough (28.6%), rash (21.4%) and influenza (14.3%). </w:t>
      </w:r>
    </w:p>
    <w:p w14:paraId="7EFAC262" w14:textId="25A9125B" w:rsidR="00F86069" w:rsidRPr="00B3449A" w:rsidRDefault="00F86069" w:rsidP="006E36B3">
      <w:pPr>
        <w:pStyle w:val="3-BodyText"/>
        <w:ind w:left="720"/>
        <w:rPr>
          <w:iCs/>
          <w:lang w:val="en-AU"/>
        </w:rPr>
      </w:pPr>
      <w:r w:rsidRPr="00B3449A">
        <w:rPr>
          <w:iCs/>
          <w:lang w:val="en-AU"/>
        </w:rPr>
        <w:t xml:space="preserve">Of the 46 patients enrolled in Part B, 44 (95.7%) experienced an AE. </w:t>
      </w:r>
      <w:r w:rsidR="00873EA8" w:rsidRPr="00B3449A">
        <w:rPr>
          <w:iCs/>
          <w:lang w:val="en-AU"/>
        </w:rPr>
        <w:t xml:space="preserve">Five </w:t>
      </w:r>
      <w:r w:rsidRPr="00B3449A">
        <w:rPr>
          <w:iCs/>
          <w:lang w:val="en-AU"/>
        </w:rPr>
        <w:t xml:space="preserve">(10.9%) patients experienced a </w:t>
      </w:r>
      <w:r w:rsidR="006E36B3">
        <w:rPr>
          <w:iCs/>
          <w:lang w:val="en-AU"/>
        </w:rPr>
        <w:t xml:space="preserve">serious </w:t>
      </w:r>
      <w:r w:rsidRPr="00B3449A">
        <w:rPr>
          <w:iCs/>
          <w:lang w:val="en-AU"/>
        </w:rPr>
        <w:t xml:space="preserve">AE, while </w:t>
      </w:r>
      <w:r w:rsidR="006E36B3">
        <w:rPr>
          <w:iCs/>
          <w:lang w:val="en-AU"/>
        </w:rPr>
        <w:t>two</w:t>
      </w:r>
      <w:r w:rsidRPr="00B3449A">
        <w:rPr>
          <w:iCs/>
          <w:lang w:val="en-AU"/>
        </w:rPr>
        <w:t xml:space="preserve"> (4.3%) </w:t>
      </w:r>
      <w:r w:rsidR="00921ED7" w:rsidRPr="00B3449A">
        <w:rPr>
          <w:iCs/>
          <w:lang w:val="en-AU"/>
        </w:rPr>
        <w:t xml:space="preserve">patients </w:t>
      </w:r>
      <w:r w:rsidRPr="00B3449A">
        <w:rPr>
          <w:iCs/>
          <w:lang w:val="en-AU"/>
        </w:rPr>
        <w:t xml:space="preserve">experienced a severe AE. </w:t>
      </w:r>
      <w:r w:rsidR="006E36B3">
        <w:rPr>
          <w:iCs/>
          <w:lang w:val="en-AU"/>
        </w:rPr>
        <w:lastRenderedPageBreak/>
        <w:t>For</w:t>
      </w:r>
      <w:r w:rsidR="006E36B3" w:rsidRPr="00B3449A">
        <w:rPr>
          <w:iCs/>
          <w:lang w:val="en-AU"/>
        </w:rPr>
        <w:t xml:space="preserve"> </w:t>
      </w:r>
      <w:r w:rsidR="00385000" w:rsidRPr="00B3449A">
        <w:rPr>
          <w:iCs/>
          <w:lang w:val="en-AU"/>
        </w:rPr>
        <w:t xml:space="preserve">comparison, in </w:t>
      </w:r>
      <w:r w:rsidR="00A770D7" w:rsidRPr="00B3449A">
        <w:rPr>
          <w:iCs/>
          <w:lang w:val="en-AU"/>
        </w:rPr>
        <w:t xml:space="preserve">Study 115 (F/F </w:t>
      </w:r>
      <w:r w:rsidR="00385000" w:rsidRPr="00B3449A">
        <w:rPr>
          <w:iCs/>
          <w:lang w:val="en-AU"/>
        </w:rPr>
        <w:t xml:space="preserve">population aged </w:t>
      </w:r>
      <w:r w:rsidR="00A770D7" w:rsidRPr="00B3449A">
        <w:rPr>
          <w:iCs/>
          <w:lang w:val="en-AU"/>
        </w:rPr>
        <w:t xml:space="preserve">2 to 5 years of age), 98.3% of patients experienced an AE, of which 6.7% were a SAE. </w:t>
      </w:r>
      <w:r w:rsidRPr="00B3449A">
        <w:rPr>
          <w:iCs/>
          <w:lang w:val="en-AU"/>
        </w:rPr>
        <w:t>Treatment</w:t>
      </w:r>
      <w:r w:rsidR="00A770D7" w:rsidRPr="00B3449A">
        <w:rPr>
          <w:iCs/>
          <w:lang w:val="en-AU"/>
        </w:rPr>
        <w:t xml:space="preserve"> in </w:t>
      </w:r>
      <w:r w:rsidR="006E36B3">
        <w:rPr>
          <w:iCs/>
          <w:lang w:val="en-AU"/>
        </w:rPr>
        <w:t xml:space="preserve">Part B of </w:t>
      </w:r>
      <w:r w:rsidR="00A770D7" w:rsidRPr="00B3449A">
        <w:rPr>
          <w:iCs/>
          <w:lang w:val="en-AU"/>
        </w:rPr>
        <w:t>Study 122</w:t>
      </w:r>
      <w:r w:rsidRPr="00B3449A">
        <w:rPr>
          <w:iCs/>
          <w:lang w:val="en-AU"/>
        </w:rPr>
        <w:t xml:space="preserve"> was discontinued in </w:t>
      </w:r>
      <w:r w:rsidR="006E36B3">
        <w:rPr>
          <w:iCs/>
          <w:lang w:val="en-AU"/>
        </w:rPr>
        <w:t>one</w:t>
      </w:r>
      <w:r w:rsidRPr="00B3449A">
        <w:rPr>
          <w:iCs/>
          <w:lang w:val="en-AU"/>
        </w:rPr>
        <w:t xml:space="preserve"> (2.2%) patient who experienced increase in alanine aminotransferase (ALT) and aspartate transaminase (AST). Treatment was interrupted in </w:t>
      </w:r>
      <w:r w:rsidR="006E36B3">
        <w:rPr>
          <w:iCs/>
          <w:lang w:val="en-AU"/>
        </w:rPr>
        <w:t>two</w:t>
      </w:r>
      <w:r w:rsidRPr="00B3449A">
        <w:rPr>
          <w:iCs/>
          <w:lang w:val="en-AU"/>
        </w:rPr>
        <w:t xml:space="preserve"> (4.3%) patients, one of whom experienced dyspnoea and the other who had a serious distal intestinal obstruction syndrome</w:t>
      </w:r>
      <w:r w:rsidR="00713CB8">
        <w:rPr>
          <w:iCs/>
          <w:lang w:val="en-AU"/>
        </w:rPr>
        <w:t xml:space="preserve"> which</w:t>
      </w:r>
      <w:r w:rsidR="00185E28">
        <w:rPr>
          <w:iCs/>
          <w:lang w:val="en-AU"/>
        </w:rPr>
        <w:t xml:space="preserve"> </w:t>
      </w:r>
      <w:r w:rsidRPr="00B3449A">
        <w:rPr>
          <w:iCs/>
          <w:lang w:val="en-AU"/>
        </w:rPr>
        <w:t xml:space="preserve">was assessed by the investigator to be related to study drug and treatment. </w:t>
      </w:r>
    </w:p>
    <w:p w14:paraId="1FD67AC2" w14:textId="1EF88F16" w:rsidR="00F86069" w:rsidRPr="00FF09A2" w:rsidRDefault="00F86069" w:rsidP="00F86069">
      <w:pPr>
        <w:pStyle w:val="Caption"/>
      </w:pPr>
      <w:bookmarkStart w:id="33" w:name="_Ref132608241"/>
      <w:r w:rsidRPr="00FF09A2">
        <w:t xml:space="preserve">Table </w:t>
      </w:r>
      <w:r w:rsidR="00025B72">
        <w:fldChar w:fldCharType="begin"/>
      </w:r>
      <w:r w:rsidR="00025B72">
        <w:instrText xml:space="preserve"> SEQ Table \* ARA</w:instrText>
      </w:r>
      <w:r w:rsidR="00025B72">
        <w:instrText xml:space="preserve">BIC </w:instrText>
      </w:r>
      <w:r w:rsidR="00025B72">
        <w:fldChar w:fldCharType="separate"/>
      </w:r>
      <w:r w:rsidR="00025B72">
        <w:rPr>
          <w:noProof/>
        </w:rPr>
        <w:t>5</w:t>
      </w:r>
      <w:r w:rsidR="00025B72">
        <w:rPr>
          <w:noProof/>
        </w:rPr>
        <w:fldChar w:fldCharType="end"/>
      </w:r>
      <w:bookmarkEnd w:id="33"/>
      <w:r w:rsidR="00A01452" w:rsidRPr="00FF09A2">
        <w:t>:</w:t>
      </w:r>
      <w:r w:rsidRPr="00FF09A2">
        <w:t xml:space="preserve"> Overview of AEs in Study 122 Part A and Part B, Safety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2135"/>
        <w:gridCol w:w="2063"/>
      </w:tblGrid>
      <w:tr w:rsidR="00F86069" w:rsidRPr="00FF09A2" w14:paraId="1BCCC933" w14:textId="77777777" w:rsidTr="006E36B3">
        <w:trPr>
          <w:tblHeader/>
        </w:trPr>
        <w:tc>
          <w:tcPr>
            <w:tcW w:w="2672" w:type="pct"/>
            <w:shd w:val="clear" w:color="auto" w:fill="auto"/>
            <w:vAlign w:val="bottom"/>
          </w:tcPr>
          <w:p w14:paraId="02302944" w14:textId="2A925F13" w:rsidR="00F86069" w:rsidRPr="00FF09A2" w:rsidRDefault="00F86069" w:rsidP="00B12403">
            <w:pPr>
              <w:keepNext/>
              <w:jc w:val="left"/>
              <w:rPr>
                <w:rFonts w:ascii="Arial Narrow" w:eastAsiaTheme="majorEastAsia" w:hAnsi="Arial Narrow" w:cstheme="majorBidi"/>
                <w:b/>
                <w:sz w:val="20"/>
              </w:rPr>
            </w:pPr>
          </w:p>
        </w:tc>
        <w:tc>
          <w:tcPr>
            <w:tcW w:w="1184" w:type="pct"/>
            <w:shd w:val="clear" w:color="auto" w:fill="auto"/>
            <w:vAlign w:val="bottom"/>
          </w:tcPr>
          <w:p w14:paraId="0CABBF71" w14:textId="77777777" w:rsidR="00F86069" w:rsidRPr="00FF09A2" w:rsidRDefault="00F86069" w:rsidP="00B12403">
            <w:pPr>
              <w:keepNext/>
              <w:jc w:val="center"/>
              <w:rPr>
                <w:rFonts w:ascii="Arial Narrow" w:eastAsiaTheme="majorEastAsia" w:hAnsi="Arial Narrow" w:cstheme="majorBidi"/>
                <w:b/>
                <w:sz w:val="20"/>
              </w:rPr>
            </w:pPr>
            <w:r w:rsidRPr="00FF09A2">
              <w:rPr>
                <w:rFonts w:ascii="Arial Narrow" w:eastAsiaTheme="majorEastAsia" w:hAnsi="Arial Narrow" w:cstheme="majorBidi"/>
                <w:b/>
                <w:sz w:val="20"/>
              </w:rPr>
              <w:t>Part A Total</w:t>
            </w:r>
            <w:r w:rsidRPr="00FF09A2">
              <w:rPr>
                <w:rFonts w:ascii="Arial Narrow" w:eastAsiaTheme="majorEastAsia" w:hAnsi="Arial Narrow" w:cstheme="majorBidi"/>
                <w:b/>
                <w:sz w:val="20"/>
              </w:rPr>
              <w:br/>
              <w:t>N = 14</w:t>
            </w:r>
            <w:r w:rsidRPr="00FF09A2">
              <w:rPr>
                <w:rFonts w:ascii="Arial Narrow" w:eastAsiaTheme="majorEastAsia" w:hAnsi="Arial Narrow" w:cstheme="majorBidi"/>
                <w:b/>
                <w:sz w:val="20"/>
              </w:rPr>
              <w:br/>
              <w:t>n (%)</w:t>
            </w:r>
          </w:p>
        </w:tc>
        <w:tc>
          <w:tcPr>
            <w:tcW w:w="1143" w:type="pct"/>
            <w:shd w:val="clear" w:color="auto" w:fill="auto"/>
          </w:tcPr>
          <w:p w14:paraId="33DC0C33" w14:textId="77777777" w:rsidR="00F86069" w:rsidRPr="00FF09A2" w:rsidRDefault="00F86069" w:rsidP="00B12403">
            <w:pPr>
              <w:keepNext/>
              <w:jc w:val="center"/>
              <w:rPr>
                <w:rFonts w:ascii="Arial Narrow" w:eastAsiaTheme="majorEastAsia" w:hAnsi="Arial Narrow" w:cstheme="majorBidi"/>
                <w:b/>
                <w:sz w:val="20"/>
              </w:rPr>
            </w:pPr>
            <w:r w:rsidRPr="00FF09A2">
              <w:rPr>
                <w:rFonts w:ascii="Arial Narrow" w:eastAsiaTheme="majorEastAsia" w:hAnsi="Arial Narrow" w:cstheme="majorBidi"/>
                <w:b/>
                <w:sz w:val="20"/>
              </w:rPr>
              <w:t xml:space="preserve">Part B Total </w:t>
            </w:r>
            <w:r w:rsidRPr="00FF09A2">
              <w:rPr>
                <w:rFonts w:ascii="Arial Narrow" w:eastAsiaTheme="majorEastAsia" w:hAnsi="Arial Narrow" w:cstheme="majorBidi"/>
                <w:b/>
                <w:sz w:val="20"/>
              </w:rPr>
              <w:br/>
              <w:t>N = 46</w:t>
            </w:r>
            <w:r w:rsidRPr="00FF09A2">
              <w:rPr>
                <w:rFonts w:ascii="Arial Narrow" w:eastAsiaTheme="majorEastAsia" w:hAnsi="Arial Narrow" w:cstheme="majorBidi"/>
                <w:b/>
                <w:sz w:val="20"/>
              </w:rPr>
              <w:br/>
              <w:t xml:space="preserve"> n (%)</w:t>
            </w:r>
          </w:p>
        </w:tc>
      </w:tr>
      <w:tr w:rsidR="00F86069" w:rsidRPr="00FF09A2" w14:paraId="0AE32F16" w14:textId="77777777" w:rsidTr="006E36B3">
        <w:tc>
          <w:tcPr>
            <w:tcW w:w="2672" w:type="pct"/>
            <w:vAlign w:val="bottom"/>
          </w:tcPr>
          <w:p w14:paraId="1A4F7B77" w14:textId="77777777" w:rsidR="00F86069" w:rsidRPr="00FF09A2" w:rsidRDefault="00F86069" w:rsidP="00B12403">
            <w:pPr>
              <w:keepNext/>
              <w:jc w:val="left"/>
              <w:rPr>
                <w:rFonts w:ascii="Arial Narrow" w:eastAsiaTheme="majorEastAsia" w:hAnsi="Arial Narrow" w:cstheme="majorBidi"/>
                <w:bCs/>
                <w:sz w:val="20"/>
              </w:rPr>
            </w:pPr>
            <w:r w:rsidRPr="00FF09A2">
              <w:rPr>
                <w:rFonts w:ascii="Arial Narrow" w:eastAsiaTheme="majorEastAsia" w:hAnsi="Arial Narrow" w:cstheme="majorBidi"/>
                <w:bCs/>
                <w:sz w:val="20"/>
              </w:rPr>
              <w:t>Number of AEs</w:t>
            </w:r>
          </w:p>
        </w:tc>
        <w:tc>
          <w:tcPr>
            <w:tcW w:w="1184" w:type="pct"/>
          </w:tcPr>
          <w:p w14:paraId="76403C76"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24</w:t>
            </w:r>
          </w:p>
        </w:tc>
        <w:tc>
          <w:tcPr>
            <w:tcW w:w="1143" w:type="pct"/>
          </w:tcPr>
          <w:p w14:paraId="195C7437"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197</w:t>
            </w:r>
          </w:p>
        </w:tc>
      </w:tr>
      <w:tr w:rsidR="00F86069" w:rsidRPr="00FF09A2" w14:paraId="1D5A9E6B" w14:textId="77777777" w:rsidTr="006E36B3">
        <w:tc>
          <w:tcPr>
            <w:tcW w:w="2672" w:type="pct"/>
            <w:vAlign w:val="bottom"/>
          </w:tcPr>
          <w:p w14:paraId="48920EF2" w14:textId="77777777" w:rsidR="00F86069" w:rsidRPr="00FF09A2" w:rsidRDefault="00F86069" w:rsidP="00B12403">
            <w:pPr>
              <w:keepNext/>
              <w:jc w:val="left"/>
              <w:rPr>
                <w:rFonts w:ascii="Arial Narrow" w:eastAsiaTheme="majorEastAsia" w:hAnsi="Arial Narrow" w:cstheme="majorBidi"/>
                <w:bCs/>
                <w:sz w:val="20"/>
              </w:rPr>
            </w:pPr>
            <w:r w:rsidRPr="00FF09A2">
              <w:rPr>
                <w:rFonts w:ascii="Arial Narrow" w:eastAsiaTheme="majorEastAsia" w:hAnsi="Arial Narrow" w:cstheme="majorBidi"/>
                <w:bCs/>
                <w:sz w:val="20"/>
              </w:rPr>
              <w:t>Any AEs</w:t>
            </w:r>
          </w:p>
        </w:tc>
        <w:tc>
          <w:tcPr>
            <w:tcW w:w="1184" w:type="pct"/>
          </w:tcPr>
          <w:p w14:paraId="26543D59"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12 (85.7)</w:t>
            </w:r>
          </w:p>
        </w:tc>
        <w:tc>
          <w:tcPr>
            <w:tcW w:w="1143" w:type="pct"/>
          </w:tcPr>
          <w:p w14:paraId="08C2343C"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44 (95.7)</w:t>
            </w:r>
          </w:p>
        </w:tc>
      </w:tr>
      <w:tr w:rsidR="00873EA8" w:rsidRPr="00FF09A2" w14:paraId="0DBDF9DE" w14:textId="77777777" w:rsidTr="00873EA8">
        <w:tc>
          <w:tcPr>
            <w:tcW w:w="5000" w:type="pct"/>
            <w:gridSpan w:val="3"/>
          </w:tcPr>
          <w:p w14:paraId="10A10EB5" w14:textId="7E88C329" w:rsidR="00873EA8" w:rsidRPr="00FF09A2" w:rsidRDefault="00873EA8" w:rsidP="00873EA8">
            <w:pPr>
              <w:keepNext/>
              <w:jc w:val="left"/>
              <w:rPr>
                <w:rFonts w:ascii="Arial Narrow" w:eastAsiaTheme="majorEastAsia" w:hAnsi="Arial Narrow" w:cstheme="majorBidi"/>
                <w:bCs/>
                <w:sz w:val="20"/>
              </w:rPr>
            </w:pPr>
            <w:r w:rsidRPr="00FF09A2">
              <w:rPr>
                <w:rFonts w:ascii="Arial Narrow" w:eastAsiaTheme="majorEastAsia" w:hAnsi="Arial Narrow" w:cstheme="majorBidi"/>
                <w:bCs/>
                <w:sz w:val="20"/>
              </w:rPr>
              <w:t>AEs by maximum severity</w:t>
            </w:r>
          </w:p>
        </w:tc>
      </w:tr>
      <w:tr w:rsidR="00F86069" w:rsidRPr="00FF09A2" w14:paraId="4D9138C8" w14:textId="77777777" w:rsidTr="006E36B3">
        <w:tc>
          <w:tcPr>
            <w:tcW w:w="2672" w:type="pct"/>
          </w:tcPr>
          <w:p w14:paraId="4C277165" w14:textId="77777777" w:rsidR="00F86069" w:rsidRPr="00FF09A2" w:rsidRDefault="00F86069" w:rsidP="00B12403">
            <w:pPr>
              <w:keepNext/>
              <w:ind w:left="166"/>
              <w:jc w:val="left"/>
              <w:rPr>
                <w:rFonts w:ascii="Arial Narrow" w:eastAsiaTheme="majorEastAsia" w:hAnsi="Arial Narrow" w:cstheme="majorBidi"/>
                <w:bCs/>
                <w:sz w:val="20"/>
              </w:rPr>
            </w:pPr>
            <w:r w:rsidRPr="00FF09A2">
              <w:rPr>
                <w:rFonts w:ascii="Arial Narrow" w:eastAsiaTheme="majorEastAsia" w:hAnsi="Arial Narrow" w:cstheme="majorBidi"/>
                <w:bCs/>
                <w:sz w:val="20"/>
              </w:rPr>
              <w:t>Mild</w:t>
            </w:r>
          </w:p>
        </w:tc>
        <w:tc>
          <w:tcPr>
            <w:tcW w:w="1184" w:type="pct"/>
          </w:tcPr>
          <w:p w14:paraId="20360EED"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8 (57.1)</w:t>
            </w:r>
          </w:p>
        </w:tc>
        <w:tc>
          <w:tcPr>
            <w:tcW w:w="1143" w:type="pct"/>
          </w:tcPr>
          <w:p w14:paraId="54E76EC4"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24 (52.2)</w:t>
            </w:r>
          </w:p>
        </w:tc>
      </w:tr>
      <w:tr w:rsidR="00F86069" w:rsidRPr="00FF09A2" w14:paraId="2A5681A6" w14:textId="77777777" w:rsidTr="006E36B3">
        <w:tc>
          <w:tcPr>
            <w:tcW w:w="2672" w:type="pct"/>
          </w:tcPr>
          <w:p w14:paraId="573C39DB" w14:textId="77777777" w:rsidR="00F86069" w:rsidRPr="00FF09A2" w:rsidRDefault="00F86069" w:rsidP="00B12403">
            <w:pPr>
              <w:keepNext/>
              <w:ind w:left="166"/>
              <w:jc w:val="left"/>
              <w:rPr>
                <w:rFonts w:ascii="Arial Narrow" w:eastAsiaTheme="majorEastAsia" w:hAnsi="Arial Narrow" w:cstheme="majorBidi"/>
                <w:bCs/>
                <w:sz w:val="20"/>
              </w:rPr>
            </w:pPr>
            <w:r w:rsidRPr="00FF09A2">
              <w:rPr>
                <w:rFonts w:ascii="Arial Narrow" w:eastAsiaTheme="majorEastAsia" w:hAnsi="Arial Narrow" w:cstheme="majorBidi"/>
                <w:bCs/>
                <w:sz w:val="20"/>
              </w:rPr>
              <w:t>Moderate</w:t>
            </w:r>
          </w:p>
        </w:tc>
        <w:tc>
          <w:tcPr>
            <w:tcW w:w="1184" w:type="pct"/>
          </w:tcPr>
          <w:p w14:paraId="3C84614C"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4 (28.6)</w:t>
            </w:r>
          </w:p>
        </w:tc>
        <w:tc>
          <w:tcPr>
            <w:tcW w:w="1143" w:type="pct"/>
          </w:tcPr>
          <w:p w14:paraId="3D95792D"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18 (39.1)</w:t>
            </w:r>
          </w:p>
        </w:tc>
      </w:tr>
      <w:tr w:rsidR="00F86069" w:rsidRPr="00FF09A2" w14:paraId="450A540F" w14:textId="77777777" w:rsidTr="006E36B3">
        <w:tc>
          <w:tcPr>
            <w:tcW w:w="2672" w:type="pct"/>
          </w:tcPr>
          <w:p w14:paraId="53B89006" w14:textId="77777777" w:rsidR="00F86069" w:rsidRPr="00FF09A2" w:rsidRDefault="00F86069" w:rsidP="00B12403">
            <w:pPr>
              <w:keepNext/>
              <w:ind w:left="166"/>
              <w:jc w:val="left"/>
              <w:rPr>
                <w:rFonts w:ascii="Arial Narrow" w:eastAsiaTheme="majorEastAsia" w:hAnsi="Arial Narrow" w:cstheme="majorBidi"/>
                <w:bCs/>
                <w:sz w:val="20"/>
              </w:rPr>
            </w:pPr>
            <w:r w:rsidRPr="00FF09A2">
              <w:rPr>
                <w:rFonts w:ascii="Arial Narrow" w:eastAsiaTheme="majorEastAsia" w:hAnsi="Arial Narrow" w:cstheme="majorBidi"/>
                <w:bCs/>
                <w:sz w:val="20"/>
              </w:rPr>
              <w:t>Severe</w:t>
            </w:r>
          </w:p>
        </w:tc>
        <w:tc>
          <w:tcPr>
            <w:tcW w:w="1184" w:type="pct"/>
          </w:tcPr>
          <w:p w14:paraId="6A7A2466"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0</w:t>
            </w:r>
          </w:p>
        </w:tc>
        <w:tc>
          <w:tcPr>
            <w:tcW w:w="1143" w:type="pct"/>
          </w:tcPr>
          <w:p w14:paraId="6AD33E4F"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2 (4.3)</w:t>
            </w:r>
          </w:p>
        </w:tc>
      </w:tr>
      <w:tr w:rsidR="00F86069" w:rsidRPr="00FF09A2" w14:paraId="56B422F3" w14:textId="77777777" w:rsidTr="006E36B3">
        <w:tc>
          <w:tcPr>
            <w:tcW w:w="2672" w:type="pct"/>
          </w:tcPr>
          <w:p w14:paraId="3847AAED" w14:textId="77777777" w:rsidR="00F86069" w:rsidRPr="00FF09A2" w:rsidRDefault="00F86069" w:rsidP="00B12403">
            <w:pPr>
              <w:keepNext/>
              <w:ind w:left="166"/>
              <w:jc w:val="left"/>
              <w:rPr>
                <w:rFonts w:ascii="Arial Narrow" w:eastAsiaTheme="majorEastAsia" w:hAnsi="Arial Narrow" w:cstheme="majorBidi"/>
                <w:bCs/>
                <w:sz w:val="20"/>
              </w:rPr>
            </w:pPr>
            <w:r w:rsidRPr="00FF09A2">
              <w:rPr>
                <w:rFonts w:ascii="Arial Narrow" w:eastAsiaTheme="majorEastAsia" w:hAnsi="Arial Narrow" w:cstheme="majorBidi"/>
                <w:bCs/>
                <w:sz w:val="20"/>
              </w:rPr>
              <w:t>Life-threatening</w:t>
            </w:r>
          </w:p>
        </w:tc>
        <w:tc>
          <w:tcPr>
            <w:tcW w:w="1184" w:type="pct"/>
          </w:tcPr>
          <w:p w14:paraId="30751A05"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0</w:t>
            </w:r>
          </w:p>
        </w:tc>
        <w:tc>
          <w:tcPr>
            <w:tcW w:w="1143" w:type="pct"/>
          </w:tcPr>
          <w:p w14:paraId="1773F614"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0</w:t>
            </w:r>
          </w:p>
        </w:tc>
      </w:tr>
      <w:tr w:rsidR="00F86069" w:rsidRPr="00FF09A2" w14:paraId="6D7EDA7A" w14:textId="77777777" w:rsidTr="006E36B3">
        <w:tc>
          <w:tcPr>
            <w:tcW w:w="2672" w:type="pct"/>
            <w:vAlign w:val="bottom"/>
          </w:tcPr>
          <w:p w14:paraId="57AD9B45" w14:textId="77777777" w:rsidR="00F86069" w:rsidRPr="00FF09A2" w:rsidRDefault="00F86069" w:rsidP="00B12403">
            <w:pPr>
              <w:keepNext/>
              <w:jc w:val="left"/>
              <w:rPr>
                <w:rFonts w:ascii="Arial Narrow" w:eastAsiaTheme="majorEastAsia" w:hAnsi="Arial Narrow" w:cstheme="majorBidi"/>
                <w:bCs/>
                <w:sz w:val="20"/>
              </w:rPr>
            </w:pPr>
            <w:r w:rsidRPr="00FF09A2">
              <w:rPr>
                <w:rFonts w:ascii="Arial Narrow" w:eastAsiaTheme="majorEastAsia" w:hAnsi="Arial Narrow" w:cstheme="majorBidi"/>
                <w:bCs/>
                <w:sz w:val="20"/>
              </w:rPr>
              <w:t>Subjects with AEs leading to treatment discontinuation</w:t>
            </w:r>
          </w:p>
        </w:tc>
        <w:tc>
          <w:tcPr>
            <w:tcW w:w="1184" w:type="pct"/>
          </w:tcPr>
          <w:p w14:paraId="3A2A7B7C"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1 (7.1)</w:t>
            </w:r>
          </w:p>
        </w:tc>
        <w:tc>
          <w:tcPr>
            <w:tcW w:w="1143" w:type="pct"/>
          </w:tcPr>
          <w:p w14:paraId="0AD02096"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1 (2.2)</w:t>
            </w:r>
          </w:p>
        </w:tc>
      </w:tr>
      <w:tr w:rsidR="00F86069" w:rsidRPr="00FF09A2" w14:paraId="45EC26AE" w14:textId="77777777" w:rsidTr="006E36B3">
        <w:tc>
          <w:tcPr>
            <w:tcW w:w="2672" w:type="pct"/>
          </w:tcPr>
          <w:p w14:paraId="36907F2B" w14:textId="77777777" w:rsidR="00F86069" w:rsidRPr="00FF09A2" w:rsidRDefault="00F86069" w:rsidP="00B12403">
            <w:pPr>
              <w:keepNext/>
              <w:jc w:val="left"/>
              <w:rPr>
                <w:rFonts w:ascii="Arial Narrow" w:eastAsiaTheme="majorEastAsia" w:hAnsi="Arial Narrow" w:cstheme="majorBidi"/>
                <w:bCs/>
                <w:sz w:val="20"/>
              </w:rPr>
            </w:pPr>
            <w:r w:rsidRPr="00FF09A2">
              <w:rPr>
                <w:rFonts w:ascii="Arial Narrow" w:eastAsiaTheme="majorEastAsia" w:hAnsi="Arial Narrow" w:cstheme="majorBidi"/>
                <w:bCs/>
                <w:sz w:val="20"/>
              </w:rPr>
              <w:t>Subjects with AEs leading to drug interruption</w:t>
            </w:r>
          </w:p>
        </w:tc>
        <w:tc>
          <w:tcPr>
            <w:tcW w:w="1184" w:type="pct"/>
          </w:tcPr>
          <w:p w14:paraId="606B7068"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0</w:t>
            </w:r>
          </w:p>
        </w:tc>
        <w:tc>
          <w:tcPr>
            <w:tcW w:w="1143" w:type="pct"/>
          </w:tcPr>
          <w:p w14:paraId="14C4332E"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2 (4.3)</w:t>
            </w:r>
          </w:p>
        </w:tc>
      </w:tr>
      <w:tr w:rsidR="00F86069" w:rsidRPr="00FF09A2" w14:paraId="4B7A35C9" w14:textId="77777777" w:rsidTr="006E36B3">
        <w:tc>
          <w:tcPr>
            <w:tcW w:w="2672" w:type="pct"/>
          </w:tcPr>
          <w:p w14:paraId="0F94B92E" w14:textId="77777777" w:rsidR="00F86069" w:rsidRPr="00FF09A2" w:rsidRDefault="00F86069" w:rsidP="00B12403">
            <w:pPr>
              <w:keepNext/>
              <w:jc w:val="left"/>
              <w:rPr>
                <w:rFonts w:ascii="Arial Narrow" w:eastAsiaTheme="majorEastAsia" w:hAnsi="Arial Narrow" w:cstheme="majorBidi"/>
                <w:bCs/>
                <w:sz w:val="20"/>
              </w:rPr>
            </w:pPr>
            <w:r w:rsidRPr="00FF09A2">
              <w:rPr>
                <w:rFonts w:ascii="Arial Narrow" w:eastAsiaTheme="majorEastAsia" w:hAnsi="Arial Narrow" w:cstheme="majorBidi"/>
                <w:bCs/>
                <w:sz w:val="20"/>
              </w:rPr>
              <w:t>Subjects with SAEs</w:t>
            </w:r>
          </w:p>
        </w:tc>
        <w:tc>
          <w:tcPr>
            <w:tcW w:w="1184" w:type="pct"/>
          </w:tcPr>
          <w:p w14:paraId="5790D6A0"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0</w:t>
            </w:r>
          </w:p>
        </w:tc>
        <w:tc>
          <w:tcPr>
            <w:tcW w:w="1143" w:type="pct"/>
          </w:tcPr>
          <w:p w14:paraId="6A86ABD0"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5 (10.9)</w:t>
            </w:r>
          </w:p>
        </w:tc>
      </w:tr>
      <w:tr w:rsidR="00F86069" w:rsidRPr="00FF09A2" w14:paraId="4DD4A565" w14:textId="77777777" w:rsidTr="006E36B3">
        <w:tc>
          <w:tcPr>
            <w:tcW w:w="2672" w:type="pct"/>
          </w:tcPr>
          <w:p w14:paraId="2A6E3716" w14:textId="77777777" w:rsidR="00F86069" w:rsidRPr="00FF09A2" w:rsidRDefault="00F86069" w:rsidP="00B12403">
            <w:pPr>
              <w:keepNext/>
              <w:jc w:val="left"/>
              <w:rPr>
                <w:rFonts w:ascii="Arial Narrow" w:eastAsiaTheme="majorEastAsia" w:hAnsi="Arial Narrow" w:cstheme="majorBidi"/>
                <w:bCs/>
                <w:sz w:val="20"/>
              </w:rPr>
            </w:pPr>
            <w:r w:rsidRPr="00FF09A2">
              <w:rPr>
                <w:rFonts w:ascii="Arial Narrow" w:eastAsiaTheme="majorEastAsia" w:hAnsi="Arial Narrow" w:cstheme="majorBidi"/>
                <w:bCs/>
                <w:sz w:val="20"/>
              </w:rPr>
              <w:t>Subjects with Grade 3/4 AEs</w:t>
            </w:r>
          </w:p>
        </w:tc>
        <w:tc>
          <w:tcPr>
            <w:tcW w:w="1184" w:type="pct"/>
          </w:tcPr>
          <w:p w14:paraId="61442361"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0</w:t>
            </w:r>
          </w:p>
        </w:tc>
        <w:tc>
          <w:tcPr>
            <w:tcW w:w="1143" w:type="pct"/>
          </w:tcPr>
          <w:p w14:paraId="0E0E18A8"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2 (4.3)</w:t>
            </w:r>
          </w:p>
        </w:tc>
      </w:tr>
      <w:tr w:rsidR="00F86069" w:rsidRPr="00FF09A2" w14:paraId="2994B22C" w14:textId="77777777" w:rsidTr="006E36B3">
        <w:tc>
          <w:tcPr>
            <w:tcW w:w="2672" w:type="pct"/>
            <w:vAlign w:val="bottom"/>
          </w:tcPr>
          <w:p w14:paraId="71D9EEA7" w14:textId="77777777" w:rsidR="00F86069" w:rsidRPr="00FF09A2" w:rsidRDefault="00F86069" w:rsidP="00B12403">
            <w:pPr>
              <w:keepNext/>
              <w:jc w:val="left"/>
              <w:rPr>
                <w:rFonts w:ascii="Arial Narrow" w:eastAsiaTheme="majorEastAsia" w:hAnsi="Arial Narrow" w:cstheme="majorBidi"/>
                <w:bCs/>
                <w:sz w:val="20"/>
              </w:rPr>
            </w:pPr>
            <w:r w:rsidRPr="00FF09A2">
              <w:rPr>
                <w:rFonts w:ascii="Arial Narrow" w:eastAsiaTheme="majorEastAsia" w:hAnsi="Arial Narrow" w:cstheme="majorBidi"/>
                <w:bCs/>
                <w:sz w:val="20"/>
              </w:rPr>
              <w:t>Subjects with AE leading to death</w:t>
            </w:r>
          </w:p>
        </w:tc>
        <w:tc>
          <w:tcPr>
            <w:tcW w:w="1184" w:type="pct"/>
          </w:tcPr>
          <w:p w14:paraId="50A56A23"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0</w:t>
            </w:r>
          </w:p>
        </w:tc>
        <w:tc>
          <w:tcPr>
            <w:tcW w:w="1143" w:type="pct"/>
          </w:tcPr>
          <w:p w14:paraId="74E5A916" w14:textId="77777777" w:rsidR="00F86069" w:rsidRPr="00FF09A2" w:rsidRDefault="00F86069" w:rsidP="00B12403">
            <w:pPr>
              <w:keepNext/>
              <w:jc w:val="center"/>
              <w:rPr>
                <w:rFonts w:ascii="Arial Narrow" w:eastAsiaTheme="majorEastAsia" w:hAnsi="Arial Narrow" w:cstheme="majorBidi"/>
                <w:bCs/>
                <w:sz w:val="20"/>
              </w:rPr>
            </w:pPr>
            <w:r w:rsidRPr="00FF09A2">
              <w:rPr>
                <w:rFonts w:ascii="Arial Narrow" w:eastAsiaTheme="majorEastAsia" w:hAnsi="Arial Narrow" w:cstheme="majorBidi"/>
                <w:bCs/>
                <w:sz w:val="20"/>
              </w:rPr>
              <w:t>0</w:t>
            </w:r>
          </w:p>
        </w:tc>
      </w:tr>
    </w:tbl>
    <w:p w14:paraId="4883FB28" w14:textId="77777777" w:rsidR="00F86069" w:rsidRPr="00FF09A2" w:rsidRDefault="00F86069" w:rsidP="00F86069">
      <w:pPr>
        <w:pStyle w:val="TableFooter"/>
        <w:rPr>
          <w:snapToGrid w:val="0"/>
        </w:rPr>
      </w:pPr>
      <w:r w:rsidRPr="00FF09A2">
        <w:rPr>
          <w:snapToGrid w:val="0"/>
        </w:rPr>
        <w:t>Source: Table 2.5.5 p80 of the submission, Table 12.4 p79 of Attachment 8 CSR</w:t>
      </w:r>
    </w:p>
    <w:p w14:paraId="0A46F7B7" w14:textId="77777777" w:rsidR="00F86069" w:rsidRPr="00FF09A2" w:rsidRDefault="00F86069" w:rsidP="00F86069">
      <w:pPr>
        <w:pStyle w:val="TableFooter"/>
        <w:rPr>
          <w:snapToGrid w:val="0"/>
        </w:rPr>
      </w:pPr>
      <w:r w:rsidRPr="00FF09A2">
        <w:rPr>
          <w:snapToGrid w:val="0"/>
        </w:rPr>
        <w:t>AE = adverse event; n = size of subsample; N = total sample size; SAE = serious adverse event</w:t>
      </w:r>
    </w:p>
    <w:p w14:paraId="5F99D436" w14:textId="77777777" w:rsidR="00F86069" w:rsidRPr="00FF09A2" w:rsidRDefault="00F86069" w:rsidP="00F86069">
      <w:pPr>
        <w:pStyle w:val="TableFooter"/>
        <w:rPr>
          <w:snapToGrid w:val="0"/>
        </w:rPr>
      </w:pPr>
      <w:r w:rsidRPr="00FF09A2">
        <w:rPr>
          <w:snapToGrid w:val="0"/>
        </w:rPr>
        <w:t xml:space="preserve">When summarising number of events, a subject with multiple events within a category was counted multiple times in that category. When summarising number and percentage of subjects, a subject with multiple events within a category was counted only once in that category. When summarising number of subjects with related (serious) AEs, AEs with relationship of related, possibly related, and missing were counted. Subjects with Grade 3/4 TEAEs included the 'Severe' and 'Life-Threatening' categories. If subjects only had one event with missing severity, then the subject was summarised in the "Missing" category. "Missing" was not displayed in the table if no subjects fall into this category. Safety set includes participants who received at least one dose in Part A or Part B. </w:t>
      </w:r>
    </w:p>
    <w:p w14:paraId="2B6F0651" w14:textId="77777777" w:rsidR="00F86069" w:rsidRPr="00FF09A2" w:rsidRDefault="00F86069" w:rsidP="00F86069">
      <w:pPr>
        <w:pStyle w:val="TableFooter"/>
      </w:pPr>
    </w:p>
    <w:p w14:paraId="5D521E13" w14:textId="77777777" w:rsidR="00F86069" w:rsidRPr="00FF09A2" w:rsidRDefault="00F86069" w:rsidP="00F86069">
      <w:pPr>
        <w:pStyle w:val="4-SubsectionHeading"/>
      </w:pPr>
      <w:bookmarkStart w:id="34" w:name="_Toc22897643"/>
      <w:bookmarkStart w:id="35" w:name="_Toc135204527"/>
      <w:r w:rsidRPr="00FF09A2">
        <w:t>Benefits/harms</w:t>
      </w:r>
      <w:bookmarkEnd w:id="34"/>
      <w:bookmarkEnd w:id="35"/>
    </w:p>
    <w:p w14:paraId="3258B823" w14:textId="48406171" w:rsidR="00F86069" w:rsidRPr="00B3449A" w:rsidRDefault="00F86069" w:rsidP="006E36B3">
      <w:pPr>
        <w:pStyle w:val="ListParagraph"/>
        <w:numPr>
          <w:ilvl w:val="1"/>
          <w:numId w:val="1"/>
        </w:numPr>
        <w:ind w:left="720"/>
        <w:rPr>
          <w:iCs/>
        </w:rPr>
      </w:pPr>
      <w:bookmarkStart w:id="36" w:name="_Toc22897644"/>
      <w:r w:rsidRPr="00B3449A">
        <w:rPr>
          <w:iCs/>
        </w:rPr>
        <w:t xml:space="preserve">Study 122 was a non-comparative study. As such, it </w:t>
      </w:r>
      <w:r w:rsidR="008D267A" w:rsidRPr="00B3449A">
        <w:rPr>
          <w:iCs/>
        </w:rPr>
        <w:t>wa</w:t>
      </w:r>
      <w:r w:rsidRPr="00B3449A">
        <w:rPr>
          <w:iCs/>
        </w:rPr>
        <w:t xml:space="preserve">s not possible </w:t>
      </w:r>
      <w:r w:rsidR="00963A05" w:rsidRPr="00D2155B">
        <w:rPr>
          <w:snapToGrid/>
          <w:lang w:val="en-US"/>
        </w:rPr>
        <w:t>for a quantitative comparison of the benefits and harms of</w:t>
      </w:r>
      <w:r w:rsidR="00963A05">
        <w:rPr>
          <w:snapToGrid/>
          <w:lang w:val="en-US"/>
        </w:rPr>
        <w:t xml:space="preserve"> lumacaftor/ivacaftor</w:t>
      </w:r>
      <w:r w:rsidR="00963A05" w:rsidRPr="00D2155B">
        <w:rPr>
          <w:snapToGrid/>
          <w:lang w:val="en-US"/>
        </w:rPr>
        <w:t xml:space="preserve"> and</w:t>
      </w:r>
      <w:r w:rsidR="00963A05">
        <w:rPr>
          <w:snapToGrid/>
          <w:lang w:val="en-US"/>
        </w:rPr>
        <w:t xml:space="preserve"> BSC</w:t>
      </w:r>
      <w:r w:rsidR="00963A05" w:rsidRPr="00D2155B">
        <w:rPr>
          <w:snapToGrid/>
          <w:lang w:val="en-US"/>
        </w:rPr>
        <w:t xml:space="preserve">. Accordingly, a benefits/harms table has not </w:t>
      </w:r>
      <w:proofErr w:type="gramStart"/>
      <w:r w:rsidR="00963A05" w:rsidRPr="00D2155B">
        <w:rPr>
          <w:snapToGrid/>
          <w:lang w:val="en-US"/>
        </w:rPr>
        <w:t>been presented</w:t>
      </w:r>
      <w:proofErr w:type="gramEnd"/>
      <w:r w:rsidR="00963A05" w:rsidRPr="00D2155B">
        <w:rPr>
          <w:snapToGrid/>
          <w:lang w:val="en-US"/>
        </w:rPr>
        <w:t>.</w:t>
      </w:r>
      <w:r w:rsidRPr="00B3449A">
        <w:rPr>
          <w:iCs/>
        </w:rPr>
        <w:t xml:space="preserve"> </w:t>
      </w:r>
    </w:p>
    <w:p w14:paraId="109CEC83" w14:textId="77777777" w:rsidR="00F86069" w:rsidRPr="00FF09A2" w:rsidRDefault="00F86069" w:rsidP="00F86069">
      <w:pPr>
        <w:pStyle w:val="4-SubsectionHeading"/>
      </w:pPr>
      <w:bookmarkStart w:id="37" w:name="_Toc135204528"/>
      <w:r w:rsidRPr="00FF09A2">
        <w:t>Clinical claim</w:t>
      </w:r>
      <w:bookmarkEnd w:id="36"/>
      <w:bookmarkEnd w:id="37"/>
    </w:p>
    <w:p w14:paraId="6F2A103D" w14:textId="0E8B840B" w:rsidR="00F86069" w:rsidRPr="00051171" w:rsidRDefault="00F86069" w:rsidP="00561115">
      <w:pPr>
        <w:pStyle w:val="3-BodyText"/>
        <w:ind w:left="720"/>
      </w:pPr>
      <w:r w:rsidRPr="00051171">
        <w:rPr>
          <w:rFonts w:cstheme="minorHAnsi"/>
          <w:lang w:val="en-AU"/>
        </w:rPr>
        <w:t xml:space="preserve">The submission </w:t>
      </w:r>
      <w:r w:rsidR="00963A05" w:rsidRPr="00051171">
        <w:rPr>
          <w:rFonts w:cstheme="minorHAnsi"/>
          <w:lang w:val="en-AU"/>
        </w:rPr>
        <w:t xml:space="preserve">described </w:t>
      </w:r>
      <w:r w:rsidRPr="00051171">
        <w:rPr>
          <w:rFonts w:cstheme="minorHAnsi"/>
          <w:lang w:val="en-AU"/>
        </w:rPr>
        <w:t xml:space="preserve">lumacaftor/ivacaftor plus BSC </w:t>
      </w:r>
      <w:r w:rsidR="00963A05" w:rsidRPr="00051171">
        <w:rPr>
          <w:rFonts w:cstheme="minorHAnsi"/>
          <w:lang w:val="en-AU"/>
        </w:rPr>
        <w:t>as</w:t>
      </w:r>
      <w:r w:rsidRPr="00051171">
        <w:rPr>
          <w:rFonts w:cstheme="minorHAnsi"/>
          <w:lang w:val="en-AU"/>
        </w:rPr>
        <w:t xml:space="preserve"> superior in terms of efficacy and comparable in terms of safety compared to BSC alone. </w:t>
      </w:r>
    </w:p>
    <w:p w14:paraId="5619BB0D" w14:textId="62320420" w:rsidR="003C6DD7" w:rsidRPr="00051171" w:rsidRDefault="00F86069" w:rsidP="006E36B3">
      <w:pPr>
        <w:pStyle w:val="3-BodyText"/>
        <w:ind w:left="720"/>
        <w:rPr>
          <w:rStyle w:val="CommentitalicsChar"/>
          <w:rFonts w:asciiTheme="minorHAnsi" w:hAnsiTheme="minorHAnsi" w:cstheme="minorHAnsi"/>
          <w:lang w:val="en-AU"/>
        </w:rPr>
      </w:pPr>
      <w:r w:rsidRPr="00051171">
        <w:rPr>
          <w:rFonts w:cstheme="minorHAnsi"/>
          <w:lang w:val="en-AU"/>
        </w:rPr>
        <w:t xml:space="preserve">The submission claimed that it </w:t>
      </w:r>
      <w:r w:rsidR="006E36B3" w:rsidRPr="00051171">
        <w:rPr>
          <w:rFonts w:cstheme="minorHAnsi"/>
          <w:lang w:val="en-AU"/>
        </w:rPr>
        <w:t xml:space="preserve">was </w:t>
      </w:r>
      <w:r w:rsidRPr="00051171">
        <w:rPr>
          <w:rFonts w:cstheme="minorHAnsi"/>
          <w:lang w:val="en-AU"/>
        </w:rPr>
        <w:t>both plausible and reasonable to</w:t>
      </w:r>
      <w:r w:rsidRPr="00051171">
        <w:rPr>
          <w:lang w:val="en-AU"/>
        </w:rPr>
        <w:t xml:space="preserve"> anticipate </w:t>
      </w:r>
      <w:r w:rsidR="006E36B3" w:rsidRPr="00051171">
        <w:rPr>
          <w:lang w:val="en-AU"/>
        </w:rPr>
        <w:t>that</w:t>
      </w:r>
      <w:r w:rsidRPr="00051171">
        <w:rPr>
          <w:lang w:val="en-AU"/>
        </w:rPr>
        <w:t xml:space="preserve"> lumacaftor/ivacaftor </w:t>
      </w:r>
      <w:r w:rsidR="006E36B3" w:rsidRPr="00051171">
        <w:rPr>
          <w:lang w:val="en-AU"/>
        </w:rPr>
        <w:t xml:space="preserve">would have a positive impact </w:t>
      </w:r>
      <w:r w:rsidRPr="00051171">
        <w:rPr>
          <w:lang w:val="en-AU"/>
        </w:rPr>
        <w:t>on lung function in younger patients</w:t>
      </w:r>
      <w:r w:rsidRPr="00051171">
        <w:rPr>
          <w:rFonts w:cstheme="minorHAnsi"/>
          <w:lang w:val="en-AU"/>
        </w:rPr>
        <w:t xml:space="preserve"> </w:t>
      </w:r>
      <w:r w:rsidR="00713CB8">
        <w:rPr>
          <w:rFonts w:cstheme="minorHAnsi"/>
          <w:lang w:val="en-AU"/>
        </w:rPr>
        <w:t>given</w:t>
      </w:r>
      <w:r w:rsidRPr="00051171">
        <w:rPr>
          <w:rFonts w:cstheme="minorHAnsi"/>
          <w:lang w:val="en-AU"/>
        </w:rPr>
        <w:t xml:space="preserve"> the reduction in SwCl seen in Study 122, </w:t>
      </w:r>
      <w:r w:rsidR="006E36B3" w:rsidRPr="00051171">
        <w:rPr>
          <w:rFonts w:cstheme="minorHAnsi"/>
          <w:lang w:val="en-AU"/>
        </w:rPr>
        <w:t xml:space="preserve">which </w:t>
      </w:r>
      <w:proofErr w:type="gramStart"/>
      <w:r w:rsidR="006E36B3" w:rsidRPr="00051171">
        <w:rPr>
          <w:rFonts w:cstheme="minorHAnsi"/>
          <w:lang w:val="en-AU"/>
        </w:rPr>
        <w:t>was considered to be</w:t>
      </w:r>
      <w:proofErr w:type="gramEnd"/>
      <w:r w:rsidR="006E36B3" w:rsidRPr="00051171">
        <w:rPr>
          <w:rFonts w:cstheme="minorHAnsi"/>
          <w:lang w:val="en-AU"/>
        </w:rPr>
        <w:t xml:space="preserve"> an</w:t>
      </w:r>
      <w:r w:rsidRPr="00051171">
        <w:rPr>
          <w:lang w:val="en-AU"/>
        </w:rPr>
        <w:t xml:space="preserve"> indicator of treatment effect for patients 1 to less than 2 years of age. </w:t>
      </w:r>
      <w:r w:rsidR="00C21FE9" w:rsidRPr="00051171">
        <w:rPr>
          <w:rFonts w:cstheme="minorHAnsi"/>
          <w:lang w:val="en-AU"/>
        </w:rPr>
        <w:t>Study 122 was a single arm study and therefore it does not provide direct evidence to inform a comparison with BSC.</w:t>
      </w:r>
      <w:r w:rsidR="00C21FE9" w:rsidRPr="00051171">
        <w:rPr>
          <w:rStyle w:val="CommentitalicsChar"/>
          <w:lang w:val="en-AU"/>
        </w:rPr>
        <w:t xml:space="preserve"> </w:t>
      </w:r>
      <w:r w:rsidR="006E36B3" w:rsidRPr="00051171">
        <w:rPr>
          <w:lang w:val="en-AU"/>
        </w:rPr>
        <w:t>Further, t</w:t>
      </w:r>
      <w:r w:rsidRPr="00051171">
        <w:rPr>
          <w:lang w:val="en-AU"/>
        </w:rPr>
        <w:t xml:space="preserve">he longer-term magnitude of benefit of treatment in </w:t>
      </w:r>
      <w:r w:rsidRPr="00051171">
        <w:rPr>
          <w:lang w:val="en-AU"/>
        </w:rPr>
        <w:lastRenderedPageBreak/>
        <w:t xml:space="preserve">the 1 to less than 2 years age group </w:t>
      </w:r>
      <w:r w:rsidR="006E36B3" w:rsidRPr="00051171">
        <w:rPr>
          <w:lang w:val="en-AU"/>
        </w:rPr>
        <w:t xml:space="preserve">was </w:t>
      </w:r>
      <w:r w:rsidRPr="00051171">
        <w:rPr>
          <w:lang w:val="en-AU"/>
        </w:rPr>
        <w:t xml:space="preserve">unknown as the evidence presented </w:t>
      </w:r>
      <w:r w:rsidR="006E36B3" w:rsidRPr="00051171">
        <w:rPr>
          <w:lang w:val="en-AU"/>
        </w:rPr>
        <w:t xml:space="preserve">was </w:t>
      </w:r>
      <w:r w:rsidRPr="00051171">
        <w:rPr>
          <w:lang w:val="en-AU"/>
        </w:rPr>
        <w:t>limited by the short duration (24 weeks) of Study 122.</w:t>
      </w:r>
      <w:r w:rsidRPr="00051171">
        <w:rPr>
          <w:rStyle w:val="CommentitalicsChar"/>
          <w:lang w:val="en-AU"/>
        </w:rPr>
        <w:t xml:space="preserve"> </w:t>
      </w:r>
    </w:p>
    <w:p w14:paraId="18134693" w14:textId="38057BF0" w:rsidR="00F86069" w:rsidRPr="00185E28" w:rsidRDefault="00F86069" w:rsidP="006E36B3">
      <w:pPr>
        <w:pStyle w:val="3-BodyText"/>
        <w:ind w:left="720"/>
        <w:rPr>
          <w:lang w:val="en-AU"/>
        </w:rPr>
      </w:pPr>
      <w:r w:rsidRPr="00051171">
        <w:rPr>
          <w:lang w:val="en-AU"/>
        </w:rPr>
        <w:t xml:space="preserve">The PBAC has previously </w:t>
      </w:r>
      <w:r w:rsidR="0075530A" w:rsidRPr="00051171">
        <w:rPr>
          <w:lang w:val="en-AU"/>
        </w:rPr>
        <w:t xml:space="preserve">considered </w:t>
      </w:r>
      <w:r w:rsidRPr="00051171">
        <w:rPr>
          <w:lang w:val="en-AU"/>
        </w:rPr>
        <w:t>submission</w:t>
      </w:r>
      <w:r w:rsidR="0075530A" w:rsidRPr="00051171">
        <w:rPr>
          <w:lang w:val="en-AU"/>
        </w:rPr>
        <w:t>s</w:t>
      </w:r>
      <w:r w:rsidRPr="00051171">
        <w:rPr>
          <w:lang w:val="en-AU"/>
        </w:rPr>
        <w:t xml:space="preserve"> </w:t>
      </w:r>
      <w:r w:rsidR="006E36B3" w:rsidRPr="00051171">
        <w:rPr>
          <w:lang w:val="en-AU"/>
        </w:rPr>
        <w:t xml:space="preserve">that </w:t>
      </w:r>
      <w:r w:rsidRPr="00051171">
        <w:rPr>
          <w:lang w:val="en-AU"/>
        </w:rPr>
        <w:t>request</w:t>
      </w:r>
      <w:r w:rsidR="006E36B3" w:rsidRPr="00051171">
        <w:rPr>
          <w:lang w:val="en-AU"/>
        </w:rPr>
        <w:t>ed</w:t>
      </w:r>
      <w:r w:rsidRPr="00051171">
        <w:rPr>
          <w:lang w:val="en-AU"/>
        </w:rPr>
        <w:t xml:space="preserve"> the extension of </w:t>
      </w:r>
      <w:r w:rsidR="006E36B3" w:rsidRPr="00051171">
        <w:rPr>
          <w:lang w:val="en-AU"/>
        </w:rPr>
        <w:t xml:space="preserve">the PBS </w:t>
      </w:r>
      <w:r w:rsidRPr="00051171">
        <w:rPr>
          <w:lang w:val="en-AU"/>
        </w:rPr>
        <w:t xml:space="preserve">listing for a CFTR modulator for CF patients </w:t>
      </w:r>
      <w:r w:rsidR="006E36B3" w:rsidRPr="00051171">
        <w:rPr>
          <w:lang w:val="en-AU"/>
        </w:rPr>
        <w:t xml:space="preserve">(i) from those </w:t>
      </w:r>
      <w:r w:rsidR="00D47FD9" w:rsidRPr="00051171">
        <w:rPr>
          <w:lang w:val="en-AU"/>
        </w:rPr>
        <w:t xml:space="preserve">aged 6 and older to </w:t>
      </w:r>
      <w:r w:rsidR="006E36B3" w:rsidRPr="00051171">
        <w:rPr>
          <w:lang w:val="en-AU"/>
        </w:rPr>
        <w:t xml:space="preserve">include those aged from </w:t>
      </w:r>
      <w:r w:rsidR="00D47FD9" w:rsidRPr="00051171">
        <w:rPr>
          <w:lang w:val="en-AU"/>
        </w:rPr>
        <w:t>2 to 5 (</w:t>
      </w:r>
      <w:r w:rsidR="00C77FAF" w:rsidRPr="00051171">
        <w:rPr>
          <w:lang w:val="en-AU"/>
        </w:rPr>
        <w:t>i</w:t>
      </w:r>
      <w:r w:rsidR="00D47FD9" w:rsidRPr="00051171">
        <w:rPr>
          <w:lang w:val="en-AU"/>
        </w:rPr>
        <w:t xml:space="preserve">vacaftor </w:t>
      </w:r>
      <w:r w:rsidR="00C21FE9" w:rsidRPr="00051171">
        <w:rPr>
          <w:lang w:val="en-AU"/>
        </w:rPr>
        <w:t>PSD</w:t>
      </w:r>
      <w:r w:rsidR="00D47FD9" w:rsidRPr="00051171">
        <w:rPr>
          <w:lang w:val="en-AU"/>
        </w:rPr>
        <w:t>, November 2016 PBAC meeting, lumacaf</w:t>
      </w:r>
      <w:r w:rsidR="009969ED" w:rsidRPr="00051171">
        <w:rPr>
          <w:lang w:val="en-AU"/>
        </w:rPr>
        <w:t>t</w:t>
      </w:r>
      <w:r w:rsidR="00D47FD9" w:rsidRPr="00051171">
        <w:rPr>
          <w:lang w:val="en-AU"/>
        </w:rPr>
        <w:t xml:space="preserve">or/ivacaftor </w:t>
      </w:r>
      <w:r w:rsidR="00C21FE9" w:rsidRPr="00051171">
        <w:rPr>
          <w:lang w:val="en-AU"/>
        </w:rPr>
        <w:t>PSD</w:t>
      </w:r>
      <w:r w:rsidR="00D47FD9" w:rsidRPr="00051171">
        <w:rPr>
          <w:lang w:val="en-AU"/>
        </w:rPr>
        <w:t>, July 2019 PBAC meeting)</w:t>
      </w:r>
      <w:r w:rsidR="006E36B3" w:rsidRPr="00051171">
        <w:rPr>
          <w:lang w:val="en-AU"/>
        </w:rPr>
        <w:t>;</w:t>
      </w:r>
      <w:r w:rsidR="00D47FD9" w:rsidRPr="00051171">
        <w:rPr>
          <w:lang w:val="en-AU"/>
        </w:rPr>
        <w:t xml:space="preserve"> and </w:t>
      </w:r>
      <w:r w:rsidR="006E36B3" w:rsidRPr="00051171">
        <w:rPr>
          <w:lang w:val="en-AU"/>
        </w:rPr>
        <w:t>(ii) from those</w:t>
      </w:r>
      <w:r w:rsidR="00D47FD9" w:rsidRPr="00051171">
        <w:rPr>
          <w:lang w:val="en-AU"/>
        </w:rPr>
        <w:t xml:space="preserve"> </w:t>
      </w:r>
      <w:r w:rsidRPr="00051171">
        <w:rPr>
          <w:lang w:val="en-AU"/>
        </w:rPr>
        <w:t xml:space="preserve">aged 2 to 5 years to </w:t>
      </w:r>
      <w:r w:rsidR="006E36B3" w:rsidRPr="00051171">
        <w:rPr>
          <w:lang w:val="en-AU"/>
        </w:rPr>
        <w:t xml:space="preserve">include </w:t>
      </w:r>
      <w:r w:rsidRPr="00051171">
        <w:rPr>
          <w:lang w:val="en-AU"/>
        </w:rPr>
        <w:t>the 1 to less than 2 years age group (</w:t>
      </w:r>
      <w:r w:rsidR="003F5A2A" w:rsidRPr="00051171">
        <w:rPr>
          <w:lang w:val="en-AU"/>
        </w:rPr>
        <w:t>i</w:t>
      </w:r>
      <w:r w:rsidRPr="00051171">
        <w:rPr>
          <w:lang w:val="en-AU"/>
        </w:rPr>
        <w:t>vacaftor</w:t>
      </w:r>
      <w:r w:rsidR="00C77FAF" w:rsidRPr="00051171">
        <w:rPr>
          <w:lang w:val="en-AU"/>
        </w:rPr>
        <w:t xml:space="preserve"> </w:t>
      </w:r>
      <w:r w:rsidR="00C21FE9" w:rsidRPr="00051171">
        <w:rPr>
          <w:lang w:val="en-AU"/>
        </w:rPr>
        <w:t>PSD</w:t>
      </w:r>
      <w:r w:rsidRPr="00051171">
        <w:rPr>
          <w:lang w:val="en-AU"/>
        </w:rPr>
        <w:t>, March 2019 PBAC meeting)</w:t>
      </w:r>
      <w:r w:rsidR="00580092" w:rsidRPr="00051171">
        <w:rPr>
          <w:lang w:val="en-AU"/>
        </w:rPr>
        <w:t>.</w:t>
      </w:r>
      <w:r w:rsidRPr="00051171">
        <w:rPr>
          <w:lang w:val="en-AU"/>
        </w:rPr>
        <w:t xml:space="preserve"> Given the aetiology of CF, difficulties in obtaining comparative data in infants with CF and the results presented for intermediate outcomes (including reduction in SwCl), the PBAC </w:t>
      </w:r>
      <w:r w:rsidR="006E36B3" w:rsidRPr="00051171">
        <w:rPr>
          <w:lang w:val="en-AU"/>
        </w:rPr>
        <w:t xml:space="preserve">has </w:t>
      </w:r>
      <w:r w:rsidR="008D267A" w:rsidRPr="00051171">
        <w:rPr>
          <w:lang w:val="en-AU"/>
        </w:rPr>
        <w:t xml:space="preserve">previously </w:t>
      </w:r>
      <w:r w:rsidRPr="00051171">
        <w:rPr>
          <w:lang w:val="en-AU"/>
        </w:rPr>
        <w:t xml:space="preserve">concluded </w:t>
      </w:r>
      <w:r w:rsidR="006E36B3" w:rsidRPr="00051171">
        <w:rPr>
          <w:lang w:val="en-AU"/>
        </w:rPr>
        <w:t xml:space="preserve">that </w:t>
      </w:r>
      <w:r w:rsidRPr="00051171">
        <w:rPr>
          <w:lang w:val="en-AU"/>
        </w:rPr>
        <w:t xml:space="preserve">it was plausible that the claim of superior efficacy and non-inferior safety of a CFTR modulator over BSC in patients aged 6 and older could be reasonably extrapolated to </w:t>
      </w:r>
      <w:r w:rsidR="006E36B3" w:rsidRPr="00051171">
        <w:rPr>
          <w:lang w:val="en-AU"/>
        </w:rPr>
        <w:t xml:space="preserve">the </w:t>
      </w:r>
      <w:r w:rsidRPr="00051171">
        <w:rPr>
          <w:lang w:val="en-AU"/>
        </w:rPr>
        <w:t>2 to 5 age group (</w:t>
      </w:r>
      <w:r w:rsidR="00C21FE9" w:rsidRPr="00051171">
        <w:rPr>
          <w:lang w:val="en-AU"/>
        </w:rPr>
        <w:t xml:space="preserve">paragraph 6.23, </w:t>
      </w:r>
      <w:r w:rsidR="00C77FAF" w:rsidRPr="00051171">
        <w:rPr>
          <w:lang w:val="en-AU"/>
        </w:rPr>
        <w:t>i</w:t>
      </w:r>
      <w:r w:rsidR="00C21FE9" w:rsidRPr="00051171">
        <w:rPr>
          <w:lang w:val="en-AU"/>
        </w:rPr>
        <w:t xml:space="preserve">vacaftor PSD, November 2016 PBAC meeting; </w:t>
      </w:r>
      <w:r w:rsidRPr="00051171">
        <w:rPr>
          <w:lang w:val="en-AU"/>
        </w:rPr>
        <w:t xml:space="preserve">paragraph 6.19, </w:t>
      </w:r>
      <w:r w:rsidR="00C77FAF" w:rsidRPr="00185E28">
        <w:rPr>
          <w:lang w:val="en-AU"/>
        </w:rPr>
        <w:t>l</w:t>
      </w:r>
      <w:r w:rsidRPr="00185E28">
        <w:rPr>
          <w:lang w:val="en-AU"/>
        </w:rPr>
        <w:t xml:space="preserve">umacaftor/Ivacaftor </w:t>
      </w:r>
      <w:r w:rsidR="00C21FE9" w:rsidRPr="00185E28">
        <w:rPr>
          <w:lang w:val="en-AU"/>
        </w:rPr>
        <w:t>PSD</w:t>
      </w:r>
      <w:r w:rsidRPr="00185E28">
        <w:rPr>
          <w:lang w:val="en-AU"/>
        </w:rPr>
        <w:t xml:space="preserve">, July 2019 PBAC meeting;) and </w:t>
      </w:r>
      <w:r w:rsidR="006E36B3" w:rsidRPr="00185E28">
        <w:rPr>
          <w:lang w:val="en-AU"/>
        </w:rPr>
        <w:t xml:space="preserve">to the </w:t>
      </w:r>
      <w:r w:rsidRPr="00185E28">
        <w:rPr>
          <w:lang w:val="en-AU"/>
        </w:rPr>
        <w:t xml:space="preserve">1 to 2 year age group (paragraph 6.18, </w:t>
      </w:r>
      <w:r w:rsidR="00C77FAF" w:rsidRPr="00185E28">
        <w:rPr>
          <w:lang w:val="en-AU"/>
        </w:rPr>
        <w:t>i</w:t>
      </w:r>
      <w:r w:rsidRPr="00185E28">
        <w:rPr>
          <w:lang w:val="en-AU"/>
        </w:rPr>
        <w:t xml:space="preserve">vacaftor </w:t>
      </w:r>
      <w:r w:rsidR="00C21FE9" w:rsidRPr="00185E28">
        <w:rPr>
          <w:lang w:val="en-AU"/>
        </w:rPr>
        <w:t>PSD</w:t>
      </w:r>
      <w:r w:rsidRPr="00185E28">
        <w:rPr>
          <w:lang w:val="en-AU"/>
        </w:rPr>
        <w:t>, March 2019 PBAC meeting).</w:t>
      </w:r>
      <w:r w:rsidR="000863FD" w:rsidRPr="00185E28">
        <w:rPr>
          <w:lang w:val="en-AU"/>
        </w:rPr>
        <w:t xml:space="preserve"> </w:t>
      </w:r>
      <w:r w:rsidR="00C00E8A" w:rsidRPr="00185E28">
        <w:rPr>
          <w:lang w:val="en-AU"/>
        </w:rPr>
        <w:t xml:space="preserve">The </w:t>
      </w:r>
      <w:r w:rsidR="000863FD" w:rsidRPr="00185E28">
        <w:rPr>
          <w:lang w:val="en-AU"/>
        </w:rPr>
        <w:t xml:space="preserve">ESC </w:t>
      </w:r>
      <w:r w:rsidR="00C00E8A" w:rsidRPr="00185E28">
        <w:rPr>
          <w:lang w:val="en-AU"/>
        </w:rPr>
        <w:t xml:space="preserve">considered </w:t>
      </w:r>
      <w:r w:rsidR="006E36B3" w:rsidRPr="00185E28">
        <w:rPr>
          <w:lang w:val="en-AU"/>
        </w:rPr>
        <w:t xml:space="preserve">that </w:t>
      </w:r>
      <w:r w:rsidR="000863FD" w:rsidRPr="00185E28">
        <w:rPr>
          <w:lang w:val="en-AU"/>
        </w:rPr>
        <w:t xml:space="preserve">it </w:t>
      </w:r>
      <w:r w:rsidR="006E36B3" w:rsidRPr="00185E28">
        <w:rPr>
          <w:lang w:val="en-AU"/>
        </w:rPr>
        <w:t>was</w:t>
      </w:r>
      <w:r w:rsidR="000863FD" w:rsidRPr="00185E28">
        <w:rPr>
          <w:lang w:val="en-AU"/>
        </w:rPr>
        <w:t xml:space="preserve"> reasonable to </w:t>
      </w:r>
      <w:r w:rsidR="00C00E8A" w:rsidRPr="00185E28">
        <w:rPr>
          <w:lang w:val="en-AU"/>
        </w:rPr>
        <w:t xml:space="preserve">assume </w:t>
      </w:r>
      <w:r w:rsidR="000863FD" w:rsidRPr="00185E28">
        <w:rPr>
          <w:lang w:val="en-AU"/>
        </w:rPr>
        <w:t xml:space="preserve">there </w:t>
      </w:r>
      <w:r w:rsidR="006E36B3" w:rsidRPr="00185E28">
        <w:rPr>
          <w:lang w:val="en-AU"/>
        </w:rPr>
        <w:t>were</w:t>
      </w:r>
      <w:r w:rsidR="000863FD" w:rsidRPr="00185E28">
        <w:rPr>
          <w:lang w:val="en-AU"/>
        </w:rPr>
        <w:t xml:space="preserve"> benefits to starting treatment with lumacaftor/ivacaftor </w:t>
      </w:r>
      <w:r w:rsidR="00C00E8A" w:rsidRPr="00185E28">
        <w:rPr>
          <w:lang w:val="en-AU"/>
        </w:rPr>
        <w:t>at a younger age</w:t>
      </w:r>
      <w:r w:rsidR="000863FD" w:rsidRPr="00185E28">
        <w:rPr>
          <w:lang w:val="en-AU"/>
        </w:rPr>
        <w:t xml:space="preserve"> (1-2 years), and </w:t>
      </w:r>
      <w:r w:rsidR="006E36B3" w:rsidRPr="00185E28">
        <w:rPr>
          <w:lang w:val="en-AU"/>
        </w:rPr>
        <w:t xml:space="preserve">that </w:t>
      </w:r>
      <w:r w:rsidR="000863FD" w:rsidRPr="00185E28">
        <w:rPr>
          <w:lang w:val="en-AU"/>
        </w:rPr>
        <w:t xml:space="preserve">it </w:t>
      </w:r>
      <w:r w:rsidR="006E36B3" w:rsidRPr="00185E28">
        <w:rPr>
          <w:lang w:val="en-AU"/>
        </w:rPr>
        <w:t>was</w:t>
      </w:r>
      <w:r w:rsidR="000863FD" w:rsidRPr="00185E28">
        <w:rPr>
          <w:lang w:val="en-AU"/>
        </w:rPr>
        <w:t xml:space="preserve"> reasonable to extrapolate the clinical claims from older age cohorts.  </w:t>
      </w:r>
    </w:p>
    <w:p w14:paraId="0CD90591" w14:textId="0735845B" w:rsidR="00051171" w:rsidRPr="00185E28" w:rsidRDefault="00051171" w:rsidP="00051171">
      <w:pPr>
        <w:widowControl w:val="0"/>
        <w:numPr>
          <w:ilvl w:val="1"/>
          <w:numId w:val="1"/>
        </w:numPr>
        <w:spacing w:after="120"/>
        <w:ind w:left="720"/>
        <w:rPr>
          <w:rFonts w:asciiTheme="minorHAnsi" w:hAnsiTheme="minorHAnsi"/>
          <w:snapToGrid w:val="0"/>
          <w:szCs w:val="20"/>
        </w:rPr>
      </w:pPr>
      <w:bookmarkStart w:id="38" w:name="_Hlk76376200"/>
      <w:r w:rsidRPr="00185E28">
        <w:rPr>
          <w:rFonts w:asciiTheme="minorHAnsi" w:hAnsiTheme="minorHAnsi"/>
          <w:iCs/>
          <w:snapToGrid w:val="0"/>
        </w:rPr>
        <w:t>The</w:t>
      </w:r>
      <w:r w:rsidRPr="00185E28">
        <w:rPr>
          <w:rFonts w:asciiTheme="minorHAnsi" w:hAnsiTheme="minorHAnsi"/>
          <w:snapToGrid w:val="0"/>
          <w:szCs w:val="20"/>
        </w:rPr>
        <w:t xml:space="preserve"> PBAC considered that the claim of superior comparative effectiveness was reasonable.</w:t>
      </w:r>
    </w:p>
    <w:p w14:paraId="457080B3" w14:textId="45201937" w:rsidR="00051171" w:rsidRPr="00185E28" w:rsidRDefault="00051171" w:rsidP="00051171">
      <w:pPr>
        <w:widowControl w:val="0"/>
        <w:numPr>
          <w:ilvl w:val="1"/>
          <w:numId w:val="1"/>
        </w:numPr>
        <w:spacing w:after="120"/>
        <w:ind w:left="720"/>
        <w:rPr>
          <w:rFonts w:asciiTheme="minorHAnsi" w:hAnsiTheme="minorHAnsi"/>
          <w:snapToGrid w:val="0"/>
          <w:szCs w:val="20"/>
        </w:rPr>
      </w:pPr>
      <w:r w:rsidRPr="00185E28">
        <w:rPr>
          <w:rFonts w:asciiTheme="minorHAnsi" w:hAnsiTheme="minorHAnsi"/>
          <w:snapToGrid w:val="0"/>
          <w:szCs w:val="20"/>
        </w:rPr>
        <w:t xml:space="preserve">The PBAC considered that the claim of </w:t>
      </w:r>
      <w:r w:rsidR="00D907DA" w:rsidRPr="00185E28">
        <w:rPr>
          <w:rFonts w:asciiTheme="minorHAnsi" w:hAnsiTheme="minorHAnsi"/>
          <w:snapToGrid w:val="0"/>
          <w:szCs w:val="20"/>
        </w:rPr>
        <w:t>comparable</w:t>
      </w:r>
      <w:r w:rsidRPr="00185E28">
        <w:rPr>
          <w:rFonts w:asciiTheme="minorHAnsi" w:hAnsiTheme="minorHAnsi"/>
          <w:snapToGrid w:val="0"/>
          <w:szCs w:val="20"/>
        </w:rPr>
        <w:t xml:space="preserve"> comparative safety was reasonable.</w:t>
      </w:r>
      <w:bookmarkEnd w:id="38"/>
    </w:p>
    <w:p w14:paraId="36873D69" w14:textId="77777777" w:rsidR="00F86069" w:rsidRPr="00FF09A2" w:rsidRDefault="00F86069" w:rsidP="00F86069">
      <w:pPr>
        <w:pStyle w:val="4-SubsectionHeading"/>
      </w:pPr>
      <w:bookmarkStart w:id="39" w:name="_Toc22897645"/>
      <w:bookmarkStart w:id="40" w:name="_Toc135204529"/>
      <w:r w:rsidRPr="00185E28">
        <w:t>Economic analysis</w:t>
      </w:r>
      <w:bookmarkEnd w:id="39"/>
      <w:bookmarkEnd w:id="40"/>
      <w:r w:rsidRPr="00FF09A2">
        <w:t xml:space="preserve"> </w:t>
      </w:r>
    </w:p>
    <w:p w14:paraId="7D4BBC57" w14:textId="48A2955C" w:rsidR="00F86069" w:rsidRPr="00B3449A" w:rsidRDefault="00F86069" w:rsidP="006E36B3">
      <w:pPr>
        <w:numPr>
          <w:ilvl w:val="1"/>
          <w:numId w:val="1"/>
        </w:numPr>
        <w:spacing w:after="160"/>
        <w:ind w:left="709" w:hanging="709"/>
      </w:pPr>
      <w:r w:rsidRPr="00B3449A">
        <w:t xml:space="preserve">The submission presented a modelled cost-utility analysis </w:t>
      </w:r>
      <w:r w:rsidR="006E36B3">
        <w:t xml:space="preserve">(CUA) </w:t>
      </w:r>
      <w:r w:rsidRPr="00B3449A">
        <w:t xml:space="preserve">comparing lumacaftor/ivacaftor plus BSC with BSC for the F/F population aged 1 to less than 2 years. </w:t>
      </w:r>
    </w:p>
    <w:p w14:paraId="5D8547CB" w14:textId="0498FAAF" w:rsidR="00F86069" w:rsidRPr="00B3449A" w:rsidRDefault="00F86069" w:rsidP="006E36B3">
      <w:pPr>
        <w:numPr>
          <w:ilvl w:val="1"/>
          <w:numId w:val="1"/>
        </w:numPr>
        <w:spacing w:after="160"/>
        <w:ind w:left="709" w:hanging="709"/>
      </w:pPr>
      <w:r w:rsidRPr="00B3449A">
        <w:t xml:space="preserve">The model was based on the Cox-proportional hazard survival model described in Liou et al (2001). This approach has been reviewed by the PBAC in other CFTR modulator submissions (Table 8, </w:t>
      </w:r>
      <w:r w:rsidRPr="00B3449A">
        <w:rPr>
          <w:color w:val="000000" w:themeColor="text1"/>
        </w:rPr>
        <w:t xml:space="preserve">lumacaftor/ivacaftor </w:t>
      </w:r>
      <w:r w:rsidR="00D0653F" w:rsidRPr="00B3449A">
        <w:rPr>
          <w:color w:val="000000" w:themeColor="text1"/>
        </w:rPr>
        <w:t>PSD</w:t>
      </w:r>
      <w:r w:rsidRPr="00B3449A">
        <w:rPr>
          <w:color w:val="000000" w:themeColor="text1"/>
        </w:rPr>
        <w:t>, July 2019</w:t>
      </w:r>
      <w:r w:rsidR="003671AE">
        <w:rPr>
          <w:color w:val="000000" w:themeColor="text1"/>
        </w:rPr>
        <w:t>; paragraph 6.27</w:t>
      </w:r>
      <w:r w:rsidR="006E36B3">
        <w:rPr>
          <w:color w:val="000000" w:themeColor="text1"/>
        </w:rPr>
        <w:t xml:space="preserve"> ELX/TEZ/IVA</w:t>
      </w:r>
      <w:r w:rsidRPr="00B3449A">
        <w:rPr>
          <w:color w:val="000000" w:themeColor="text1"/>
        </w:rPr>
        <w:t xml:space="preserve"> </w:t>
      </w:r>
      <w:r w:rsidR="00D0653F" w:rsidRPr="00B3449A">
        <w:rPr>
          <w:color w:val="000000" w:themeColor="text1"/>
        </w:rPr>
        <w:t>PSD</w:t>
      </w:r>
      <w:r w:rsidRPr="00B3449A">
        <w:rPr>
          <w:color w:val="000000" w:themeColor="text1"/>
        </w:rPr>
        <w:t>, November 2022</w:t>
      </w:r>
      <w:r w:rsidRPr="00B3449A">
        <w:t>).</w:t>
      </w:r>
    </w:p>
    <w:p w14:paraId="58C8C1E6" w14:textId="369085CC" w:rsidR="00330737" w:rsidRPr="00B3449A" w:rsidRDefault="00F0019E" w:rsidP="006E36B3">
      <w:pPr>
        <w:numPr>
          <w:ilvl w:val="1"/>
          <w:numId w:val="1"/>
        </w:numPr>
        <w:spacing w:after="160"/>
        <w:ind w:left="709" w:hanging="709"/>
        <w:rPr>
          <w:rFonts w:asciiTheme="minorHAnsi" w:hAnsiTheme="minorHAnsi"/>
          <w:snapToGrid w:val="0"/>
        </w:rPr>
      </w:pPr>
      <w:r w:rsidRPr="00B3449A">
        <w:rPr>
          <w:rFonts w:asciiTheme="minorHAnsi" w:hAnsiTheme="minorHAnsi"/>
          <w:snapToGrid w:val="0"/>
        </w:rPr>
        <w:t xml:space="preserve">The only </w:t>
      </w:r>
      <w:r w:rsidR="006E36B3">
        <w:rPr>
          <w:rFonts w:asciiTheme="minorHAnsi" w:hAnsiTheme="minorHAnsi"/>
          <w:snapToGrid w:val="0"/>
        </w:rPr>
        <w:t xml:space="preserve">two </w:t>
      </w:r>
      <w:r w:rsidRPr="00B3449A">
        <w:rPr>
          <w:rFonts w:asciiTheme="minorHAnsi" w:hAnsiTheme="minorHAnsi"/>
          <w:snapToGrid w:val="0"/>
        </w:rPr>
        <w:t>model inputs that were informed by Study 122 (patients aged 1 to less than 2) were mean weight-for-age z-score change f</w:t>
      </w:r>
      <w:r w:rsidR="00580092" w:rsidRPr="00B3449A">
        <w:rPr>
          <w:rFonts w:asciiTheme="minorHAnsi" w:hAnsiTheme="minorHAnsi"/>
          <w:snapToGrid w:val="0"/>
        </w:rPr>
        <w:t xml:space="preserve">rom </w:t>
      </w:r>
      <w:r w:rsidRPr="00B3449A">
        <w:rPr>
          <w:rFonts w:asciiTheme="minorHAnsi" w:hAnsiTheme="minorHAnsi"/>
          <w:snapToGrid w:val="0"/>
        </w:rPr>
        <w:t xml:space="preserve">baseline and rate of discontinuation </w:t>
      </w:r>
      <w:r w:rsidR="00580092" w:rsidRPr="00B3449A">
        <w:rPr>
          <w:rFonts w:asciiTheme="minorHAnsi" w:hAnsiTheme="minorHAnsi"/>
          <w:snapToGrid w:val="0"/>
        </w:rPr>
        <w:t>(8.5% over first 24 weeks)</w:t>
      </w:r>
      <w:r w:rsidR="00DA6912" w:rsidRPr="00B3449A">
        <w:t>.</w:t>
      </w:r>
      <w:r w:rsidRPr="00B3449A">
        <w:rPr>
          <w:rFonts w:asciiTheme="minorHAnsi" w:hAnsiTheme="minorHAnsi"/>
          <w:snapToGrid w:val="0"/>
        </w:rPr>
        <w:t xml:space="preserve"> </w:t>
      </w:r>
      <w:r w:rsidR="006E36B3">
        <w:rPr>
          <w:rFonts w:asciiTheme="minorHAnsi" w:hAnsiTheme="minorHAnsi"/>
          <w:snapToGrid w:val="0"/>
        </w:rPr>
        <w:t>All o</w:t>
      </w:r>
      <w:r w:rsidRPr="00B3449A">
        <w:rPr>
          <w:rFonts w:asciiTheme="minorHAnsi" w:hAnsiTheme="minorHAnsi"/>
          <w:snapToGrid w:val="0"/>
        </w:rPr>
        <w:t>ther model inputs informing efficacy and safety for patients aged 1 to less than 2 years old were extrapolated from those based on older patient cohorts from Study 109 (</w:t>
      </w:r>
      <w:r w:rsidR="00580092" w:rsidRPr="00B3449A">
        <w:rPr>
          <w:rFonts w:asciiTheme="minorHAnsi" w:hAnsiTheme="minorHAnsi"/>
          <w:snapToGrid w:val="0"/>
        </w:rPr>
        <w:t xml:space="preserve">aged </w:t>
      </w:r>
      <w:r w:rsidRPr="00B3449A">
        <w:rPr>
          <w:rFonts w:asciiTheme="minorHAnsi" w:hAnsiTheme="minorHAnsi"/>
          <w:snapToGrid w:val="0"/>
        </w:rPr>
        <w:t>6 to 11</w:t>
      </w:r>
      <w:r w:rsidR="00580092" w:rsidRPr="00B3449A">
        <w:rPr>
          <w:rFonts w:asciiTheme="minorHAnsi" w:hAnsiTheme="minorHAnsi"/>
          <w:snapToGrid w:val="0"/>
        </w:rPr>
        <w:t xml:space="preserve"> years</w:t>
      </w:r>
      <w:r w:rsidRPr="00B3449A">
        <w:rPr>
          <w:rFonts w:asciiTheme="minorHAnsi" w:hAnsiTheme="minorHAnsi"/>
          <w:snapToGrid w:val="0"/>
        </w:rPr>
        <w:t>), and TRAFFIC/TRANSPORT (</w:t>
      </w:r>
      <w:r w:rsidR="00580092" w:rsidRPr="00B3449A">
        <w:rPr>
          <w:rFonts w:asciiTheme="minorHAnsi" w:hAnsiTheme="minorHAnsi"/>
          <w:snapToGrid w:val="0"/>
        </w:rPr>
        <w:t xml:space="preserve">aged </w:t>
      </w:r>
      <w:r w:rsidR="00580092" w:rsidRPr="00B3449A">
        <w:rPr>
          <w:rFonts w:asciiTheme="minorHAnsi" w:hAnsiTheme="minorHAnsi" w:cstheme="minorHAnsi"/>
          <w:snapToGrid w:val="0"/>
        </w:rPr>
        <w:t>≥</w:t>
      </w:r>
      <w:r w:rsidRPr="00B3449A">
        <w:rPr>
          <w:rFonts w:asciiTheme="minorHAnsi" w:hAnsiTheme="minorHAnsi"/>
          <w:snapToGrid w:val="0"/>
        </w:rPr>
        <w:t xml:space="preserve"> 12 years).</w:t>
      </w:r>
      <w:r w:rsidR="001E6F3C" w:rsidRPr="00B3449A">
        <w:rPr>
          <w:rFonts w:asciiTheme="minorHAnsi" w:hAnsiTheme="minorHAnsi"/>
          <w:snapToGrid w:val="0"/>
        </w:rPr>
        <w:t xml:space="preserve"> </w:t>
      </w:r>
    </w:p>
    <w:p w14:paraId="36E065D9" w14:textId="1E86A6EC" w:rsidR="00F86069" w:rsidRPr="00B3449A" w:rsidRDefault="00F86069" w:rsidP="00790BDF">
      <w:pPr>
        <w:numPr>
          <w:ilvl w:val="1"/>
          <w:numId w:val="1"/>
        </w:numPr>
        <w:spacing w:after="160"/>
        <w:ind w:left="709" w:hanging="709"/>
        <w:rPr>
          <w:rFonts w:asciiTheme="minorHAnsi" w:hAnsiTheme="minorHAnsi" w:cstheme="minorHAnsi"/>
        </w:rPr>
      </w:pPr>
      <w:r w:rsidRPr="00B3449A">
        <w:rPr>
          <w:rFonts w:asciiTheme="minorHAnsi" w:hAnsiTheme="minorHAnsi"/>
          <w:snapToGrid w:val="0"/>
          <w:color w:val="000000" w:themeColor="text1"/>
        </w:rPr>
        <w:t>A summary of the key components of the economic evaluation is presented in</w:t>
      </w:r>
      <w:r w:rsidRPr="00B3449A">
        <w:rPr>
          <w:rFonts w:asciiTheme="minorHAnsi" w:hAnsiTheme="minorHAnsi" w:cstheme="minorHAnsi"/>
          <w:snapToGrid w:val="0"/>
          <w:color w:val="000000" w:themeColor="text1"/>
        </w:rPr>
        <w:t xml:space="preserve"> </w:t>
      </w:r>
      <w:r w:rsidR="00A01452" w:rsidRPr="00B3449A">
        <w:rPr>
          <w:rFonts w:asciiTheme="minorHAnsi" w:hAnsiTheme="minorHAnsi" w:cstheme="minorHAnsi"/>
          <w:snapToGrid w:val="0"/>
          <w:color w:val="000000" w:themeColor="text1"/>
        </w:rPr>
        <w:fldChar w:fldCharType="begin"/>
      </w:r>
      <w:r w:rsidR="00A01452" w:rsidRPr="00B3449A">
        <w:rPr>
          <w:rFonts w:asciiTheme="minorHAnsi" w:hAnsiTheme="minorHAnsi" w:cstheme="minorHAnsi"/>
          <w:snapToGrid w:val="0"/>
          <w:color w:val="000000" w:themeColor="text1"/>
        </w:rPr>
        <w:instrText xml:space="preserve"> REF _Ref132555289 \h  \* MERGEFORMAT </w:instrText>
      </w:r>
      <w:r w:rsidR="00A01452" w:rsidRPr="00B3449A">
        <w:rPr>
          <w:rFonts w:asciiTheme="minorHAnsi" w:hAnsiTheme="minorHAnsi" w:cstheme="minorHAnsi"/>
          <w:snapToGrid w:val="0"/>
          <w:color w:val="000000" w:themeColor="text1"/>
        </w:rPr>
      </w:r>
      <w:r w:rsidR="00A01452" w:rsidRPr="00B3449A">
        <w:rPr>
          <w:rFonts w:asciiTheme="minorHAnsi" w:hAnsiTheme="minorHAnsi" w:cstheme="minorHAnsi"/>
          <w:snapToGrid w:val="0"/>
          <w:color w:val="000000" w:themeColor="text1"/>
        </w:rPr>
        <w:fldChar w:fldCharType="separate"/>
      </w:r>
      <w:r w:rsidR="00025B72" w:rsidRPr="00025B72">
        <w:rPr>
          <w:rFonts w:asciiTheme="minorHAnsi" w:hAnsiTheme="minorHAnsi" w:cstheme="minorHAnsi"/>
          <w:noProof/>
        </w:rPr>
        <w:t>Table</w:t>
      </w:r>
      <w:r w:rsidR="00025B72" w:rsidRPr="00FF09A2">
        <w:rPr>
          <w:rFonts w:ascii="Arial Narrow" w:hAnsi="Arial Narrow"/>
          <w:b/>
          <w:bCs/>
          <w:sz w:val="20"/>
          <w:szCs w:val="18"/>
        </w:rPr>
        <w:t xml:space="preserve"> </w:t>
      </w:r>
      <w:r w:rsidR="00025B72">
        <w:rPr>
          <w:rFonts w:ascii="Arial Narrow" w:hAnsi="Arial Narrow"/>
          <w:b/>
          <w:bCs/>
          <w:noProof/>
          <w:sz w:val="20"/>
          <w:szCs w:val="18"/>
        </w:rPr>
        <w:t>6</w:t>
      </w:r>
      <w:r w:rsidR="00A01452" w:rsidRPr="00B3449A">
        <w:rPr>
          <w:rFonts w:asciiTheme="minorHAnsi" w:hAnsiTheme="minorHAnsi" w:cstheme="minorHAnsi"/>
          <w:snapToGrid w:val="0"/>
          <w:color w:val="000000" w:themeColor="text1"/>
        </w:rPr>
        <w:fldChar w:fldCharType="end"/>
      </w:r>
      <w:r w:rsidRPr="00B3449A">
        <w:rPr>
          <w:rFonts w:asciiTheme="minorHAnsi" w:hAnsiTheme="minorHAnsi" w:cstheme="minorHAnsi"/>
          <w:snapToGrid w:val="0"/>
          <w:color w:val="000000" w:themeColor="text1"/>
        </w:rPr>
        <w:t>.</w:t>
      </w:r>
    </w:p>
    <w:p w14:paraId="59B00AB9" w14:textId="322CEEA2" w:rsidR="00F86069" w:rsidRPr="00FF09A2" w:rsidRDefault="00F86069" w:rsidP="00967957">
      <w:pPr>
        <w:keepNext/>
        <w:keepLines/>
        <w:jc w:val="left"/>
        <w:rPr>
          <w:rFonts w:ascii="Arial Narrow" w:hAnsi="Arial Narrow"/>
          <w:b/>
          <w:sz w:val="20"/>
        </w:rPr>
      </w:pPr>
      <w:bookmarkStart w:id="41" w:name="_Ref132555289"/>
      <w:r w:rsidRPr="00FF09A2">
        <w:rPr>
          <w:rFonts w:ascii="Arial Narrow" w:hAnsi="Arial Narrow"/>
          <w:b/>
          <w:bCs/>
          <w:sz w:val="20"/>
          <w:szCs w:val="18"/>
        </w:rPr>
        <w:lastRenderedPageBreak/>
        <w:t xml:space="preserve">Table </w:t>
      </w:r>
      <w:r w:rsidRPr="00FF09A2">
        <w:rPr>
          <w:rFonts w:ascii="Arial Narrow" w:hAnsi="Arial Narrow"/>
          <w:b/>
          <w:bCs/>
          <w:sz w:val="20"/>
          <w:szCs w:val="18"/>
        </w:rPr>
        <w:fldChar w:fldCharType="begin"/>
      </w:r>
      <w:r w:rsidRPr="00FF09A2">
        <w:rPr>
          <w:rFonts w:ascii="Arial Narrow" w:hAnsi="Arial Narrow"/>
          <w:b/>
          <w:bCs/>
          <w:sz w:val="20"/>
          <w:szCs w:val="18"/>
        </w:rPr>
        <w:instrText xml:space="preserve"> SEQ Table \* ARABIC </w:instrText>
      </w:r>
      <w:r w:rsidRPr="00FF09A2">
        <w:rPr>
          <w:rFonts w:ascii="Arial Narrow" w:hAnsi="Arial Narrow"/>
          <w:b/>
          <w:bCs/>
          <w:sz w:val="20"/>
          <w:szCs w:val="18"/>
        </w:rPr>
        <w:fldChar w:fldCharType="separate"/>
      </w:r>
      <w:r w:rsidR="00025B72">
        <w:rPr>
          <w:rFonts w:ascii="Arial Narrow" w:hAnsi="Arial Narrow"/>
          <w:b/>
          <w:bCs/>
          <w:noProof/>
          <w:sz w:val="20"/>
          <w:szCs w:val="18"/>
        </w:rPr>
        <w:t>6</w:t>
      </w:r>
      <w:r w:rsidRPr="00FF09A2">
        <w:rPr>
          <w:rFonts w:ascii="Arial Narrow" w:hAnsi="Arial Narrow"/>
          <w:b/>
          <w:bCs/>
          <w:noProof/>
          <w:sz w:val="20"/>
          <w:szCs w:val="18"/>
        </w:rPr>
        <w:fldChar w:fldCharType="end"/>
      </w:r>
      <w:bookmarkEnd w:id="41"/>
      <w:r w:rsidRPr="00FF09A2">
        <w:rPr>
          <w:rFonts w:ascii="Arial Narrow" w:hAnsi="Arial Narrow"/>
          <w:b/>
          <w:bCs/>
          <w:sz w:val="20"/>
          <w:szCs w:val="18"/>
        </w:rPr>
        <w:t>:</w:t>
      </w:r>
      <w:r w:rsidRPr="00FF09A2">
        <w:rPr>
          <w:rFonts w:ascii="Arial Narrow" w:hAnsi="Arial Narrow"/>
          <w:bCs/>
          <w:sz w:val="20"/>
        </w:rPr>
        <w:t xml:space="preserve"> </w:t>
      </w:r>
      <w:r w:rsidRPr="00FF09A2">
        <w:rPr>
          <w:rFonts w:ascii="Arial Narrow" w:hAnsi="Arial Narrow"/>
          <w:b/>
          <w:sz w:val="20"/>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5"/>
        <w:gridCol w:w="7462"/>
      </w:tblGrid>
      <w:tr w:rsidR="00F86069" w:rsidRPr="0017166C" w14:paraId="43F33C94" w14:textId="77777777" w:rsidTr="0017166C">
        <w:trPr>
          <w:tblHeader/>
        </w:trPr>
        <w:tc>
          <w:tcPr>
            <w:tcW w:w="862" w:type="pct"/>
            <w:shd w:val="clear" w:color="auto" w:fill="auto"/>
            <w:vAlign w:val="center"/>
          </w:tcPr>
          <w:p w14:paraId="519853B1" w14:textId="77777777" w:rsidR="00F86069" w:rsidRPr="0017166C" w:rsidRDefault="00F86069" w:rsidP="00967957">
            <w:pPr>
              <w:keepNext/>
              <w:keepLines/>
              <w:contextualSpacing/>
              <w:rPr>
                <w:rFonts w:ascii="Arial Narrow" w:eastAsiaTheme="majorEastAsia" w:hAnsi="Arial Narrow"/>
                <w:b/>
                <w:bCs/>
                <w:sz w:val="20"/>
                <w:szCs w:val="20"/>
              </w:rPr>
            </w:pPr>
            <w:r w:rsidRPr="0017166C">
              <w:rPr>
                <w:rFonts w:ascii="Arial Narrow" w:eastAsiaTheme="majorEastAsia" w:hAnsi="Arial Narrow"/>
                <w:b/>
                <w:bCs/>
                <w:sz w:val="20"/>
                <w:szCs w:val="20"/>
              </w:rPr>
              <w:t>Component</w:t>
            </w:r>
          </w:p>
        </w:tc>
        <w:tc>
          <w:tcPr>
            <w:tcW w:w="4138" w:type="pct"/>
            <w:shd w:val="clear" w:color="auto" w:fill="auto"/>
            <w:vAlign w:val="center"/>
          </w:tcPr>
          <w:p w14:paraId="5BCF8A23" w14:textId="77777777" w:rsidR="00F86069" w:rsidRPr="0017166C" w:rsidRDefault="00F86069" w:rsidP="00967957">
            <w:pPr>
              <w:keepNext/>
              <w:keepLines/>
              <w:contextualSpacing/>
              <w:rPr>
                <w:rFonts w:ascii="Arial Narrow" w:eastAsiaTheme="majorEastAsia" w:hAnsi="Arial Narrow"/>
                <w:b/>
                <w:bCs/>
                <w:sz w:val="20"/>
                <w:szCs w:val="20"/>
              </w:rPr>
            </w:pPr>
            <w:r w:rsidRPr="0017166C">
              <w:rPr>
                <w:rFonts w:ascii="Arial Narrow" w:eastAsiaTheme="majorEastAsia" w:hAnsi="Arial Narrow"/>
                <w:b/>
                <w:bCs/>
                <w:sz w:val="20"/>
                <w:szCs w:val="20"/>
              </w:rPr>
              <w:t>Summary</w:t>
            </w:r>
          </w:p>
        </w:tc>
      </w:tr>
      <w:tr w:rsidR="00F86069" w:rsidRPr="00FF09A2" w14:paraId="73C2C5D8" w14:textId="77777777" w:rsidTr="0017166C">
        <w:tc>
          <w:tcPr>
            <w:tcW w:w="862" w:type="pct"/>
            <w:shd w:val="clear" w:color="auto" w:fill="auto"/>
            <w:vAlign w:val="center"/>
          </w:tcPr>
          <w:p w14:paraId="6567C7C4"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Treatments</w:t>
            </w:r>
          </w:p>
        </w:tc>
        <w:tc>
          <w:tcPr>
            <w:tcW w:w="4138" w:type="pct"/>
            <w:shd w:val="clear" w:color="auto" w:fill="auto"/>
          </w:tcPr>
          <w:p w14:paraId="5967876A" w14:textId="5037528C"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Cost-utility analysis</w:t>
            </w:r>
          </w:p>
        </w:tc>
      </w:tr>
      <w:tr w:rsidR="00F86069" w:rsidRPr="00FF09A2" w14:paraId="7D232405" w14:textId="77777777" w:rsidTr="0017166C">
        <w:tc>
          <w:tcPr>
            <w:tcW w:w="862" w:type="pct"/>
            <w:shd w:val="clear" w:color="auto" w:fill="auto"/>
            <w:vAlign w:val="center"/>
          </w:tcPr>
          <w:p w14:paraId="122CF598"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Time horizon</w:t>
            </w:r>
          </w:p>
        </w:tc>
        <w:tc>
          <w:tcPr>
            <w:tcW w:w="4138" w:type="pct"/>
            <w:shd w:val="clear" w:color="auto" w:fill="auto"/>
          </w:tcPr>
          <w:p w14:paraId="61D68116" w14:textId="75669BA0" w:rsidR="00F86069" w:rsidRPr="00FF09A2" w:rsidRDefault="00D47FD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 xml:space="preserve">Lifetime, mean age at commencement of 1.5 years </w:t>
            </w:r>
          </w:p>
        </w:tc>
      </w:tr>
      <w:tr w:rsidR="00F86069" w:rsidRPr="00FF09A2" w14:paraId="28B35B75" w14:textId="77777777" w:rsidTr="0017166C">
        <w:tc>
          <w:tcPr>
            <w:tcW w:w="862" w:type="pct"/>
            <w:shd w:val="clear" w:color="auto" w:fill="auto"/>
            <w:vAlign w:val="center"/>
          </w:tcPr>
          <w:p w14:paraId="4829DDC2"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Outcomes</w:t>
            </w:r>
          </w:p>
        </w:tc>
        <w:tc>
          <w:tcPr>
            <w:tcW w:w="4138" w:type="pct"/>
            <w:shd w:val="clear" w:color="auto" w:fill="auto"/>
          </w:tcPr>
          <w:p w14:paraId="092D44C1" w14:textId="03D758FB"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 xml:space="preserve">Quality-adjusted life-years </w:t>
            </w:r>
          </w:p>
        </w:tc>
      </w:tr>
      <w:tr w:rsidR="00F86069" w:rsidRPr="00FF09A2" w14:paraId="0EBDBAD8" w14:textId="77777777" w:rsidTr="0017166C">
        <w:tc>
          <w:tcPr>
            <w:tcW w:w="862" w:type="pct"/>
            <w:shd w:val="clear" w:color="auto" w:fill="auto"/>
            <w:vAlign w:val="center"/>
          </w:tcPr>
          <w:p w14:paraId="03C86BF4" w14:textId="77777777" w:rsidR="00F86069" w:rsidRPr="00FF09A2" w:rsidRDefault="00F86069" w:rsidP="00967957">
            <w:pPr>
              <w:keepNext/>
              <w:keepLines/>
              <w:contextualSpacing/>
              <w:jc w:val="left"/>
              <w:rPr>
                <w:rFonts w:ascii="Arial Narrow" w:eastAsiaTheme="majorEastAsia" w:hAnsi="Arial Narrow"/>
                <w:sz w:val="20"/>
                <w:szCs w:val="20"/>
              </w:rPr>
            </w:pPr>
            <w:r w:rsidRPr="00FF09A2">
              <w:rPr>
                <w:rFonts w:ascii="Arial Narrow" w:eastAsiaTheme="majorEastAsia" w:hAnsi="Arial Narrow"/>
                <w:sz w:val="20"/>
                <w:szCs w:val="20"/>
              </w:rPr>
              <w:t>Methods used to generate results</w:t>
            </w:r>
          </w:p>
        </w:tc>
        <w:tc>
          <w:tcPr>
            <w:tcW w:w="4138" w:type="pct"/>
            <w:shd w:val="clear" w:color="auto" w:fill="auto"/>
            <w:vAlign w:val="center"/>
          </w:tcPr>
          <w:p w14:paraId="3AE217F4" w14:textId="0F0F3D23" w:rsidR="00F86069" w:rsidRPr="00FF09A2" w:rsidRDefault="00F86069" w:rsidP="00967957">
            <w:pPr>
              <w:keepNext/>
              <w:keepLines/>
              <w:contextualSpacing/>
              <w:rPr>
                <w:rFonts w:ascii="Arial Narrow" w:eastAsiaTheme="majorEastAsia" w:hAnsi="Arial Narrow" w:cstheme="majorBidi"/>
                <w:sz w:val="20"/>
                <w:szCs w:val="20"/>
              </w:rPr>
            </w:pPr>
            <w:r w:rsidRPr="00FF09A2">
              <w:rPr>
                <w:rFonts w:ascii="Arial Narrow" w:eastAsiaTheme="majorEastAsia" w:hAnsi="Arial Narrow"/>
                <w:sz w:val="20"/>
                <w:szCs w:val="20"/>
              </w:rPr>
              <w:t xml:space="preserve">Individual patient microsimulation. Liou </w:t>
            </w:r>
            <w:r w:rsidR="006E36B3">
              <w:rPr>
                <w:rFonts w:ascii="Arial Narrow" w:eastAsiaTheme="majorEastAsia" w:hAnsi="Arial Narrow"/>
                <w:sz w:val="20"/>
                <w:szCs w:val="20"/>
              </w:rPr>
              <w:t>et al., 2001:</w:t>
            </w:r>
            <w:r w:rsidRPr="00FF09A2">
              <w:rPr>
                <w:rFonts w:ascii="Arial Narrow" w:eastAsiaTheme="majorEastAsia" w:hAnsi="Arial Narrow"/>
                <w:sz w:val="20"/>
                <w:szCs w:val="20"/>
              </w:rPr>
              <w:t xml:space="preserve"> CPH model used to apply the effect of nine risk factors (age, gender, ppFEV</w:t>
            </w:r>
            <w:r w:rsidRPr="00FF09A2">
              <w:rPr>
                <w:rFonts w:ascii="Arial Narrow" w:eastAsiaTheme="majorEastAsia" w:hAnsi="Arial Narrow"/>
                <w:sz w:val="20"/>
                <w:szCs w:val="20"/>
                <w:vertAlign w:val="subscript"/>
              </w:rPr>
              <w:t>1</w:t>
            </w:r>
            <w:r w:rsidRPr="00FF09A2">
              <w:rPr>
                <w:rFonts w:ascii="Arial Narrow" w:eastAsiaTheme="majorEastAsia" w:hAnsi="Arial Narrow"/>
                <w:sz w:val="20"/>
                <w:szCs w:val="20"/>
              </w:rPr>
              <w:t xml:space="preserve">, annual number of PExs, infections (Staphylococcus aureus [Sa] or Burkholderia cepacia [Bc]), diabetes mellitus, weight-for-age z-score, and pancreatic sufficiency status in patients with cystic fibrosis) on the baseline hazard of mortality. </w:t>
            </w:r>
          </w:p>
        </w:tc>
      </w:tr>
      <w:tr w:rsidR="00F86069" w:rsidRPr="00FF09A2" w14:paraId="1636B236" w14:textId="77777777" w:rsidTr="0017166C">
        <w:tc>
          <w:tcPr>
            <w:tcW w:w="862" w:type="pct"/>
            <w:shd w:val="clear" w:color="auto" w:fill="auto"/>
            <w:vAlign w:val="center"/>
          </w:tcPr>
          <w:p w14:paraId="1FB5A3B9"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Health states</w:t>
            </w:r>
          </w:p>
        </w:tc>
        <w:tc>
          <w:tcPr>
            <w:tcW w:w="4138" w:type="pct"/>
            <w:shd w:val="clear" w:color="auto" w:fill="auto"/>
          </w:tcPr>
          <w:p w14:paraId="1656ACFA" w14:textId="0F59B0CB" w:rsidR="00F86069" w:rsidRPr="00FF09A2" w:rsidRDefault="00F86069" w:rsidP="00967957">
            <w:pPr>
              <w:keepNext/>
              <w:keepLines/>
              <w:contextualSpacing/>
              <w:rPr>
                <w:rFonts w:ascii="Arial Narrow" w:eastAsiaTheme="majorEastAsia" w:hAnsi="Arial Narrow" w:cstheme="majorBidi"/>
                <w:sz w:val="20"/>
                <w:szCs w:val="20"/>
              </w:rPr>
            </w:pPr>
            <w:r w:rsidRPr="00FF09A2">
              <w:rPr>
                <w:rFonts w:ascii="Arial Narrow" w:eastAsiaTheme="majorEastAsia" w:hAnsi="Arial Narrow"/>
                <w:sz w:val="20"/>
                <w:szCs w:val="20"/>
              </w:rPr>
              <w:t>As a microsimulation, changes are recorded in the underlying risk factors (as above) for each patient. Utility values are applied to health states based on ppFEV</w:t>
            </w:r>
            <w:r w:rsidRPr="00FF09A2">
              <w:rPr>
                <w:rFonts w:ascii="Arial Narrow" w:eastAsiaTheme="majorEastAsia" w:hAnsi="Arial Narrow"/>
                <w:sz w:val="20"/>
                <w:szCs w:val="20"/>
                <w:vertAlign w:val="subscript"/>
              </w:rPr>
              <w:t>1</w:t>
            </w:r>
            <w:r w:rsidRPr="00FF09A2">
              <w:rPr>
                <w:rFonts w:ascii="Arial Narrow" w:eastAsiaTheme="majorEastAsia" w:hAnsi="Arial Narrow"/>
                <w:sz w:val="20"/>
                <w:szCs w:val="20"/>
              </w:rPr>
              <w:t xml:space="preserve"> status of normal (&gt;90%), mild (70-90%), moderate (40-70%) and severe (&lt;</w:t>
            </w:r>
            <w:r w:rsidR="00185E28">
              <w:rPr>
                <w:rFonts w:ascii="Arial Narrow" w:eastAsiaTheme="majorEastAsia" w:hAnsi="Arial Narrow"/>
                <w:sz w:val="20"/>
                <w:szCs w:val="20"/>
              </w:rPr>
              <w:t>40</w:t>
            </w:r>
            <w:r w:rsidRPr="00FF09A2">
              <w:rPr>
                <w:rFonts w:ascii="Arial Narrow" w:eastAsiaTheme="majorEastAsia" w:hAnsi="Arial Narrow"/>
                <w:sz w:val="20"/>
                <w:szCs w:val="20"/>
              </w:rPr>
              <w:t>%).</w:t>
            </w:r>
          </w:p>
        </w:tc>
      </w:tr>
      <w:tr w:rsidR="00F86069" w:rsidRPr="00FF09A2" w14:paraId="6D406A6A" w14:textId="77777777" w:rsidTr="0017166C">
        <w:tc>
          <w:tcPr>
            <w:tcW w:w="862" w:type="pct"/>
            <w:shd w:val="clear" w:color="auto" w:fill="auto"/>
            <w:vAlign w:val="center"/>
          </w:tcPr>
          <w:p w14:paraId="4B5F8EB8"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Cycle length</w:t>
            </w:r>
          </w:p>
        </w:tc>
        <w:tc>
          <w:tcPr>
            <w:tcW w:w="4138" w:type="pct"/>
            <w:shd w:val="clear" w:color="auto" w:fill="auto"/>
          </w:tcPr>
          <w:p w14:paraId="2BF2FF2A"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First two years of analysis: 4-week cycle length</w:t>
            </w:r>
          </w:p>
          <w:p w14:paraId="2433AB54"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From two years onward: 52-week cycle length</w:t>
            </w:r>
          </w:p>
        </w:tc>
      </w:tr>
      <w:tr w:rsidR="00F86069" w:rsidRPr="00FF09A2" w14:paraId="7A03B726" w14:textId="77777777" w:rsidTr="0017166C">
        <w:tc>
          <w:tcPr>
            <w:tcW w:w="862" w:type="pct"/>
            <w:shd w:val="clear" w:color="auto" w:fill="auto"/>
            <w:vAlign w:val="center"/>
          </w:tcPr>
          <w:p w14:paraId="5B3F477D"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Transition probabilities</w:t>
            </w:r>
          </w:p>
        </w:tc>
        <w:tc>
          <w:tcPr>
            <w:tcW w:w="4138" w:type="pct"/>
            <w:shd w:val="clear" w:color="auto" w:fill="auto"/>
            <w:vAlign w:val="center"/>
          </w:tcPr>
          <w:p w14:paraId="25A65E4E" w14:textId="77777777" w:rsidR="00F86069" w:rsidRPr="00FF09A2" w:rsidRDefault="00F86069" w:rsidP="00967957">
            <w:pPr>
              <w:keepNext/>
              <w:keepLines/>
              <w:contextualSpacing/>
              <w:rPr>
                <w:rFonts w:ascii="Arial Narrow" w:eastAsiaTheme="minorHAnsi" w:hAnsi="Arial Narrow"/>
                <w:sz w:val="20"/>
                <w:szCs w:val="20"/>
                <w:lang w:eastAsia="en-US"/>
              </w:rPr>
            </w:pPr>
            <w:r w:rsidRPr="00FF09A2">
              <w:rPr>
                <w:rFonts w:ascii="Arial Narrow" w:eastAsiaTheme="minorHAnsi" w:hAnsi="Arial Narrow"/>
                <w:sz w:val="20"/>
                <w:szCs w:val="20"/>
                <w:lang w:eastAsia="en-US"/>
              </w:rPr>
              <w:t xml:space="preserve">Treatment effects based on RCT evidence: </w:t>
            </w:r>
          </w:p>
          <w:p w14:paraId="7A7C8C48" w14:textId="6A6C14C8" w:rsidR="00F86069" w:rsidRPr="00FF09A2" w:rsidRDefault="006E36B3" w:rsidP="00967957">
            <w:pPr>
              <w:keepNext/>
              <w:keepLines/>
              <w:contextualSpacing/>
              <w:rPr>
                <w:rFonts w:ascii="Arial Narrow" w:eastAsiaTheme="minorHAnsi" w:hAnsi="Arial Narrow"/>
                <w:sz w:val="20"/>
                <w:szCs w:val="20"/>
                <w:lang w:eastAsia="en-US"/>
              </w:rPr>
            </w:pPr>
            <w:r>
              <w:rPr>
                <w:rFonts w:ascii="Arial Narrow" w:eastAsiaTheme="minorHAnsi" w:hAnsi="Arial Narrow"/>
                <w:sz w:val="20"/>
                <w:szCs w:val="20"/>
                <w:lang w:eastAsia="en-US"/>
              </w:rPr>
              <w:t xml:space="preserve">- </w:t>
            </w:r>
            <w:r w:rsidR="00F86069" w:rsidRPr="00FF09A2">
              <w:rPr>
                <w:rFonts w:ascii="Arial Narrow" w:eastAsiaTheme="minorHAnsi" w:hAnsi="Arial Narrow"/>
                <w:sz w:val="20"/>
                <w:szCs w:val="20"/>
                <w:lang w:eastAsia="en-US"/>
              </w:rPr>
              <w:t>improved ppFEV</w:t>
            </w:r>
            <w:r w:rsidR="00F86069" w:rsidRPr="00FF09A2">
              <w:rPr>
                <w:rFonts w:ascii="Arial Narrow" w:eastAsiaTheme="minorHAnsi" w:hAnsi="Arial Narrow"/>
                <w:sz w:val="20"/>
                <w:szCs w:val="20"/>
                <w:vertAlign w:val="subscript"/>
                <w:lang w:eastAsia="en-US"/>
              </w:rPr>
              <w:t xml:space="preserve">1 </w:t>
            </w:r>
            <w:r w:rsidR="00F86069" w:rsidRPr="00FF09A2">
              <w:rPr>
                <w:rFonts w:ascii="Arial Narrow" w:eastAsiaTheme="minorHAnsi" w:hAnsi="Arial Narrow"/>
                <w:sz w:val="20"/>
                <w:szCs w:val="20"/>
                <w:lang w:eastAsia="en-US"/>
              </w:rPr>
              <w:t>(Study 109</w:t>
            </w:r>
            <w:proofErr w:type="gramStart"/>
            <w:r w:rsidR="00580092" w:rsidRPr="00FF09A2">
              <w:rPr>
                <w:rFonts w:ascii="Arial Narrow" w:eastAsiaTheme="minorHAnsi" w:hAnsi="Arial Narrow"/>
                <w:sz w:val="20"/>
                <w:szCs w:val="20"/>
                <w:lang w:eastAsia="en-US"/>
              </w:rPr>
              <w:t>)</w:t>
            </w:r>
            <w:r w:rsidR="00F86069" w:rsidRPr="00FF09A2">
              <w:rPr>
                <w:rFonts w:ascii="Arial Narrow" w:eastAsiaTheme="minorHAnsi" w:hAnsi="Arial Narrow"/>
                <w:sz w:val="20"/>
                <w:szCs w:val="20"/>
                <w:lang w:eastAsia="en-US"/>
              </w:rPr>
              <w:t>;</w:t>
            </w:r>
            <w:proofErr w:type="gramEnd"/>
            <w:r w:rsidR="00F86069" w:rsidRPr="00FF09A2">
              <w:rPr>
                <w:rFonts w:ascii="Arial Narrow" w:eastAsiaTheme="minorHAnsi" w:hAnsi="Arial Narrow"/>
                <w:sz w:val="20"/>
                <w:szCs w:val="20"/>
                <w:lang w:eastAsia="en-US"/>
              </w:rPr>
              <w:t xml:space="preserve"> </w:t>
            </w:r>
          </w:p>
          <w:p w14:paraId="171E9DF8" w14:textId="7D525B27" w:rsidR="00F86069" w:rsidRPr="00FF09A2" w:rsidRDefault="006E36B3" w:rsidP="00967957">
            <w:pPr>
              <w:keepNext/>
              <w:keepLines/>
              <w:contextualSpacing/>
              <w:rPr>
                <w:rFonts w:ascii="Arial Narrow" w:eastAsiaTheme="minorHAnsi" w:hAnsi="Arial Narrow"/>
                <w:sz w:val="20"/>
                <w:szCs w:val="20"/>
                <w:lang w:eastAsia="en-US"/>
              </w:rPr>
            </w:pPr>
            <w:r>
              <w:rPr>
                <w:rFonts w:ascii="Arial Narrow" w:eastAsiaTheme="minorHAnsi" w:hAnsi="Arial Narrow"/>
                <w:sz w:val="20"/>
                <w:szCs w:val="20"/>
                <w:lang w:eastAsia="en-US"/>
              </w:rPr>
              <w:t xml:space="preserve">- </w:t>
            </w:r>
            <w:r w:rsidR="00F86069" w:rsidRPr="00FF09A2">
              <w:rPr>
                <w:rFonts w:ascii="Arial Narrow" w:eastAsiaTheme="minorHAnsi" w:hAnsi="Arial Narrow"/>
                <w:sz w:val="20"/>
                <w:szCs w:val="20"/>
                <w:lang w:eastAsia="en-US"/>
              </w:rPr>
              <w:t>improved weight and weight-for-age z-scores (</w:t>
            </w:r>
            <w:r w:rsidR="00F86069" w:rsidRPr="00FF09A2">
              <w:rPr>
                <w:rFonts w:ascii="Arial Narrow" w:eastAsiaTheme="majorEastAsia" w:hAnsi="Arial Narrow" w:cstheme="majorBidi"/>
                <w:sz w:val="20"/>
                <w:szCs w:val="20"/>
              </w:rPr>
              <w:t>Study 122).</w:t>
            </w:r>
          </w:p>
          <w:p w14:paraId="0C9EF7A8" w14:textId="77777777" w:rsidR="00F86069" w:rsidRPr="00FF09A2" w:rsidRDefault="00F86069" w:rsidP="00967957">
            <w:pPr>
              <w:keepNext/>
              <w:keepLines/>
              <w:contextualSpacing/>
              <w:rPr>
                <w:rFonts w:ascii="Arial Narrow" w:eastAsiaTheme="majorEastAsia" w:hAnsi="Arial Narrow"/>
                <w:sz w:val="20"/>
                <w:szCs w:val="20"/>
              </w:rPr>
            </w:pPr>
          </w:p>
          <w:p w14:paraId="498FA339"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Baseline ppFEV</w:t>
            </w:r>
            <w:r w:rsidRPr="00FF09A2">
              <w:rPr>
                <w:rFonts w:ascii="Arial Narrow" w:eastAsiaTheme="majorEastAsia" w:hAnsi="Arial Narrow"/>
                <w:sz w:val="20"/>
                <w:szCs w:val="20"/>
                <w:vertAlign w:val="subscript"/>
              </w:rPr>
              <w:t>1</w:t>
            </w:r>
            <w:r w:rsidRPr="00FF09A2">
              <w:rPr>
                <w:rFonts w:ascii="Arial Narrow" w:eastAsiaTheme="majorEastAsia" w:hAnsi="Arial Narrow"/>
                <w:sz w:val="20"/>
                <w:szCs w:val="20"/>
              </w:rPr>
              <w:t xml:space="preserve"> decline based on large longitudinal registry analyses (Konstan et al., 2007, de Boer et al., 2011).</w:t>
            </w:r>
          </w:p>
          <w:p w14:paraId="2675AE94" w14:textId="77777777" w:rsidR="00F86069" w:rsidRPr="00FF09A2" w:rsidRDefault="00F86069" w:rsidP="00967957">
            <w:pPr>
              <w:keepNext/>
              <w:keepLines/>
              <w:contextualSpacing/>
              <w:rPr>
                <w:rFonts w:ascii="Arial Narrow" w:eastAsiaTheme="majorEastAsia" w:hAnsi="Arial Narrow"/>
                <w:sz w:val="20"/>
                <w:szCs w:val="20"/>
              </w:rPr>
            </w:pPr>
          </w:p>
          <w:p w14:paraId="0BB73AB0" w14:textId="5053DE81"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Long-term reduction in the</w:t>
            </w:r>
            <w:r w:rsidR="00685E8B" w:rsidRPr="00FF09A2">
              <w:rPr>
                <w:rFonts w:ascii="Arial Narrow" w:eastAsiaTheme="majorEastAsia" w:hAnsi="Arial Narrow"/>
                <w:sz w:val="20"/>
                <w:szCs w:val="20"/>
              </w:rPr>
              <w:t xml:space="preserve"> </w:t>
            </w:r>
            <w:r w:rsidRPr="00FF09A2">
              <w:rPr>
                <w:rFonts w:ascii="Arial Narrow" w:eastAsiaTheme="majorEastAsia" w:hAnsi="Arial Narrow"/>
                <w:sz w:val="20"/>
                <w:szCs w:val="20"/>
              </w:rPr>
              <w:t xml:space="preserve">rROD </w:t>
            </w:r>
            <w:r w:rsidR="00580092" w:rsidRPr="00FF09A2">
              <w:rPr>
                <w:rFonts w:ascii="Arial Narrow" w:eastAsiaTheme="majorEastAsia" w:hAnsi="Arial Narrow"/>
                <w:sz w:val="20"/>
                <w:szCs w:val="20"/>
              </w:rPr>
              <w:t>in ppFEV</w:t>
            </w:r>
            <w:r w:rsidR="00580092" w:rsidRPr="00FF09A2">
              <w:rPr>
                <w:rFonts w:ascii="Arial Narrow" w:eastAsiaTheme="majorEastAsia" w:hAnsi="Arial Narrow"/>
                <w:sz w:val="20"/>
                <w:szCs w:val="20"/>
                <w:vertAlign w:val="subscript"/>
              </w:rPr>
              <w:t>1</w:t>
            </w:r>
            <w:r w:rsidR="00580092" w:rsidRPr="00FF09A2">
              <w:rPr>
                <w:rFonts w:ascii="Arial Narrow" w:eastAsiaTheme="majorEastAsia" w:hAnsi="Arial Narrow"/>
                <w:sz w:val="20"/>
                <w:szCs w:val="20"/>
              </w:rPr>
              <w:t xml:space="preserve"> </w:t>
            </w:r>
            <w:r w:rsidRPr="00FF09A2">
              <w:rPr>
                <w:rFonts w:ascii="Arial Narrow" w:eastAsiaTheme="majorEastAsia" w:hAnsi="Arial Narrow"/>
                <w:sz w:val="20"/>
                <w:szCs w:val="20"/>
              </w:rPr>
              <w:t>associated with LUM/IVA treatment was determined through the Managed Access Program (MAP) review of the long-term rROD of ppFEV</w:t>
            </w:r>
            <w:r w:rsidRPr="00FF09A2">
              <w:rPr>
                <w:rFonts w:ascii="Arial Narrow" w:eastAsiaTheme="majorEastAsia" w:hAnsi="Arial Narrow"/>
                <w:sz w:val="20"/>
                <w:szCs w:val="20"/>
                <w:vertAlign w:val="subscript"/>
              </w:rPr>
              <w:t>1</w:t>
            </w:r>
            <w:r w:rsidRPr="00FF09A2">
              <w:rPr>
                <w:rFonts w:ascii="Arial Narrow" w:eastAsiaTheme="majorEastAsia" w:hAnsi="Arial Narrow"/>
                <w:sz w:val="20"/>
                <w:szCs w:val="20"/>
              </w:rPr>
              <w:t xml:space="preserve"> for LUM/IVA in Australia.</w:t>
            </w:r>
          </w:p>
          <w:p w14:paraId="0F531A07" w14:textId="77777777" w:rsidR="00F86069" w:rsidRPr="00FF09A2" w:rsidRDefault="00F86069" w:rsidP="00967957">
            <w:pPr>
              <w:keepNext/>
              <w:keepLines/>
              <w:contextualSpacing/>
              <w:rPr>
                <w:rFonts w:ascii="Arial Narrow" w:eastAsiaTheme="majorEastAsia" w:hAnsi="Arial Narrow"/>
                <w:sz w:val="20"/>
                <w:szCs w:val="20"/>
              </w:rPr>
            </w:pPr>
          </w:p>
          <w:p w14:paraId="021A38D7" w14:textId="22499466"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Baseline hazard function for survival derived from parametric survival function that fit the survival data from Irish CF data registry.</w:t>
            </w:r>
          </w:p>
          <w:p w14:paraId="43034FB8" w14:textId="77777777" w:rsidR="00F86069" w:rsidRPr="00FF09A2" w:rsidRDefault="00F86069" w:rsidP="00967957">
            <w:pPr>
              <w:keepNext/>
              <w:keepLines/>
              <w:contextualSpacing/>
              <w:rPr>
                <w:rFonts w:ascii="Arial Narrow" w:eastAsiaTheme="majorEastAsia" w:hAnsi="Arial Narrow"/>
                <w:sz w:val="20"/>
                <w:szCs w:val="20"/>
              </w:rPr>
            </w:pPr>
          </w:p>
          <w:p w14:paraId="711627DA" w14:textId="7BCECEFD"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 xml:space="preserve">Individual patient characteristics (baseline values from the two RCTs Study 109 and TRAFFIC/TRANSPORT) were related to survival through a </w:t>
            </w:r>
            <w:r w:rsidR="0045737A">
              <w:rPr>
                <w:rFonts w:ascii="Arial Narrow" w:eastAsiaTheme="majorEastAsia" w:hAnsi="Arial Narrow"/>
                <w:sz w:val="20"/>
                <w:szCs w:val="20"/>
              </w:rPr>
              <w:t>CPH</w:t>
            </w:r>
            <w:r w:rsidRPr="00FF09A2">
              <w:rPr>
                <w:rFonts w:ascii="Arial Narrow" w:eastAsiaTheme="majorEastAsia" w:hAnsi="Arial Narrow"/>
                <w:sz w:val="20"/>
                <w:szCs w:val="20"/>
              </w:rPr>
              <w:t xml:space="preserve"> model (Liou </w:t>
            </w:r>
            <w:r w:rsidRPr="006E36B3">
              <w:rPr>
                <w:rFonts w:ascii="Arial Narrow" w:eastAsiaTheme="majorEastAsia" w:hAnsi="Arial Narrow"/>
                <w:iCs/>
                <w:sz w:val="20"/>
                <w:szCs w:val="20"/>
              </w:rPr>
              <w:t>et al</w:t>
            </w:r>
            <w:r w:rsidR="006E36B3">
              <w:rPr>
                <w:rFonts w:ascii="Arial Narrow" w:eastAsiaTheme="majorEastAsia" w:hAnsi="Arial Narrow"/>
                <w:iCs/>
                <w:sz w:val="20"/>
                <w:szCs w:val="20"/>
              </w:rPr>
              <w:t>.,</w:t>
            </w:r>
            <w:r w:rsidRPr="00FF09A2">
              <w:rPr>
                <w:rFonts w:ascii="Arial Narrow" w:eastAsiaTheme="majorEastAsia" w:hAnsi="Arial Narrow"/>
                <w:sz w:val="20"/>
                <w:szCs w:val="20"/>
              </w:rPr>
              <w:t xml:space="preserve"> 2001) which identified nine key characteristics of patients with CF that were found to predict survival, listed above.</w:t>
            </w:r>
          </w:p>
        </w:tc>
      </w:tr>
      <w:tr w:rsidR="00F86069" w:rsidRPr="00FF09A2" w14:paraId="33132AC4" w14:textId="77777777" w:rsidTr="0017166C">
        <w:tc>
          <w:tcPr>
            <w:tcW w:w="862" w:type="pct"/>
            <w:shd w:val="clear" w:color="auto" w:fill="auto"/>
            <w:vAlign w:val="center"/>
          </w:tcPr>
          <w:p w14:paraId="7B962ECD" w14:textId="77777777" w:rsidR="00F86069" w:rsidRPr="00FF09A2" w:rsidRDefault="00F86069" w:rsidP="00967957">
            <w:pPr>
              <w:keepNext/>
              <w:keepLines/>
              <w:contextualSpacing/>
              <w:jc w:val="left"/>
              <w:rPr>
                <w:rFonts w:ascii="Arial Narrow" w:eastAsiaTheme="majorEastAsia" w:hAnsi="Arial Narrow"/>
                <w:sz w:val="20"/>
                <w:szCs w:val="20"/>
              </w:rPr>
            </w:pPr>
            <w:r w:rsidRPr="00FF09A2">
              <w:rPr>
                <w:rFonts w:ascii="Arial Narrow" w:eastAsiaTheme="majorEastAsia" w:hAnsi="Arial Narrow"/>
                <w:sz w:val="20"/>
                <w:szCs w:val="20"/>
              </w:rPr>
              <w:t>Health related quality of life</w:t>
            </w:r>
          </w:p>
        </w:tc>
        <w:tc>
          <w:tcPr>
            <w:tcW w:w="4138" w:type="pct"/>
            <w:shd w:val="clear" w:color="auto" w:fill="auto"/>
            <w:vAlign w:val="center"/>
          </w:tcPr>
          <w:p w14:paraId="4B8E745E" w14:textId="22AAF005"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iCs/>
                <w:sz w:val="20"/>
                <w:szCs w:val="20"/>
              </w:rPr>
              <w:t>ppFEV</w:t>
            </w:r>
            <w:r w:rsidRPr="00FF09A2">
              <w:rPr>
                <w:rFonts w:ascii="Arial Narrow" w:eastAsiaTheme="majorEastAsia" w:hAnsi="Arial Narrow"/>
                <w:iCs/>
                <w:sz w:val="20"/>
                <w:szCs w:val="20"/>
                <w:vertAlign w:val="subscript"/>
              </w:rPr>
              <w:t>1</w:t>
            </w:r>
            <w:r w:rsidRPr="00FF09A2">
              <w:rPr>
                <w:rFonts w:ascii="Arial Narrow" w:eastAsiaTheme="majorEastAsia" w:hAnsi="Arial Narrow"/>
                <w:iCs/>
                <w:sz w:val="20"/>
                <w:szCs w:val="20"/>
              </w:rPr>
              <w:t xml:space="preserve"> level-based utility</w:t>
            </w:r>
            <w:r w:rsidRPr="00FF09A2">
              <w:rPr>
                <w:rFonts w:ascii="Arial Narrow" w:eastAsiaTheme="majorEastAsia" w:hAnsi="Arial Narrow"/>
                <w:sz w:val="20"/>
                <w:szCs w:val="20"/>
              </w:rPr>
              <w:t xml:space="preserve"> derived from a clinician survey: Normal=0.98, Mild=0.88, Moderate=0.67, Severe=0.37. Patients with lung transplant=0.81 (Anyanwu et al</w:t>
            </w:r>
            <w:r w:rsidR="006E36B3">
              <w:rPr>
                <w:rFonts w:ascii="Arial Narrow" w:eastAsiaTheme="majorEastAsia" w:hAnsi="Arial Narrow"/>
                <w:sz w:val="20"/>
                <w:szCs w:val="20"/>
              </w:rPr>
              <w:t>.,</w:t>
            </w:r>
            <w:r w:rsidRPr="00FF09A2">
              <w:rPr>
                <w:rFonts w:ascii="Arial Narrow" w:eastAsiaTheme="majorEastAsia" w:hAnsi="Arial Narrow"/>
                <w:sz w:val="20"/>
                <w:szCs w:val="20"/>
              </w:rPr>
              <w:t xml:space="preserve"> 2002)</w:t>
            </w:r>
            <w:r w:rsidR="00CA5E65">
              <w:rPr>
                <w:rFonts w:ascii="Arial Narrow" w:eastAsiaTheme="majorEastAsia" w:hAnsi="Arial Narrow"/>
                <w:sz w:val="20"/>
                <w:szCs w:val="20"/>
              </w:rPr>
              <w:t xml:space="preserve">. </w:t>
            </w:r>
          </w:p>
        </w:tc>
      </w:tr>
      <w:tr w:rsidR="00F86069" w:rsidRPr="00FF09A2" w14:paraId="7D50852E" w14:textId="77777777" w:rsidTr="0017166C">
        <w:tc>
          <w:tcPr>
            <w:tcW w:w="862" w:type="pct"/>
            <w:shd w:val="clear" w:color="auto" w:fill="auto"/>
          </w:tcPr>
          <w:p w14:paraId="015C7B45" w14:textId="77777777" w:rsidR="00F86069" w:rsidRPr="00FF09A2" w:rsidRDefault="00F86069" w:rsidP="00967957">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Software</w:t>
            </w:r>
          </w:p>
        </w:tc>
        <w:tc>
          <w:tcPr>
            <w:tcW w:w="4138" w:type="pct"/>
            <w:shd w:val="clear" w:color="auto" w:fill="auto"/>
          </w:tcPr>
          <w:p w14:paraId="53F1C647" w14:textId="77777777" w:rsidR="00F86069" w:rsidRPr="00FF09A2" w:rsidRDefault="00F86069" w:rsidP="00967957">
            <w:pPr>
              <w:keepNext/>
              <w:keepLines/>
              <w:contextualSpacing/>
              <w:rPr>
                <w:rFonts w:ascii="Arial Narrow" w:eastAsiaTheme="majorEastAsia" w:hAnsi="Arial Narrow"/>
                <w:iCs/>
                <w:sz w:val="20"/>
                <w:szCs w:val="20"/>
              </w:rPr>
            </w:pPr>
            <w:r w:rsidRPr="00FF09A2">
              <w:rPr>
                <w:rFonts w:ascii="Arial Narrow" w:eastAsiaTheme="majorEastAsia" w:hAnsi="Arial Narrow"/>
                <w:sz w:val="20"/>
                <w:szCs w:val="20"/>
              </w:rPr>
              <w:t>Microsoft Excel making use of Visual Basic.</w:t>
            </w:r>
          </w:p>
        </w:tc>
      </w:tr>
    </w:tbl>
    <w:p w14:paraId="151236E4" w14:textId="77777777" w:rsidR="00F86069" w:rsidRPr="00FF09A2" w:rsidRDefault="00F86069" w:rsidP="00967957">
      <w:pPr>
        <w:keepNext/>
        <w:keepLines/>
        <w:spacing w:after="120"/>
        <w:contextualSpacing/>
        <w:rPr>
          <w:rFonts w:ascii="Arial Narrow" w:hAnsi="Arial Narrow"/>
          <w:snapToGrid w:val="0"/>
          <w:sz w:val="18"/>
          <w:szCs w:val="22"/>
        </w:rPr>
      </w:pPr>
      <w:r w:rsidRPr="00FF09A2">
        <w:rPr>
          <w:rFonts w:ascii="Arial Narrow" w:hAnsi="Arial Narrow"/>
          <w:snapToGrid w:val="0"/>
          <w:sz w:val="18"/>
          <w:szCs w:val="22"/>
        </w:rPr>
        <w:t>Source: Table 3.2.1, p96; Table3.5.12, p122 and Section 3.3.2 p100 of the submission.</w:t>
      </w:r>
    </w:p>
    <w:p w14:paraId="3818042E" w14:textId="6408F705" w:rsidR="00F86069" w:rsidRPr="00FF09A2" w:rsidRDefault="00F86069" w:rsidP="00967957">
      <w:pPr>
        <w:keepNext/>
        <w:keepLines/>
        <w:spacing w:after="120"/>
        <w:contextualSpacing/>
        <w:rPr>
          <w:rFonts w:ascii="Arial Narrow" w:hAnsi="Arial Narrow"/>
          <w:snapToGrid w:val="0"/>
          <w:sz w:val="18"/>
          <w:szCs w:val="22"/>
        </w:rPr>
      </w:pPr>
      <w:r w:rsidRPr="00FF09A2">
        <w:rPr>
          <w:rFonts w:ascii="Arial Narrow" w:hAnsi="Arial Narrow"/>
          <w:snapToGrid w:val="0"/>
          <w:sz w:val="18"/>
          <w:szCs w:val="22"/>
        </w:rPr>
        <w:t xml:space="preserve">CF=cystic fibrosis; CPH = Cox-proportional hazard; ICER = Incremental Cost-Effectiveness Ratio; LUM/IVA = lumacaftor/ivacaftor; MAP = managed access program; N/A= not applicable; PEx= pulmonary exacerbation; </w:t>
      </w:r>
      <w:bookmarkStart w:id="42" w:name="_Hlk137642117"/>
      <w:r w:rsidRPr="00FF09A2">
        <w:rPr>
          <w:rFonts w:ascii="Arial Narrow" w:hAnsi="Arial Narrow"/>
          <w:snapToGrid w:val="0"/>
          <w:sz w:val="18"/>
          <w:szCs w:val="22"/>
        </w:rPr>
        <w:t>ppFEV</w:t>
      </w:r>
      <w:r w:rsidRPr="00FF09A2">
        <w:rPr>
          <w:rFonts w:ascii="Arial Narrow" w:hAnsi="Arial Narrow"/>
          <w:snapToGrid w:val="0"/>
          <w:sz w:val="18"/>
          <w:szCs w:val="22"/>
          <w:vertAlign w:val="subscript"/>
        </w:rPr>
        <w:t>1</w:t>
      </w:r>
      <w:r w:rsidRPr="00FF09A2">
        <w:rPr>
          <w:rFonts w:ascii="Arial Narrow" w:hAnsi="Arial Narrow"/>
          <w:snapToGrid w:val="0"/>
          <w:sz w:val="18"/>
          <w:szCs w:val="22"/>
        </w:rPr>
        <w:t xml:space="preserve"> = predicted percent forced expiratory volume in 1 second; </w:t>
      </w:r>
      <w:bookmarkEnd w:id="42"/>
      <w:r w:rsidRPr="00FF09A2">
        <w:rPr>
          <w:rFonts w:ascii="Arial Narrow" w:hAnsi="Arial Narrow"/>
          <w:snapToGrid w:val="0"/>
          <w:sz w:val="18"/>
          <w:szCs w:val="22"/>
        </w:rPr>
        <w:t xml:space="preserve">RCT=randomised controlled trial; rROD = </w:t>
      </w:r>
      <w:r w:rsidR="0048098A" w:rsidRPr="00FF09A2">
        <w:rPr>
          <w:rFonts w:ascii="Arial Narrow" w:hAnsi="Arial Narrow"/>
          <w:snapToGrid w:val="0"/>
          <w:sz w:val="18"/>
          <w:szCs w:val="22"/>
        </w:rPr>
        <w:t>relative</w:t>
      </w:r>
      <w:r w:rsidRPr="00FF09A2">
        <w:rPr>
          <w:rFonts w:ascii="Arial Narrow" w:hAnsi="Arial Narrow"/>
          <w:snapToGrid w:val="0"/>
          <w:sz w:val="18"/>
          <w:szCs w:val="22"/>
        </w:rPr>
        <w:t xml:space="preserve"> rate of decline.</w:t>
      </w:r>
    </w:p>
    <w:p w14:paraId="197B632A" w14:textId="642CF98E" w:rsidR="002763DD" w:rsidRPr="00051171" w:rsidRDefault="003D6C87" w:rsidP="006E36B3">
      <w:pPr>
        <w:pStyle w:val="3-BodyText"/>
        <w:ind w:left="720"/>
      </w:pPr>
      <w:r w:rsidRPr="00051171">
        <w:t>T</w:t>
      </w:r>
      <w:r w:rsidR="00580092" w:rsidRPr="00051171">
        <w:t xml:space="preserve">he </w:t>
      </w:r>
      <w:r w:rsidR="00E73BCB" w:rsidRPr="00051171">
        <w:t xml:space="preserve">economic model predicted that </w:t>
      </w:r>
      <w:r w:rsidR="0052675E" w:rsidRPr="00051171">
        <w:t xml:space="preserve">treatment with lumacaftor/ivacaftor from an age of 1.5 years would increase survival by 14.07 years (undiscounted) </w:t>
      </w:r>
      <w:r w:rsidRPr="00051171">
        <w:t>compared with BSC</w:t>
      </w:r>
      <w:r w:rsidR="0052675E" w:rsidRPr="00051171">
        <w:t xml:space="preserve">. </w:t>
      </w:r>
      <w:r w:rsidR="0097434E" w:rsidRPr="00051171">
        <w:t xml:space="preserve">The submission did not consider that at the age of </w:t>
      </w:r>
      <w:proofErr w:type="gramStart"/>
      <w:r w:rsidR="0097434E" w:rsidRPr="00051171">
        <w:t>2</w:t>
      </w:r>
      <w:proofErr w:type="gramEnd"/>
      <w:r w:rsidR="0097434E" w:rsidRPr="00051171">
        <w:t xml:space="preserve"> patients are currently eligible for lumacaftor/ivacaftor, which </w:t>
      </w:r>
      <w:r w:rsidR="003671AE" w:rsidRPr="00051171">
        <w:t xml:space="preserve">the evaluation considered </w:t>
      </w:r>
      <w:r w:rsidR="0097434E" w:rsidRPr="00051171">
        <w:t>would also be a more appropriate comparator. Additionally</w:t>
      </w:r>
      <w:r w:rsidR="00E73BCB" w:rsidRPr="00051171">
        <w:t>, the submission did not</w:t>
      </w:r>
      <w:r w:rsidR="002F00BE" w:rsidRPr="00051171">
        <w:t xml:space="preserve"> </w:t>
      </w:r>
      <w:r w:rsidR="0052675E" w:rsidRPr="00051171">
        <w:t xml:space="preserve">present a </w:t>
      </w:r>
      <w:r w:rsidR="002F00BE" w:rsidRPr="00051171">
        <w:t>cost-effectiveness analysis</w:t>
      </w:r>
      <w:r w:rsidR="001A668C" w:rsidRPr="00051171">
        <w:t xml:space="preserve"> </w:t>
      </w:r>
      <w:r w:rsidR="002F00BE" w:rsidRPr="00051171">
        <w:t xml:space="preserve">of lumacaftor/ivacaftor followed by </w:t>
      </w:r>
      <w:r w:rsidR="001A668C" w:rsidRPr="00051171">
        <w:t>elexacaftor/tezacaftor/</w:t>
      </w:r>
      <w:r w:rsidR="006E36B3" w:rsidRPr="00051171">
        <w:t xml:space="preserve"> </w:t>
      </w:r>
      <w:r w:rsidR="001A668C" w:rsidRPr="00051171">
        <w:t>ivacaftor treatment</w:t>
      </w:r>
      <w:r w:rsidR="0052675E" w:rsidRPr="00051171">
        <w:t xml:space="preserve"> once a patient </w:t>
      </w:r>
      <w:r w:rsidR="00E73BCB" w:rsidRPr="00051171">
        <w:t>reach</w:t>
      </w:r>
      <w:r w:rsidR="001A668C" w:rsidRPr="00051171">
        <w:t>es the age of</w:t>
      </w:r>
      <w:r w:rsidR="00E73BCB" w:rsidRPr="00051171">
        <w:t xml:space="preserve"> 6 years</w:t>
      </w:r>
      <w:r w:rsidR="001A668C" w:rsidRPr="00051171">
        <w:t xml:space="preserve"> old</w:t>
      </w:r>
      <w:proofErr w:type="gramStart"/>
      <w:r w:rsidR="0052675E" w:rsidRPr="00051171">
        <w:t xml:space="preserve">. </w:t>
      </w:r>
      <w:r w:rsidR="0011673D" w:rsidRPr="00051171">
        <w:t xml:space="preserve"> </w:t>
      </w:r>
      <w:proofErr w:type="gramEnd"/>
      <w:r w:rsidR="0011673D" w:rsidRPr="00051171">
        <w:t xml:space="preserve">The impact of sequential therapy on survival </w:t>
      </w:r>
      <w:proofErr w:type="gramStart"/>
      <w:r w:rsidR="0011673D" w:rsidRPr="00051171">
        <w:t>was not estimated</w:t>
      </w:r>
      <w:proofErr w:type="gramEnd"/>
      <w:r w:rsidR="0011673D" w:rsidRPr="00051171">
        <w:t xml:space="preserve"> in the economic model.</w:t>
      </w:r>
      <w:r w:rsidR="004A07CC" w:rsidRPr="00051171">
        <w:t xml:space="preserve"> </w:t>
      </w:r>
      <w:r w:rsidR="000863FD" w:rsidRPr="00051171">
        <w:t xml:space="preserve">The ESC </w:t>
      </w:r>
      <w:r w:rsidR="003671AE" w:rsidRPr="00051171">
        <w:t xml:space="preserve">acknowledged the challenges regarding data availability but considered </w:t>
      </w:r>
      <w:r w:rsidR="00CA5E65" w:rsidRPr="00051171">
        <w:t xml:space="preserve">modelling the benefit and cost of </w:t>
      </w:r>
      <w:r w:rsidR="003671AE" w:rsidRPr="00051171">
        <w:t xml:space="preserve">starting lumacaftor/ivacaftor between 1 and 2 years of age </w:t>
      </w:r>
      <w:r w:rsidR="00CA5E65" w:rsidRPr="00051171">
        <w:t xml:space="preserve">compared to starting </w:t>
      </w:r>
      <w:r w:rsidR="003671AE" w:rsidRPr="00051171">
        <w:t xml:space="preserve">&gt; 2 years </w:t>
      </w:r>
      <w:r w:rsidR="000863FD" w:rsidRPr="00051171">
        <w:t xml:space="preserve">would </w:t>
      </w:r>
      <w:r w:rsidR="00E605D0" w:rsidRPr="00051171">
        <w:t xml:space="preserve">have been appropriate </w:t>
      </w:r>
      <w:r w:rsidR="000863FD" w:rsidRPr="00051171">
        <w:t>for decision-making.</w:t>
      </w:r>
    </w:p>
    <w:p w14:paraId="0C652BF6" w14:textId="54D7105B" w:rsidR="00F86069" w:rsidRPr="00051171" w:rsidRDefault="00D47FD9" w:rsidP="006E36B3">
      <w:pPr>
        <w:pStyle w:val="3-BodyText"/>
        <w:ind w:left="720"/>
      </w:pPr>
      <w:r w:rsidRPr="00051171">
        <w:t>Consistent with other economic models for CFTR modulators, t</w:t>
      </w:r>
      <w:r w:rsidR="00F86069" w:rsidRPr="00051171">
        <w:t>he submission assumed a 90% decrease in the price of lumacaftor/ivacaftor due to loss of exclusivity</w:t>
      </w:r>
      <w:r w:rsidR="003503B0" w:rsidRPr="00051171">
        <w:t xml:space="preserve"> (LoE)</w:t>
      </w:r>
      <w:r w:rsidR="00F86069" w:rsidRPr="00051171">
        <w:t xml:space="preserve"> and </w:t>
      </w:r>
      <w:r w:rsidR="00F86069" w:rsidRPr="00051171">
        <w:lastRenderedPageBreak/>
        <w:t>generic medicines entering the market.</w:t>
      </w:r>
      <w:r w:rsidR="00833799" w:rsidRPr="00051171">
        <w:t xml:space="preserve"> </w:t>
      </w:r>
      <w:r w:rsidR="00580092" w:rsidRPr="00051171">
        <w:t>T</w:t>
      </w:r>
      <w:r w:rsidR="0009041B" w:rsidRPr="00051171">
        <w:t xml:space="preserve">he ESC has previously </w:t>
      </w:r>
      <w:r w:rsidR="003503B0" w:rsidRPr="00051171">
        <w:t>n</w:t>
      </w:r>
      <w:r w:rsidR="0009041B" w:rsidRPr="00051171">
        <w:t xml:space="preserve">oted that price reductions due to LoE have not been realised as new treatments have become available before the price reduction </w:t>
      </w:r>
      <w:r w:rsidR="001A2E47" w:rsidRPr="00051171">
        <w:t xml:space="preserve">occurs (paragraph 6.54, </w:t>
      </w:r>
      <w:r w:rsidR="006E36B3" w:rsidRPr="00051171">
        <w:t>ELX/TEZ/IVA</w:t>
      </w:r>
      <w:r w:rsidR="001A2E47" w:rsidRPr="00051171">
        <w:t xml:space="preserve"> </w:t>
      </w:r>
      <w:r w:rsidR="004669B3" w:rsidRPr="00051171">
        <w:t>PSD, November</w:t>
      </w:r>
      <w:r w:rsidR="001A2E47" w:rsidRPr="00051171">
        <w:t xml:space="preserve"> 2022 PBAC meeting)</w:t>
      </w:r>
      <w:proofErr w:type="gramStart"/>
      <w:r w:rsidR="001A2E47" w:rsidRPr="00051171">
        <w:t>.</w:t>
      </w:r>
      <w:r w:rsidR="00F86069" w:rsidRPr="00051171">
        <w:t xml:space="preserve"> </w:t>
      </w:r>
      <w:r w:rsidR="000863FD" w:rsidRPr="00051171">
        <w:t xml:space="preserve"> </w:t>
      </w:r>
      <w:proofErr w:type="gramEnd"/>
      <w:r w:rsidR="000863FD" w:rsidRPr="00051171">
        <w:t xml:space="preserve">The ESC noted the sensitivity of the model to this assumption, with a significant increase in the </w:t>
      </w:r>
      <w:r w:rsidR="006E36B3" w:rsidRPr="00051171">
        <w:t>incremental cost effectiveness ratio (</w:t>
      </w:r>
      <w:r w:rsidR="000863FD" w:rsidRPr="00051171">
        <w:t>ICER</w:t>
      </w:r>
      <w:r w:rsidR="006E36B3" w:rsidRPr="00051171">
        <w:t>)</w:t>
      </w:r>
      <w:r w:rsidR="000863FD" w:rsidRPr="00051171">
        <w:t xml:space="preserve"> i</w:t>
      </w:r>
      <w:r w:rsidR="009567FD" w:rsidRPr="00051171">
        <w:t>f</w:t>
      </w:r>
      <w:r w:rsidR="000863FD" w:rsidRPr="00051171">
        <w:t xml:space="preserve"> LoE was set to zero.</w:t>
      </w:r>
    </w:p>
    <w:p w14:paraId="64BBE431" w14:textId="3326EB04" w:rsidR="00CA5E65" w:rsidRPr="00051171" w:rsidRDefault="00CA5E65" w:rsidP="006E36B3">
      <w:pPr>
        <w:pStyle w:val="3-BodyText"/>
        <w:ind w:left="720"/>
      </w:pPr>
      <w:r w:rsidRPr="00051171">
        <w:t xml:space="preserve">The ESC noted that, consistent with other CFTR submissions, utilities </w:t>
      </w:r>
      <w:proofErr w:type="gramStart"/>
      <w:r w:rsidRPr="00051171">
        <w:t>were derived</w:t>
      </w:r>
      <w:proofErr w:type="gramEnd"/>
      <w:r w:rsidRPr="00051171">
        <w:t xml:space="preserve"> from a survey of </w:t>
      </w:r>
      <w:r w:rsidR="006E36B3" w:rsidRPr="00051171">
        <w:t>seven</w:t>
      </w:r>
      <w:r w:rsidRPr="00051171">
        <w:t xml:space="preserve"> Australian CF Centre directors using the EQ-5D-5L. The ESC recalled its previous consideration that the use of proxy completion in this way was likely to exaggerate differences between health states due to focusing effects and hence</w:t>
      </w:r>
      <w:r w:rsidR="006E36B3" w:rsidRPr="00051171">
        <w:t>,</w:t>
      </w:r>
      <w:r w:rsidRPr="00051171">
        <w:t xml:space="preserve"> reduce the ICER (paragraph 6.47, ELX/TEZ/IVA PSD, March 2021 PBAC meeting). The ESC again noted the utility value for normal ppFEV</w:t>
      </w:r>
      <w:r w:rsidRPr="00051171">
        <w:rPr>
          <w:vertAlign w:val="subscript"/>
        </w:rPr>
        <w:t>1</w:t>
      </w:r>
      <w:r w:rsidRPr="00051171">
        <w:t xml:space="preserve"> was higher than the general Australian population utility value (paragraph 6.47, ELX/TEZ/IVA PSD, March 2021 PBAC meeting). Additionally, the ESC considered the EQ-5D-5L becomes less appropriate as the age of the population </w:t>
      </w:r>
      <w:r w:rsidRPr="00051171">
        <w:rPr>
          <w:lang w:val="en-AU"/>
        </w:rPr>
        <w:t>reduces and</w:t>
      </w:r>
      <w:r w:rsidR="006E36B3" w:rsidRPr="00051171">
        <w:rPr>
          <w:lang w:val="en-AU"/>
        </w:rPr>
        <w:t xml:space="preserve"> that</w:t>
      </w:r>
      <w:r w:rsidRPr="00051171">
        <w:rPr>
          <w:lang w:val="en-AU"/>
        </w:rPr>
        <w:t xml:space="preserve"> overall, the approach taken to determine utilities remain</w:t>
      </w:r>
      <w:r w:rsidR="00E605D0" w:rsidRPr="00051171">
        <w:rPr>
          <w:lang w:val="en-AU"/>
        </w:rPr>
        <w:t>ed</w:t>
      </w:r>
      <w:r w:rsidRPr="00051171">
        <w:rPr>
          <w:lang w:val="en-AU"/>
        </w:rPr>
        <w:t xml:space="preserve"> inappropriate.</w:t>
      </w:r>
    </w:p>
    <w:p w14:paraId="5CAE396C" w14:textId="00B2A0E2" w:rsidR="00C31027" w:rsidRPr="00051171" w:rsidRDefault="00C31027" w:rsidP="006E36B3">
      <w:pPr>
        <w:pStyle w:val="3-BodyText"/>
        <w:ind w:left="720"/>
        <w:rPr>
          <w:color w:val="000000" w:themeColor="text1"/>
        </w:rPr>
      </w:pPr>
      <w:r w:rsidRPr="00051171">
        <w:t xml:space="preserve">The model assumed a treatment compliance of 90% for all patients. The treatment compliance in Study 122 was 99.94% based on </w:t>
      </w:r>
      <w:proofErr w:type="gramStart"/>
      <w:r w:rsidRPr="00051171">
        <w:t>46</w:t>
      </w:r>
      <w:proofErr w:type="gramEnd"/>
      <w:r w:rsidRPr="00051171">
        <w:t xml:space="preserve"> patients. </w:t>
      </w:r>
    </w:p>
    <w:p w14:paraId="5799F034" w14:textId="1233AD51" w:rsidR="00F86069" w:rsidRPr="00051171" w:rsidRDefault="00F86069" w:rsidP="006E36B3">
      <w:pPr>
        <w:pStyle w:val="3-BodyText"/>
        <w:ind w:left="720"/>
      </w:pPr>
      <w:r w:rsidRPr="00051171">
        <w:rPr>
          <w:rFonts w:cstheme="minorHAnsi"/>
        </w:rPr>
        <w:t xml:space="preserve">The </w:t>
      </w:r>
      <w:r w:rsidR="006E36B3" w:rsidRPr="00051171">
        <w:rPr>
          <w:rFonts w:cstheme="minorHAnsi"/>
        </w:rPr>
        <w:t xml:space="preserve">key </w:t>
      </w:r>
      <w:r w:rsidRPr="00051171">
        <w:rPr>
          <w:rFonts w:cstheme="minorHAnsi"/>
        </w:rPr>
        <w:t xml:space="preserve">drivers of the </w:t>
      </w:r>
      <w:r w:rsidRPr="00051171">
        <w:t xml:space="preserve">model </w:t>
      </w:r>
      <w:proofErr w:type="gramStart"/>
      <w:r w:rsidRPr="00051171">
        <w:t xml:space="preserve">are </w:t>
      </w:r>
      <w:r w:rsidR="006E36B3" w:rsidRPr="00051171">
        <w:t>described</w:t>
      </w:r>
      <w:proofErr w:type="gramEnd"/>
      <w:r w:rsidR="006E36B3" w:rsidRPr="00051171">
        <w:t xml:space="preserve"> </w:t>
      </w:r>
      <w:r w:rsidRPr="00051171">
        <w:t>in</w:t>
      </w:r>
      <w:r w:rsidRPr="00051171">
        <w:rPr>
          <w:rFonts w:cstheme="minorHAnsi"/>
        </w:rPr>
        <w:t xml:space="preserve"> </w:t>
      </w:r>
      <w:r w:rsidR="00A01452" w:rsidRPr="00051171">
        <w:fldChar w:fldCharType="begin"/>
      </w:r>
      <w:r w:rsidR="00A01452" w:rsidRPr="00051171">
        <w:instrText xml:space="preserve"> REF _Ref132555309 \h  \* MERGEFORMAT </w:instrText>
      </w:r>
      <w:r w:rsidR="00A01452" w:rsidRPr="00051171">
        <w:fldChar w:fldCharType="separate"/>
      </w:r>
      <w:r w:rsidR="00025B72" w:rsidRPr="00025B72">
        <w:t>Table 7</w:t>
      </w:r>
      <w:r w:rsidR="00A01452" w:rsidRPr="00051171">
        <w:fldChar w:fldCharType="end"/>
      </w:r>
      <w:r w:rsidRPr="00051171">
        <w:t xml:space="preserve">. </w:t>
      </w:r>
    </w:p>
    <w:p w14:paraId="47A0CE83" w14:textId="511BC1F8" w:rsidR="00F86069" w:rsidRPr="00FF09A2" w:rsidRDefault="00F86069" w:rsidP="006E36B3">
      <w:pPr>
        <w:keepNext/>
        <w:jc w:val="left"/>
        <w:rPr>
          <w:rFonts w:ascii="Arial Narrow" w:eastAsiaTheme="minorHAnsi" w:hAnsi="Arial Narrow" w:cstheme="minorBidi"/>
          <w:b/>
          <w:sz w:val="20"/>
          <w:szCs w:val="22"/>
          <w:lang w:eastAsia="en-US"/>
        </w:rPr>
      </w:pPr>
      <w:bookmarkStart w:id="43" w:name="_Ref132555309"/>
      <w:r w:rsidRPr="00FF09A2">
        <w:rPr>
          <w:rFonts w:ascii="Arial Narrow" w:eastAsiaTheme="minorHAnsi" w:hAnsi="Arial Narrow" w:cstheme="minorBidi"/>
          <w:b/>
          <w:sz w:val="20"/>
          <w:szCs w:val="22"/>
          <w:lang w:eastAsia="en-US"/>
        </w:rPr>
        <w:t xml:space="preserve">Table </w:t>
      </w:r>
      <w:r w:rsidRPr="00FF09A2">
        <w:rPr>
          <w:rFonts w:ascii="Arial Narrow" w:eastAsiaTheme="minorHAnsi" w:hAnsi="Arial Narrow" w:cstheme="minorBidi"/>
          <w:b/>
          <w:sz w:val="20"/>
          <w:szCs w:val="22"/>
          <w:lang w:eastAsia="en-US"/>
        </w:rPr>
        <w:fldChar w:fldCharType="begin"/>
      </w:r>
      <w:r w:rsidRPr="00FF09A2">
        <w:rPr>
          <w:rFonts w:ascii="Arial Narrow" w:eastAsiaTheme="minorHAnsi" w:hAnsi="Arial Narrow" w:cstheme="minorBidi"/>
          <w:b/>
          <w:sz w:val="20"/>
          <w:szCs w:val="22"/>
          <w:lang w:eastAsia="en-US"/>
        </w:rPr>
        <w:instrText xml:space="preserve"> SEQ Table \* ARABIC </w:instrText>
      </w:r>
      <w:r w:rsidRPr="00FF09A2">
        <w:rPr>
          <w:rFonts w:ascii="Arial Narrow" w:eastAsiaTheme="minorHAnsi" w:hAnsi="Arial Narrow" w:cstheme="minorBidi"/>
          <w:b/>
          <w:sz w:val="20"/>
          <w:szCs w:val="22"/>
          <w:lang w:eastAsia="en-US"/>
        </w:rPr>
        <w:fldChar w:fldCharType="separate"/>
      </w:r>
      <w:r w:rsidR="00025B72">
        <w:rPr>
          <w:rFonts w:ascii="Arial Narrow" w:eastAsiaTheme="minorHAnsi" w:hAnsi="Arial Narrow" w:cstheme="minorBidi"/>
          <w:b/>
          <w:noProof/>
          <w:sz w:val="20"/>
          <w:szCs w:val="22"/>
          <w:lang w:eastAsia="en-US"/>
        </w:rPr>
        <w:t>7</w:t>
      </w:r>
      <w:r w:rsidRPr="00FF09A2">
        <w:rPr>
          <w:rFonts w:ascii="Arial Narrow" w:eastAsiaTheme="minorHAnsi" w:hAnsi="Arial Narrow" w:cstheme="minorBidi"/>
          <w:b/>
          <w:noProof/>
          <w:sz w:val="20"/>
          <w:szCs w:val="22"/>
          <w:lang w:eastAsia="en-US"/>
        </w:rPr>
        <w:fldChar w:fldCharType="end"/>
      </w:r>
      <w:bookmarkEnd w:id="43"/>
      <w:r w:rsidRPr="00FF09A2">
        <w:rPr>
          <w:rFonts w:ascii="Arial Narrow" w:eastAsiaTheme="minorHAnsi" w:hAnsi="Arial Narrow" w:cstheme="minorBidi"/>
          <w:b/>
          <w:sz w:val="20"/>
          <w:szCs w:val="22"/>
          <w:lang w:eastAsia="en-US"/>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16"/>
        <w:gridCol w:w="3298"/>
        <w:gridCol w:w="4103"/>
      </w:tblGrid>
      <w:tr w:rsidR="00F86069" w:rsidRPr="00B3449A" w14:paraId="3EFC3C9E" w14:textId="77777777" w:rsidTr="00D907DA">
        <w:trPr>
          <w:tblHeader/>
        </w:trPr>
        <w:tc>
          <w:tcPr>
            <w:tcW w:w="896" w:type="pct"/>
            <w:shd w:val="clear" w:color="auto" w:fill="auto"/>
            <w:vAlign w:val="center"/>
          </w:tcPr>
          <w:p w14:paraId="7F1F4656" w14:textId="77777777" w:rsidR="00F86069" w:rsidRPr="00B3449A" w:rsidRDefault="00F86069" w:rsidP="006E36B3">
            <w:pPr>
              <w:keepNext/>
              <w:contextualSpacing/>
              <w:rPr>
                <w:rFonts w:ascii="Arial Narrow" w:eastAsiaTheme="majorEastAsia" w:hAnsi="Arial Narrow"/>
                <w:b/>
                <w:bCs/>
                <w:sz w:val="20"/>
                <w:szCs w:val="20"/>
              </w:rPr>
            </w:pPr>
            <w:r w:rsidRPr="00B3449A">
              <w:rPr>
                <w:rFonts w:ascii="Arial Narrow" w:eastAsiaTheme="majorEastAsia" w:hAnsi="Arial Narrow"/>
                <w:b/>
                <w:bCs/>
                <w:sz w:val="20"/>
                <w:szCs w:val="20"/>
              </w:rPr>
              <w:t>Description</w:t>
            </w:r>
          </w:p>
        </w:tc>
        <w:tc>
          <w:tcPr>
            <w:tcW w:w="1829" w:type="pct"/>
            <w:shd w:val="clear" w:color="auto" w:fill="auto"/>
            <w:vAlign w:val="center"/>
          </w:tcPr>
          <w:p w14:paraId="6DDA4DC5" w14:textId="77777777" w:rsidR="00F86069" w:rsidRPr="00B3449A" w:rsidRDefault="00F86069" w:rsidP="006E36B3">
            <w:pPr>
              <w:keepNext/>
              <w:contextualSpacing/>
              <w:rPr>
                <w:rFonts w:ascii="Arial Narrow" w:eastAsiaTheme="majorEastAsia" w:hAnsi="Arial Narrow"/>
                <w:b/>
                <w:bCs/>
                <w:sz w:val="20"/>
                <w:szCs w:val="20"/>
              </w:rPr>
            </w:pPr>
            <w:r w:rsidRPr="00B3449A">
              <w:rPr>
                <w:rFonts w:ascii="Arial Narrow" w:eastAsiaTheme="majorEastAsia" w:hAnsi="Arial Narrow"/>
                <w:b/>
                <w:bCs/>
                <w:sz w:val="20"/>
                <w:szCs w:val="20"/>
              </w:rPr>
              <w:t>Method/Value</w:t>
            </w:r>
          </w:p>
        </w:tc>
        <w:tc>
          <w:tcPr>
            <w:tcW w:w="2275" w:type="pct"/>
            <w:shd w:val="clear" w:color="auto" w:fill="auto"/>
            <w:vAlign w:val="center"/>
          </w:tcPr>
          <w:p w14:paraId="6AE67A92" w14:textId="77777777" w:rsidR="00F86069" w:rsidRPr="00B3449A" w:rsidRDefault="00F86069" w:rsidP="006E36B3">
            <w:pPr>
              <w:keepNext/>
              <w:contextualSpacing/>
              <w:rPr>
                <w:rFonts w:ascii="Arial Narrow" w:eastAsiaTheme="majorEastAsia" w:hAnsi="Arial Narrow"/>
                <w:b/>
                <w:bCs/>
                <w:sz w:val="20"/>
                <w:szCs w:val="20"/>
              </w:rPr>
            </w:pPr>
            <w:r w:rsidRPr="00B3449A">
              <w:rPr>
                <w:rFonts w:ascii="Arial Narrow" w:eastAsiaTheme="majorEastAsia" w:hAnsi="Arial Narrow"/>
                <w:b/>
                <w:bCs/>
                <w:sz w:val="20"/>
                <w:szCs w:val="20"/>
              </w:rPr>
              <w:t>Impact</w:t>
            </w:r>
          </w:p>
          <w:p w14:paraId="26F9248F" w14:textId="42F5C3CA" w:rsidR="00F86069" w:rsidRPr="00B3449A" w:rsidRDefault="00F86069" w:rsidP="006E36B3">
            <w:pPr>
              <w:keepNext/>
              <w:contextualSpacing/>
              <w:rPr>
                <w:rFonts w:ascii="Arial Narrow" w:eastAsiaTheme="majorEastAsia" w:hAnsi="Arial Narrow" w:cs="Times New Roman"/>
                <w:b/>
                <w:bCs/>
                <w:sz w:val="20"/>
                <w:szCs w:val="20"/>
              </w:rPr>
            </w:pPr>
            <w:r w:rsidRPr="00B3449A">
              <w:rPr>
                <w:rFonts w:ascii="Arial Narrow" w:eastAsiaTheme="majorEastAsia" w:hAnsi="Arial Narrow"/>
                <w:b/>
                <w:bCs/>
                <w:sz w:val="20"/>
                <w:szCs w:val="20"/>
              </w:rPr>
              <w:t>Base case: $</w:t>
            </w:r>
            <w:r w:rsidR="00D62E6D" w:rsidRPr="00D62E6D">
              <w:rPr>
                <w:rFonts w:ascii="Arial Narrow" w:eastAsiaTheme="majorEastAsia" w:hAnsi="Arial Narrow"/>
                <w:b/>
                <w:bCs/>
                <w:color w:val="000000"/>
                <w:spacing w:val="13"/>
                <w:sz w:val="20"/>
                <w:szCs w:val="20"/>
                <w:shd w:val="solid" w:color="000000" w:fill="000000"/>
                <w:fitText w:val="344" w:id="-1167896830"/>
                <w14:textFill>
                  <w14:solidFill>
                    <w14:srgbClr w14:val="000000">
                      <w14:alpha w14:val="100000"/>
                    </w14:srgbClr>
                  </w14:solidFill>
                </w14:textFill>
              </w:rPr>
              <w:t>|</w:t>
            </w:r>
            <w:proofErr w:type="gramStart"/>
            <w:r w:rsidR="00D62E6D" w:rsidRPr="00D62E6D">
              <w:rPr>
                <w:rFonts w:ascii="Arial Narrow" w:eastAsiaTheme="majorEastAsia" w:hAnsi="Arial Narrow"/>
                <w:b/>
                <w:bCs/>
                <w:color w:val="000000"/>
                <w:spacing w:val="13"/>
                <w:sz w:val="20"/>
                <w:szCs w:val="20"/>
                <w:shd w:val="solid" w:color="000000" w:fill="000000"/>
                <w:fitText w:val="344" w:id="-1167896830"/>
                <w14:textFill>
                  <w14:solidFill>
                    <w14:srgbClr w14:val="000000">
                      <w14:alpha w14:val="100000"/>
                    </w14:srgbClr>
                  </w14:solidFill>
                </w14:textFill>
              </w:rPr>
              <w:t>|  |</w:t>
            </w:r>
            <w:proofErr w:type="gramEnd"/>
            <w:r w:rsidR="00D62E6D" w:rsidRPr="00D62E6D">
              <w:rPr>
                <w:rFonts w:ascii="Arial Narrow" w:eastAsiaTheme="majorEastAsia" w:hAnsi="Arial Narrow"/>
                <w:b/>
                <w:bCs/>
                <w:color w:val="000000"/>
                <w:spacing w:val="4"/>
                <w:sz w:val="20"/>
                <w:szCs w:val="20"/>
                <w:shd w:val="solid" w:color="000000" w:fill="000000"/>
                <w:fitText w:val="344" w:id="-1167896830"/>
                <w14:textFill>
                  <w14:solidFill>
                    <w14:srgbClr w14:val="000000">
                      <w14:alpha w14:val="100000"/>
                    </w14:srgbClr>
                  </w14:solidFill>
                </w14:textFill>
              </w:rPr>
              <w:t>|</w:t>
            </w:r>
            <w:r w:rsidR="00BC6102" w:rsidRPr="00BC6102">
              <w:rPr>
                <w:rFonts w:ascii="Arial Narrow" w:hAnsi="Arial Narrow" w:cs="Tahoma"/>
                <w:color w:val="000000"/>
                <w:sz w:val="18"/>
                <w:szCs w:val="18"/>
                <w:vertAlign w:val="superscript"/>
              </w:rPr>
              <w:t>1</w:t>
            </w:r>
            <w:r w:rsidR="00BC6102">
              <w:rPr>
                <w:rFonts w:ascii="Arial Narrow" w:hAnsi="Arial Narrow" w:cs="Tahoma"/>
                <w:color w:val="000000"/>
                <w:sz w:val="18"/>
                <w:szCs w:val="18"/>
              </w:rPr>
              <w:t xml:space="preserve"> </w:t>
            </w:r>
            <w:r w:rsidR="006E36B3">
              <w:rPr>
                <w:rFonts w:ascii="Arial Narrow" w:eastAsiaTheme="majorEastAsia" w:hAnsi="Arial Narrow"/>
                <w:b/>
                <w:bCs/>
                <w:sz w:val="20"/>
                <w:szCs w:val="20"/>
              </w:rPr>
              <w:t xml:space="preserve">per </w:t>
            </w:r>
            <w:r w:rsidRPr="00B3449A">
              <w:rPr>
                <w:rFonts w:ascii="Arial Narrow" w:eastAsiaTheme="majorEastAsia" w:hAnsi="Arial Narrow"/>
                <w:b/>
                <w:bCs/>
                <w:sz w:val="20"/>
                <w:szCs w:val="20"/>
              </w:rPr>
              <w:t>QALY gained</w:t>
            </w:r>
          </w:p>
        </w:tc>
      </w:tr>
      <w:tr w:rsidR="00F86069" w:rsidRPr="00B3449A" w14:paraId="1E2E6AFC" w14:textId="77777777" w:rsidTr="00D907DA">
        <w:tc>
          <w:tcPr>
            <w:tcW w:w="896" w:type="pct"/>
            <w:shd w:val="clear" w:color="auto" w:fill="auto"/>
            <w:vAlign w:val="center"/>
          </w:tcPr>
          <w:p w14:paraId="6DAE5BDA" w14:textId="77777777" w:rsidR="00F86069" w:rsidRPr="00B3449A" w:rsidRDefault="00F86069" w:rsidP="006E36B3">
            <w:pPr>
              <w:keepNext/>
              <w:contextualSpacing/>
              <w:rPr>
                <w:rFonts w:ascii="Arial Narrow" w:eastAsiaTheme="majorEastAsia" w:hAnsi="Arial Narrow" w:cstheme="majorBidi"/>
                <w:sz w:val="20"/>
                <w:szCs w:val="20"/>
              </w:rPr>
            </w:pPr>
            <w:r w:rsidRPr="00B3449A">
              <w:rPr>
                <w:rFonts w:ascii="Arial Narrow" w:eastAsiaTheme="minorHAnsi" w:hAnsi="Arial Narrow"/>
                <w:sz w:val="20"/>
                <w:szCs w:val="20"/>
              </w:rPr>
              <w:t>Time horizon</w:t>
            </w:r>
          </w:p>
        </w:tc>
        <w:tc>
          <w:tcPr>
            <w:tcW w:w="1829" w:type="pct"/>
            <w:shd w:val="clear" w:color="auto" w:fill="auto"/>
            <w:vAlign w:val="center"/>
          </w:tcPr>
          <w:p w14:paraId="5506ADF5" w14:textId="31E5F43E" w:rsidR="00F86069" w:rsidRPr="00B3449A" w:rsidRDefault="00185E28" w:rsidP="006E36B3">
            <w:pPr>
              <w:keepNext/>
              <w:contextualSpacing/>
              <w:jc w:val="left"/>
              <w:rPr>
                <w:rFonts w:ascii="Arial Narrow" w:eastAsiaTheme="majorEastAsia" w:hAnsi="Arial Narrow" w:cstheme="majorBidi"/>
                <w:sz w:val="20"/>
                <w:szCs w:val="20"/>
              </w:rPr>
            </w:pPr>
            <w:r>
              <w:rPr>
                <w:rFonts w:ascii="Arial Narrow" w:eastAsiaTheme="minorHAnsi" w:hAnsi="Arial Narrow"/>
                <w:sz w:val="20"/>
                <w:szCs w:val="20"/>
              </w:rPr>
              <w:t xml:space="preserve">Lifetime </w:t>
            </w:r>
            <w:r w:rsidR="009567FD" w:rsidRPr="00D907DA">
              <w:rPr>
                <w:rFonts w:ascii="Arial Narrow" w:eastAsiaTheme="minorHAnsi" w:hAnsi="Arial Narrow"/>
                <w:sz w:val="20"/>
                <w:szCs w:val="20"/>
              </w:rPr>
              <w:t>time horizon.</w:t>
            </w:r>
            <w:r w:rsidR="009567FD">
              <w:rPr>
                <w:rFonts w:ascii="Arial Narrow" w:eastAsiaTheme="minorHAnsi" w:hAnsi="Arial Narrow"/>
                <w:sz w:val="20"/>
                <w:szCs w:val="20"/>
              </w:rPr>
              <w:t xml:space="preserve"> </w:t>
            </w:r>
            <w:r w:rsidR="00F86069" w:rsidRPr="00B3449A">
              <w:rPr>
                <w:rFonts w:ascii="Arial Narrow" w:eastAsiaTheme="minorHAnsi" w:hAnsi="Arial Narrow"/>
                <w:sz w:val="20"/>
                <w:szCs w:val="20"/>
              </w:rPr>
              <w:t xml:space="preserve">Treatment effect continued beyond 24-week </w:t>
            </w:r>
            <w:r w:rsidR="00544C5D">
              <w:rPr>
                <w:rFonts w:ascii="Arial Narrow" w:eastAsiaTheme="minorHAnsi" w:hAnsi="Arial Narrow"/>
                <w:sz w:val="20"/>
                <w:szCs w:val="20"/>
              </w:rPr>
              <w:t>study</w:t>
            </w:r>
            <w:r w:rsidR="00F86069" w:rsidRPr="00B3449A">
              <w:rPr>
                <w:rFonts w:ascii="Arial Narrow" w:eastAsiaTheme="minorHAnsi" w:hAnsi="Arial Narrow"/>
                <w:sz w:val="20"/>
                <w:szCs w:val="20"/>
              </w:rPr>
              <w:t xml:space="preserve"> period. </w:t>
            </w:r>
          </w:p>
        </w:tc>
        <w:tc>
          <w:tcPr>
            <w:tcW w:w="2275" w:type="pct"/>
            <w:shd w:val="clear" w:color="auto" w:fill="auto"/>
            <w:vAlign w:val="center"/>
          </w:tcPr>
          <w:p w14:paraId="7C4C8244" w14:textId="59AF8155" w:rsidR="00F86069" w:rsidRPr="00B3449A" w:rsidRDefault="00F86069" w:rsidP="006E36B3">
            <w:pPr>
              <w:keepNext/>
              <w:contextualSpacing/>
              <w:jc w:val="left"/>
              <w:rPr>
                <w:rFonts w:ascii="Arial Narrow" w:eastAsiaTheme="majorEastAsia" w:hAnsi="Arial Narrow"/>
                <w:sz w:val="20"/>
                <w:szCs w:val="20"/>
              </w:rPr>
            </w:pPr>
            <w:r w:rsidRPr="00B3449A">
              <w:rPr>
                <w:rFonts w:ascii="Arial Narrow" w:eastAsiaTheme="majorEastAsia" w:hAnsi="Arial Narrow"/>
                <w:sz w:val="20"/>
                <w:szCs w:val="20"/>
              </w:rPr>
              <w:t xml:space="preserve">High, favours LUM/IVA. Use of </w:t>
            </w:r>
            <w:r w:rsidR="004F4D4A" w:rsidRPr="00B3449A">
              <w:rPr>
                <w:rFonts w:ascii="Arial Narrow" w:eastAsiaTheme="majorEastAsia" w:hAnsi="Arial Narrow"/>
                <w:sz w:val="20"/>
                <w:szCs w:val="20"/>
              </w:rPr>
              <w:t>2</w:t>
            </w:r>
            <w:r w:rsidR="009D3D48" w:rsidRPr="00B3449A">
              <w:rPr>
                <w:rFonts w:ascii="Arial Narrow" w:eastAsiaTheme="majorEastAsia" w:hAnsi="Arial Narrow"/>
                <w:sz w:val="20"/>
                <w:szCs w:val="20"/>
              </w:rPr>
              <w:t>0</w:t>
            </w:r>
            <w:r w:rsidR="006E36B3">
              <w:rPr>
                <w:rFonts w:ascii="Arial Narrow" w:eastAsiaTheme="majorEastAsia" w:hAnsi="Arial Narrow"/>
                <w:sz w:val="20"/>
                <w:szCs w:val="20"/>
              </w:rPr>
              <w:t>-</w:t>
            </w:r>
            <w:r w:rsidRPr="00B3449A">
              <w:rPr>
                <w:rFonts w:ascii="Arial Narrow" w:eastAsiaTheme="majorEastAsia" w:hAnsi="Arial Narrow"/>
                <w:sz w:val="20"/>
                <w:szCs w:val="20"/>
              </w:rPr>
              <w:t>year time horizon increase</w:t>
            </w:r>
            <w:r w:rsidR="00580092" w:rsidRPr="00B3449A">
              <w:rPr>
                <w:rFonts w:ascii="Arial Narrow" w:eastAsiaTheme="majorEastAsia" w:hAnsi="Arial Narrow"/>
                <w:sz w:val="20"/>
                <w:szCs w:val="20"/>
              </w:rPr>
              <w:t>d</w:t>
            </w:r>
            <w:r w:rsidRPr="00B3449A">
              <w:rPr>
                <w:rFonts w:ascii="Arial Narrow" w:eastAsiaTheme="majorEastAsia" w:hAnsi="Arial Narrow"/>
                <w:sz w:val="20"/>
                <w:szCs w:val="20"/>
              </w:rPr>
              <w:t xml:space="preserve"> the ICER to </w:t>
            </w:r>
            <w:r w:rsidR="004F4D4A" w:rsidRPr="00B3449A">
              <w:rPr>
                <w:rFonts w:ascii="Arial Narrow" w:hAnsi="Arial Narrow" w:cs="Times New Roman"/>
                <w:sz w:val="20"/>
                <w:szCs w:val="20"/>
              </w:rPr>
              <w:t>$</w:t>
            </w:r>
            <w:r w:rsidR="00D62E6D" w:rsidRPr="00D62E6D">
              <w:rPr>
                <w:rFonts w:ascii="Arial Narrow" w:hAnsi="Arial Narrow" w:cs="Times New Roman"/>
                <w:color w:val="000000"/>
                <w:spacing w:val="54"/>
                <w:sz w:val="20"/>
                <w:szCs w:val="20"/>
                <w:shd w:val="solid" w:color="000000" w:fill="000000"/>
                <w:fitText w:val="334" w:id="-1167896829"/>
                <w14:textFill>
                  <w14:solidFill>
                    <w14:srgbClr w14:val="000000">
                      <w14:alpha w14:val="100000"/>
                    </w14:srgbClr>
                  </w14:solidFill>
                </w14:textFill>
              </w:rPr>
              <w:t>|||</w:t>
            </w:r>
            <w:r w:rsidR="00D62E6D" w:rsidRPr="00D62E6D">
              <w:rPr>
                <w:rFonts w:ascii="Arial Narrow" w:hAnsi="Arial Narrow" w:cs="Times New Roman"/>
                <w:color w:val="000000"/>
                <w:sz w:val="20"/>
                <w:szCs w:val="20"/>
                <w:shd w:val="solid" w:color="000000" w:fill="000000"/>
                <w:fitText w:val="334" w:id="-1167896829"/>
                <w14:textFill>
                  <w14:solidFill>
                    <w14:srgbClr w14:val="000000">
                      <w14:alpha w14:val="100000"/>
                    </w14:srgbClr>
                  </w14:solidFill>
                </w14:textFill>
              </w:rPr>
              <w:t>|</w:t>
            </w:r>
            <w:r w:rsidR="00BC6102">
              <w:rPr>
                <w:rFonts w:ascii="Arial Narrow" w:hAnsi="Arial Narrow" w:cs="Tahoma"/>
                <w:color w:val="000000"/>
                <w:sz w:val="18"/>
                <w:szCs w:val="18"/>
                <w:vertAlign w:val="superscript"/>
              </w:rPr>
              <w:t>2</w:t>
            </w:r>
            <w:r w:rsidR="006E36B3">
              <w:rPr>
                <w:rFonts w:ascii="Arial Narrow" w:hAnsi="Arial Narrow"/>
                <w:sz w:val="20"/>
                <w:szCs w:val="20"/>
              </w:rPr>
              <w:t xml:space="preserve">per </w:t>
            </w:r>
            <w:r w:rsidRPr="00B3449A">
              <w:rPr>
                <w:rFonts w:ascii="Arial Narrow" w:eastAsiaTheme="majorEastAsia" w:hAnsi="Arial Narrow"/>
                <w:sz w:val="20"/>
                <w:szCs w:val="20"/>
              </w:rPr>
              <w:t>QALY gained</w:t>
            </w:r>
          </w:p>
        </w:tc>
      </w:tr>
      <w:tr w:rsidR="00F86069" w:rsidRPr="00B3449A" w14:paraId="1B7A647A" w14:textId="77777777" w:rsidTr="00D907DA">
        <w:tc>
          <w:tcPr>
            <w:tcW w:w="896" w:type="pct"/>
            <w:shd w:val="clear" w:color="auto" w:fill="auto"/>
            <w:vAlign w:val="center"/>
          </w:tcPr>
          <w:p w14:paraId="06922EED" w14:textId="09252A8B" w:rsidR="00F86069" w:rsidRPr="00B3449A" w:rsidRDefault="00F86069" w:rsidP="006E36B3">
            <w:pPr>
              <w:keepNext/>
              <w:contextualSpacing/>
              <w:rPr>
                <w:rFonts w:ascii="Arial Narrow" w:eastAsiaTheme="majorEastAsia" w:hAnsi="Arial Narrow"/>
                <w:sz w:val="20"/>
                <w:szCs w:val="20"/>
              </w:rPr>
            </w:pPr>
            <w:r w:rsidRPr="00B3449A">
              <w:rPr>
                <w:rFonts w:ascii="Arial Narrow" w:eastAsiaTheme="minorHAnsi" w:hAnsi="Arial Narrow"/>
                <w:sz w:val="20"/>
                <w:szCs w:val="20"/>
              </w:rPr>
              <w:t>Price reduction: LoE</w:t>
            </w:r>
          </w:p>
        </w:tc>
        <w:tc>
          <w:tcPr>
            <w:tcW w:w="1829" w:type="pct"/>
            <w:shd w:val="clear" w:color="auto" w:fill="auto"/>
            <w:vAlign w:val="center"/>
          </w:tcPr>
          <w:p w14:paraId="311EE27C" w14:textId="634F909E" w:rsidR="00F86069" w:rsidRPr="00B3449A" w:rsidRDefault="006F0817" w:rsidP="006E36B3">
            <w:pPr>
              <w:keepNext/>
              <w:contextualSpacing/>
              <w:jc w:val="left"/>
              <w:rPr>
                <w:rFonts w:ascii="Arial Narrow" w:eastAsiaTheme="majorEastAsia" w:hAnsi="Arial Narrow" w:cstheme="majorBidi"/>
                <w:sz w:val="20"/>
                <w:szCs w:val="20"/>
              </w:rPr>
            </w:pPr>
            <w:r w:rsidRPr="00B3449A">
              <w:rPr>
                <w:rFonts w:ascii="Arial Narrow" w:eastAsiaTheme="minorHAnsi" w:hAnsi="Arial Narrow"/>
                <w:sz w:val="20"/>
                <w:szCs w:val="20"/>
              </w:rPr>
              <w:t xml:space="preserve">LoE </w:t>
            </w:r>
            <w:r w:rsidR="00580092" w:rsidRPr="00B3449A">
              <w:rPr>
                <w:rFonts w:ascii="Arial Narrow" w:eastAsiaTheme="minorHAnsi" w:hAnsi="Arial Narrow"/>
                <w:sz w:val="20"/>
                <w:szCs w:val="20"/>
              </w:rPr>
              <w:t xml:space="preserve">at </w:t>
            </w:r>
            <w:r w:rsidR="009A3468" w:rsidRPr="00B3449A">
              <w:rPr>
                <w:rFonts w:ascii="Arial Narrow" w:eastAsiaTheme="minorHAnsi" w:hAnsi="Arial Narrow"/>
                <w:sz w:val="20"/>
                <w:szCs w:val="20"/>
              </w:rPr>
              <w:t xml:space="preserve">3.1 years, at which point the drug prices drop by 90%. </w:t>
            </w:r>
            <w:r w:rsidR="00F86069" w:rsidRPr="00B3449A">
              <w:rPr>
                <w:rFonts w:ascii="Arial Narrow" w:eastAsiaTheme="minorHAnsi" w:hAnsi="Arial Narrow"/>
                <w:sz w:val="20"/>
                <w:szCs w:val="20"/>
              </w:rPr>
              <w:t xml:space="preserve"> </w:t>
            </w:r>
          </w:p>
        </w:tc>
        <w:tc>
          <w:tcPr>
            <w:tcW w:w="2275" w:type="pct"/>
            <w:shd w:val="clear" w:color="auto" w:fill="auto"/>
            <w:vAlign w:val="center"/>
          </w:tcPr>
          <w:p w14:paraId="08E38538" w14:textId="55152819" w:rsidR="00F86069" w:rsidRPr="00B3449A" w:rsidRDefault="00F86069" w:rsidP="006E36B3">
            <w:pPr>
              <w:keepNext/>
              <w:contextualSpacing/>
              <w:jc w:val="left"/>
              <w:rPr>
                <w:rFonts w:ascii="Arial Narrow" w:eastAsiaTheme="majorEastAsia" w:hAnsi="Arial Narrow"/>
                <w:sz w:val="20"/>
                <w:szCs w:val="20"/>
              </w:rPr>
            </w:pPr>
            <w:r w:rsidRPr="00B3449A">
              <w:rPr>
                <w:rFonts w:ascii="Arial Narrow" w:eastAsiaTheme="majorEastAsia" w:hAnsi="Arial Narrow"/>
                <w:sz w:val="20"/>
                <w:szCs w:val="20"/>
              </w:rPr>
              <w:t>High, favours LUM/IVA. Use of 0% cost reduction increase</w:t>
            </w:r>
            <w:r w:rsidR="00580092" w:rsidRPr="00B3449A">
              <w:rPr>
                <w:rFonts w:ascii="Arial Narrow" w:eastAsiaTheme="majorEastAsia" w:hAnsi="Arial Narrow"/>
                <w:sz w:val="20"/>
                <w:szCs w:val="20"/>
              </w:rPr>
              <w:t>d</w:t>
            </w:r>
            <w:r w:rsidRPr="00B3449A">
              <w:rPr>
                <w:rFonts w:ascii="Arial Narrow" w:eastAsiaTheme="majorEastAsia" w:hAnsi="Arial Narrow"/>
                <w:sz w:val="20"/>
                <w:szCs w:val="20"/>
              </w:rPr>
              <w:t xml:space="preserve"> the ICER to $</w:t>
            </w:r>
            <w:r w:rsidR="00D62E6D" w:rsidRPr="00D62E6D">
              <w:rPr>
                <w:rFonts w:ascii="Arial Narrow" w:eastAsiaTheme="majorEastAsia" w:hAnsi="Arial Narrow"/>
                <w:color w:val="000000"/>
                <w:spacing w:val="54"/>
                <w:sz w:val="20"/>
                <w:szCs w:val="20"/>
                <w:shd w:val="solid" w:color="000000" w:fill="000000"/>
                <w:fitText w:val="334" w:id="-1167896828"/>
                <w14:textFill>
                  <w14:solidFill>
                    <w14:srgbClr w14:val="000000">
                      <w14:alpha w14:val="100000"/>
                    </w14:srgbClr>
                  </w14:solidFill>
                </w14:textFill>
              </w:rPr>
              <w:t>|||</w:t>
            </w:r>
            <w:r w:rsidR="00D62E6D" w:rsidRPr="00D62E6D">
              <w:rPr>
                <w:rFonts w:ascii="Arial Narrow" w:eastAsiaTheme="majorEastAsia" w:hAnsi="Arial Narrow"/>
                <w:color w:val="000000"/>
                <w:sz w:val="20"/>
                <w:szCs w:val="20"/>
                <w:shd w:val="solid" w:color="000000" w:fill="000000"/>
                <w:fitText w:val="334" w:id="-1167896828"/>
                <w14:textFill>
                  <w14:solidFill>
                    <w14:srgbClr w14:val="000000">
                      <w14:alpha w14:val="100000"/>
                    </w14:srgbClr>
                  </w14:solidFill>
                </w14:textFill>
              </w:rPr>
              <w:t>|</w:t>
            </w:r>
            <w:r w:rsidR="00BC6102">
              <w:rPr>
                <w:rFonts w:ascii="Arial Narrow" w:hAnsi="Arial Narrow" w:cs="Tahoma"/>
                <w:color w:val="000000"/>
                <w:sz w:val="18"/>
                <w:szCs w:val="18"/>
                <w:vertAlign w:val="superscript"/>
              </w:rPr>
              <w:t>3</w:t>
            </w:r>
            <w:r w:rsidR="006E36B3">
              <w:rPr>
                <w:rFonts w:ascii="Arial Narrow" w:eastAsiaTheme="majorEastAsia" w:hAnsi="Arial Narrow"/>
                <w:sz w:val="20"/>
                <w:szCs w:val="20"/>
              </w:rPr>
              <w:t xml:space="preserve">per </w:t>
            </w:r>
            <w:r w:rsidRPr="00B3449A">
              <w:rPr>
                <w:rFonts w:ascii="Arial Narrow" w:eastAsiaTheme="majorEastAsia" w:hAnsi="Arial Narrow"/>
                <w:sz w:val="20"/>
                <w:szCs w:val="20"/>
              </w:rPr>
              <w:t>QALY gained</w:t>
            </w:r>
          </w:p>
        </w:tc>
      </w:tr>
      <w:tr w:rsidR="0052692B" w:rsidRPr="00B3449A" w14:paraId="5F2C98B8" w14:textId="77777777" w:rsidTr="00D907DA">
        <w:tc>
          <w:tcPr>
            <w:tcW w:w="896" w:type="pct"/>
            <w:shd w:val="clear" w:color="auto" w:fill="auto"/>
            <w:vAlign w:val="center"/>
          </w:tcPr>
          <w:p w14:paraId="5C3A0EEB" w14:textId="77777777" w:rsidR="0052692B" w:rsidRPr="00B3449A" w:rsidRDefault="0052692B" w:rsidP="006E36B3">
            <w:pPr>
              <w:keepNext/>
              <w:contextualSpacing/>
              <w:rPr>
                <w:rFonts w:ascii="Arial Narrow" w:eastAsiaTheme="majorEastAsia" w:hAnsi="Arial Narrow"/>
                <w:sz w:val="20"/>
                <w:szCs w:val="20"/>
              </w:rPr>
            </w:pPr>
            <w:r w:rsidRPr="00B3449A">
              <w:rPr>
                <w:rFonts w:ascii="Arial Narrow" w:eastAsiaTheme="majorEastAsia" w:hAnsi="Arial Narrow"/>
                <w:sz w:val="20"/>
                <w:szCs w:val="20"/>
              </w:rPr>
              <w:t>Treatment compliance</w:t>
            </w:r>
          </w:p>
        </w:tc>
        <w:tc>
          <w:tcPr>
            <w:tcW w:w="1829" w:type="pct"/>
            <w:shd w:val="clear" w:color="auto" w:fill="auto"/>
            <w:vAlign w:val="center"/>
          </w:tcPr>
          <w:p w14:paraId="3A5B3BAB" w14:textId="7E6BF49B" w:rsidR="0052692B" w:rsidRPr="00B3449A" w:rsidRDefault="0052692B" w:rsidP="006E36B3">
            <w:pPr>
              <w:keepNext/>
              <w:contextualSpacing/>
              <w:jc w:val="left"/>
              <w:rPr>
                <w:rFonts w:ascii="Arial Narrow" w:eastAsiaTheme="majorEastAsia" w:hAnsi="Arial Narrow"/>
                <w:sz w:val="20"/>
                <w:szCs w:val="20"/>
              </w:rPr>
            </w:pPr>
            <w:r w:rsidRPr="00B3449A">
              <w:rPr>
                <w:rFonts w:ascii="Arial Narrow" w:eastAsiaTheme="majorEastAsia" w:hAnsi="Arial Narrow"/>
                <w:sz w:val="20"/>
                <w:szCs w:val="20"/>
              </w:rPr>
              <w:t xml:space="preserve">90% compliance rate applied in the model. </w:t>
            </w:r>
          </w:p>
        </w:tc>
        <w:tc>
          <w:tcPr>
            <w:tcW w:w="2275" w:type="pct"/>
            <w:shd w:val="clear" w:color="auto" w:fill="auto"/>
            <w:vAlign w:val="center"/>
          </w:tcPr>
          <w:p w14:paraId="590CE7FC" w14:textId="570415DD" w:rsidR="0052692B" w:rsidRPr="00B3449A" w:rsidRDefault="0052692B" w:rsidP="006E36B3">
            <w:pPr>
              <w:keepNext/>
              <w:contextualSpacing/>
              <w:jc w:val="left"/>
              <w:rPr>
                <w:rFonts w:ascii="Arial Narrow" w:eastAsiaTheme="majorEastAsia" w:hAnsi="Arial Narrow"/>
                <w:sz w:val="20"/>
                <w:szCs w:val="20"/>
              </w:rPr>
            </w:pPr>
            <w:r w:rsidRPr="00B3449A">
              <w:rPr>
                <w:rFonts w:ascii="Arial Narrow" w:eastAsiaTheme="majorEastAsia" w:hAnsi="Arial Narrow"/>
                <w:sz w:val="20"/>
                <w:szCs w:val="20"/>
              </w:rPr>
              <w:t>Moderate, favours LUM/IVA. Use of 99.94% treatment compliance increase</w:t>
            </w:r>
            <w:r w:rsidR="00580092" w:rsidRPr="00B3449A">
              <w:rPr>
                <w:rFonts w:ascii="Arial Narrow" w:eastAsiaTheme="majorEastAsia" w:hAnsi="Arial Narrow"/>
                <w:sz w:val="20"/>
                <w:szCs w:val="20"/>
              </w:rPr>
              <w:t>d</w:t>
            </w:r>
            <w:r w:rsidRPr="00B3449A">
              <w:rPr>
                <w:rFonts w:ascii="Arial Narrow" w:eastAsiaTheme="majorEastAsia" w:hAnsi="Arial Narrow"/>
                <w:sz w:val="20"/>
                <w:szCs w:val="20"/>
              </w:rPr>
              <w:t xml:space="preserve"> the ICER to $</w:t>
            </w:r>
            <w:r w:rsidR="00D62E6D" w:rsidRPr="00D62E6D">
              <w:rPr>
                <w:rFonts w:ascii="Arial Narrow" w:eastAsiaTheme="majorEastAsia" w:hAnsi="Arial Narrow"/>
                <w:color w:val="000000"/>
                <w:spacing w:val="43"/>
                <w:sz w:val="20"/>
                <w:szCs w:val="20"/>
                <w:shd w:val="solid" w:color="000000" w:fill="000000"/>
                <w:fitText w:val="335" w:id="-1167896827"/>
                <w14:textFill>
                  <w14:solidFill>
                    <w14:srgbClr w14:val="000000">
                      <w14:alpha w14:val="100000"/>
                    </w14:srgbClr>
                  </w14:solidFill>
                </w14:textFill>
              </w:rPr>
              <w:t>|||</w:t>
            </w:r>
            <w:r w:rsidR="00D62E6D" w:rsidRPr="00D62E6D">
              <w:rPr>
                <w:rFonts w:ascii="Arial Narrow" w:eastAsiaTheme="majorEastAsia" w:hAnsi="Arial Narrow"/>
                <w:color w:val="000000"/>
                <w:spacing w:val="29"/>
                <w:sz w:val="20"/>
                <w:szCs w:val="20"/>
                <w:shd w:val="solid" w:color="000000" w:fill="000000"/>
                <w:fitText w:val="335" w:id="-1167896827"/>
                <w14:textFill>
                  <w14:solidFill>
                    <w14:srgbClr w14:val="000000">
                      <w14:alpha w14:val="100000"/>
                    </w14:srgbClr>
                  </w14:solidFill>
                </w14:textFill>
              </w:rPr>
              <w:t>|</w:t>
            </w:r>
            <w:r w:rsidR="00BC6102">
              <w:rPr>
                <w:rFonts w:ascii="Arial Narrow" w:hAnsi="Arial Narrow" w:cs="Tahoma"/>
                <w:color w:val="000000"/>
                <w:sz w:val="18"/>
                <w:szCs w:val="18"/>
                <w:vertAlign w:val="superscript"/>
              </w:rPr>
              <w:t>4</w:t>
            </w:r>
            <w:r w:rsidR="006E36B3">
              <w:rPr>
                <w:rFonts w:ascii="Arial Narrow" w:eastAsiaTheme="majorEastAsia" w:hAnsi="Arial Narrow"/>
                <w:sz w:val="20"/>
                <w:szCs w:val="20"/>
              </w:rPr>
              <w:t xml:space="preserve">per </w:t>
            </w:r>
            <w:r w:rsidRPr="00B3449A">
              <w:rPr>
                <w:rFonts w:ascii="Arial Narrow" w:eastAsiaTheme="majorEastAsia" w:hAnsi="Arial Narrow"/>
                <w:sz w:val="20"/>
                <w:szCs w:val="20"/>
              </w:rPr>
              <w:t>QALY gained.</w:t>
            </w:r>
          </w:p>
        </w:tc>
      </w:tr>
    </w:tbl>
    <w:p w14:paraId="2B1DE643" w14:textId="77777777" w:rsidR="00F86069" w:rsidRPr="00FF09A2" w:rsidRDefault="00F86069" w:rsidP="00F86069">
      <w:pPr>
        <w:keepNext/>
        <w:keepLines/>
        <w:jc w:val="left"/>
        <w:rPr>
          <w:rFonts w:ascii="Arial Narrow" w:hAnsi="Arial Narrow" w:cs="Tahoma"/>
          <w:color w:val="000000"/>
          <w:sz w:val="18"/>
          <w:szCs w:val="18"/>
        </w:rPr>
      </w:pPr>
      <w:r w:rsidRPr="00FF09A2">
        <w:rPr>
          <w:rFonts w:ascii="Arial Narrow" w:hAnsi="Arial Narrow" w:cs="Tahoma"/>
          <w:color w:val="000000"/>
          <w:sz w:val="18"/>
          <w:szCs w:val="18"/>
        </w:rPr>
        <w:t xml:space="preserve">Source: Table 3.5.23, pp132-133 of the submission and developed during evaluation. </w:t>
      </w:r>
    </w:p>
    <w:p w14:paraId="68DB9371" w14:textId="64EA12B4" w:rsidR="00F56954" w:rsidRPr="00BC6102" w:rsidRDefault="00F86069" w:rsidP="00BC6102">
      <w:pPr>
        <w:keepNext/>
        <w:keepLines/>
        <w:jc w:val="left"/>
        <w:rPr>
          <w:rFonts w:ascii="Arial Narrow" w:hAnsi="Arial Narrow" w:cs="Tahoma"/>
          <w:color w:val="000000"/>
          <w:sz w:val="18"/>
          <w:szCs w:val="18"/>
        </w:rPr>
      </w:pPr>
      <w:r w:rsidRPr="00FF09A2">
        <w:rPr>
          <w:rFonts w:ascii="Arial Narrow" w:hAnsi="Arial Narrow" w:cs="Tahoma"/>
          <w:color w:val="000000"/>
          <w:sz w:val="18"/>
          <w:szCs w:val="18"/>
        </w:rPr>
        <w:t>ICER = incremental cost-effectiveness ratio; LoE = loss of exclusivity; LUM/IVA = lumacaftor/Ivacaftor</w:t>
      </w:r>
      <w:r w:rsidR="00EB6821">
        <w:rPr>
          <w:rFonts w:ascii="Arial Narrow" w:hAnsi="Arial Narrow" w:cs="Tahoma"/>
          <w:color w:val="000000"/>
          <w:sz w:val="18"/>
          <w:szCs w:val="18"/>
        </w:rPr>
        <w:t xml:space="preserve">; </w:t>
      </w:r>
      <w:r w:rsidRPr="00FF09A2">
        <w:rPr>
          <w:rFonts w:ascii="Arial Narrow" w:hAnsi="Arial Narrow" w:cs="Tahoma"/>
          <w:color w:val="000000"/>
          <w:sz w:val="18"/>
          <w:szCs w:val="18"/>
        </w:rPr>
        <w:t>QALY = quality-adjusted life-year</w:t>
      </w:r>
      <w:r w:rsidR="00F56954" w:rsidRPr="00BC6102">
        <w:rPr>
          <w:rFonts w:ascii="Arial Narrow" w:hAnsi="Arial Narrow" w:cs="Tahoma"/>
          <w:color w:val="000000"/>
          <w:sz w:val="18"/>
          <w:szCs w:val="18"/>
        </w:rPr>
        <w:t>.</w:t>
      </w:r>
    </w:p>
    <w:p w14:paraId="02DC5EA8" w14:textId="194BDB8E" w:rsidR="00BC6102" w:rsidRPr="00BC6102" w:rsidRDefault="00BC6102" w:rsidP="00BC6102">
      <w:pPr>
        <w:keepNext/>
        <w:keepLines/>
        <w:jc w:val="left"/>
        <w:rPr>
          <w:rFonts w:ascii="Arial Narrow" w:hAnsi="Arial Narrow" w:cs="Tahoma"/>
          <w:i/>
          <w:iCs/>
          <w:color w:val="000000"/>
          <w:sz w:val="18"/>
          <w:szCs w:val="18"/>
        </w:rPr>
      </w:pPr>
      <w:r w:rsidRPr="00BC6102">
        <w:rPr>
          <w:rFonts w:ascii="Arial Narrow" w:hAnsi="Arial Narrow" w:cs="Tahoma"/>
          <w:i/>
          <w:iCs/>
          <w:color w:val="000000"/>
          <w:sz w:val="18"/>
          <w:szCs w:val="18"/>
        </w:rPr>
        <w:t>The redacted values correspond to the following ranges:</w:t>
      </w:r>
    </w:p>
    <w:p w14:paraId="0E3285B8" w14:textId="5A0A9565" w:rsidR="00BC6102" w:rsidRPr="00BC6102" w:rsidRDefault="00BC6102" w:rsidP="00BC6102">
      <w:pPr>
        <w:keepNext/>
        <w:keepLines/>
        <w:jc w:val="left"/>
        <w:rPr>
          <w:rFonts w:ascii="Arial Narrow" w:hAnsi="Arial Narrow" w:cs="Tahoma"/>
          <w:i/>
          <w:iCs/>
          <w:color w:val="000000"/>
          <w:sz w:val="18"/>
          <w:szCs w:val="18"/>
        </w:rPr>
      </w:pPr>
      <w:r w:rsidRPr="00BC6102">
        <w:rPr>
          <w:rFonts w:ascii="Arial Narrow" w:hAnsi="Arial Narrow" w:cs="Tahoma"/>
          <w:i/>
          <w:iCs/>
          <w:color w:val="000000"/>
          <w:sz w:val="18"/>
          <w:szCs w:val="18"/>
          <w:vertAlign w:val="superscript"/>
        </w:rPr>
        <w:t>1</w:t>
      </w:r>
      <w:r w:rsidRPr="00BC6102">
        <w:rPr>
          <w:rFonts w:ascii="Arial Narrow" w:hAnsi="Arial Narrow" w:cs="Tahoma"/>
          <w:i/>
          <w:iCs/>
          <w:color w:val="000000"/>
          <w:sz w:val="18"/>
          <w:szCs w:val="18"/>
        </w:rPr>
        <w:t xml:space="preserve"> $95,000 to &lt; $115,000</w:t>
      </w:r>
    </w:p>
    <w:p w14:paraId="63123BCD" w14:textId="133D77A4" w:rsidR="00BC6102" w:rsidRPr="00BC6102" w:rsidRDefault="00BC6102" w:rsidP="00BC6102">
      <w:pPr>
        <w:keepNext/>
        <w:keepLines/>
        <w:jc w:val="left"/>
        <w:rPr>
          <w:rFonts w:ascii="Arial Narrow" w:hAnsi="Arial Narrow" w:cs="Tahoma"/>
          <w:i/>
          <w:iCs/>
          <w:color w:val="000000"/>
          <w:sz w:val="18"/>
          <w:szCs w:val="18"/>
        </w:rPr>
      </w:pPr>
      <w:r w:rsidRPr="00BC6102">
        <w:rPr>
          <w:rFonts w:ascii="Arial Narrow" w:hAnsi="Arial Narrow" w:cs="Tahoma"/>
          <w:i/>
          <w:iCs/>
          <w:color w:val="000000"/>
          <w:sz w:val="18"/>
          <w:szCs w:val="18"/>
          <w:vertAlign w:val="superscript"/>
        </w:rPr>
        <w:t>2</w:t>
      </w:r>
      <w:r w:rsidRPr="00BC6102">
        <w:rPr>
          <w:rFonts w:ascii="Arial Narrow" w:hAnsi="Arial Narrow" w:cs="Tahoma"/>
          <w:i/>
          <w:iCs/>
          <w:color w:val="000000"/>
          <w:sz w:val="18"/>
          <w:szCs w:val="18"/>
        </w:rPr>
        <w:t xml:space="preserve"> $155,000 to &lt; $255,000</w:t>
      </w:r>
    </w:p>
    <w:p w14:paraId="38238846" w14:textId="04CD4A6D" w:rsidR="00BC6102" w:rsidRPr="00BC6102" w:rsidRDefault="00BC6102" w:rsidP="00BC6102">
      <w:pPr>
        <w:keepNext/>
        <w:keepLines/>
        <w:jc w:val="left"/>
        <w:rPr>
          <w:rFonts w:ascii="Arial Narrow" w:hAnsi="Arial Narrow" w:cs="Tahoma"/>
          <w:i/>
          <w:iCs/>
          <w:color w:val="000000"/>
          <w:sz w:val="18"/>
          <w:szCs w:val="18"/>
        </w:rPr>
      </w:pPr>
      <w:r w:rsidRPr="00BC6102">
        <w:rPr>
          <w:rFonts w:ascii="Arial Narrow" w:hAnsi="Arial Narrow" w:cs="Tahoma"/>
          <w:i/>
          <w:iCs/>
          <w:color w:val="000000"/>
          <w:sz w:val="18"/>
          <w:szCs w:val="18"/>
          <w:vertAlign w:val="superscript"/>
        </w:rPr>
        <w:t>3</w:t>
      </w:r>
      <w:r w:rsidRPr="00BC6102">
        <w:rPr>
          <w:rFonts w:ascii="Arial Narrow" w:hAnsi="Arial Narrow" w:cs="Tahoma"/>
          <w:i/>
          <w:iCs/>
          <w:color w:val="000000"/>
          <w:sz w:val="18"/>
          <w:szCs w:val="18"/>
        </w:rPr>
        <w:t xml:space="preserve"> $455,000 to &lt; $555,000</w:t>
      </w:r>
    </w:p>
    <w:p w14:paraId="52ACF257" w14:textId="70450744" w:rsidR="00BC6102" w:rsidRDefault="00BC6102" w:rsidP="00BC6102">
      <w:pPr>
        <w:keepNext/>
        <w:keepLines/>
        <w:jc w:val="left"/>
        <w:rPr>
          <w:rFonts w:ascii="Arial Narrow" w:hAnsi="Arial Narrow" w:cs="Tahoma"/>
          <w:i/>
          <w:iCs/>
          <w:color w:val="000000"/>
          <w:sz w:val="18"/>
          <w:szCs w:val="18"/>
        </w:rPr>
      </w:pPr>
      <w:r w:rsidRPr="00BC6102">
        <w:rPr>
          <w:rFonts w:ascii="Arial Narrow" w:hAnsi="Arial Narrow" w:cs="Tahoma"/>
          <w:i/>
          <w:iCs/>
          <w:color w:val="000000"/>
          <w:sz w:val="18"/>
          <w:szCs w:val="18"/>
          <w:vertAlign w:val="superscript"/>
        </w:rPr>
        <w:t>4</w:t>
      </w:r>
      <w:r w:rsidRPr="00BC6102">
        <w:rPr>
          <w:rFonts w:ascii="Arial Narrow" w:hAnsi="Arial Narrow" w:cs="Tahoma"/>
          <w:i/>
          <w:iCs/>
          <w:color w:val="000000"/>
          <w:sz w:val="18"/>
          <w:szCs w:val="18"/>
        </w:rPr>
        <w:t xml:space="preserve"> $115,000 to &lt; $135,000</w:t>
      </w:r>
    </w:p>
    <w:p w14:paraId="2334BDA2" w14:textId="77777777" w:rsidR="00BC6102" w:rsidRPr="00BC6102" w:rsidRDefault="00BC6102" w:rsidP="00BC6102">
      <w:pPr>
        <w:keepNext/>
        <w:keepLines/>
        <w:jc w:val="left"/>
        <w:rPr>
          <w:rFonts w:ascii="Arial Narrow" w:hAnsi="Arial Narrow" w:cs="Tahoma"/>
          <w:i/>
          <w:iCs/>
          <w:color w:val="000000"/>
          <w:sz w:val="18"/>
          <w:szCs w:val="18"/>
        </w:rPr>
      </w:pPr>
    </w:p>
    <w:p w14:paraId="02A6C29E" w14:textId="442B5217" w:rsidR="00F86069" w:rsidRPr="00B3449A" w:rsidRDefault="00F86069" w:rsidP="006E36B3">
      <w:pPr>
        <w:pStyle w:val="3-BodyText"/>
        <w:ind w:left="720"/>
        <w:rPr>
          <w:iCs/>
        </w:rPr>
      </w:pPr>
      <w:r w:rsidRPr="00B3449A">
        <w:rPr>
          <w:iCs/>
        </w:rPr>
        <w:t xml:space="preserve">The results of the CUA </w:t>
      </w:r>
      <w:proofErr w:type="gramStart"/>
      <w:r w:rsidRPr="00B3449A">
        <w:rPr>
          <w:iCs/>
        </w:rPr>
        <w:t>are presented</w:t>
      </w:r>
      <w:proofErr w:type="gramEnd"/>
      <w:r w:rsidRPr="00B3449A">
        <w:rPr>
          <w:iCs/>
        </w:rPr>
        <w:t xml:space="preserve"> in </w:t>
      </w:r>
      <w:r w:rsidR="00A01452" w:rsidRPr="00B3449A">
        <w:rPr>
          <w:iCs/>
        </w:rPr>
        <w:fldChar w:fldCharType="begin"/>
      </w:r>
      <w:r w:rsidR="00A01452" w:rsidRPr="00B3449A">
        <w:rPr>
          <w:iCs/>
        </w:rPr>
        <w:instrText xml:space="preserve"> REF _Ref132555324 \h  \* MERGEFORMAT </w:instrText>
      </w:r>
      <w:r w:rsidR="00A01452" w:rsidRPr="00B3449A">
        <w:rPr>
          <w:iCs/>
        </w:rPr>
      </w:r>
      <w:r w:rsidR="00A01452" w:rsidRPr="00B3449A">
        <w:rPr>
          <w:iCs/>
        </w:rPr>
        <w:fldChar w:fldCharType="separate"/>
      </w:r>
      <w:r w:rsidR="00025B72" w:rsidRPr="00025B72">
        <w:rPr>
          <w:iCs/>
        </w:rPr>
        <w:t>Table 8</w:t>
      </w:r>
      <w:r w:rsidR="00A01452" w:rsidRPr="00B3449A">
        <w:rPr>
          <w:iCs/>
        </w:rPr>
        <w:fldChar w:fldCharType="end"/>
      </w:r>
      <w:r w:rsidRPr="00B3449A">
        <w:rPr>
          <w:iCs/>
        </w:rPr>
        <w:t xml:space="preserve">. </w:t>
      </w:r>
      <w:r w:rsidRPr="00B3449A">
        <w:rPr>
          <w:rFonts w:cstheme="minorHAnsi"/>
          <w:iCs/>
        </w:rPr>
        <w:t xml:space="preserve">The </w:t>
      </w:r>
      <w:r w:rsidR="006E36B3">
        <w:rPr>
          <w:rFonts w:cstheme="minorHAnsi"/>
          <w:iCs/>
        </w:rPr>
        <w:t xml:space="preserve">economic evaluation resulted in an incremental cost-effectiveness ratio (ICER) of </w:t>
      </w:r>
      <w:r w:rsidR="006E36B3" w:rsidRPr="00B3449A">
        <w:rPr>
          <w:rFonts w:cstheme="minorHAnsi"/>
          <w:iCs/>
        </w:rPr>
        <w:t>$</w:t>
      </w:r>
      <w:r w:rsidR="00BC6102">
        <w:rPr>
          <w:rFonts w:cstheme="minorHAnsi"/>
          <w:iCs/>
        </w:rPr>
        <w:t>95,000 to &lt; $115,00</w:t>
      </w:r>
      <w:r w:rsidR="006E36B3">
        <w:rPr>
          <w:rFonts w:cstheme="minorHAnsi"/>
          <w:iCs/>
        </w:rPr>
        <w:t xml:space="preserve"> </w:t>
      </w:r>
      <w:r w:rsidRPr="00B3449A">
        <w:rPr>
          <w:rFonts w:cstheme="minorHAnsi"/>
          <w:iCs/>
        </w:rPr>
        <w:t xml:space="preserve">per </w:t>
      </w:r>
      <w:r w:rsidR="006E36B3">
        <w:rPr>
          <w:rFonts w:cstheme="minorHAnsi"/>
          <w:iCs/>
        </w:rPr>
        <w:t>quality-adjusted life-year (</w:t>
      </w:r>
      <w:r w:rsidRPr="00B3449A">
        <w:rPr>
          <w:rFonts w:cstheme="minorHAnsi"/>
          <w:iCs/>
        </w:rPr>
        <w:t>QALY</w:t>
      </w:r>
      <w:r w:rsidR="006E36B3">
        <w:rPr>
          <w:rFonts w:cstheme="minorHAnsi"/>
          <w:iCs/>
        </w:rPr>
        <w:t>)</w:t>
      </w:r>
      <w:r w:rsidRPr="00B3449A">
        <w:rPr>
          <w:rFonts w:cstheme="minorHAnsi"/>
          <w:iCs/>
        </w:rPr>
        <w:t xml:space="preserve"> gained for patients aged 1 to less than 2 years.</w:t>
      </w:r>
    </w:p>
    <w:p w14:paraId="5284D4A8" w14:textId="7C29AD85" w:rsidR="00F86069" w:rsidRPr="00FF09A2" w:rsidRDefault="00F86069" w:rsidP="001C5BDE">
      <w:pPr>
        <w:keepNext/>
        <w:keepLines/>
        <w:jc w:val="left"/>
        <w:rPr>
          <w:rFonts w:ascii="Arial Narrow" w:eastAsiaTheme="minorHAnsi" w:hAnsi="Arial Narrow" w:cstheme="minorBidi"/>
          <w:b/>
          <w:sz w:val="20"/>
          <w:szCs w:val="18"/>
          <w:lang w:eastAsia="en-US"/>
        </w:rPr>
      </w:pPr>
      <w:bookmarkStart w:id="44" w:name="_Ref132555324"/>
      <w:r w:rsidRPr="00FF09A2">
        <w:rPr>
          <w:rFonts w:ascii="Arial Narrow" w:eastAsiaTheme="minorHAnsi" w:hAnsi="Arial Narrow" w:cstheme="minorBidi"/>
          <w:b/>
          <w:sz w:val="20"/>
          <w:szCs w:val="18"/>
          <w:lang w:eastAsia="en-US"/>
        </w:rPr>
        <w:lastRenderedPageBreak/>
        <w:t xml:space="preserve">Table </w:t>
      </w:r>
      <w:r w:rsidRPr="00FF09A2">
        <w:rPr>
          <w:rFonts w:ascii="Arial Narrow" w:eastAsiaTheme="minorHAnsi" w:hAnsi="Arial Narrow" w:cstheme="minorBidi"/>
          <w:b/>
          <w:sz w:val="20"/>
          <w:szCs w:val="18"/>
          <w:lang w:eastAsia="en-US"/>
        </w:rPr>
        <w:fldChar w:fldCharType="begin"/>
      </w:r>
      <w:r w:rsidRPr="00FF09A2">
        <w:rPr>
          <w:rFonts w:ascii="Arial Narrow" w:eastAsiaTheme="minorHAnsi" w:hAnsi="Arial Narrow" w:cstheme="minorBidi"/>
          <w:b/>
          <w:sz w:val="20"/>
          <w:szCs w:val="18"/>
          <w:lang w:eastAsia="en-US"/>
        </w:rPr>
        <w:instrText xml:space="preserve"> SEQ Table \* ARABIC </w:instrText>
      </w:r>
      <w:r w:rsidRPr="00FF09A2">
        <w:rPr>
          <w:rFonts w:ascii="Arial Narrow" w:eastAsiaTheme="minorHAnsi" w:hAnsi="Arial Narrow" w:cstheme="minorBidi"/>
          <w:b/>
          <w:sz w:val="20"/>
          <w:szCs w:val="18"/>
          <w:lang w:eastAsia="en-US"/>
        </w:rPr>
        <w:fldChar w:fldCharType="separate"/>
      </w:r>
      <w:r w:rsidR="00025B72">
        <w:rPr>
          <w:rFonts w:ascii="Arial Narrow" w:eastAsiaTheme="minorHAnsi" w:hAnsi="Arial Narrow" w:cstheme="minorBidi"/>
          <w:b/>
          <w:noProof/>
          <w:sz w:val="20"/>
          <w:szCs w:val="18"/>
          <w:lang w:eastAsia="en-US"/>
        </w:rPr>
        <w:t>8</w:t>
      </w:r>
      <w:r w:rsidRPr="00FF09A2">
        <w:rPr>
          <w:rFonts w:ascii="Arial Narrow" w:eastAsiaTheme="minorHAnsi" w:hAnsi="Arial Narrow" w:cstheme="minorBidi"/>
          <w:b/>
          <w:noProof/>
          <w:sz w:val="20"/>
          <w:szCs w:val="18"/>
          <w:lang w:eastAsia="en-US"/>
        </w:rPr>
        <w:fldChar w:fldCharType="end"/>
      </w:r>
      <w:bookmarkEnd w:id="44"/>
      <w:r w:rsidRPr="00FF09A2">
        <w:rPr>
          <w:rFonts w:ascii="Arial Narrow" w:eastAsiaTheme="minorHAnsi" w:hAnsi="Arial Narrow" w:cstheme="minorBidi"/>
          <w:b/>
          <w:sz w:val="20"/>
          <w:szCs w:val="22"/>
          <w:lang w:eastAsia="en-US"/>
        </w:rPr>
        <w:t>: Results of the economic evaluation</w:t>
      </w:r>
      <w:r w:rsidR="0002753A" w:rsidRPr="00FF09A2">
        <w:rPr>
          <w:rFonts w:ascii="Arial Narrow" w:eastAsiaTheme="minorHAnsi" w:hAnsi="Arial Narrow" w:cstheme="minorBidi"/>
          <w:b/>
          <w:sz w:val="20"/>
          <w:szCs w:val="22"/>
          <w:lang w:eastAsia="en-US"/>
        </w:rPr>
        <w:t xml:space="preserve"> for patients initiating therapy aged 1 to less than </w:t>
      </w:r>
      <w:proofErr w:type="gramStart"/>
      <w:r w:rsidR="0002753A" w:rsidRPr="00FF09A2">
        <w:rPr>
          <w:rFonts w:ascii="Arial Narrow" w:eastAsiaTheme="minorHAnsi" w:hAnsi="Arial Narrow" w:cstheme="minorBidi"/>
          <w:b/>
          <w:sz w:val="20"/>
          <w:szCs w:val="22"/>
          <w:lang w:eastAsia="en-US"/>
        </w:rPr>
        <w:t>2</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99"/>
        <w:gridCol w:w="2440"/>
        <w:gridCol w:w="2521"/>
        <w:gridCol w:w="2357"/>
      </w:tblGrid>
      <w:tr w:rsidR="00F86069" w:rsidRPr="00FF09A2" w14:paraId="72B39364" w14:textId="77777777" w:rsidTr="00D62E6D">
        <w:trPr>
          <w:cantSplit/>
          <w:tblHeader/>
        </w:trPr>
        <w:tc>
          <w:tcPr>
            <w:tcW w:w="942" w:type="pct"/>
            <w:shd w:val="clear" w:color="auto" w:fill="FFFFFF"/>
          </w:tcPr>
          <w:p w14:paraId="4CDEFFC8" w14:textId="77777777" w:rsidR="00F86069" w:rsidRPr="00FF09A2" w:rsidRDefault="00F86069" w:rsidP="001C5BDE">
            <w:pPr>
              <w:keepNext/>
              <w:keepLines/>
              <w:contextualSpacing/>
              <w:rPr>
                <w:rFonts w:ascii="Arial Narrow" w:eastAsiaTheme="majorEastAsia" w:hAnsi="Arial Narrow"/>
                <w:sz w:val="20"/>
                <w:szCs w:val="20"/>
              </w:rPr>
            </w:pPr>
          </w:p>
        </w:tc>
        <w:tc>
          <w:tcPr>
            <w:tcW w:w="1353" w:type="pct"/>
            <w:tcBorders>
              <w:bottom w:val="single" w:sz="4" w:space="0" w:color="auto"/>
            </w:tcBorders>
            <w:shd w:val="clear" w:color="auto" w:fill="FFFFFF"/>
            <w:vAlign w:val="center"/>
          </w:tcPr>
          <w:p w14:paraId="220788D4" w14:textId="399A0AF9" w:rsidR="00F86069" w:rsidRPr="00FF09A2" w:rsidRDefault="00F86069" w:rsidP="001C5BDE">
            <w:pPr>
              <w:keepNext/>
              <w:keepLines/>
              <w:contextualSpacing/>
              <w:jc w:val="center"/>
              <w:rPr>
                <w:rFonts w:ascii="Arial Narrow" w:eastAsiaTheme="majorEastAsia" w:hAnsi="Arial Narrow"/>
                <w:b/>
                <w:sz w:val="20"/>
                <w:szCs w:val="20"/>
              </w:rPr>
            </w:pPr>
            <w:r w:rsidRPr="00FF09A2">
              <w:rPr>
                <w:rFonts w:ascii="Arial Narrow" w:eastAsiaTheme="majorEastAsia" w:hAnsi="Arial Narrow"/>
                <w:b/>
                <w:sz w:val="20"/>
                <w:szCs w:val="20"/>
              </w:rPr>
              <w:t>Lumacaftor/Ivacaftor +</w:t>
            </w:r>
            <w:r w:rsidR="006E36B3">
              <w:rPr>
                <w:rFonts w:ascii="Arial Narrow" w:eastAsiaTheme="majorEastAsia" w:hAnsi="Arial Narrow"/>
                <w:b/>
                <w:sz w:val="20"/>
                <w:szCs w:val="20"/>
              </w:rPr>
              <w:t xml:space="preserve"> </w:t>
            </w:r>
            <w:r w:rsidRPr="00FF09A2">
              <w:rPr>
                <w:rFonts w:ascii="Arial Narrow" w:eastAsiaTheme="majorEastAsia" w:hAnsi="Arial Narrow"/>
                <w:b/>
                <w:sz w:val="20"/>
                <w:szCs w:val="20"/>
              </w:rPr>
              <w:t>BSC</w:t>
            </w:r>
          </w:p>
        </w:tc>
        <w:tc>
          <w:tcPr>
            <w:tcW w:w="1398" w:type="pct"/>
            <w:shd w:val="clear" w:color="auto" w:fill="FFFFFF"/>
            <w:vAlign w:val="center"/>
          </w:tcPr>
          <w:p w14:paraId="1618F972" w14:textId="77777777" w:rsidR="00F86069" w:rsidRPr="00FF09A2" w:rsidRDefault="00F86069" w:rsidP="001C5BDE">
            <w:pPr>
              <w:keepNext/>
              <w:keepLines/>
              <w:contextualSpacing/>
              <w:jc w:val="center"/>
              <w:rPr>
                <w:rFonts w:ascii="Arial Narrow" w:eastAsiaTheme="majorEastAsia" w:hAnsi="Arial Narrow"/>
                <w:b/>
                <w:sz w:val="20"/>
                <w:szCs w:val="20"/>
              </w:rPr>
            </w:pPr>
            <w:r w:rsidRPr="00FF09A2">
              <w:rPr>
                <w:rFonts w:ascii="Arial Narrow" w:eastAsiaTheme="majorEastAsia" w:hAnsi="Arial Narrow"/>
                <w:b/>
                <w:sz w:val="20"/>
                <w:szCs w:val="20"/>
              </w:rPr>
              <w:t>BSC</w:t>
            </w:r>
          </w:p>
        </w:tc>
        <w:tc>
          <w:tcPr>
            <w:tcW w:w="1307" w:type="pct"/>
            <w:tcBorders>
              <w:bottom w:val="single" w:sz="4" w:space="0" w:color="auto"/>
            </w:tcBorders>
            <w:shd w:val="clear" w:color="auto" w:fill="FFFFFF"/>
            <w:vAlign w:val="center"/>
          </w:tcPr>
          <w:p w14:paraId="57264861" w14:textId="77777777" w:rsidR="00F86069" w:rsidRPr="00FF09A2" w:rsidRDefault="00F86069" w:rsidP="001C5BDE">
            <w:pPr>
              <w:keepNext/>
              <w:keepLines/>
              <w:contextualSpacing/>
              <w:jc w:val="center"/>
              <w:rPr>
                <w:rFonts w:ascii="Arial Narrow" w:eastAsiaTheme="majorEastAsia" w:hAnsi="Arial Narrow"/>
                <w:b/>
                <w:sz w:val="20"/>
                <w:szCs w:val="20"/>
              </w:rPr>
            </w:pPr>
            <w:r w:rsidRPr="00FF09A2">
              <w:rPr>
                <w:rFonts w:ascii="Arial Narrow" w:eastAsiaTheme="majorEastAsia" w:hAnsi="Arial Narrow"/>
                <w:b/>
                <w:sz w:val="20"/>
                <w:szCs w:val="20"/>
              </w:rPr>
              <w:t>Increment</w:t>
            </w:r>
          </w:p>
        </w:tc>
      </w:tr>
      <w:tr w:rsidR="00F86069" w:rsidRPr="00FF09A2" w14:paraId="593B0319" w14:textId="77777777" w:rsidTr="00D62E6D">
        <w:trPr>
          <w:cantSplit/>
        </w:trPr>
        <w:tc>
          <w:tcPr>
            <w:tcW w:w="942" w:type="pct"/>
            <w:shd w:val="clear" w:color="auto" w:fill="auto"/>
          </w:tcPr>
          <w:p w14:paraId="6E2A6194" w14:textId="6886D3A7" w:rsidR="00F86069" w:rsidRPr="00FF09A2" w:rsidRDefault="00F86069" w:rsidP="001C5BDE">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Costs</w:t>
            </w:r>
            <w:r w:rsidR="00BC6102">
              <w:rPr>
                <w:rFonts w:ascii="Arial Narrow" w:eastAsiaTheme="majorEastAsia" w:hAnsi="Arial Narrow"/>
                <w:sz w:val="20"/>
                <w:szCs w:val="20"/>
              </w:rPr>
              <w:t xml:space="preserve"> ($)</w:t>
            </w:r>
          </w:p>
        </w:tc>
        <w:tc>
          <w:tcPr>
            <w:tcW w:w="1353" w:type="pct"/>
            <w:shd w:val="solid" w:color="000000" w:fill="000000"/>
            <w:vAlign w:val="center"/>
          </w:tcPr>
          <w:p w14:paraId="6AEE6D83" w14:textId="54F436B2" w:rsidR="00F86069" w:rsidRPr="00D62E6D" w:rsidRDefault="00D62E6D" w:rsidP="001C5BDE">
            <w:pPr>
              <w:keepNext/>
              <w:keepLines/>
              <w:contextualSpacing/>
              <w:jc w:val="center"/>
              <w:rPr>
                <w:rFonts w:ascii="Arial Narrow" w:eastAsiaTheme="majorEastAsia" w:hAnsi="Arial Narrow"/>
                <w:sz w:val="20"/>
                <w:szCs w:val="20"/>
              </w:rPr>
            </w:pPr>
            <w:r w:rsidRPr="00D62E6D">
              <w:rPr>
                <w:rFonts w:ascii="Arial Narrow" w:eastAsiaTheme="majorEastAsia" w:hAnsi="Arial Narrow"/>
                <w:color w:val="000000"/>
                <w:sz w:val="20"/>
                <w:szCs w:val="20"/>
                <w14:textFill>
                  <w14:solidFill>
                    <w14:srgbClr w14:val="000000">
                      <w14:alpha w14:val="100000"/>
                    </w14:srgbClr>
                  </w14:solidFill>
                </w14:textFill>
              </w:rPr>
              <w:t>|</w:t>
            </w:r>
          </w:p>
        </w:tc>
        <w:tc>
          <w:tcPr>
            <w:tcW w:w="1398" w:type="pct"/>
            <w:shd w:val="clear" w:color="auto" w:fill="auto"/>
            <w:vAlign w:val="center"/>
          </w:tcPr>
          <w:p w14:paraId="57EC3971" w14:textId="77777777" w:rsidR="00F86069" w:rsidRPr="00FF09A2" w:rsidRDefault="00F86069" w:rsidP="001C5BDE">
            <w:pPr>
              <w:keepNext/>
              <w:keepLines/>
              <w:contextualSpacing/>
              <w:jc w:val="center"/>
              <w:rPr>
                <w:rFonts w:ascii="Arial Narrow" w:eastAsiaTheme="majorEastAsia" w:hAnsi="Arial Narrow"/>
                <w:sz w:val="20"/>
                <w:szCs w:val="20"/>
              </w:rPr>
            </w:pPr>
            <w:r w:rsidRPr="00FF09A2">
              <w:rPr>
                <w:rFonts w:ascii="Arial Narrow" w:eastAsiaTheme="majorEastAsia" w:hAnsi="Arial Narrow"/>
                <w:sz w:val="20"/>
                <w:szCs w:val="20"/>
              </w:rPr>
              <w:t>$685,577</w:t>
            </w:r>
          </w:p>
        </w:tc>
        <w:tc>
          <w:tcPr>
            <w:tcW w:w="1307" w:type="pct"/>
            <w:shd w:val="solid" w:color="000000" w:fill="000000"/>
            <w:vAlign w:val="center"/>
          </w:tcPr>
          <w:p w14:paraId="1C6491D3" w14:textId="36073BA8" w:rsidR="00F86069" w:rsidRPr="00D62E6D" w:rsidRDefault="00D62E6D" w:rsidP="001C5BDE">
            <w:pPr>
              <w:keepNext/>
              <w:keepLines/>
              <w:contextualSpacing/>
              <w:jc w:val="center"/>
              <w:rPr>
                <w:rFonts w:ascii="Arial Narrow" w:eastAsiaTheme="majorEastAsia" w:hAnsi="Arial Narrow"/>
                <w:sz w:val="20"/>
                <w:szCs w:val="20"/>
              </w:rPr>
            </w:pPr>
            <w:r w:rsidRPr="00D62E6D">
              <w:rPr>
                <w:rFonts w:ascii="Arial Narrow" w:eastAsiaTheme="majorEastAsia" w:hAnsi="Arial Narrow"/>
                <w:color w:val="000000"/>
                <w:sz w:val="20"/>
                <w:szCs w:val="20"/>
                <w14:textFill>
                  <w14:solidFill>
                    <w14:srgbClr w14:val="000000">
                      <w14:alpha w14:val="100000"/>
                    </w14:srgbClr>
                  </w14:solidFill>
                </w14:textFill>
              </w:rPr>
              <w:t>|</w:t>
            </w:r>
          </w:p>
        </w:tc>
      </w:tr>
      <w:tr w:rsidR="00F86069" w:rsidRPr="00FF09A2" w14:paraId="12F03C9A" w14:textId="77777777" w:rsidTr="00B12403">
        <w:trPr>
          <w:cantSplit/>
        </w:trPr>
        <w:tc>
          <w:tcPr>
            <w:tcW w:w="942" w:type="pct"/>
            <w:shd w:val="clear" w:color="auto" w:fill="auto"/>
          </w:tcPr>
          <w:p w14:paraId="47F2BFCE" w14:textId="53BB4660" w:rsidR="00F86069" w:rsidRPr="00FF09A2" w:rsidRDefault="00F86069" w:rsidP="001C5BDE">
            <w:pPr>
              <w:keepNext/>
              <w:keepLines/>
              <w:contextualSpacing/>
              <w:rPr>
                <w:rFonts w:ascii="Arial Narrow" w:eastAsiaTheme="majorEastAsia" w:hAnsi="Arial Narrow"/>
                <w:sz w:val="20"/>
                <w:szCs w:val="20"/>
              </w:rPr>
            </w:pPr>
            <w:r w:rsidRPr="00FF09A2">
              <w:rPr>
                <w:rFonts w:ascii="Arial Narrow" w:eastAsiaTheme="majorEastAsia" w:hAnsi="Arial Narrow"/>
                <w:sz w:val="20"/>
                <w:szCs w:val="20"/>
              </w:rPr>
              <w:t>QALY</w:t>
            </w:r>
            <w:r w:rsidR="006E36B3">
              <w:rPr>
                <w:rFonts w:ascii="Arial Narrow" w:eastAsiaTheme="majorEastAsia" w:hAnsi="Arial Narrow"/>
                <w:sz w:val="20"/>
                <w:szCs w:val="20"/>
              </w:rPr>
              <w:t>s</w:t>
            </w:r>
          </w:p>
        </w:tc>
        <w:tc>
          <w:tcPr>
            <w:tcW w:w="1353" w:type="pct"/>
            <w:shd w:val="clear" w:color="auto" w:fill="auto"/>
            <w:vAlign w:val="center"/>
          </w:tcPr>
          <w:p w14:paraId="46B526FD" w14:textId="77777777" w:rsidR="00F86069" w:rsidRPr="00FF09A2" w:rsidRDefault="00F86069" w:rsidP="001C5BDE">
            <w:pPr>
              <w:keepNext/>
              <w:keepLines/>
              <w:contextualSpacing/>
              <w:jc w:val="center"/>
              <w:rPr>
                <w:rFonts w:ascii="Arial Narrow" w:eastAsiaTheme="majorEastAsia" w:hAnsi="Arial Narrow"/>
                <w:sz w:val="20"/>
                <w:szCs w:val="20"/>
              </w:rPr>
            </w:pPr>
            <w:r w:rsidRPr="00FF09A2">
              <w:rPr>
                <w:rFonts w:ascii="Arial Narrow" w:eastAsiaTheme="majorEastAsia" w:hAnsi="Arial Narrow"/>
                <w:sz w:val="20"/>
                <w:szCs w:val="20"/>
              </w:rPr>
              <w:t>13.64</w:t>
            </w:r>
          </w:p>
        </w:tc>
        <w:tc>
          <w:tcPr>
            <w:tcW w:w="1398" w:type="pct"/>
            <w:shd w:val="clear" w:color="auto" w:fill="auto"/>
            <w:vAlign w:val="center"/>
          </w:tcPr>
          <w:p w14:paraId="2EA599FE" w14:textId="77777777" w:rsidR="00F86069" w:rsidRPr="00FF09A2" w:rsidRDefault="00F86069" w:rsidP="001C5BDE">
            <w:pPr>
              <w:keepNext/>
              <w:keepLines/>
              <w:contextualSpacing/>
              <w:jc w:val="center"/>
              <w:rPr>
                <w:rFonts w:ascii="Arial Narrow" w:eastAsiaTheme="majorEastAsia" w:hAnsi="Arial Narrow"/>
                <w:sz w:val="20"/>
                <w:szCs w:val="20"/>
              </w:rPr>
            </w:pPr>
            <w:r w:rsidRPr="00FF09A2">
              <w:rPr>
                <w:rFonts w:ascii="Arial Narrow" w:eastAsiaTheme="majorEastAsia" w:hAnsi="Arial Narrow"/>
                <w:sz w:val="20"/>
                <w:szCs w:val="20"/>
              </w:rPr>
              <w:t>11.38</w:t>
            </w:r>
          </w:p>
        </w:tc>
        <w:tc>
          <w:tcPr>
            <w:tcW w:w="1307" w:type="pct"/>
            <w:shd w:val="clear" w:color="auto" w:fill="auto"/>
            <w:vAlign w:val="center"/>
          </w:tcPr>
          <w:p w14:paraId="22117633" w14:textId="77777777" w:rsidR="00F86069" w:rsidRPr="00FF09A2" w:rsidRDefault="00F86069" w:rsidP="001C5BDE">
            <w:pPr>
              <w:keepNext/>
              <w:keepLines/>
              <w:contextualSpacing/>
              <w:jc w:val="center"/>
              <w:rPr>
                <w:rFonts w:ascii="Arial Narrow" w:eastAsiaTheme="majorEastAsia" w:hAnsi="Arial Narrow"/>
                <w:sz w:val="20"/>
                <w:szCs w:val="20"/>
              </w:rPr>
            </w:pPr>
            <w:r w:rsidRPr="00FF09A2">
              <w:rPr>
                <w:rFonts w:ascii="Arial Narrow" w:eastAsiaTheme="majorEastAsia" w:hAnsi="Arial Narrow"/>
                <w:sz w:val="20"/>
                <w:szCs w:val="20"/>
              </w:rPr>
              <w:t>2.26</w:t>
            </w:r>
          </w:p>
        </w:tc>
      </w:tr>
      <w:tr w:rsidR="00F86069" w:rsidRPr="0017166C" w14:paraId="101DA377" w14:textId="77777777" w:rsidTr="00B12403">
        <w:trPr>
          <w:cantSplit/>
        </w:trPr>
        <w:tc>
          <w:tcPr>
            <w:tcW w:w="3693" w:type="pct"/>
            <w:gridSpan w:val="3"/>
            <w:tcBorders>
              <w:right w:val="single" w:sz="4" w:space="0" w:color="000000"/>
            </w:tcBorders>
            <w:shd w:val="clear" w:color="auto" w:fill="auto"/>
          </w:tcPr>
          <w:p w14:paraId="25518AA8" w14:textId="77777777" w:rsidR="00F86069" w:rsidRPr="0017166C" w:rsidRDefault="00F86069" w:rsidP="001C5BDE">
            <w:pPr>
              <w:keepNext/>
              <w:keepLines/>
              <w:contextualSpacing/>
              <w:rPr>
                <w:rFonts w:ascii="Arial Narrow" w:eastAsiaTheme="majorEastAsia" w:hAnsi="Arial Narrow"/>
                <w:b/>
                <w:bCs/>
                <w:sz w:val="20"/>
                <w:szCs w:val="20"/>
              </w:rPr>
            </w:pPr>
            <w:r w:rsidRPr="0017166C">
              <w:rPr>
                <w:rFonts w:ascii="Arial Narrow" w:eastAsiaTheme="majorEastAsia" w:hAnsi="Arial Narrow"/>
                <w:b/>
                <w:bCs/>
                <w:sz w:val="20"/>
                <w:szCs w:val="20"/>
              </w:rPr>
              <w:t>Incremental cost per QALY gained</w:t>
            </w:r>
          </w:p>
        </w:tc>
        <w:tc>
          <w:tcPr>
            <w:tcW w:w="1307" w:type="pct"/>
            <w:tcBorders>
              <w:left w:val="single" w:sz="4" w:space="0" w:color="000000"/>
            </w:tcBorders>
            <w:shd w:val="clear" w:color="auto" w:fill="auto"/>
          </w:tcPr>
          <w:p w14:paraId="4441170A" w14:textId="5329409A" w:rsidR="00F86069" w:rsidRPr="0017166C" w:rsidRDefault="00D62E6D" w:rsidP="001C5BDE">
            <w:pPr>
              <w:keepNext/>
              <w:keepLines/>
              <w:contextualSpacing/>
              <w:jc w:val="center"/>
              <w:rPr>
                <w:rFonts w:ascii="Arial Narrow" w:eastAsia="Calibri" w:hAnsi="Arial Narrow"/>
                <w:b/>
                <w:bCs/>
                <w:sz w:val="20"/>
                <w:szCs w:val="20"/>
              </w:rPr>
            </w:pPr>
            <w:r w:rsidRPr="00D62E6D">
              <w:rPr>
                <w:rFonts w:ascii="Arial Narrow" w:eastAsia="Calibri" w:hAnsi="Arial Narrow"/>
                <w:b/>
                <w:bCs/>
                <w:color w:val="000000"/>
                <w:sz w:val="20"/>
                <w:szCs w:val="20"/>
                <w:shd w:val="solid" w:color="000000" w:fill="000000"/>
                <w14:textFill>
                  <w14:solidFill>
                    <w14:srgbClr w14:val="000000">
                      <w14:alpha w14:val="100000"/>
                    </w14:srgbClr>
                  </w14:solidFill>
                </w14:textFill>
              </w:rPr>
              <w:t>|</w:t>
            </w:r>
            <w:r w:rsidR="00BC6102">
              <w:rPr>
                <w:rFonts w:ascii="Arial Narrow" w:hAnsi="Arial Narrow"/>
                <w:snapToGrid w:val="0"/>
                <w:sz w:val="18"/>
                <w:szCs w:val="22"/>
                <w:vertAlign w:val="superscript"/>
              </w:rPr>
              <w:t>1</w:t>
            </w:r>
          </w:p>
        </w:tc>
      </w:tr>
    </w:tbl>
    <w:p w14:paraId="5C14D4FC" w14:textId="77777777" w:rsidR="00F86069" w:rsidRPr="00FF09A2" w:rsidRDefault="00F86069" w:rsidP="001C5BDE">
      <w:pPr>
        <w:keepNext/>
        <w:keepLines/>
        <w:spacing w:after="120"/>
        <w:contextualSpacing/>
        <w:rPr>
          <w:rFonts w:ascii="Arial Narrow" w:hAnsi="Arial Narrow"/>
          <w:snapToGrid w:val="0"/>
          <w:sz w:val="18"/>
          <w:szCs w:val="22"/>
        </w:rPr>
      </w:pPr>
      <w:r w:rsidRPr="00FF09A2">
        <w:rPr>
          <w:rFonts w:ascii="Arial Narrow" w:hAnsi="Arial Narrow"/>
          <w:snapToGrid w:val="0"/>
          <w:sz w:val="18"/>
          <w:szCs w:val="22"/>
        </w:rPr>
        <w:t>Source: Source: Table 3.5.22, p130 of the submission.</w:t>
      </w:r>
    </w:p>
    <w:p w14:paraId="5AD02BEF" w14:textId="01B8D9D3" w:rsidR="00F86069" w:rsidRDefault="00F86069" w:rsidP="006E36B3">
      <w:pPr>
        <w:keepNext/>
        <w:keepLines/>
        <w:spacing w:after="120"/>
        <w:contextualSpacing/>
        <w:rPr>
          <w:rFonts w:ascii="Arial Narrow" w:hAnsi="Arial Narrow"/>
          <w:snapToGrid w:val="0"/>
          <w:sz w:val="18"/>
          <w:szCs w:val="22"/>
        </w:rPr>
      </w:pPr>
      <w:r w:rsidRPr="00FF09A2">
        <w:rPr>
          <w:rFonts w:ascii="Arial Narrow" w:hAnsi="Arial Narrow"/>
          <w:snapToGrid w:val="0"/>
          <w:sz w:val="18"/>
          <w:szCs w:val="22"/>
        </w:rPr>
        <w:t>BSC = best supportive care; QALYs = quality-adjusted life-years.</w:t>
      </w:r>
    </w:p>
    <w:p w14:paraId="2B892242" w14:textId="1DF5DA1E" w:rsidR="00BC6102" w:rsidRPr="00BC6102" w:rsidRDefault="00BC6102" w:rsidP="006E36B3">
      <w:pPr>
        <w:keepNext/>
        <w:keepLines/>
        <w:spacing w:after="120"/>
        <w:contextualSpacing/>
        <w:rPr>
          <w:rFonts w:ascii="Arial Narrow" w:hAnsi="Arial Narrow"/>
          <w:i/>
          <w:iCs/>
          <w:snapToGrid w:val="0"/>
          <w:sz w:val="18"/>
          <w:szCs w:val="22"/>
        </w:rPr>
      </w:pPr>
      <w:r w:rsidRPr="00BC6102">
        <w:rPr>
          <w:rFonts w:ascii="Arial Narrow" w:hAnsi="Arial Narrow"/>
          <w:i/>
          <w:iCs/>
          <w:snapToGrid w:val="0"/>
          <w:sz w:val="18"/>
          <w:szCs w:val="22"/>
        </w:rPr>
        <w:t>The redacted values correspond to the following ranges:</w:t>
      </w:r>
    </w:p>
    <w:p w14:paraId="7BBD735B" w14:textId="133E6FD3" w:rsidR="00BC6102" w:rsidRPr="00BC6102" w:rsidRDefault="00BC6102" w:rsidP="006E36B3">
      <w:pPr>
        <w:keepNext/>
        <w:keepLines/>
        <w:spacing w:after="120"/>
        <w:contextualSpacing/>
        <w:rPr>
          <w:rFonts w:ascii="Arial Narrow" w:hAnsi="Arial Narrow"/>
          <w:i/>
          <w:iCs/>
          <w:snapToGrid w:val="0"/>
          <w:sz w:val="18"/>
          <w:szCs w:val="22"/>
        </w:rPr>
      </w:pPr>
      <w:r w:rsidRPr="00BC6102">
        <w:rPr>
          <w:rFonts w:ascii="Arial Narrow" w:hAnsi="Arial Narrow"/>
          <w:i/>
          <w:iCs/>
          <w:snapToGrid w:val="0"/>
          <w:sz w:val="18"/>
          <w:szCs w:val="22"/>
          <w:vertAlign w:val="superscript"/>
        </w:rPr>
        <w:t>1</w:t>
      </w:r>
      <w:r w:rsidRPr="00BC6102">
        <w:rPr>
          <w:rFonts w:ascii="Arial Narrow" w:hAnsi="Arial Narrow"/>
          <w:i/>
          <w:iCs/>
          <w:snapToGrid w:val="0"/>
          <w:sz w:val="18"/>
          <w:szCs w:val="22"/>
        </w:rPr>
        <w:t xml:space="preserve"> $95,000 to &lt; $115,000</w:t>
      </w:r>
    </w:p>
    <w:p w14:paraId="7F325BB8" w14:textId="074FAB97" w:rsidR="00F86069" w:rsidRPr="00FF09A2" w:rsidRDefault="00F86069" w:rsidP="006E36B3">
      <w:pPr>
        <w:pStyle w:val="3-BodyText"/>
        <w:ind w:left="720"/>
      </w:pPr>
      <w:r w:rsidRPr="00FF09A2">
        <w:t xml:space="preserve">The results of key sensitivity analyses are summarised in </w:t>
      </w:r>
      <w:r w:rsidR="00A01452" w:rsidRPr="00FF09A2">
        <w:fldChar w:fldCharType="begin"/>
      </w:r>
      <w:r w:rsidR="00A01452" w:rsidRPr="00FF09A2">
        <w:instrText xml:space="preserve"> REF _Ref132555340 \h  \* MERGEFORMAT </w:instrText>
      </w:r>
      <w:r w:rsidR="00A01452" w:rsidRPr="00FF09A2">
        <w:fldChar w:fldCharType="separate"/>
      </w:r>
      <w:r w:rsidR="00025B72" w:rsidRPr="00025B72">
        <w:t>Table 9</w:t>
      </w:r>
      <w:r w:rsidR="00A01452" w:rsidRPr="00FF09A2">
        <w:fldChar w:fldCharType="end"/>
      </w:r>
      <w:r w:rsidRPr="00FF09A2">
        <w:t xml:space="preserve">. The results of the model were most sensitive to the assumptions of a shorter time horizon </w:t>
      </w:r>
      <w:r w:rsidR="00C23854" w:rsidRPr="00FF09A2">
        <w:t xml:space="preserve">and </w:t>
      </w:r>
      <w:r w:rsidRPr="00FF09A2">
        <w:t>removal of LoE</w:t>
      </w:r>
      <w:r w:rsidR="009567FD">
        <w:rPr>
          <w:i/>
          <w:iCs/>
        </w:rPr>
        <w:t xml:space="preserve">. </w:t>
      </w:r>
    </w:p>
    <w:p w14:paraId="49F59143" w14:textId="357949FA" w:rsidR="00F86069" w:rsidRPr="00FF09A2" w:rsidRDefault="00F86069" w:rsidP="00A01452">
      <w:pPr>
        <w:keepNext/>
        <w:jc w:val="left"/>
        <w:rPr>
          <w:rFonts w:ascii="Arial Narrow" w:eastAsiaTheme="minorHAnsi" w:hAnsi="Arial Narrow" w:cstheme="minorBidi"/>
          <w:b/>
          <w:sz w:val="20"/>
          <w:szCs w:val="22"/>
          <w:lang w:eastAsia="en-US"/>
        </w:rPr>
      </w:pPr>
      <w:bookmarkStart w:id="45" w:name="_Ref132555340"/>
      <w:r w:rsidRPr="00FF09A2">
        <w:rPr>
          <w:rFonts w:ascii="Arial Narrow" w:eastAsiaTheme="minorHAnsi" w:hAnsi="Arial Narrow" w:cstheme="minorBidi"/>
          <w:b/>
          <w:sz w:val="20"/>
          <w:szCs w:val="22"/>
          <w:lang w:eastAsia="en-US"/>
        </w:rPr>
        <w:t xml:space="preserve">Table </w:t>
      </w:r>
      <w:r w:rsidRPr="00FF09A2">
        <w:rPr>
          <w:rFonts w:ascii="Arial Narrow" w:eastAsiaTheme="minorHAnsi" w:hAnsi="Arial Narrow" w:cstheme="minorBidi"/>
          <w:b/>
          <w:sz w:val="20"/>
          <w:szCs w:val="22"/>
          <w:lang w:eastAsia="en-US"/>
        </w:rPr>
        <w:fldChar w:fldCharType="begin"/>
      </w:r>
      <w:r w:rsidRPr="00FF09A2">
        <w:rPr>
          <w:rFonts w:ascii="Arial Narrow" w:eastAsiaTheme="minorHAnsi" w:hAnsi="Arial Narrow" w:cstheme="minorBidi"/>
          <w:b/>
          <w:sz w:val="20"/>
          <w:szCs w:val="22"/>
          <w:lang w:eastAsia="en-US"/>
        </w:rPr>
        <w:instrText xml:space="preserve"> SEQ Table \* ARABIC </w:instrText>
      </w:r>
      <w:r w:rsidRPr="00FF09A2">
        <w:rPr>
          <w:rFonts w:ascii="Arial Narrow" w:eastAsiaTheme="minorHAnsi" w:hAnsi="Arial Narrow" w:cstheme="minorBidi"/>
          <w:b/>
          <w:sz w:val="20"/>
          <w:szCs w:val="22"/>
          <w:lang w:eastAsia="en-US"/>
        </w:rPr>
        <w:fldChar w:fldCharType="separate"/>
      </w:r>
      <w:r w:rsidR="00025B72">
        <w:rPr>
          <w:rFonts w:ascii="Arial Narrow" w:eastAsiaTheme="minorHAnsi" w:hAnsi="Arial Narrow" w:cstheme="minorBidi"/>
          <w:b/>
          <w:noProof/>
          <w:sz w:val="20"/>
          <w:szCs w:val="22"/>
          <w:lang w:eastAsia="en-US"/>
        </w:rPr>
        <w:t>9</w:t>
      </w:r>
      <w:r w:rsidRPr="00FF09A2">
        <w:rPr>
          <w:rFonts w:ascii="Arial Narrow" w:eastAsiaTheme="minorHAnsi" w:hAnsi="Arial Narrow" w:cstheme="minorBidi"/>
          <w:b/>
          <w:noProof/>
          <w:sz w:val="20"/>
          <w:szCs w:val="22"/>
          <w:lang w:eastAsia="en-US"/>
        </w:rPr>
        <w:fldChar w:fldCharType="end"/>
      </w:r>
      <w:bookmarkEnd w:id="45"/>
      <w:r w:rsidRPr="00FF09A2">
        <w:rPr>
          <w:rFonts w:ascii="Arial Narrow" w:eastAsiaTheme="minorHAnsi" w:hAnsi="Arial Narrow" w:cstheme="minorBidi"/>
          <w:b/>
          <w:sz w:val="20"/>
          <w:szCs w:val="22"/>
          <w:lang w:eastAsia="en-US"/>
        </w:rPr>
        <w:t>: Sensitivity analyses</w:t>
      </w:r>
    </w:p>
    <w:tbl>
      <w:tblPr>
        <w:tblStyle w:val="HTATableshaded"/>
        <w:tblW w:w="9017" w:type="dxa"/>
        <w:tblLayout w:type="fixed"/>
        <w:tblLook w:val="04A0" w:firstRow="1" w:lastRow="0" w:firstColumn="1" w:lastColumn="0" w:noHBand="0" w:noVBand="1"/>
      </w:tblPr>
      <w:tblGrid>
        <w:gridCol w:w="3748"/>
        <w:gridCol w:w="1527"/>
        <w:gridCol w:w="1560"/>
        <w:gridCol w:w="1080"/>
        <w:gridCol w:w="1102"/>
      </w:tblGrid>
      <w:tr w:rsidR="00F86069" w:rsidRPr="00B3449A" w14:paraId="558C5C34" w14:textId="77777777" w:rsidTr="00D62E6D">
        <w:trPr>
          <w:cnfStyle w:val="100000000000" w:firstRow="1" w:lastRow="0" w:firstColumn="0" w:lastColumn="0" w:oddVBand="0" w:evenVBand="0" w:oddHBand="0" w:evenHBand="0" w:firstRowFirstColumn="0" w:firstRowLastColumn="0" w:lastRowFirstColumn="0" w:lastRowLastColumn="0"/>
          <w:tblHeader/>
        </w:trPr>
        <w:tc>
          <w:tcPr>
            <w:tcW w:w="3748" w:type="dxa"/>
            <w:shd w:val="clear" w:color="auto" w:fill="auto"/>
            <w:tcMar>
              <w:left w:w="40" w:type="dxa"/>
              <w:right w:w="40" w:type="dxa"/>
            </w:tcMar>
          </w:tcPr>
          <w:p w14:paraId="6CD29513" w14:textId="77777777" w:rsidR="00F86069" w:rsidRPr="00B3449A" w:rsidRDefault="00F86069" w:rsidP="00B12403">
            <w:pPr>
              <w:keepNext/>
              <w:keepLines/>
              <w:spacing w:before="0" w:after="0"/>
              <w:jc w:val="left"/>
              <w:rPr>
                <w:rFonts w:ascii="Arial Narrow" w:eastAsiaTheme="minorHAnsi" w:hAnsi="Arial Narrow" w:cs="Tahoma"/>
                <w:b/>
                <w:sz w:val="20"/>
                <w:szCs w:val="20"/>
                <w:lang w:eastAsia="en-GB"/>
              </w:rPr>
            </w:pPr>
            <w:r w:rsidRPr="00B3449A">
              <w:rPr>
                <w:rFonts w:ascii="Arial Narrow" w:eastAsiaTheme="minorHAnsi" w:hAnsi="Arial Narrow" w:cs="Tahoma"/>
                <w:b/>
                <w:sz w:val="20"/>
                <w:szCs w:val="20"/>
                <w:lang w:eastAsia="en-GB"/>
              </w:rPr>
              <w:t>Analysis description</w:t>
            </w:r>
          </w:p>
        </w:tc>
        <w:tc>
          <w:tcPr>
            <w:tcW w:w="1527" w:type="dxa"/>
            <w:shd w:val="clear" w:color="auto" w:fill="auto"/>
            <w:tcMar>
              <w:left w:w="40" w:type="dxa"/>
              <w:right w:w="40" w:type="dxa"/>
            </w:tcMar>
          </w:tcPr>
          <w:p w14:paraId="65ADDCA8" w14:textId="6B709CF8" w:rsidR="00F86069" w:rsidRPr="00B3449A" w:rsidRDefault="00F86069" w:rsidP="00B12403">
            <w:pPr>
              <w:keepNext/>
              <w:keepLines/>
              <w:spacing w:before="0" w:after="0"/>
              <w:jc w:val="center"/>
              <w:rPr>
                <w:rFonts w:ascii="Arial Narrow" w:eastAsiaTheme="minorHAnsi" w:hAnsi="Arial Narrow" w:cs="Tahoma"/>
                <w:b/>
                <w:sz w:val="20"/>
                <w:szCs w:val="20"/>
                <w:lang w:eastAsia="en-GB"/>
              </w:rPr>
            </w:pPr>
            <w:r w:rsidRPr="00B3449A">
              <w:rPr>
                <w:rFonts w:ascii="Arial Narrow" w:eastAsiaTheme="minorHAnsi" w:hAnsi="Arial Narrow" w:cs="Tahoma"/>
                <w:b/>
                <w:sz w:val="20"/>
                <w:szCs w:val="20"/>
                <w:lang w:eastAsia="en-GB"/>
              </w:rPr>
              <w:t xml:space="preserve">Incremental cost </w:t>
            </w:r>
          </w:p>
        </w:tc>
        <w:tc>
          <w:tcPr>
            <w:tcW w:w="1560" w:type="dxa"/>
            <w:shd w:val="clear" w:color="auto" w:fill="auto"/>
            <w:tcMar>
              <w:left w:w="40" w:type="dxa"/>
              <w:right w:w="40" w:type="dxa"/>
            </w:tcMar>
          </w:tcPr>
          <w:p w14:paraId="59F70274" w14:textId="77777777" w:rsidR="00F86069" w:rsidRPr="00B3449A" w:rsidRDefault="00F86069" w:rsidP="00B12403">
            <w:pPr>
              <w:keepNext/>
              <w:keepLines/>
              <w:spacing w:before="0" w:after="0"/>
              <w:jc w:val="center"/>
              <w:rPr>
                <w:rFonts w:ascii="Arial Narrow" w:eastAsiaTheme="minorHAnsi" w:hAnsi="Arial Narrow" w:cs="Tahoma"/>
                <w:b/>
                <w:sz w:val="20"/>
                <w:szCs w:val="20"/>
                <w:lang w:eastAsia="en-GB"/>
              </w:rPr>
            </w:pPr>
            <w:r w:rsidRPr="00B3449A">
              <w:rPr>
                <w:rFonts w:ascii="Arial Narrow" w:eastAsiaTheme="minorHAnsi" w:hAnsi="Arial Narrow" w:cs="Tahoma"/>
                <w:b/>
                <w:sz w:val="20"/>
                <w:szCs w:val="20"/>
                <w:lang w:eastAsia="en-GB"/>
              </w:rPr>
              <w:t>Incremental effect (QALYs)</w:t>
            </w:r>
          </w:p>
        </w:tc>
        <w:tc>
          <w:tcPr>
            <w:tcW w:w="1080" w:type="dxa"/>
            <w:shd w:val="clear" w:color="auto" w:fill="auto"/>
            <w:tcMar>
              <w:left w:w="40" w:type="dxa"/>
              <w:right w:w="40" w:type="dxa"/>
            </w:tcMar>
          </w:tcPr>
          <w:p w14:paraId="74260BC8" w14:textId="64F53AF1" w:rsidR="00F86069" w:rsidRPr="00B3449A" w:rsidRDefault="00F86069" w:rsidP="00B12403">
            <w:pPr>
              <w:keepNext/>
              <w:keepLines/>
              <w:spacing w:before="0" w:after="0"/>
              <w:jc w:val="center"/>
              <w:rPr>
                <w:rFonts w:ascii="Arial Narrow" w:eastAsiaTheme="minorHAnsi" w:hAnsi="Arial Narrow" w:cs="Tahoma"/>
                <w:b/>
                <w:sz w:val="20"/>
                <w:szCs w:val="20"/>
                <w:lang w:eastAsia="en-GB"/>
              </w:rPr>
            </w:pPr>
            <w:r w:rsidRPr="00B3449A">
              <w:rPr>
                <w:rFonts w:ascii="Arial Narrow" w:eastAsiaTheme="minorHAnsi" w:hAnsi="Arial Narrow" w:cs="Tahoma"/>
                <w:b/>
                <w:sz w:val="20"/>
                <w:szCs w:val="20"/>
                <w:lang w:eastAsia="en-GB"/>
              </w:rPr>
              <w:t xml:space="preserve">ICER </w:t>
            </w:r>
            <w:r w:rsidRPr="00B3449A">
              <w:rPr>
                <w:rFonts w:ascii="Arial Narrow" w:eastAsiaTheme="minorHAnsi" w:hAnsi="Arial Narrow" w:cs="Tahoma"/>
                <w:b/>
                <w:sz w:val="20"/>
                <w:szCs w:val="20"/>
                <w:lang w:eastAsia="en-GB"/>
              </w:rPr>
              <w:br/>
            </w:r>
          </w:p>
        </w:tc>
        <w:tc>
          <w:tcPr>
            <w:tcW w:w="1102" w:type="dxa"/>
            <w:tcMar>
              <w:left w:w="40" w:type="dxa"/>
              <w:right w:w="40" w:type="dxa"/>
            </w:tcMar>
          </w:tcPr>
          <w:p w14:paraId="729EEA38" w14:textId="7F20E30E" w:rsidR="00F86069" w:rsidRPr="00B3449A" w:rsidRDefault="00F86069" w:rsidP="00B12403">
            <w:pPr>
              <w:keepNext/>
              <w:keepLines/>
              <w:spacing w:before="0" w:after="0"/>
              <w:jc w:val="center"/>
              <w:rPr>
                <w:rFonts w:ascii="Arial Narrow" w:eastAsiaTheme="minorHAnsi" w:hAnsi="Arial Narrow" w:cs="Tahoma"/>
                <w:b/>
                <w:sz w:val="20"/>
                <w:szCs w:val="20"/>
                <w:lang w:eastAsia="en-GB"/>
              </w:rPr>
            </w:pPr>
            <w:r w:rsidRPr="00B3449A">
              <w:rPr>
                <w:rFonts w:ascii="Arial Narrow" w:eastAsiaTheme="minorHAnsi" w:hAnsi="Arial Narrow" w:cs="Tahoma"/>
                <w:b/>
                <w:sz w:val="20"/>
                <w:szCs w:val="20"/>
                <w:lang w:eastAsia="en-GB"/>
              </w:rPr>
              <w:t>Change from base line</w:t>
            </w:r>
            <w:r w:rsidR="006E36B3">
              <w:rPr>
                <w:rFonts w:ascii="Arial Narrow" w:eastAsiaTheme="minorHAnsi" w:hAnsi="Arial Narrow" w:cs="Tahoma"/>
                <w:b/>
                <w:sz w:val="20"/>
                <w:szCs w:val="20"/>
                <w:lang w:eastAsia="en-GB"/>
              </w:rPr>
              <w:t>,</w:t>
            </w:r>
            <w:r w:rsidRPr="00B3449A">
              <w:rPr>
                <w:rFonts w:ascii="Arial Narrow" w:eastAsiaTheme="minorHAnsi" w:hAnsi="Arial Narrow" w:cs="Tahoma"/>
                <w:b/>
                <w:sz w:val="20"/>
                <w:szCs w:val="20"/>
                <w:lang w:eastAsia="en-GB"/>
              </w:rPr>
              <w:t xml:space="preserve"> %</w:t>
            </w:r>
          </w:p>
        </w:tc>
      </w:tr>
      <w:tr w:rsidR="00F86069" w:rsidRPr="00B3449A" w14:paraId="4E16C345" w14:textId="77777777" w:rsidTr="00D62E6D">
        <w:trPr>
          <w:cnfStyle w:val="100000000000" w:firstRow="1" w:lastRow="0" w:firstColumn="0" w:lastColumn="0" w:oddVBand="0" w:evenVBand="0" w:oddHBand="0" w:evenHBand="0" w:firstRowFirstColumn="0" w:firstRowLastColumn="0" w:lastRowFirstColumn="0" w:lastRowLastColumn="0"/>
          <w:tblHeader/>
        </w:trPr>
        <w:tc>
          <w:tcPr>
            <w:tcW w:w="3748" w:type="dxa"/>
            <w:tcBorders>
              <w:bottom w:val="nil"/>
            </w:tcBorders>
            <w:shd w:val="clear" w:color="auto" w:fill="auto"/>
            <w:tcMar>
              <w:left w:w="40" w:type="dxa"/>
              <w:right w:w="40" w:type="dxa"/>
            </w:tcMar>
          </w:tcPr>
          <w:p w14:paraId="04BA2C75" w14:textId="77777777" w:rsidR="00F86069" w:rsidRPr="00B3449A" w:rsidRDefault="00F86069" w:rsidP="00B12403">
            <w:pPr>
              <w:keepNext/>
              <w:keepLines/>
              <w:spacing w:before="0" w:after="0"/>
              <w:jc w:val="left"/>
              <w:rPr>
                <w:rFonts w:ascii="Arial Narrow" w:hAnsi="Arial Narrow" w:cs="Times New Roman"/>
                <w:b/>
                <w:sz w:val="20"/>
                <w:szCs w:val="20"/>
              </w:rPr>
            </w:pPr>
            <w:r w:rsidRPr="00B3449A">
              <w:rPr>
                <w:rFonts w:ascii="Arial Narrow" w:hAnsi="Arial Narrow" w:cs="Times New Roman"/>
                <w:b/>
                <w:sz w:val="20"/>
                <w:szCs w:val="20"/>
              </w:rPr>
              <w:t xml:space="preserve">Base case </w:t>
            </w:r>
          </w:p>
        </w:tc>
        <w:tc>
          <w:tcPr>
            <w:tcW w:w="1527" w:type="dxa"/>
            <w:shd w:val="solid" w:color="000000" w:fill="000000"/>
            <w:tcMar>
              <w:left w:w="40" w:type="dxa"/>
              <w:right w:w="40" w:type="dxa"/>
            </w:tcMar>
          </w:tcPr>
          <w:p w14:paraId="754837C0" w14:textId="733DD1BE" w:rsidR="00F86069" w:rsidRPr="00D62E6D" w:rsidRDefault="00D62E6D" w:rsidP="00B12403">
            <w:pPr>
              <w:keepNext/>
              <w:keepLines/>
              <w:spacing w:before="0" w:after="0"/>
              <w:jc w:val="center"/>
              <w:rPr>
                <w:rFonts w:ascii="Arial Narrow" w:hAnsi="Arial Narrow" w:cs="Times New Roman"/>
                <w:b/>
                <w:bCs/>
                <w:sz w:val="20"/>
                <w:szCs w:val="20"/>
              </w:rPr>
            </w:pPr>
            <w:r w:rsidRPr="00D62E6D">
              <w:rPr>
                <w:rFonts w:ascii="Arial Narrow" w:hAnsi="Arial Narrow" w:cs="Times New Roman"/>
                <w:b/>
                <w:bCs/>
                <w:color w:val="000000"/>
                <w:sz w:val="20"/>
                <w:szCs w:val="20"/>
                <w14:textFill>
                  <w14:solidFill>
                    <w14:srgbClr w14:val="000000">
                      <w14:alpha w14:val="100000"/>
                    </w14:srgbClr>
                  </w14:solidFill>
                </w14:textFill>
              </w:rPr>
              <w:t>|</w:t>
            </w:r>
          </w:p>
        </w:tc>
        <w:tc>
          <w:tcPr>
            <w:tcW w:w="1560" w:type="dxa"/>
            <w:shd w:val="clear" w:color="auto" w:fill="auto"/>
            <w:tcMar>
              <w:left w:w="40" w:type="dxa"/>
              <w:right w:w="40" w:type="dxa"/>
            </w:tcMar>
          </w:tcPr>
          <w:p w14:paraId="6E8FCA3E" w14:textId="77777777" w:rsidR="00F86069" w:rsidRPr="00B3449A" w:rsidRDefault="00F86069" w:rsidP="00B12403">
            <w:pPr>
              <w:keepNext/>
              <w:keepLines/>
              <w:spacing w:before="0" w:after="0"/>
              <w:jc w:val="center"/>
              <w:rPr>
                <w:rFonts w:ascii="Arial Narrow" w:hAnsi="Arial Narrow" w:cs="Times New Roman"/>
                <w:b/>
                <w:bCs/>
                <w:sz w:val="20"/>
                <w:szCs w:val="20"/>
              </w:rPr>
            </w:pPr>
            <w:r w:rsidRPr="00B3449A">
              <w:rPr>
                <w:rFonts w:ascii="Arial Narrow" w:hAnsi="Arial Narrow" w:cs="Times New Roman"/>
                <w:b/>
                <w:bCs/>
                <w:sz w:val="20"/>
                <w:szCs w:val="20"/>
              </w:rPr>
              <w:t>2.26</w:t>
            </w:r>
          </w:p>
        </w:tc>
        <w:tc>
          <w:tcPr>
            <w:tcW w:w="1080" w:type="dxa"/>
            <w:shd w:val="clear" w:color="auto" w:fill="auto"/>
            <w:tcMar>
              <w:left w:w="40" w:type="dxa"/>
              <w:right w:w="40" w:type="dxa"/>
            </w:tcMar>
          </w:tcPr>
          <w:p w14:paraId="1D4E925A" w14:textId="0AA833FB" w:rsidR="00F86069" w:rsidRPr="00B3449A" w:rsidRDefault="00D62E6D" w:rsidP="00B12403">
            <w:pPr>
              <w:keepNext/>
              <w:keepLines/>
              <w:spacing w:before="0" w:after="0"/>
              <w:jc w:val="center"/>
              <w:rPr>
                <w:rFonts w:ascii="Arial Narrow" w:hAnsi="Arial Narrow" w:cs="Times New Roman"/>
                <w:b/>
                <w:bCs/>
                <w:sz w:val="20"/>
                <w:szCs w:val="20"/>
              </w:rPr>
            </w:pPr>
            <w:r w:rsidRPr="00D62E6D">
              <w:rPr>
                <w:rFonts w:ascii="Arial Narrow" w:hAnsi="Arial Narrow" w:cs="Times New Roman" w:hint="eastAsia"/>
                <w:b/>
                <w:bCs/>
                <w:color w:val="000000"/>
                <w:w w:val="29"/>
                <w:sz w:val="20"/>
                <w:szCs w:val="20"/>
                <w:shd w:val="solid" w:color="000000" w:fill="000000"/>
                <w:fitText w:val="131" w:id="-1167896826"/>
                <w14:textFill>
                  <w14:solidFill>
                    <w14:srgbClr w14:val="000000">
                      <w14:alpha w14:val="100000"/>
                    </w14:srgbClr>
                  </w14:solidFill>
                </w14:textFill>
              </w:rPr>
              <w:t xml:space="preserve">　</w:t>
            </w:r>
            <w:r w:rsidRPr="00D62E6D">
              <w:rPr>
                <w:rFonts w:ascii="Arial Narrow" w:hAnsi="Arial Narrow" w:cs="Times New Roman"/>
                <w:b/>
                <w:bCs/>
                <w:color w:val="000000"/>
                <w:w w:val="29"/>
                <w:sz w:val="20"/>
                <w:szCs w:val="20"/>
                <w:shd w:val="solid" w:color="000000" w:fill="000000"/>
                <w:fitText w:val="131" w:id="-1167896826"/>
                <w14:textFill>
                  <w14:solidFill>
                    <w14:srgbClr w14:val="000000">
                      <w14:alpha w14:val="100000"/>
                    </w14:srgbClr>
                  </w14:solidFill>
                </w14:textFill>
              </w:rPr>
              <w:t>|</w:t>
            </w:r>
            <w:r w:rsidRPr="00D62E6D">
              <w:rPr>
                <w:rFonts w:ascii="Arial Narrow" w:hAnsi="Arial Narrow" w:cs="Times New Roman" w:hint="eastAsia"/>
                <w:b/>
                <w:bCs/>
                <w:color w:val="000000"/>
                <w:spacing w:val="2"/>
                <w:w w:val="29"/>
                <w:sz w:val="20"/>
                <w:szCs w:val="20"/>
                <w:shd w:val="solid" w:color="000000" w:fill="000000"/>
                <w:fitText w:val="131" w:id="-1167896826"/>
                <w14:textFill>
                  <w14:solidFill>
                    <w14:srgbClr w14:val="000000">
                      <w14:alpha w14:val="100000"/>
                    </w14:srgbClr>
                  </w14:solidFill>
                </w14:textFill>
              </w:rPr>
              <w:t xml:space="preserve">　</w:t>
            </w:r>
            <w:r w:rsidR="00BC6102" w:rsidRPr="00BC6102">
              <w:rPr>
                <w:rFonts w:ascii="Arial Narrow" w:eastAsiaTheme="minorHAnsi" w:hAnsi="Arial Narrow" w:cs="Tahoma"/>
                <w:color w:val="000000"/>
                <w:sz w:val="18"/>
                <w:szCs w:val="18"/>
                <w:vertAlign w:val="superscript"/>
              </w:rPr>
              <w:t>1</w:t>
            </w:r>
          </w:p>
        </w:tc>
        <w:tc>
          <w:tcPr>
            <w:tcW w:w="1102" w:type="dxa"/>
            <w:tcBorders>
              <w:left w:val="nil"/>
            </w:tcBorders>
            <w:shd w:val="clear" w:color="auto" w:fill="auto"/>
            <w:tcMar>
              <w:left w:w="40" w:type="dxa"/>
              <w:right w:w="40" w:type="dxa"/>
            </w:tcMar>
          </w:tcPr>
          <w:p w14:paraId="6A515AD6" w14:textId="77777777" w:rsidR="00F86069" w:rsidRPr="00B3449A" w:rsidRDefault="00F86069" w:rsidP="00B12403">
            <w:pPr>
              <w:keepNext/>
              <w:keepLines/>
              <w:spacing w:before="0" w:after="0"/>
              <w:jc w:val="center"/>
              <w:rPr>
                <w:rFonts w:ascii="Arial Narrow" w:hAnsi="Arial Narrow" w:cs="Times New Roman"/>
                <w:b/>
                <w:bCs/>
                <w:sz w:val="20"/>
                <w:szCs w:val="20"/>
              </w:rPr>
            </w:pPr>
            <w:r w:rsidRPr="00B3449A">
              <w:rPr>
                <w:rFonts w:ascii="Arial Narrow" w:hAnsi="Arial Narrow" w:cs="Times New Roman"/>
                <w:b/>
                <w:bCs/>
                <w:sz w:val="20"/>
                <w:szCs w:val="20"/>
              </w:rPr>
              <w:t>-</w:t>
            </w:r>
          </w:p>
        </w:tc>
      </w:tr>
      <w:tr w:rsidR="006E36B3" w:rsidRPr="00B3449A" w14:paraId="34BEA676" w14:textId="77777777" w:rsidTr="00D62E6D">
        <w:tc>
          <w:tcPr>
            <w:tcW w:w="3748" w:type="dxa"/>
            <w:tcBorders>
              <w:bottom w:val="single" w:sz="4" w:space="0" w:color="auto"/>
              <w:right w:val="nil"/>
            </w:tcBorders>
            <w:tcMar>
              <w:left w:w="40" w:type="dxa"/>
              <w:right w:w="40" w:type="dxa"/>
            </w:tcMar>
          </w:tcPr>
          <w:p w14:paraId="607B4D80" w14:textId="043652A9" w:rsidR="006E36B3" w:rsidRPr="00B3449A" w:rsidRDefault="006E36B3" w:rsidP="00B12403">
            <w:pPr>
              <w:keepNext/>
              <w:keepLines/>
              <w:spacing w:before="0" w:after="0"/>
              <w:jc w:val="left"/>
              <w:rPr>
                <w:rFonts w:ascii="Arial Narrow" w:hAnsi="Arial Narrow" w:cs="Times New Roman"/>
                <w:bCs/>
                <w:sz w:val="20"/>
                <w:szCs w:val="20"/>
              </w:rPr>
            </w:pPr>
            <w:r w:rsidRPr="00B3449A">
              <w:rPr>
                <w:rFonts w:ascii="Arial Narrow" w:hAnsi="Arial Narrow" w:cs="Times New Roman"/>
                <w:bCs/>
                <w:sz w:val="20"/>
                <w:szCs w:val="20"/>
              </w:rPr>
              <w:t>Discount rates (base case 5%)</w:t>
            </w:r>
          </w:p>
        </w:tc>
        <w:tc>
          <w:tcPr>
            <w:tcW w:w="1527" w:type="dxa"/>
            <w:tcBorders>
              <w:left w:val="nil"/>
              <w:bottom w:val="single" w:sz="4" w:space="0" w:color="auto"/>
              <w:right w:val="nil"/>
            </w:tcBorders>
            <w:tcMar>
              <w:left w:w="40" w:type="dxa"/>
              <w:right w:w="40" w:type="dxa"/>
            </w:tcMar>
          </w:tcPr>
          <w:p w14:paraId="75591305" w14:textId="77777777" w:rsidR="006E36B3" w:rsidRPr="00B3449A" w:rsidRDefault="006E36B3" w:rsidP="00B12403">
            <w:pPr>
              <w:keepNext/>
              <w:keepLines/>
              <w:spacing w:before="0" w:after="0"/>
              <w:jc w:val="center"/>
              <w:rPr>
                <w:rFonts w:ascii="Arial Narrow" w:hAnsi="Arial Narrow" w:cs="Times New Roman"/>
                <w:sz w:val="20"/>
                <w:szCs w:val="20"/>
              </w:rPr>
            </w:pPr>
          </w:p>
        </w:tc>
        <w:tc>
          <w:tcPr>
            <w:tcW w:w="1560" w:type="dxa"/>
            <w:tcBorders>
              <w:left w:val="nil"/>
              <w:right w:val="nil"/>
            </w:tcBorders>
            <w:tcMar>
              <w:left w:w="40" w:type="dxa"/>
              <w:right w:w="40" w:type="dxa"/>
            </w:tcMar>
          </w:tcPr>
          <w:p w14:paraId="753B99C1" w14:textId="77777777" w:rsidR="006E36B3" w:rsidRPr="00B3449A" w:rsidRDefault="006E36B3" w:rsidP="00B12403">
            <w:pPr>
              <w:keepNext/>
              <w:keepLines/>
              <w:spacing w:before="0" w:after="0"/>
              <w:jc w:val="center"/>
              <w:rPr>
                <w:rFonts w:ascii="Arial Narrow" w:hAnsi="Arial Narrow" w:cs="Times New Roman"/>
                <w:sz w:val="20"/>
                <w:szCs w:val="20"/>
              </w:rPr>
            </w:pPr>
          </w:p>
        </w:tc>
        <w:tc>
          <w:tcPr>
            <w:tcW w:w="2182" w:type="dxa"/>
            <w:gridSpan w:val="2"/>
            <w:tcBorders>
              <w:left w:val="nil"/>
              <w:right w:val="single" w:sz="4" w:space="0" w:color="auto"/>
            </w:tcBorders>
            <w:tcMar>
              <w:left w:w="40" w:type="dxa"/>
              <w:right w:w="40" w:type="dxa"/>
            </w:tcMar>
          </w:tcPr>
          <w:p w14:paraId="630AE9F7" w14:textId="77777777" w:rsidR="006E36B3" w:rsidRPr="00B3449A" w:rsidRDefault="006E36B3" w:rsidP="00B12403">
            <w:pPr>
              <w:keepNext/>
              <w:keepLines/>
              <w:spacing w:before="0" w:after="0"/>
              <w:jc w:val="center"/>
              <w:rPr>
                <w:rFonts w:ascii="Arial Narrow" w:hAnsi="Arial Narrow" w:cs="Times New Roman"/>
                <w:sz w:val="20"/>
                <w:szCs w:val="20"/>
              </w:rPr>
            </w:pPr>
          </w:p>
        </w:tc>
      </w:tr>
      <w:tr w:rsidR="00F86069" w:rsidRPr="00B3449A" w14:paraId="17E9BEB4" w14:textId="77777777" w:rsidTr="00D62E6D">
        <w:tc>
          <w:tcPr>
            <w:tcW w:w="3748" w:type="dxa"/>
            <w:tcMar>
              <w:left w:w="40" w:type="dxa"/>
              <w:right w:w="40" w:type="dxa"/>
            </w:tcMar>
          </w:tcPr>
          <w:p w14:paraId="1104CEC4" w14:textId="3291DC4B" w:rsidR="00F86069" w:rsidRPr="00B3449A" w:rsidRDefault="006E36B3" w:rsidP="00B12403">
            <w:pPr>
              <w:keepNext/>
              <w:keepLines/>
              <w:spacing w:before="0" w:after="0"/>
              <w:jc w:val="left"/>
              <w:rPr>
                <w:rFonts w:ascii="Arial Narrow" w:hAnsi="Arial Narrow" w:cs="Times New Roman"/>
                <w:sz w:val="20"/>
                <w:szCs w:val="20"/>
              </w:rPr>
            </w:pPr>
            <w:r>
              <w:rPr>
                <w:rFonts w:ascii="Arial Narrow" w:hAnsi="Arial Narrow" w:cs="Times New Roman"/>
                <w:sz w:val="20"/>
                <w:szCs w:val="20"/>
              </w:rPr>
              <w:t xml:space="preserve">- </w:t>
            </w:r>
            <w:r w:rsidR="00F86069" w:rsidRPr="00B3449A">
              <w:rPr>
                <w:rFonts w:ascii="Arial Narrow" w:hAnsi="Arial Narrow" w:cs="Times New Roman"/>
                <w:sz w:val="20"/>
                <w:szCs w:val="20"/>
              </w:rPr>
              <w:t>Costs and benefits 0%</w:t>
            </w:r>
          </w:p>
        </w:tc>
        <w:tc>
          <w:tcPr>
            <w:tcW w:w="1527" w:type="dxa"/>
            <w:tcBorders>
              <w:bottom w:val="single" w:sz="4" w:space="0" w:color="auto"/>
            </w:tcBorders>
            <w:shd w:val="solid" w:color="000000" w:fill="000000"/>
            <w:tcMar>
              <w:left w:w="40" w:type="dxa"/>
              <w:right w:w="40" w:type="dxa"/>
            </w:tcMar>
            <w:vAlign w:val="center"/>
          </w:tcPr>
          <w:p w14:paraId="007CFD23" w14:textId="628520E5" w:rsidR="00F86069" w:rsidRPr="00D62E6D" w:rsidRDefault="00D62E6D" w:rsidP="001877B9">
            <w:pPr>
              <w:keepNext/>
              <w:keepLines/>
              <w:spacing w:before="0" w:after="0"/>
              <w:jc w:val="center"/>
              <w:rPr>
                <w:rFonts w:ascii="Arial Narrow" w:hAnsi="Arial Narrow" w:cs="Times New Roman"/>
                <w:sz w:val="20"/>
                <w:szCs w:val="20"/>
              </w:rPr>
            </w:pPr>
            <w:r w:rsidRPr="00D62E6D">
              <w:rPr>
                <w:rFonts w:ascii="Arial Narrow" w:hAnsi="Arial Narrow" w:cs="Times New Roman"/>
                <w:color w:val="000000"/>
                <w:sz w:val="20"/>
                <w:szCs w:val="20"/>
                <w14:textFill>
                  <w14:solidFill>
                    <w14:srgbClr w14:val="000000">
                      <w14:alpha w14:val="100000"/>
                    </w14:srgbClr>
                  </w14:solidFill>
                </w14:textFill>
              </w:rPr>
              <w:t>|</w:t>
            </w:r>
          </w:p>
        </w:tc>
        <w:tc>
          <w:tcPr>
            <w:tcW w:w="1560" w:type="dxa"/>
            <w:tcMar>
              <w:left w:w="40" w:type="dxa"/>
              <w:right w:w="40" w:type="dxa"/>
            </w:tcMar>
            <w:vAlign w:val="center"/>
          </w:tcPr>
          <w:p w14:paraId="5607E993" w14:textId="77777777" w:rsidR="00F86069" w:rsidRPr="00B3449A" w:rsidRDefault="00F86069" w:rsidP="001877B9">
            <w:pPr>
              <w:keepNext/>
              <w:keepLines/>
              <w:spacing w:before="0" w:after="0"/>
              <w:jc w:val="center"/>
              <w:rPr>
                <w:rFonts w:ascii="Arial Narrow" w:hAnsi="Arial Narrow" w:cs="Times New Roman"/>
                <w:sz w:val="20"/>
                <w:szCs w:val="20"/>
              </w:rPr>
            </w:pPr>
            <w:r w:rsidRPr="00B3449A">
              <w:rPr>
                <w:rFonts w:ascii="Arial Narrow" w:hAnsi="Arial Narrow" w:cs="Times New Roman"/>
                <w:sz w:val="20"/>
                <w:szCs w:val="20"/>
              </w:rPr>
              <w:t>9.94</w:t>
            </w:r>
          </w:p>
        </w:tc>
        <w:tc>
          <w:tcPr>
            <w:tcW w:w="1080" w:type="dxa"/>
            <w:tcMar>
              <w:left w:w="40" w:type="dxa"/>
              <w:right w:w="40" w:type="dxa"/>
            </w:tcMar>
            <w:vAlign w:val="center"/>
          </w:tcPr>
          <w:p w14:paraId="08989FA6" w14:textId="23F1A28A" w:rsidR="00F86069" w:rsidRPr="00BC6102" w:rsidRDefault="00D62E6D" w:rsidP="001877B9">
            <w:pPr>
              <w:keepNext/>
              <w:keepLines/>
              <w:spacing w:before="0" w:after="0"/>
              <w:jc w:val="center"/>
              <w:rPr>
                <w:rFonts w:ascii="Arial Narrow" w:hAnsi="Arial Narrow" w:cs="Times New Roman"/>
                <w:sz w:val="20"/>
                <w:szCs w:val="20"/>
                <w:highlight w:val="darkGray"/>
              </w:rPr>
            </w:pPr>
            <w:r w:rsidRPr="00D62E6D">
              <w:rPr>
                <w:rFonts w:ascii="Arial Narrow" w:hAnsi="Arial Narrow" w:cs="Times New Roman" w:hint="eastAsia"/>
                <w:color w:val="000000"/>
                <w:w w:val="19"/>
                <w:sz w:val="20"/>
                <w:szCs w:val="20"/>
                <w:shd w:val="solid" w:color="000000" w:fill="000000"/>
                <w:fitText w:val="87" w:id="-1167896825"/>
                <w14:textFill>
                  <w14:solidFill>
                    <w14:srgbClr w14:val="000000">
                      <w14:alpha w14:val="100000"/>
                    </w14:srgbClr>
                  </w14:solidFill>
                </w14:textFill>
              </w:rPr>
              <w:t xml:space="preserve">　</w:t>
            </w:r>
            <w:r w:rsidRPr="00D62E6D">
              <w:rPr>
                <w:rFonts w:ascii="Arial Narrow" w:hAnsi="Arial Narrow" w:cs="Times New Roman"/>
                <w:color w:val="000000"/>
                <w:w w:val="19"/>
                <w:sz w:val="20"/>
                <w:szCs w:val="20"/>
                <w:shd w:val="solid" w:color="000000" w:fill="000000"/>
                <w:fitText w:val="87" w:id="-1167896825"/>
                <w14:textFill>
                  <w14:solidFill>
                    <w14:srgbClr w14:val="000000">
                      <w14:alpha w14:val="100000"/>
                    </w14:srgbClr>
                  </w14:solidFill>
                </w14:textFill>
              </w:rPr>
              <w:t>|</w:t>
            </w:r>
            <w:r w:rsidRPr="00D62E6D">
              <w:rPr>
                <w:rFonts w:ascii="Arial Narrow" w:hAnsi="Arial Narrow" w:cs="Times New Roman" w:hint="eastAsia"/>
                <w:color w:val="000000"/>
                <w:spacing w:val="3"/>
                <w:w w:val="19"/>
                <w:sz w:val="20"/>
                <w:szCs w:val="20"/>
                <w:shd w:val="solid" w:color="000000" w:fill="000000"/>
                <w:fitText w:val="87" w:id="-1167896825"/>
                <w14:textFill>
                  <w14:solidFill>
                    <w14:srgbClr w14:val="000000">
                      <w14:alpha w14:val="100000"/>
                    </w14:srgbClr>
                  </w14:solidFill>
                </w14:textFill>
              </w:rPr>
              <w:t xml:space="preserve">　</w:t>
            </w:r>
            <w:r w:rsidR="00BC6102">
              <w:rPr>
                <w:rFonts w:ascii="Arial Narrow" w:eastAsiaTheme="minorHAnsi" w:hAnsi="Arial Narrow" w:cs="Tahoma"/>
                <w:color w:val="000000"/>
                <w:sz w:val="18"/>
                <w:szCs w:val="18"/>
                <w:vertAlign w:val="superscript"/>
              </w:rPr>
              <w:t>2</w:t>
            </w:r>
          </w:p>
        </w:tc>
        <w:tc>
          <w:tcPr>
            <w:tcW w:w="1102" w:type="dxa"/>
            <w:tcBorders>
              <w:top w:val="single" w:sz="4" w:space="0" w:color="auto"/>
              <w:left w:val="nil"/>
              <w:bottom w:val="single" w:sz="4" w:space="0" w:color="auto"/>
              <w:right w:val="single" w:sz="4" w:space="0" w:color="auto"/>
            </w:tcBorders>
            <w:shd w:val="clear" w:color="auto" w:fill="auto"/>
            <w:tcMar>
              <w:left w:w="40" w:type="dxa"/>
              <w:right w:w="40" w:type="dxa"/>
            </w:tcMar>
            <w:vAlign w:val="center"/>
          </w:tcPr>
          <w:p w14:paraId="623149D1" w14:textId="77777777" w:rsidR="00F86069" w:rsidRPr="00B3449A" w:rsidRDefault="00F86069" w:rsidP="001877B9">
            <w:pPr>
              <w:keepNext/>
              <w:keepLines/>
              <w:spacing w:before="0" w:after="0"/>
              <w:jc w:val="center"/>
              <w:rPr>
                <w:rFonts w:ascii="Arial Narrow" w:hAnsi="Arial Narrow" w:cs="Times New Roman"/>
                <w:sz w:val="20"/>
                <w:szCs w:val="20"/>
              </w:rPr>
            </w:pPr>
            <w:r w:rsidRPr="00B3449A">
              <w:rPr>
                <w:rFonts w:ascii="Arial Narrow" w:hAnsi="Arial Narrow" w:cs="Calibri"/>
                <w:color w:val="000000"/>
                <w:sz w:val="20"/>
                <w:szCs w:val="20"/>
              </w:rPr>
              <w:t>-35%</w:t>
            </w:r>
          </w:p>
        </w:tc>
      </w:tr>
      <w:tr w:rsidR="00F86069" w:rsidRPr="00B3449A" w14:paraId="45BEE235" w14:textId="77777777" w:rsidTr="00D62E6D">
        <w:tc>
          <w:tcPr>
            <w:tcW w:w="3748" w:type="dxa"/>
            <w:tcMar>
              <w:left w:w="40" w:type="dxa"/>
              <w:right w:w="40" w:type="dxa"/>
            </w:tcMar>
          </w:tcPr>
          <w:p w14:paraId="7D45C8D1" w14:textId="5BB8922E" w:rsidR="00F86069" w:rsidRPr="00B3449A" w:rsidRDefault="006E36B3" w:rsidP="00B12403">
            <w:pPr>
              <w:keepNext/>
              <w:keepLines/>
              <w:spacing w:before="0" w:after="0"/>
              <w:jc w:val="left"/>
              <w:rPr>
                <w:rFonts w:ascii="Arial Narrow" w:hAnsi="Arial Narrow" w:cs="Times New Roman"/>
                <w:sz w:val="20"/>
                <w:szCs w:val="20"/>
              </w:rPr>
            </w:pPr>
            <w:r>
              <w:rPr>
                <w:rFonts w:ascii="Arial Narrow" w:hAnsi="Arial Narrow" w:cs="Times New Roman"/>
                <w:sz w:val="20"/>
                <w:szCs w:val="20"/>
              </w:rPr>
              <w:t xml:space="preserve">- </w:t>
            </w:r>
            <w:r w:rsidR="00F86069" w:rsidRPr="00B3449A">
              <w:rPr>
                <w:rFonts w:ascii="Arial Narrow" w:hAnsi="Arial Narrow" w:cs="Times New Roman"/>
                <w:sz w:val="20"/>
                <w:szCs w:val="20"/>
              </w:rPr>
              <w:t>Costs and benefits 3.5%</w:t>
            </w:r>
          </w:p>
        </w:tc>
        <w:tc>
          <w:tcPr>
            <w:tcW w:w="1527" w:type="dxa"/>
            <w:shd w:val="solid" w:color="000000" w:fill="000000"/>
            <w:tcMar>
              <w:left w:w="40" w:type="dxa"/>
              <w:right w:w="40" w:type="dxa"/>
            </w:tcMar>
            <w:vAlign w:val="center"/>
          </w:tcPr>
          <w:p w14:paraId="7935FA6D" w14:textId="6239D0AC" w:rsidR="00F86069" w:rsidRPr="00D62E6D" w:rsidRDefault="00D62E6D" w:rsidP="001877B9">
            <w:pPr>
              <w:keepNext/>
              <w:keepLines/>
              <w:spacing w:before="0" w:after="0"/>
              <w:jc w:val="center"/>
              <w:rPr>
                <w:rFonts w:ascii="Arial Narrow" w:hAnsi="Arial Narrow" w:cs="Times New Roman"/>
                <w:sz w:val="20"/>
                <w:szCs w:val="20"/>
              </w:rPr>
            </w:pPr>
            <w:r w:rsidRPr="00D62E6D">
              <w:rPr>
                <w:rFonts w:ascii="Arial Narrow" w:hAnsi="Arial Narrow" w:cs="Times New Roman"/>
                <w:color w:val="000000"/>
                <w:sz w:val="20"/>
                <w:szCs w:val="20"/>
                <w14:textFill>
                  <w14:solidFill>
                    <w14:srgbClr w14:val="000000">
                      <w14:alpha w14:val="100000"/>
                    </w14:srgbClr>
                  </w14:solidFill>
                </w14:textFill>
              </w:rPr>
              <w:t>|</w:t>
            </w:r>
          </w:p>
        </w:tc>
        <w:tc>
          <w:tcPr>
            <w:tcW w:w="1560" w:type="dxa"/>
            <w:tcMar>
              <w:left w:w="40" w:type="dxa"/>
              <w:right w:w="40" w:type="dxa"/>
            </w:tcMar>
            <w:vAlign w:val="center"/>
          </w:tcPr>
          <w:p w14:paraId="26D51538" w14:textId="77777777" w:rsidR="00F86069" w:rsidRPr="00B3449A" w:rsidRDefault="00F86069" w:rsidP="001877B9">
            <w:pPr>
              <w:keepNext/>
              <w:keepLines/>
              <w:spacing w:before="0" w:after="0"/>
              <w:jc w:val="center"/>
              <w:rPr>
                <w:rFonts w:ascii="Arial Narrow" w:hAnsi="Arial Narrow" w:cs="Times New Roman"/>
                <w:sz w:val="20"/>
                <w:szCs w:val="20"/>
              </w:rPr>
            </w:pPr>
            <w:r w:rsidRPr="00B3449A">
              <w:rPr>
                <w:rFonts w:ascii="Arial Narrow" w:hAnsi="Arial Narrow" w:cs="Times New Roman"/>
                <w:sz w:val="20"/>
                <w:szCs w:val="20"/>
              </w:rPr>
              <w:t>3.35</w:t>
            </w:r>
          </w:p>
        </w:tc>
        <w:tc>
          <w:tcPr>
            <w:tcW w:w="1080" w:type="dxa"/>
            <w:tcMar>
              <w:left w:w="40" w:type="dxa"/>
              <w:right w:w="40" w:type="dxa"/>
            </w:tcMar>
            <w:vAlign w:val="center"/>
          </w:tcPr>
          <w:p w14:paraId="579BD54B" w14:textId="0C3AB83B" w:rsidR="00F86069" w:rsidRPr="00BC6102" w:rsidRDefault="00D62E6D" w:rsidP="001877B9">
            <w:pPr>
              <w:keepNext/>
              <w:keepLines/>
              <w:spacing w:before="0" w:after="0"/>
              <w:jc w:val="center"/>
              <w:rPr>
                <w:rFonts w:ascii="Arial Narrow" w:hAnsi="Arial Narrow" w:cs="Times New Roman"/>
                <w:sz w:val="20"/>
                <w:szCs w:val="20"/>
                <w:highlight w:val="darkGray"/>
              </w:rPr>
            </w:pPr>
            <w:r w:rsidRPr="00D62E6D">
              <w:rPr>
                <w:rFonts w:ascii="Arial Narrow" w:hAnsi="Arial Narrow" w:cs="Times New Roman" w:hint="eastAsia"/>
                <w:color w:val="000000"/>
                <w:w w:val="19"/>
                <w:sz w:val="20"/>
                <w:szCs w:val="20"/>
                <w:shd w:val="solid" w:color="000000" w:fill="000000"/>
                <w:fitText w:val="87" w:id="-1167896824"/>
                <w14:textFill>
                  <w14:solidFill>
                    <w14:srgbClr w14:val="000000">
                      <w14:alpha w14:val="100000"/>
                    </w14:srgbClr>
                  </w14:solidFill>
                </w14:textFill>
              </w:rPr>
              <w:t xml:space="preserve">　</w:t>
            </w:r>
            <w:r w:rsidRPr="00D62E6D">
              <w:rPr>
                <w:rFonts w:ascii="Arial Narrow" w:hAnsi="Arial Narrow" w:cs="Times New Roman"/>
                <w:color w:val="000000"/>
                <w:w w:val="19"/>
                <w:sz w:val="20"/>
                <w:szCs w:val="20"/>
                <w:shd w:val="solid" w:color="000000" w:fill="000000"/>
                <w:fitText w:val="87" w:id="-1167896824"/>
                <w14:textFill>
                  <w14:solidFill>
                    <w14:srgbClr w14:val="000000">
                      <w14:alpha w14:val="100000"/>
                    </w14:srgbClr>
                  </w14:solidFill>
                </w14:textFill>
              </w:rPr>
              <w:t>|</w:t>
            </w:r>
            <w:r w:rsidRPr="00D62E6D">
              <w:rPr>
                <w:rFonts w:ascii="Arial Narrow" w:hAnsi="Arial Narrow" w:cs="Times New Roman" w:hint="eastAsia"/>
                <w:color w:val="000000"/>
                <w:spacing w:val="3"/>
                <w:w w:val="19"/>
                <w:sz w:val="20"/>
                <w:szCs w:val="20"/>
                <w:shd w:val="solid" w:color="000000" w:fill="000000"/>
                <w:fitText w:val="87" w:id="-1167896824"/>
                <w14:textFill>
                  <w14:solidFill>
                    <w14:srgbClr w14:val="000000">
                      <w14:alpha w14:val="100000"/>
                    </w14:srgbClr>
                  </w14:solidFill>
                </w14:textFill>
              </w:rPr>
              <w:t xml:space="preserve">　</w:t>
            </w:r>
            <w:r w:rsidR="00BC6102">
              <w:rPr>
                <w:rFonts w:ascii="Arial Narrow" w:eastAsiaTheme="minorHAnsi" w:hAnsi="Arial Narrow" w:cs="Tahoma"/>
                <w:color w:val="000000"/>
                <w:sz w:val="18"/>
                <w:szCs w:val="18"/>
                <w:vertAlign w:val="superscript"/>
              </w:rPr>
              <w:t>3</w:t>
            </w:r>
          </w:p>
        </w:tc>
        <w:tc>
          <w:tcPr>
            <w:tcW w:w="1102" w:type="dxa"/>
            <w:tcBorders>
              <w:top w:val="single" w:sz="4" w:space="0" w:color="auto"/>
              <w:left w:val="nil"/>
              <w:bottom w:val="single" w:sz="4" w:space="0" w:color="auto"/>
              <w:right w:val="single" w:sz="4" w:space="0" w:color="auto"/>
            </w:tcBorders>
            <w:shd w:val="clear" w:color="auto" w:fill="auto"/>
            <w:tcMar>
              <w:left w:w="40" w:type="dxa"/>
              <w:right w:w="40" w:type="dxa"/>
            </w:tcMar>
            <w:vAlign w:val="center"/>
          </w:tcPr>
          <w:p w14:paraId="105270D2" w14:textId="77777777" w:rsidR="00F86069" w:rsidRPr="00B3449A" w:rsidRDefault="00F86069" w:rsidP="001877B9">
            <w:pPr>
              <w:keepNext/>
              <w:keepLines/>
              <w:spacing w:before="0" w:after="0"/>
              <w:jc w:val="center"/>
              <w:rPr>
                <w:rFonts w:ascii="Arial Narrow" w:hAnsi="Arial Narrow" w:cs="Times New Roman"/>
                <w:sz w:val="20"/>
                <w:szCs w:val="20"/>
              </w:rPr>
            </w:pPr>
            <w:r w:rsidRPr="00B3449A">
              <w:rPr>
                <w:rFonts w:ascii="Arial Narrow" w:hAnsi="Arial Narrow" w:cs="Calibri"/>
                <w:color w:val="000000"/>
                <w:sz w:val="20"/>
                <w:szCs w:val="20"/>
              </w:rPr>
              <w:t>-22%</w:t>
            </w:r>
          </w:p>
        </w:tc>
      </w:tr>
      <w:tr w:rsidR="006E36B3" w:rsidRPr="00B3449A" w14:paraId="432989E8" w14:textId="77777777" w:rsidTr="00D62E6D">
        <w:tc>
          <w:tcPr>
            <w:tcW w:w="3748" w:type="dxa"/>
            <w:tcBorders>
              <w:right w:val="nil"/>
            </w:tcBorders>
            <w:tcMar>
              <w:left w:w="40" w:type="dxa"/>
              <w:right w:w="40" w:type="dxa"/>
            </w:tcMar>
          </w:tcPr>
          <w:p w14:paraId="500D07DB" w14:textId="77777777" w:rsidR="006E36B3" w:rsidRPr="00B3449A" w:rsidRDefault="006E36B3" w:rsidP="00B12403">
            <w:pPr>
              <w:spacing w:before="0" w:after="0"/>
              <w:jc w:val="left"/>
              <w:rPr>
                <w:rFonts w:ascii="Arial Narrow" w:hAnsi="Arial Narrow" w:cs="Calibri"/>
                <w:sz w:val="20"/>
                <w:szCs w:val="20"/>
              </w:rPr>
            </w:pPr>
            <w:r w:rsidRPr="00B3449A">
              <w:rPr>
                <w:rFonts w:ascii="Arial Narrow" w:hAnsi="Arial Narrow" w:cs="Times New Roman"/>
                <w:sz w:val="20"/>
                <w:szCs w:val="20"/>
              </w:rPr>
              <w:t>Effects</w:t>
            </w:r>
          </w:p>
        </w:tc>
        <w:tc>
          <w:tcPr>
            <w:tcW w:w="1527" w:type="dxa"/>
            <w:tcBorders>
              <w:left w:val="nil"/>
              <w:bottom w:val="single" w:sz="4" w:space="0" w:color="auto"/>
              <w:right w:val="nil"/>
            </w:tcBorders>
            <w:tcMar>
              <w:left w:w="40" w:type="dxa"/>
              <w:right w:w="40" w:type="dxa"/>
            </w:tcMar>
          </w:tcPr>
          <w:p w14:paraId="1EF33EF1" w14:textId="77777777" w:rsidR="006E36B3" w:rsidRPr="00B3449A" w:rsidRDefault="006E36B3" w:rsidP="00B12403">
            <w:pPr>
              <w:spacing w:before="0" w:after="0"/>
              <w:jc w:val="center"/>
              <w:rPr>
                <w:rFonts w:ascii="Arial Narrow" w:hAnsi="Arial Narrow" w:cs="Times New Roman"/>
                <w:sz w:val="20"/>
                <w:szCs w:val="20"/>
              </w:rPr>
            </w:pPr>
          </w:p>
        </w:tc>
        <w:tc>
          <w:tcPr>
            <w:tcW w:w="1560" w:type="dxa"/>
            <w:tcBorders>
              <w:left w:val="nil"/>
              <w:right w:val="nil"/>
            </w:tcBorders>
            <w:tcMar>
              <w:left w:w="40" w:type="dxa"/>
              <w:right w:w="40" w:type="dxa"/>
            </w:tcMar>
          </w:tcPr>
          <w:p w14:paraId="74C269FB" w14:textId="77777777" w:rsidR="006E36B3" w:rsidRPr="00B3449A" w:rsidRDefault="006E36B3" w:rsidP="00B12403">
            <w:pPr>
              <w:spacing w:before="0" w:after="0"/>
              <w:jc w:val="center"/>
              <w:rPr>
                <w:rFonts w:ascii="Arial Narrow" w:hAnsi="Arial Narrow" w:cs="Times New Roman"/>
                <w:sz w:val="20"/>
                <w:szCs w:val="20"/>
              </w:rPr>
            </w:pPr>
          </w:p>
        </w:tc>
        <w:tc>
          <w:tcPr>
            <w:tcW w:w="2182" w:type="dxa"/>
            <w:gridSpan w:val="2"/>
            <w:tcBorders>
              <w:left w:val="nil"/>
              <w:right w:val="single" w:sz="4" w:space="0" w:color="auto"/>
            </w:tcBorders>
            <w:tcMar>
              <w:left w:w="40" w:type="dxa"/>
              <w:right w:w="40" w:type="dxa"/>
            </w:tcMar>
          </w:tcPr>
          <w:p w14:paraId="097AB2C9" w14:textId="77777777" w:rsidR="006E36B3" w:rsidRPr="00B3449A" w:rsidRDefault="006E36B3" w:rsidP="00B12403">
            <w:pPr>
              <w:spacing w:before="0" w:after="0"/>
              <w:jc w:val="center"/>
              <w:rPr>
                <w:rFonts w:ascii="Arial Narrow" w:hAnsi="Arial Narrow" w:cs="Times New Roman"/>
                <w:sz w:val="20"/>
                <w:szCs w:val="20"/>
              </w:rPr>
            </w:pPr>
          </w:p>
        </w:tc>
      </w:tr>
      <w:tr w:rsidR="00F86069" w:rsidRPr="00B3449A" w14:paraId="618A7C09" w14:textId="77777777" w:rsidTr="00D62E6D">
        <w:tc>
          <w:tcPr>
            <w:tcW w:w="3748" w:type="dxa"/>
            <w:tcMar>
              <w:left w:w="40" w:type="dxa"/>
              <w:right w:w="40" w:type="dxa"/>
            </w:tcMar>
          </w:tcPr>
          <w:p w14:paraId="2B9C6EA9" w14:textId="03459E41" w:rsidR="00F86069" w:rsidRPr="00B3449A" w:rsidRDefault="006E36B3" w:rsidP="00B12403">
            <w:pPr>
              <w:spacing w:before="0" w:after="0"/>
              <w:jc w:val="left"/>
              <w:rPr>
                <w:rFonts w:ascii="Arial Narrow" w:hAnsi="Arial Narrow" w:cs="Times New Roman"/>
                <w:sz w:val="20"/>
                <w:szCs w:val="20"/>
              </w:rPr>
            </w:pPr>
            <w:r>
              <w:rPr>
                <w:rFonts w:ascii="Arial Narrow" w:hAnsi="Arial Narrow" w:cs="Calibri"/>
                <w:sz w:val="20"/>
                <w:szCs w:val="20"/>
              </w:rPr>
              <w:t xml:space="preserve">- </w:t>
            </w:r>
            <w:r w:rsidR="00F86069" w:rsidRPr="00B3449A">
              <w:rPr>
                <w:rFonts w:ascii="Arial Narrow" w:hAnsi="Arial Narrow" w:cs="Calibri"/>
                <w:sz w:val="20"/>
                <w:szCs w:val="20"/>
              </w:rPr>
              <w:t>FEV</w:t>
            </w:r>
            <w:r w:rsidR="00F86069" w:rsidRPr="00B3449A">
              <w:rPr>
                <w:rFonts w:ascii="Arial Narrow" w:hAnsi="Arial Narrow" w:cs="Calibri"/>
                <w:sz w:val="20"/>
                <w:szCs w:val="20"/>
                <w:vertAlign w:val="subscript"/>
              </w:rPr>
              <w:t>1</w:t>
            </w:r>
            <w:r w:rsidR="00F86069" w:rsidRPr="00B3449A">
              <w:rPr>
                <w:rFonts w:ascii="Arial Narrow" w:hAnsi="Arial Narrow" w:cs="Times New Roman"/>
                <w:sz w:val="20"/>
                <w:szCs w:val="20"/>
              </w:rPr>
              <w:t xml:space="preserve"> improvement due to LUM/IVA treatment increased to upper 95% CI</w:t>
            </w:r>
            <w:r w:rsidR="00F823E6" w:rsidRPr="00B3449A">
              <w:rPr>
                <w:rFonts w:ascii="Arial Narrow" w:hAnsi="Arial Narrow" w:cs="Times New Roman"/>
                <w:sz w:val="20"/>
                <w:szCs w:val="20"/>
              </w:rPr>
              <w:t xml:space="preserve"> </w:t>
            </w:r>
            <w:r w:rsidR="003B610B" w:rsidRPr="00B3449A">
              <w:rPr>
                <w:rFonts w:ascii="Arial Narrow" w:hAnsi="Arial Narrow" w:cs="Times New Roman"/>
                <w:sz w:val="20"/>
                <w:szCs w:val="20"/>
              </w:rPr>
              <w:t>v</w:t>
            </w:r>
            <w:r w:rsidR="00F823E6" w:rsidRPr="00B3449A">
              <w:rPr>
                <w:rFonts w:ascii="Arial Narrow" w:hAnsi="Arial Narrow" w:cs="Times New Roman"/>
                <w:sz w:val="20"/>
                <w:szCs w:val="20"/>
              </w:rPr>
              <w:t xml:space="preserve">alue </w:t>
            </w:r>
            <w:r>
              <w:rPr>
                <w:rFonts w:ascii="Arial Narrow" w:hAnsi="Arial Narrow" w:cs="Times New Roman"/>
                <w:sz w:val="20"/>
                <w:szCs w:val="20"/>
              </w:rPr>
              <w:t xml:space="preserve">of </w:t>
            </w:r>
            <w:r w:rsidR="00F823E6" w:rsidRPr="00B3449A">
              <w:rPr>
                <w:rFonts w:ascii="Arial Narrow" w:hAnsi="Arial Narrow" w:cs="Times New Roman"/>
                <w:sz w:val="20"/>
                <w:szCs w:val="20"/>
              </w:rPr>
              <w:t>5.5%</w:t>
            </w:r>
            <w:r w:rsidR="00580092" w:rsidRPr="00B3449A">
              <w:rPr>
                <w:rFonts w:ascii="Arial Narrow" w:hAnsi="Arial Narrow" w:cs="Times New Roman"/>
                <w:sz w:val="20"/>
                <w:szCs w:val="20"/>
              </w:rPr>
              <w:t xml:space="preserve"> </w:t>
            </w:r>
            <w:r w:rsidR="00F823E6" w:rsidRPr="00B3449A">
              <w:rPr>
                <w:rFonts w:ascii="Arial Narrow" w:hAnsi="Arial Narrow" w:cs="Times New Roman"/>
                <w:sz w:val="20"/>
                <w:szCs w:val="20"/>
              </w:rPr>
              <w:t>(</w:t>
            </w:r>
            <w:r w:rsidR="00FD0495" w:rsidRPr="00B3449A">
              <w:rPr>
                <w:rFonts w:ascii="Arial Narrow" w:hAnsi="Arial Narrow" w:cs="Times New Roman"/>
                <w:sz w:val="20"/>
                <w:szCs w:val="20"/>
              </w:rPr>
              <w:t>base case = 3%)</w:t>
            </w:r>
          </w:p>
        </w:tc>
        <w:tc>
          <w:tcPr>
            <w:tcW w:w="1527" w:type="dxa"/>
            <w:tcBorders>
              <w:bottom w:val="single" w:sz="4" w:space="0" w:color="auto"/>
            </w:tcBorders>
            <w:shd w:val="solid" w:color="000000" w:fill="000000"/>
            <w:tcMar>
              <w:left w:w="40" w:type="dxa"/>
              <w:right w:w="40" w:type="dxa"/>
            </w:tcMar>
            <w:vAlign w:val="center"/>
          </w:tcPr>
          <w:p w14:paraId="2B4E1A05" w14:textId="047C0E58" w:rsidR="00F86069" w:rsidRPr="00D62E6D" w:rsidRDefault="00D62E6D" w:rsidP="001877B9">
            <w:pPr>
              <w:spacing w:before="0" w:after="0"/>
              <w:jc w:val="center"/>
              <w:rPr>
                <w:rFonts w:ascii="Arial Narrow" w:hAnsi="Arial Narrow" w:cs="Times New Roman"/>
                <w:sz w:val="20"/>
                <w:szCs w:val="20"/>
              </w:rPr>
            </w:pPr>
            <w:r w:rsidRPr="00D62E6D">
              <w:rPr>
                <w:rFonts w:ascii="Arial Narrow" w:hAnsi="Arial Narrow" w:cs="Times New Roman"/>
                <w:color w:val="000000"/>
                <w:sz w:val="20"/>
                <w:szCs w:val="20"/>
                <w14:textFill>
                  <w14:solidFill>
                    <w14:srgbClr w14:val="000000">
                      <w14:alpha w14:val="100000"/>
                    </w14:srgbClr>
                  </w14:solidFill>
                </w14:textFill>
              </w:rPr>
              <w:t>|</w:t>
            </w:r>
          </w:p>
        </w:tc>
        <w:tc>
          <w:tcPr>
            <w:tcW w:w="1560" w:type="dxa"/>
            <w:tcMar>
              <w:left w:w="40" w:type="dxa"/>
              <w:right w:w="40" w:type="dxa"/>
            </w:tcMar>
            <w:vAlign w:val="center"/>
          </w:tcPr>
          <w:p w14:paraId="6E48F660" w14:textId="77777777" w:rsidR="00F86069" w:rsidRPr="00B3449A" w:rsidRDefault="00F86069" w:rsidP="001877B9">
            <w:pPr>
              <w:spacing w:before="0" w:after="0"/>
              <w:jc w:val="center"/>
              <w:rPr>
                <w:rFonts w:ascii="Arial Narrow" w:hAnsi="Arial Narrow" w:cs="Times New Roman"/>
                <w:sz w:val="20"/>
                <w:szCs w:val="20"/>
              </w:rPr>
            </w:pPr>
            <w:r w:rsidRPr="00B3449A">
              <w:rPr>
                <w:rFonts w:ascii="Arial Narrow" w:hAnsi="Arial Narrow" w:cs="Times New Roman"/>
                <w:sz w:val="20"/>
                <w:szCs w:val="20"/>
              </w:rPr>
              <w:t>2.65</w:t>
            </w:r>
          </w:p>
        </w:tc>
        <w:tc>
          <w:tcPr>
            <w:tcW w:w="1080" w:type="dxa"/>
            <w:tcMar>
              <w:left w:w="40" w:type="dxa"/>
              <w:right w:w="40" w:type="dxa"/>
            </w:tcMar>
            <w:vAlign w:val="center"/>
          </w:tcPr>
          <w:p w14:paraId="0020A270" w14:textId="1D809FDD" w:rsidR="00F86069" w:rsidRPr="00BC6102" w:rsidRDefault="00D62E6D" w:rsidP="001877B9">
            <w:pPr>
              <w:spacing w:before="0" w:after="0"/>
              <w:jc w:val="center"/>
              <w:rPr>
                <w:rFonts w:ascii="Arial Narrow" w:hAnsi="Arial Narrow" w:cs="Times New Roman"/>
                <w:sz w:val="20"/>
                <w:szCs w:val="20"/>
                <w:highlight w:val="darkGray"/>
              </w:rPr>
            </w:pPr>
            <w:r w:rsidRPr="00D62E6D">
              <w:rPr>
                <w:rFonts w:ascii="Arial Narrow" w:hAnsi="Arial Narrow" w:cs="Times New Roman" w:hint="eastAsia"/>
                <w:color w:val="000000"/>
                <w:w w:val="19"/>
                <w:sz w:val="20"/>
                <w:szCs w:val="20"/>
                <w:shd w:val="solid" w:color="000000" w:fill="000000"/>
                <w:fitText w:val="87" w:id="-1167896823"/>
                <w14:textFill>
                  <w14:solidFill>
                    <w14:srgbClr w14:val="000000">
                      <w14:alpha w14:val="100000"/>
                    </w14:srgbClr>
                  </w14:solidFill>
                </w14:textFill>
              </w:rPr>
              <w:t xml:space="preserve">　</w:t>
            </w:r>
            <w:r w:rsidRPr="00D62E6D">
              <w:rPr>
                <w:rFonts w:ascii="Arial Narrow" w:hAnsi="Arial Narrow" w:cs="Times New Roman"/>
                <w:color w:val="000000"/>
                <w:w w:val="19"/>
                <w:sz w:val="20"/>
                <w:szCs w:val="20"/>
                <w:shd w:val="solid" w:color="000000" w:fill="000000"/>
                <w:fitText w:val="87" w:id="-1167896823"/>
                <w14:textFill>
                  <w14:solidFill>
                    <w14:srgbClr w14:val="000000">
                      <w14:alpha w14:val="100000"/>
                    </w14:srgbClr>
                  </w14:solidFill>
                </w14:textFill>
              </w:rPr>
              <w:t>|</w:t>
            </w:r>
            <w:r w:rsidRPr="00D62E6D">
              <w:rPr>
                <w:rFonts w:ascii="Arial Narrow" w:hAnsi="Arial Narrow" w:cs="Times New Roman" w:hint="eastAsia"/>
                <w:color w:val="000000"/>
                <w:spacing w:val="3"/>
                <w:w w:val="19"/>
                <w:sz w:val="20"/>
                <w:szCs w:val="20"/>
                <w:shd w:val="solid" w:color="000000" w:fill="000000"/>
                <w:fitText w:val="87" w:id="-1167896823"/>
                <w14:textFill>
                  <w14:solidFill>
                    <w14:srgbClr w14:val="000000">
                      <w14:alpha w14:val="100000"/>
                    </w14:srgbClr>
                  </w14:solidFill>
                </w14:textFill>
              </w:rPr>
              <w:t xml:space="preserve">　</w:t>
            </w:r>
            <w:r w:rsidR="00BC6102">
              <w:rPr>
                <w:rFonts w:ascii="Arial Narrow" w:eastAsiaTheme="minorHAnsi" w:hAnsi="Arial Narrow" w:cs="Tahoma"/>
                <w:color w:val="000000"/>
                <w:sz w:val="18"/>
                <w:szCs w:val="18"/>
                <w:vertAlign w:val="superscript"/>
              </w:rPr>
              <w:t>3</w:t>
            </w:r>
          </w:p>
        </w:tc>
        <w:tc>
          <w:tcPr>
            <w:tcW w:w="1102" w:type="dxa"/>
            <w:tcBorders>
              <w:top w:val="single" w:sz="4" w:space="0" w:color="auto"/>
              <w:left w:val="nil"/>
              <w:bottom w:val="single" w:sz="4" w:space="0" w:color="auto"/>
              <w:right w:val="single" w:sz="4" w:space="0" w:color="auto"/>
            </w:tcBorders>
            <w:shd w:val="clear" w:color="auto" w:fill="auto"/>
            <w:tcMar>
              <w:left w:w="40" w:type="dxa"/>
              <w:right w:w="40" w:type="dxa"/>
            </w:tcMar>
            <w:vAlign w:val="center"/>
          </w:tcPr>
          <w:p w14:paraId="7F0442FA" w14:textId="77777777" w:rsidR="00F86069" w:rsidRPr="00B3449A" w:rsidRDefault="00F86069" w:rsidP="001877B9">
            <w:pPr>
              <w:spacing w:before="0" w:after="0"/>
              <w:jc w:val="center"/>
              <w:rPr>
                <w:rFonts w:ascii="Arial Narrow" w:hAnsi="Arial Narrow" w:cs="Times New Roman"/>
                <w:sz w:val="20"/>
                <w:szCs w:val="20"/>
              </w:rPr>
            </w:pPr>
            <w:r w:rsidRPr="00B3449A">
              <w:rPr>
                <w:rFonts w:ascii="Arial Narrow" w:hAnsi="Arial Narrow" w:cs="Calibri"/>
                <w:color w:val="000000"/>
                <w:sz w:val="20"/>
                <w:szCs w:val="20"/>
              </w:rPr>
              <w:t>-20%</w:t>
            </w:r>
          </w:p>
        </w:tc>
      </w:tr>
      <w:tr w:rsidR="00F86069" w:rsidRPr="00B3449A" w14:paraId="27ED3664" w14:textId="77777777" w:rsidTr="00D62E6D">
        <w:tc>
          <w:tcPr>
            <w:tcW w:w="3748" w:type="dxa"/>
            <w:tcMar>
              <w:left w:w="40" w:type="dxa"/>
              <w:right w:w="40" w:type="dxa"/>
            </w:tcMar>
          </w:tcPr>
          <w:p w14:paraId="18C5603B" w14:textId="55D01E22" w:rsidR="00F86069" w:rsidRPr="00B3449A" w:rsidRDefault="006E36B3" w:rsidP="00B12403">
            <w:pPr>
              <w:spacing w:before="0" w:after="0"/>
              <w:jc w:val="left"/>
              <w:rPr>
                <w:rFonts w:ascii="Arial Narrow" w:hAnsi="Arial Narrow" w:cs="Times New Roman"/>
                <w:sz w:val="20"/>
                <w:szCs w:val="20"/>
              </w:rPr>
            </w:pPr>
            <w:r>
              <w:rPr>
                <w:rFonts w:ascii="Arial Narrow" w:hAnsi="Arial Narrow" w:cs="Calibri"/>
                <w:sz w:val="20"/>
                <w:szCs w:val="20"/>
              </w:rPr>
              <w:t xml:space="preserve">- </w:t>
            </w:r>
            <w:r w:rsidR="00F86069" w:rsidRPr="00B3449A">
              <w:rPr>
                <w:rFonts w:ascii="Arial Narrow" w:hAnsi="Arial Narrow" w:cs="Calibri"/>
                <w:sz w:val="20"/>
                <w:szCs w:val="20"/>
              </w:rPr>
              <w:t>FEV</w:t>
            </w:r>
            <w:r w:rsidR="00F86069" w:rsidRPr="00B3449A">
              <w:rPr>
                <w:rFonts w:ascii="Arial Narrow" w:hAnsi="Arial Narrow" w:cs="Calibri"/>
                <w:sz w:val="20"/>
                <w:szCs w:val="20"/>
                <w:vertAlign w:val="subscript"/>
              </w:rPr>
              <w:t>1</w:t>
            </w:r>
            <w:r w:rsidR="00F86069" w:rsidRPr="00B3449A">
              <w:rPr>
                <w:rFonts w:ascii="Arial Narrow" w:hAnsi="Arial Narrow" w:cs="Times New Roman"/>
                <w:sz w:val="20"/>
                <w:szCs w:val="20"/>
              </w:rPr>
              <w:t xml:space="preserve"> improvement due to LUM/IVA treatment decreased to lower 95% CI </w:t>
            </w:r>
            <w:r w:rsidR="00F823E6" w:rsidRPr="00B3449A">
              <w:rPr>
                <w:rFonts w:ascii="Arial Narrow" w:hAnsi="Arial Narrow" w:cs="Times New Roman"/>
                <w:sz w:val="20"/>
                <w:szCs w:val="20"/>
              </w:rPr>
              <w:t xml:space="preserve">value </w:t>
            </w:r>
            <w:r>
              <w:rPr>
                <w:rFonts w:ascii="Arial Narrow" w:hAnsi="Arial Narrow" w:cs="Times New Roman"/>
                <w:sz w:val="20"/>
                <w:szCs w:val="20"/>
              </w:rPr>
              <w:t xml:space="preserve">of </w:t>
            </w:r>
            <w:r w:rsidR="00F823E6" w:rsidRPr="00B3449A">
              <w:rPr>
                <w:rFonts w:ascii="Arial Narrow" w:hAnsi="Arial Narrow" w:cs="Times New Roman"/>
                <w:sz w:val="20"/>
                <w:szCs w:val="20"/>
              </w:rPr>
              <w:t>0.5%</w:t>
            </w:r>
            <w:r w:rsidR="00FD0495" w:rsidRPr="00B3449A">
              <w:rPr>
                <w:rFonts w:ascii="Arial Narrow" w:hAnsi="Arial Narrow" w:cs="Times New Roman"/>
                <w:sz w:val="20"/>
                <w:szCs w:val="20"/>
              </w:rPr>
              <w:t xml:space="preserve"> (base case = 3%)</w:t>
            </w:r>
          </w:p>
        </w:tc>
        <w:tc>
          <w:tcPr>
            <w:tcW w:w="1527" w:type="dxa"/>
            <w:tcBorders>
              <w:bottom w:val="single" w:sz="4" w:space="0" w:color="auto"/>
            </w:tcBorders>
            <w:shd w:val="solid" w:color="000000" w:fill="000000"/>
            <w:tcMar>
              <w:left w:w="40" w:type="dxa"/>
              <w:right w:w="40" w:type="dxa"/>
            </w:tcMar>
            <w:vAlign w:val="center"/>
          </w:tcPr>
          <w:p w14:paraId="67096DAE" w14:textId="71E3D4A3" w:rsidR="00F86069" w:rsidRPr="00D62E6D" w:rsidRDefault="00D62E6D" w:rsidP="001877B9">
            <w:pPr>
              <w:spacing w:before="0" w:after="0"/>
              <w:jc w:val="center"/>
              <w:rPr>
                <w:rFonts w:ascii="Arial Narrow" w:hAnsi="Arial Narrow" w:cs="Times New Roman"/>
                <w:sz w:val="20"/>
                <w:szCs w:val="20"/>
              </w:rPr>
            </w:pPr>
            <w:r w:rsidRPr="00D62E6D">
              <w:rPr>
                <w:rFonts w:ascii="Arial Narrow" w:hAnsi="Arial Narrow" w:cs="Times New Roman"/>
                <w:color w:val="000000"/>
                <w:sz w:val="20"/>
                <w:szCs w:val="20"/>
                <w14:textFill>
                  <w14:solidFill>
                    <w14:srgbClr w14:val="000000">
                      <w14:alpha w14:val="100000"/>
                    </w14:srgbClr>
                  </w14:solidFill>
                </w14:textFill>
              </w:rPr>
              <w:t>|</w:t>
            </w:r>
          </w:p>
        </w:tc>
        <w:tc>
          <w:tcPr>
            <w:tcW w:w="1560" w:type="dxa"/>
            <w:tcMar>
              <w:left w:w="40" w:type="dxa"/>
              <w:right w:w="40" w:type="dxa"/>
            </w:tcMar>
            <w:vAlign w:val="center"/>
          </w:tcPr>
          <w:p w14:paraId="6FC19987" w14:textId="77777777" w:rsidR="00F86069" w:rsidRPr="00B3449A" w:rsidRDefault="00F86069" w:rsidP="001877B9">
            <w:pPr>
              <w:spacing w:before="0" w:after="0"/>
              <w:jc w:val="center"/>
              <w:rPr>
                <w:rFonts w:ascii="Arial Narrow" w:hAnsi="Arial Narrow" w:cs="Times New Roman"/>
                <w:sz w:val="20"/>
                <w:szCs w:val="20"/>
              </w:rPr>
            </w:pPr>
            <w:r w:rsidRPr="00B3449A">
              <w:rPr>
                <w:rFonts w:ascii="Arial Narrow" w:hAnsi="Arial Narrow" w:cs="Times New Roman"/>
                <w:sz w:val="20"/>
                <w:szCs w:val="20"/>
              </w:rPr>
              <w:t>1.94</w:t>
            </w:r>
          </w:p>
        </w:tc>
        <w:tc>
          <w:tcPr>
            <w:tcW w:w="1080" w:type="dxa"/>
            <w:tcMar>
              <w:left w:w="40" w:type="dxa"/>
              <w:right w:w="40" w:type="dxa"/>
            </w:tcMar>
            <w:vAlign w:val="center"/>
          </w:tcPr>
          <w:p w14:paraId="712BD0C4" w14:textId="361FCF1B" w:rsidR="00F86069" w:rsidRPr="00BC6102" w:rsidRDefault="00D62E6D" w:rsidP="001877B9">
            <w:pPr>
              <w:spacing w:before="0" w:after="0"/>
              <w:jc w:val="center"/>
              <w:rPr>
                <w:rFonts w:ascii="Arial Narrow" w:hAnsi="Arial Narrow" w:cs="Times New Roman"/>
                <w:sz w:val="20"/>
                <w:szCs w:val="20"/>
                <w:highlight w:val="darkGray"/>
              </w:rPr>
            </w:pPr>
            <w:r w:rsidRPr="00D62E6D">
              <w:rPr>
                <w:rFonts w:ascii="Arial Narrow" w:hAnsi="Arial Narrow" w:cs="Times New Roman" w:hint="eastAsia"/>
                <w:color w:val="000000"/>
                <w:w w:val="19"/>
                <w:sz w:val="20"/>
                <w:szCs w:val="20"/>
                <w:shd w:val="solid" w:color="000000" w:fill="000000"/>
                <w:fitText w:val="87" w:id="-1167896822"/>
                <w14:textFill>
                  <w14:solidFill>
                    <w14:srgbClr w14:val="000000">
                      <w14:alpha w14:val="100000"/>
                    </w14:srgbClr>
                  </w14:solidFill>
                </w14:textFill>
              </w:rPr>
              <w:t xml:space="preserve">　</w:t>
            </w:r>
            <w:r w:rsidRPr="00D62E6D">
              <w:rPr>
                <w:rFonts w:ascii="Arial Narrow" w:hAnsi="Arial Narrow" w:cs="Times New Roman"/>
                <w:color w:val="000000"/>
                <w:w w:val="19"/>
                <w:sz w:val="20"/>
                <w:szCs w:val="20"/>
                <w:shd w:val="solid" w:color="000000" w:fill="000000"/>
                <w:fitText w:val="87" w:id="-1167896822"/>
                <w14:textFill>
                  <w14:solidFill>
                    <w14:srgbClr w14:val="000000">
                      <w14:alpha w14:val="100000"/>
                    </w14:srgbClr>
                  </w14:solidFill>
                </w14:textFill>
              </w:rPr>
              <w:t>|</w:t>
            </w:r>
            <w:r w:rsidRPr="00D62E6D">
              <w:rPr>
                <w:rFonts w:ascii="Arial Narrow" w:hAnsi="Arial Narrow" w:cs="Times New Roman" w:hint="eastAsia"/>
                <w:color w:val="000000"/>
                <w:spacing w:val="3"/>
                <w:w w:val="19"/>
                <w:sz w:val="20"/>
                <w:szCs w:val="20"/>
                <w:shd w:val="solid" w:color="000000" w:fill="000000"/>
                <w:fitText w:val="87" w:id="-1167896822"/>
                <w14:textFill>
                  <w14:solidFill>
                    <w14:srgbClr w14:val="000000">
                      <w14:alpha w14:val="100000"/>
                    </w14:srgbClr>
                  </w14:solidFill>
                </w14:textFill>
              </w:rPr>
              <w:t xml:space="preserve">　</w:t>
            </w:r>
            <w:r w:rsidR="00BC6102">
              <w:rPr>
                <w:rFonts w:ascii="Arial Narrow" w:eastAsiaTheme="minorHAnsi" w:hAnsi="Arial Narrow" w:cs="Tahoma"/>
                <w:color w:val="000000"/>
                <w:sz w:val="18"/>
                <w:szCs w:val="18"/>
                <w:vertAlign w:val="superscript"/>
              </w:rPr>
              <w:t>4</w:t>
            </w:r>
          </w:p>
        </w:tc>
        <w:tc>
          <w:tcPr>
            <w:tcW w:w="1102" w:type="dxa"/>
            <w:tcBorders>
              <w:top w:val="single" w:sz="4" w:space="0" w:color="auto"/>
              <w:left w:val="nil"/>
              <w:bottom w:val="single" w:sz="4" w:space="0" w:color="auto"/>
              <w:right w:val="single" w:sz="4" w:space="0" w:color="auto"/>
            </w:tcBorders>
            <w:shd w:val="clear" w:color="auto" w:fill="auto"/>
            <w:tcMar>
              <w:left w:w="40" w:type="dxa"/>
              <w:right w:w="40" w:type="dxa"/>
            </w:tcMar>
            <w:vAlign w:val="center"/>
          </w:tcPr>
          <w:p w14:paraId="38F4F1CE" w14:textId="77777777" w:rsidR="00F86069" w:rsidRPr="00B3449A" w:rsidRDefault="00F86069" w:rsidP="001877B9">
            <w:pPr>
              <w:spacing w:before="0" w:after="0"/>
              <w:jc w:val="center"/>
              <w:rPr>
                <w:rFonts w:ascii="Arial Narrow" w:hAnsi="Arial Narrow" w:cs="Times New Roman"/>
                <w:sz w:val="20"/>
                <w:szCs w:val="20"/>
              </w:rPr>
            </w:pPr>
            <w:r w:rsidRPr="00B3449A">
              <w:rPr>
                <w:rFonts w:ascii="Arial Narrow" w:hAnsi="Arial Narrow" w:cs="Calibri"/>
                <w:color w:val="000000"/>
                <w:sz w:val="20"/>
                <w:szCs w:val="20"/>
              </w:rPr>
              <w:t>20%</w:t>
            </w:r>
          </w:p>
        </w:tc>
      </w:tr>
      <w:tr w:rsidR="004F4D4A" w:rsidRPr="00B3449A" w14:paraId="5842CFF4" w14:textId="77777777" w:rsidTr="00D62E6D">
        <w:tc>
          <w:tcPr>
            <w:tcW w:w="3748" w:type="dxa"/>
            <w:tcMar>
              <w:left w:w="40" w:type="dxa"/>
              <w:right w:w="40" w:type="dxa"/>
            </w:tcMar>
            <w:vAlign w:val="center"/>
          </w:tcPr>
          <w:p w14:paraId="7EE720FC" w14:textId="2C20CF33" w:rsidR="004F4D4A" w:rsidRPr="00B3449A" w:rsidRDefault="004F4D4A" w:rsidP="004F4D4A">
            <w:pPr>
              <w:spacing w:before="0" w:after="0"/>
              <w:jc w:val="left"/>
              <w:rPr>
                <w:rFonts w:ascii="Arial Narrow" w:hAnsi="Arial Narrow" w:cs="Times New Roman"/>
                <w:sz w:val="20"/>
                <w:szCs w:val="20"/>
              </w:rPr>
            </w:pPr>
            <w:r w:rsidRPr="00B3449A">
              <w:rPr>
                <w:rFonts w:ascii="Arial Narrow" w:hAnsi="Arial Narrow" w:cs="Calibri"/>
                <w:color w:val="000000"/>
                <w:sz w:val="20"/>
                <w:szCs w:val="20"/>
              </w:rPr>
              <w:t>Time horizon reduce</w:t>
            </w:r>
            <w:r w:rsidR="006E36B3">
              <w:rPr>
                <w:rFonts w:ascii="Arial Narrow" w:hAnsi="Arial Narrow" w:cs="Calibri"/>
                <w:color w:val="000000"/>
                <w:sz w:val="20"/>
                <w:szCs w:val="20"/>
              </w:rPr>
              <w:t>d</w:t>
            </w:r>
            <w:r w:rsidRPr="00B3449A">
              <w:rPr>
                <w:rFonts w:ascii="Arial Narrow" w:hAnsi="Arial Narrow" w:cs="Calibri"/>
                <w:color w:val="000000"/>
                <w:sz w:val="20"/>
                <w:szCs w:val="20"/>
              </w:rPr>
              <w:t xml:space="preserve"> from lifetime to 20 years</w:t>
            </w:r>
          </w:p>
        </w:tc>
        <w:tc>
          <w:tcPr>
            <w:tcW w:w="1527" w:type="dxa"/>
            <w:tcBorders>
              <w:bottom w:val="single" w:sz="4" w:space="0" w:color="auto"/>
            </w:tcBorders>
            <w:shd w:val="solid" w:color="000000" w:fill="000000"/>
            <w:tcMar>
              <w:left w:w="40" w:type="dxa"/>
              <w:right w:w="40" w:type="dxa"/>
            </w:tcMar>
            <w:vAlign w:val="center"/>
          </w:tcPr>
          <w:p w14:paraId="03E96A46" w14:textId="3D09CC19" w:rsidR="004F4D4A" w:rsidRPr="00D62E6D" w:rsidRDefault="00D62E6D" w:rsidP="004F4D4A">
            <w:pPr>
              <w:spacing w:before="0" w:after="0"/>
              <w:jc w:val="center"/>
              <w:rPr>
                <w:rFonts w:ascii="Arial Narrow" w:hAnsi="Arial Narrow" w:cs="Times New Roman"/>
                <w:sz w:val="20"/>
                <w:szCs w:val="20"/>
              </w:rPr>
            </w:pPr>
            <w:r w:rsidRPr="00D62E6D">
              <w:rPr>
                <w:rFonts w:ascii="Arial Narrow" w:hAnsi="Arial Narrow" w:cs="Times New Roman"/>
                <w:color w:val="000000"/>
                <w:sz w:val="20"/>
                <w:szCs w:val="20"/>
                <w14:textFill>
                  <w14:solidFill>
                    <w14:srgbClr w14:val="000000">
                      <w14:alpha w14:val="100000"/>
                    </w14:srgbClr>
                  </w14:solidFill>
                </w14:textFill>
              </w:rPr>
              <w:t>|</w:t>
            </w:r>
          </w:p>
        </w:tc>
        <w:tc>
          <w:tcPr>
            <w:tcW w:w="1560" w:type="dxa"/>
            <w:tcMar>
              <w:left w:w="40" w:type="dxa"/>
              <w:right w:w="40" w:type="dxa"/>
            </w:tcMar>
            <w:vAlign w:val="center"/>
          </w:tcPr>
          <w:p w14:paraId="2C9EA352" w14:textId="4443CE5A" w:rsidR="004F4D4A" w:rsidRPr="00B3449A" w:rsidRDefault="004F4D4A" w:rsidP="004F4D4A">
            <w:pPr>
              <w:spacing w:before="0" w:after="0"/>
              <w:jc w:val="center"/>
              <w:rPr>
                <w:rFonts w:ascii="Arial Narrow" w:hAnsi="Arial Narrow" w:cs="Times New Roman"/>
                <w:sz w:val="20"/>
                <w:szCs w:val="20"/>
              </w:rPr>
            </w:pPr>
            <w:r w:rsidRPr="00B3449A">
              <w:rPr>
                <w:rFonts w:ascii="Arial Narrow" w:hAnsi="Arial Narrow" w:cs="Times New Roman"/>
                <w:sz w:val="20"/>
                <w:szCs w:val="20"/>
              </w:rPr>
              <w:t>0.79</w:t>
            </w:r>
          </w:p>
        </w:tc>
        <w:tc>
          <w:tcPr>
            <w:tcW w:w="1080" w:type="dxa"/>
            <w:tcMar>
              <w:left w:w="40" w:type="dxa"/>
              <w:right w:w="40" w:type="dxa"/>
            </w:tcMar>
            <w:vAlign w:val="center"/>
          </w:tcPr>
          <w:p w14:paraId="5CEC5ADA" w14:textId="09E6F397" w:rsidR="004F4D4A" w:rsidRPr="00BC6102" w:rsidRDefault="00D62E6D" w:rsidP="004F4D4A">
            <w:pPr>
              <w:spacing w:before="0" w:after="0"/>
              <w:jc w:val="center"/>
              <w:rPr>
                <w:rFonts w:ascii="Arial Narrow" w:hAnsi="Arial Narrow" w:cs="Times New Roman"/>
                <w:sz w:val="20"/>
                <w:szCs w:val="20"/>
                <w:highlight w:val="darkGray"/>
              </w:rPr>
            </w:pPr>
            <w:r w:rsidRPr="00D62E6D">
              <w:rPr>
                <w:rFonts w:ascii="Arial Narrow" w:hAnsi="Arial Narrow" w:cs="Times New Roman" w:hint="eastAsia"/>
                <w:color w:val="000000"/>
                <w:w w:val="19"/>
                <w:sz w:val="20"/>
                <w:szCs w:val="20"/>
                <w:shd w:val="solid" w:color="000000" w:fill="000000"/>
                <w:fitText w:val="87" w:id="-1167896821"/>
                <w14:textFill>
                  <w14:solidFill>
                    <w14:srgbClr w14:val="000000">
                      <w14:alpha w14:val="100000"/>
                    </w14:srgbClr>
                  </w14:solidFill>
                </w14:textFill>
              </w:rPr>
              <w:t xml:space="preserve">　</w:t>
            </w:r>
            <w:r w:rsidRPr="00D62E6D">
              <w:rPr>
                <w:rFonts w:ascii="Arial Narrow" w:hAnsi="Arial Narrow" w:cs="Times New Roman"/>
                <w:color w:val="000000"/>
                <w:w w:val="19"/>
                <w:sz w:val="20"/>
                <w:szCs w:val="20"/>
                <w:shd w:val="solid" w:color="000000" w:fill="000000"/>
                <w:fitText w:val="87" w:id="-1167896821"/>
                <w14:textFill>
                  <w14:solidFill>
                    <w14:srgbClr w14:val="000000">
                      <w14:alpha w14:val="100000"/>
                    </w14:srgbClr>
                  </w14:solidFill>
                </w14:textFill>
              </w:rPr>
              <w:t>|</w:t>
            </w:r>
            <w:r w:rsidRPr="00D62E6D">
              <w:rPr>
                <w:rFonts w:ascii="Arial Narrow" w:hAnsi="Arial Narrow" w:cs="Times New Roman" w:hint="eastAsia"/>
                <w:color w:val="000000"/>
                <w:spacing w:val="3"/>
                <w:w w:val="19"/>
                <w:sz w:val="20"/>
                <w:szCs w:val="20"/>
                <w:shd w:val="solid" w:color="000000" w:fill="000000"/>
                <w:fitText w:val="87" w:id="-1167896821"/>
                <w14:textFill>
                  <w14:solidFill>
                    <w14:srgbClr w14:val="000000">
                      <w14:alpha w14:val="100000"/>
                    </w14:srgbClr>
                  </w14:solidFill>
                </w14:textFill>
              </w:rPr>
              <w:t xml:space="preserve">　</w:t>
            </w:r>
            <w:r w:rsidR="00BC6102">
              <w:rPr>
                <w:rFonts w:ascii="Arial Narrow" w:eastAsiaTheme="minorHAnsi" w:hAnsi="Arial Narrow" w:cs="Tahoma"/>
                <w:color w:val="000000"/>
                <w:sz w:val="18"/>
                <w:szCs w:val="18"/>
                <w:vertAlign w:val="superscript"/>
              </w:rPr>
              <w:t>5</w:t>
            </w:r>
          </w:p>
        </w:tc>
        <w:tc>
          <w:tcPr>
            <w:tcW w:w="1102" w:type="dxa"/>
            <w:tcBorders>
              <w:top w:val="single" w:sz="4" w:space="0" w:color="auto"/>
              <w:left w:val="nil"/>
              <w:bottom w:val="single" w:sz="4" w:space="0" w:color="auto"/>
              <w:right w:val="single" w:sz="4" w:space="0" w:color="auto"/>
            </w:tcBorders>
            <w:shd w:val="clear" w:color="auto" w:fill="auto"/>
            <w:tcMar>
              <w:left w:w="40" w:type="dxa"/>
              <w:right w:w="40" w:type="dxa"/>
            </w:tcMar>
            <w:vAlign w:val="center"/>
          </w:tcPr>
          <w:p w14:paraId="726643C5" w14:textId="09BE820E" w:rsidR="004F4D4A" w:rsidRPr="00B3449A" w:rsidRDefault="004F4D4A" w:rsidP="004F4D4A">
            <w:pPr>
              <w:spacing w:before="0" w:after="0"/>
              <w:jc w:val="center"/>
              <w:rPr>
                <w:rFonts w:ascii="Arial Narrow" w:hAnsi="Arial Narrow" w:cs="Times New Roman"/>
                <w:sz w:val="20"/>
                <w:szCs w:val="20"/>
              </w:rPr>
            </w:pPr>
            <w:r w:rsidRPr="00B3449A">
              <w:rPr>
                <w:rFonts w:ascii="Arial Narrow" w:hAnsi="Arial Narrow" w:cs="Times New Roman"/>
                <w:sz w:val="20"/>
                <w:szCs w:val="20"/>
              </w:rPr>
              <w:t>137%</w:t>
            </w:r>
          </w:p>
        </w:tc>
      </w:tr>
      <w:tr w:rsidR="00F86069" w:rsidRPr="00B3449A" w14:paraId="15374D13" w14:textId="77777777" w:rsidTr="00D62E6D">
        <w:tc>
          <w:tcPr>
            <w:tcW w:w="3748" w:type="dxa"/>
            <w:tcMar>
              <w:left w:w="40" w:type="dxa"/>
              <w:right w:w="40" w:type="dxa"/>
            </w:tcMar>
          </w:tcPr>
          <w:p w14:paraId="1630B95B" w14:textId="45247EFC" w:rsidR="00F86069" w:rsidRPr="00B3449A" w:rsidRDefault="00F86069" w:rsidP="00B12403">
            <w:pPr>
              <w:spacing w:before="0" w:after="0"/>
              <w:jc w:val="left"/>
              <w:rPr>
                <w:rFonts w:ascii="Arial Narrow" w:hAnsi="Arial Narrow" w:cs="Times New Roman"/>
                <w:sz w:val="20"/>
                <w:szCs w:val="20"/>
              </w:rPr>
            </w:pPr>
            <w:r w:rsidRPr="00B3449A">
              <w:rPr>
                <w:rFonts w:ascii="Arial Narrow" w:hAnsi="Arial Narrow" w:cs="Times New Roman"/>
                <w:sz w:val="20"/>
                <w:szCs w:val="20"/>
              </w:rPr>
              <w:t xml:space="preserve">Assumed 0% price reduction due to LoE </w:t>
            </w:r>
            <w:r w:rsidR="003A40E0" w:rsidRPr="00B3449A">
              <w:rPr>
                <w:rFonts w:ascii="Arial Narrow" w:hAnsi="Arial Narrow" w:cs="Times New Roman"/>
                <w:sz w:val="20"/>
                <w:szCs w:val="20"/>
              </w:rPr>
              <w:t>(base case 90%)</w:t>
            </w:r>
          </w:p>
        </w:tc>
        <w:tc>
          <w:tcPr>
            <w:tcW w:w="1527" w:type="dxa"/>
            <w:tcBorders>
              <w:bottom w:val="single" w:sz="4" w:space="0" w:color="auto"/>
            </w:tcBorders>
            <w:shd w:val="solid" w:color="000000" w:fill="000000"/>
            <w:tcMar>
              <w:left w:w="40" w:type="dxa"/>
              <w:right w:w="40" w:type="dxa"/>
            </w:tcMar>
            <w:vAlign w:val="center"/>
          </w:tcPr>
          <w:p w14:paraId="6643993F" w14:textId="40EB9166" w:rsidR="00F86069" w:rsidRPr="00D62E6D" w:rsidRDefault="00D62E6D" w:rsidP="001877B9">
            <w:pPr>
              <w:spacing w:before="0" w:after="0"/>
              <w:jc w:val="center"/>
              <w:rPr>
                <w:rFonts w:ascii="Arial Narrow" w:hAnsi="Arial Narrow" w:cs="Times New Roman"/>
                <w:sz w:val="20"/>
                <w:szCs w:val="20"/>
              </w:rPr>
            </w:pPr>
            <w:r w:rsidRPr="00D62E6D">
              <w:rPr>
                <w:rFonts w:ascii="Arial Narrow" w:hAnsi="Arial Narrow" w:cs="Times New Roman"/>
                <w:color w:val="000000"/>
                <w:sz w:val="20"/>
                <w:szCs w:val="20"/>
                <w14:textFill>
                  <w14:solidFill>
                    <w14:srgbClr w14:val="000000">
                      <w14:alpha w14:val="100000"/>
                    </w14:srgbClr>
                  </w14:solidFill>
                </w14:textFill>
              </w:rPr>
              <w:t>|</w:t>
            </w:r>
          </w:p>
        </w:tc>
        <w:tc>
          <w:tcPr>
            <w:tcW w:w="1560" w:type="dxa"/>
            <w:tcMar>
              <w:left w:w="40" w:type="dxa"/>
              <w:right w:w="40" w:type="dxa"/>
            </w:tcMar>
            <w:vAlign w:val="center"/>
          </w:tcPr>
          <w:p w14:paraId="4A5AE0C6" w14:textId="77777777" w:rsidR="00F86069" w:rsidRPr="00B3449A" w:rsidRDefault="00F86069" w:rsidP="001877B9">
            <w:pPr>
              <w:spacing w:before="0" w:after="0"/>
              <w:jc w:val="center"/>
              <w:rPr>
                <w:rFonts w:ascii="Arial Narrow" w:hAnsi="Arial Narrow" w:cs="Times New Roman"/>
                <w:sz w:val="20"/>
                <w:szCs w:val="20"/>
              </w:rPr>
            </w:pPr>
            <w:r w:rsidRPr="00B3449A">
              <w:rPr>
                <w:rFonts w:ascii="Arial Narrow" w:hAnsi="Arial Narrow" w:cs="Times New Roman"/>
                <w:sz w:val="20"/>
                <w:szCs w:val="20"/>
              </w:rPr>
              <w:t>2.26</w:t>
            </w:r>
          </w:p>
        </w:tc>
        <w:tc>
          <w:tcPr>
            <w:tcW w:w="1080" w:type="dxa"/>
            <w:tcMar>
              <w:left w:w="40" w:type="dxa"/>
              <w:right w:w="40" w:type="dxa"/>
            </w:tcMar>
            <w:vAlign w:val="center"/>
          </w:tcPr>
          <w:p w14:paraId="1B6DF26F" w14:textId="34C33293" w:rsidR="00F86069" w:rsidRPr="00BC6102" w:rsidRDefault="00D62E6D" w:rsidP="001877B9">
            <w:pPr>
              <w:spacing w:before="0" w:after="0"/>
              <w:jc w:val="center"/>
              <w:rPr>
                <w:rFonts w:ascii="Arial Narrow" w:hAnsi="Arial Narrow" w:cs="Times New Roman"/>
                <w:sz w:val="20"/>
                <w:szCs w:val="20"/>
                <w:highlight w:val="darkGray"/>
              </w:rPr>
            </w:pPr>
            <w:r w:rsidRPr="00D62E6D">
              <w:rPr>
                <w:rFonts w:ascii="Arial Narrow" w:hAnsi="Arial Narrow" w:cs="Times New Roman" w:hint="eastAsia"/>
                <w:color w:val="000000"/>
                <w:w w:val="19"/>
                <w:sz w:val="20"/>
                <w:szCs w:val="20"/>
                <w:shd w:val="solid" w:color="000000" w:fill="000000"/>
                <w:fitText w:val="87" w:id="-1167896820"/>
                <w14:textFill>
                  <w14:solidFill>
                    <w14:srgbClr w14:val="000000">
                      <w14:alpha w14:val="100000"/>
                    </w14:srgbClr>
                  </w14:solidFill>
                </w14:textFill>
              </w:rPr>
              <w:t xml:space="preserve">　</w:t>
            </w:r>
            <w:r w:rsidRPr="00D62E6D">
              <w:rPr>
                <w:rFonts w:ascii="Arial Narrow" w:hAnsi="Arial Narrow" w:cs="Times New Roman"/>
                <w:color w:val="000000"/>
                <w:w w:val="19"/>
                <w:sz w:val="20"/>
                <w:szCs w:val="20"/>
                <w:shd w:val="solid" w:color="000000" w:fill="000000"/>
                <w:fitText w:val="87" w:id="-1167896820"/>
                <w14:textFill>
                  <w14:solidFill>
                    <w14:srgbClr w14:val="000000">
                      <w14:alpha w14:val="100000"/>
                    </w14:srgbClr>
                  </w14:solidFill>
                </w14:textFill>
              </w:rPr>
              <w:t>|</w:t>
            </w:r>
            <w:r w:rsidRPr="00D62E6D">
              <w:rPr>
                <w:rFonts w:ascii="Arial Narrow" w:hAnsi="Arial Narrow" w:cs="Times New Roman" w:hint="eastAsia"/>
                <w:color w:val="000000"/>
                <w:spacing w:val="3"/>
                <w:w w:val="19"/>
                <w:sz w:val="20"/>
                <w:szCs w:val="20"/>
                <w:shd w:val="solid" w:color="000000" w:fill="000000"/>
                <w:fitText w:val="87" w:id="-1167896820"/>
                <w14:textFill>
                  <w14:solidFill>
                    <w14:srgbClr w14:val="000000">
                      <w14:alpha w14:val="100000"/>
                    </w14:srgbClr>
                  </w14:solidFill>
                </w14:textFill>
              </w:rPr>
              <w:t xml:space="preserve">　</w:t>
            </w:r>
            <w:r w:rsidR="00BC6102">
              <w:rPr>
                <w:rFonts w:ascii="Arial Narrow" w:eastAsiaTheme="minorHAnsi" w:hAnsi="Arial Narrow" w:cs="Tahoma"/>
                <w:color w:val="000000"/>
                <w:sz w:val="18"/>
                <w:szCs w:val="18"/>
                <w:vertAlign w:val="superscript"/>
              </w:rPr>
              <w:t>6</w:t>
            </w:r>
          </w:p>
        </w:tc>
        <w:tc>
          <w:tcPr>
            <w:tcW w:w="1102" w:type="dxa"/>
            <w:tcBorders>
              <w:top w:val="single" w:sz="4" w:space="0" w:color="auto"/>
              <w:left w:val="nil"/>
              <w:bottom w:val="single" w:sz="4" w:space="0" w:color="auto"/>
              <w:right w:val="single" w:sz="4" w:space="0" w:color="auto"/>
            </w:tcBorders>
            <w:shd w:val="clear" w:color="auto" w:fill="auto"/>
            <w:tcMar>
              <w:left w:w="40" w:type="dxa"/>
              <w:right w:w="40" w:type="dxa"/>
            </w:tcMar>
            <w:vAlign w:val="center"/>
          </w:tcPr>
          <w:p w14:paraId="63FA5261" w14:textId="77777777" w:rsidR="00F86069" w:rsidRPr="00B3449A" w:rsidRDefault="00F86069" w:rsidP="001877B9">
            <w:pPr>
              <w:spacing w:before="0" w:after="0"/>
              <w:jc w:val="center"/>
              <w:rPr>
                <w:rFonts w:ascii="Arial Narrow" w:hAnsi="Arial Narrow" w:cs="Times New Roman"/>
                <w:sz w:val="20"/>
                <w:szCs w:val="20"/>
              </w:rPr>
            </w:pPr>
            <w:r w:rsidRPr="00B3449A">
              <w:rPr>
                <w:rFonts w:ascii="Arial Narrow" w:hAnsi="Arial Narrow" w:cs="Calibri"/>
                <w:color w:val="000000"/>
                <w:sz w:val="20"/>
                <w:szCs w:val="20"/>
              </w:rPr>
              <w:t>428%</w:t>
            </w:r>
          </w:p>
        </w:tc>
      </w:tr>
      <w:tr w:rsidR="00F86069" w:rsidRPr="00B3449A" w14:paraId="108FA95A" w14:textId="77777777" w:rsidTr="00D62E6D">
        <w:tc>
          <w:tcPr>
            <w:tcW w:w="3748" w:type="dxa"/>
            <w:tcMar>
              <w:left w:w="40" w:type="dxa"/>
              <w:right w:w="40" w:type="dxa"/>
            </w:tcMar>
          </w:tcPr>
          <w:p w14:paraId="6C124DFE" w14:textId="01B9B0FF" w:rsidR="00F86069" w:rsidRPr="00B3449A" w:rsidRDefault="00F86069" w:rsidP="00B12403">
            <w:pPr>
              <w:spacing w:before="0" w:after="0"/>
              <w:jc w:val="left"/>
              <w:rPr>
                <w:rFonts w:ascii="Arial Narrow" w:hAnsi="Arial Narrow" w:cs="Calibri"/>
                <w:color w:val="000000"/>
                <w:sz w:val="20"/>
                <w:szCs w:val="20"/>
              </w:rPr>
            </w:pPr>
            <w:r w:rsidRPr="00B3449A">
              <w:rPr>
                <w:rFonts w:ascii="Arial Narrow" w:hAnsi="Arial Narrow" w:cs="Calibri"/>
                <w:color w:val="000000"/>
                <w:sz w:val="20"/>
                <w:szCs w:val="20"/>
              </w:rPr>
              <w:t xml:space="preserve">Treatment compliance rate </w:t>
            </w:r>
            <w:r w:rsidR="006E36B3">
              <w:rPr>
                <w:rFonts w:ascii="Arial Narrow" w:hAnsi="Arial Narrow" w:cs="Calibri"/>
                <w:color w:val="000000"/>
                <w:sz w:val="20"/>
                <w:szCs w:val="20"/>
              </w:rPr>
              <w:t xml:space="preserve">of 99.94% in ages 1 to less than 2 </w:t>
            </w:r>
            <w:r w:rsidRPr="00B3449A">
              <w:rPr>
                <w:rFonts w:ascii="Arial Narrow" w:hAnsi="Arial Narrow" w:cs="Calibri"/>
                <w:color w:val="000000"/>
                <w:sz w:val="20"/>
                <w:szCs w:val="20"/>
              </w:rPr>
              <w:t xml:space="preserve">(base case 90% to all ages). </w:t>
            </w:r>
          </w:p>
        </w:tc>
        <w:tc>
          <w:tcPr>
            <w:tcW w:w="1527" w:type="dxa"/>
            <w:shd w:val="solid" w:color="000000" w:fill="000000"/>
            <w:tcMar>
              <w:left w:w="40" w:type="dxa"/>
              <w:right w:w="40" w:type="dxa"/>
            </w:tcMar>
            <w:vAlign w:val="center"/>
          </w:tcPr>
          <w:p w14:paraId="1546F58C" w14:textId="2880C4F2" w:rsidR="00F86069" w:rsidRPr="00D62E6D" w:rsidRDefault="00D62E6D" w:rsidP="001877B9">
            <w:pPr>
              <w:spacing w:before="0" w:after="0"/>
              <w:jc w:val="center"/>
              <w:rPr>
                <w:rFonts w:ascii="Arial Narrow" w:hAnsi="Arial Narrow" w:cs="Times New Roman"/>
                <w:sz w:val="20"/>
                <w:szCs w:val="20"/>
              </w:rPr>
            </w:pPr>
            <w:r w:rsidRPr="00D62E6D">
              <w:rPr>
                <w:rFonts w:ascii="Arial Narrow" w:hAnsi="Arial Narrow" w:cs="Times New Roman"/>
                <w:color w:val="000000"/>
                <w:sz w:val="20"/>
                <w:szCs w:val="20"/>
                <w14:textFill>
                  <w14:solidFill>
                    <w14:srgbClr w14:val="000000">
                      <w14:alpha w14:val="100000"/>
                    </w14:srgbClr>
                  </w14:solidFill>
                </w14:textFill>
              </w:rPr>
              <w:t>|</w:t>
            </w:r>
          </w:p>
        </w:tc>
        <w:tc>
          <w:tcPr>
            <w:tcW w:w="1560" w:type="dxa"/>
            <w:tcMar>
              <w:left w:w="40" w:type="dxa"/>
              <w:right w:w="40" w:type="dxa"/>
            </w:tcMar>
            <w:vAlign w:val="center"/>
          </w:tcPr>
          <w:p w14:paraId="5E46C177" w14:textId="77777777" w:rsidR="00F86069" w:rsidRPr="00B3449A" w:rsidRDefault="00F86069" w:rsidP="001877B9">
            <w:pPr>
              <w:spacing w:before="0" w:after="0"/>
              <w:jc w:val="center"/>
              <w:rPr>
                <w:rFonts w:ascii="Arial Narrow" w:hAnsi="Arial Narrow" w:cs="Times New Roman"/>
                <w:sz w:val="20"/>
                <w:szCs w:val="20"/>
              </w:rPr>
            </w:pPr>
            <w:r w:rsidRPr="00B3449A">
              <w:rPr>
                <w:rFonts w:ascii="Arial Narrow" w:hAnsi="Arial Narrow" w:cs="Times New Roman"/>
                <w:sz w:val="20"/>
                <w:szCs w:val="20"/>
              </w:rPr>
              <w:t>2.26</w:t>
            </w:r>
          </w:p>
        </w:tc>
        <w:tc>
          <w:tcPr>
            <w:tcW w:w="1080" w:type="dxa"/>
            <w:tcMar>
              <w:left w:w="40" w:type="dxa"/>
              <w:right w:w="40" w:type="dxa"/>
            </w:tcMar>
            <w:vAlign w:val="center"/>
          </w:tcPr>
          <w:p w14:paraId="5B78E89E" w14:textId="45FBA89D" w:rsidR="00F86069" w:rsidRPr="00BC6102" w:rsidRDefault="00D62E6D" w:rsidP="001877B9">
            <w:pPr>
              <w:spacing w:before="0" w:after="0"/>
              <w:jc w:val="center"/>
              <w:rPr>
                <w:rFonts w:ascii="Arial Narrow" w:hAnsi="Arial Narrow" w:cs="Times New Roman"/>
                <w:sz w:val="20"/>
                <w:szCs w:val="20"/>
                <w:highlight w:val="darkGray"/>
              </w:rPr>
            </w:pPr>
            <w:r w:rsidRPr="00D62E6D">
              <w:rPr>
                <w:rFonts w:ascii="Arial Narrow" w:hAnsi="Arial Narrow" w:cs="Times New Roman" w:hint="eastAsia"/>
                <w:color w:val="000000"/>
                <w:w w:val="19"/>
                <w:sz w:val="20"/>
                <w:szCs w:val="20"/>
                <w:shd w:val="solid" w:color="000000" w:fill="000000"/>
                <w:fitText w:val="87" w:id="-1167896819"/>
                <w14:textFill>
                  <w14:solidFill>
                    <w14:srgbClr w14:val="000000">
                      <w14:alpha w14:val="100000"/>
                    </w14:srgbClr>
                  </w14:solidFill>
                </w14:textFill>
              </w:rPr>
              <w:t xml:space="preserve">　</w:t>
            </w:r>
            <w:r w:rsidRPr="00D62E6D">
              <w:rPr>
                <w:rFonts w:ascii="Arial Narrow" w:hAnsi="Arial Narrow" w:cs="Times New Roman"/>
                <w:color w:val="000000"/>
                <w:w w:val="19"/>
                <w:sz w:val="20"/>
                <w:szCs w:val="20"/>
                <w:shd w:val="solid" w:color="000000" w:fill="000000"/>
                <w:fitText w:val="87" w:id="-1167896819"/>
                <w14:textFill>
                  <w14:solidFill>
                    <w14:srgbClr w14:val="000000">
                      <w14:alpha w14:val="100000"/>
                    </w14:srgbClr>
                  </w14:solidFill>
                </w14:textFill>
              </w:rPr>
              <w:t>|</w:t>
            </w:r>
            <w:r w:rsidRPr="00D62E6D">
              <w:rPr>
                <w:rFonts w:ascii="Arial Narrow" w:hAnsi="Arial Narrow" w:cs="Times New Roman" w:hint="eastAsia"/>
                <w:color w:val="000000"/>
                <w:spacing w:val="3"/>
                <w:w w:val="19"/>
                <w:sz w:val="20"/>
                <w:szCs w:val="20"/>
                <w:shd w:val="solid" w:color="000000" w:fill="000000"/>
                <w:fitText w:val="87" w:id="-1167896819"/>
                <w14:textFill>
                  <w14:solidFill>
                    <w14:srgbClr w14:val="000000">
                      <w14:alpha w14:val="100000"/>
                    </w14:srgbClr>
                  </w14:solidFill>
                </w14:textFill>
              </w:rPr>
              <w:t xml:space="preserve">　</w:t>
            </w:r>
            <w:r w:rsidR="00BC6102">
              <w:rPr>
                <w:rFonts w:ascii="Arial Narrow" w:eastAsiaTheme="minorHAnsi" w:hAnsi="Arial Narrow" w:cs="Tahoma"/>
                <w:color w:val="000000"/>
                <w:sz w:val="18"/>
                <w:szCs w:val="18"/>
                <w:vertAlign w:val="superscript"/>
              </w:rPr>
              <w:t>4</w:t>
            </w:r>
          </w:p>
        </w:tc>
        <w:tc>
          <w:tcPr>
            <w:tcW w:w="1102" w:type="dxa"/>
            <w:tcBorders>
              <w:top w:val="single" w:sz="4" w:space="0" w:color="auto"/>
              <w:left w:val="nil"/>
              <w:bottom w:val="single" w:sz="4" w:space="0" w:color="auto"/>
              <w:right w:val="single" w:sz="4" w:space="0" w:color="auto"/>
            </w:tcBorders>
            <w:shd w:val="clear" w:color="auto" w:fill="auto"/>
            <w:tcMar>
              <w:left w:w="40" w:type="dxa"/>
              <w:right w:w="40" w:type="dxa"/>
            </w:tcMar>
            <w:vAlign w:val="center"/>
          </w:tcPr>
          <w:p w14:paraId="4880CEF0" w14:textId="77777777" w:rsidR="00F86069" w:rsidRPr="00B3449A" w:rsidRDefault="00F86069" w:rsidP="001877B9">
            <w:pPr>
              <w:spacing w:before="0" w:after="0"/>
              <w:jc w:val="center"/>
              <w:rPr>
                <w:rFonts w:ascii="Arial Narrow" w:hAnsi="Arial Narrow" w:cs="Calibri"/>
                <w:color w:val="000000"/>
                <w:sz w:val="20"/>
                <w:szCs w:val="20"/>
              </w:rPr>
            </w:pPr>
            <w:r w:rsidRPr="00B3449A">
              <w:rPr>
                <w:rFonts w:ascii="Arial Narrow" w:hAnsi="Arial Narrow" w:cs="Calibri"/>
                <w:color w:val="000000"/>
                <w:sz w:val="20"/>
                <w:szCs w:val="20"/>
              </w:rPr>
              <w:t>14%</w:t>
            </w:r>
          </w:p>
        </w:tc>
      </w:tr>
    </w:tbl>
    <w:p w14:paraId="7260A534" w14:textId="77777777" w:rsidR="00F86069" w:rsidRPr="00B3449A" w:rsidRDefault="00F86069" w:rsidP="00F86069">
      <w:pPr>
        <w:keepLines/>
        <w:jc w:val="left"/>
        <w:rPr>
          <w:rFonts w:ascii="Arial Narrow" w:eastAsiaTheme="minorHAnsi" w:hAnsi="Arial Narrow" w:cs="Tahoma"/>
          <w:color w:val="000000"/>
          <w:sz w:val="18"/>
          <w:szCs w:val="18"/>
        </w:rPr>
      </w:pPr>
      <w:r w:rsidRPr="00B3449A">
        <w:rPr>
          <w:rFonts w:ascii="Arial Narrow" w:eastAsiaTheme="minorHAnsi" w:hAnsi="Arial Narrow" w:cs="Tahoma"/>
          <w:color w:val="000000"/>
          <w:sz w:val="18"/>
          <w:szCs w:val="18"/>
        </w:rPr>
        <w:t>Source: Table 3.5.23, pp132-133 of the submission and developed during evaluation.</w:t>
      </w:r>
    </w:p>
    <w:p w14:paraId="00AEAEFC" w14:textId="7D9FE45F" w:rsidR="001C5BDE" w:rsidRDefault="00F86069" w:rsidP="00BC6102">
      <w:pPr>
        <w:keepLines/>
        <w:jc w:val="left"/>
        <w:rPr>
          <w:rFonts w:ascii="Arial Narrow" w:eastAsiaTheme="minorHAnsi" w:hAnsi="Arial Narrow" w:cs="Tahoma"/>
          <w:color w:val="000000"/>
          <w:sz w:val="18"/>
          <w:szCs w:val="18"/>
        </w:rPr>
      </w:pPr>
      <w:r w:rsidRPr="00B3449A">
        <w:rPr>
          <w:rFonts w:ascii="Arial Narrow" w:eastAsiaTheme="minorHAnsi" w:hAnsi="Arial Narrow" w:cs="Tahoma"/>
          <w:color w:val="000000"/>
          <w:sz w:val="18"/>
          <w:szCs w:val="18"/>
        </w:rPr>
        <w:t>BSC = best supportive care; CI= confidence interval;</w:t>
      </w:r>
      <w:r w:rsidR="006E36B3">
        <w:rPr>
          <w:rFonts w:ascii="Arial Narrow" w:eastAsiaTheme="minorHAnsi" w:hAnsi="Arial Narrow" w:cs="Tahoma"/>
          <w:color w:val="000000"/>
          <w:sz w:val="18"/>
          <w:szCs w:val="18"/>
        </w:rPr>
        <w:t xml:space="preserve"> </w:t>
      </w:r>
      <w:r w:rsidR="006E36B3" w:rsidRPr="00FF09A2">
        <w:rPr>
          <w:rFonts w:ascii="Arial Narrow" w:hAnsi="Arial Narrow"/>
          <w:snapToGrid w:val="0"/>
          <w:sz w:val="18"/>
          <w:szCs w:val="22"/>
        </w:rPr>
        <w:t>FEV</w:t>
      </w:r>
      <w:r w:rsidR="006E36B3" w:rsidRPr="00FF09A2">
        <w:rPr>
          <w:rFonts w:ascii="Arial Narrow" w:hAnsi="Arial Narrow"/>
          <w:snapToGrid w:val="0"/>
          <w:sz w:val="18"/>
          <w:szCs w:val="22"/>
          <w:vertAlign w:val="subscript"/>
        </w:rPr>
        <w:t>1</w:t>
      </w:r>
      <w:r w:rsidR="006E36B3" w:rsidRPr="00FF09A2">
        <w:rPr>
          <w:rFonts w:ascii="Arial Narrow" w:hAnsi="Arial Narrow"/>
          <w:snapToGrid w:val="0"/>
          <w:sz w:val="18"/>
          <w:szCs w:val="22"/>
        </w:rPr>
        <w:t xml:space="preserve"> = forced expiratory volume in 1 second;</w:t>
      </w:r>
      <w:r w:rsidRPr="00B3449A">
        <w:rPr>
          <w:rFonts w:ascii="Arial Narrow" w:eastAsiaTheme="minorHAnsi" w:hAnsi="Arial Narrow" w:cs="Tahoma"/>
          <w:color w:val="000000"/>
          <w:sz w:val="18"/>
          <w:szCs w:val="18"/>
        </w:rPr>
        <w:t xml:space="preserve"> ICER= incremental cost-effectiveness ratio; LoE= loss of exclusivity; LUM</w:t>
      </w:r>
      <w:r w:rsidR="006E36B3">
        <w:rPr>
          <w:rFonts w:ascii="Arial Narrow" w:eastAsiaTheme="minorHAnsi" w:hAnsi="Arial Narrow" w:cs="Tahoma"/>
          <w:color w:val="000000"/>
          <w:sz w:val="18"/>
          <w:szCs w:val="18"/>
        </w:rPr>
        <w:t>/IVA</w:t>
      </w:r>
      <w:r w:rsidRPr="00B3449A">
        <w:rPr>
          <w:rFonts w:ascii="Arial Narrow" w:eastAsiaTheme="minorHAnsi" w:hAnsi="Arial Narrow" w:cs="Tahoma"/>
          <w:color w:val="000000"/>
          <w:sz w:val="18"/>
          <w:szCs w:val="18"/>
        </w:rPr>
        <w:t>= lumacaftor</w:t>
      </w:r>
      <w:r w:rsidR="006E36B3">
        <w:rPr>
          <w:rFonts w:ascii="Arial Narrow" w:eastAsiaTheme="minorHAnsi" w:hAnsi="Arial Narrow" w:cs="Tahoma"/>
          <w:color w:val="000000"/>
          <w:sz w:val="18"/>
          <w:szCs w:val="18"/>
        </w:rPr>
        <w:t>/ivacaftor</w:t>
      </w:r>
      <w:r w:rsidRPr="00B3449A">
        <w:rPr>
          <w:rFonts w:ascii="Arial Narrow" w:eastAsiaTheme="minorHAnsi" w:hAnsi="Arial Narrow" w:cs="Tahoma"/>
          <w:color w:val="000000"/>
          <w:sz w:val="18"/>
          <w:szCs w:val="18"/>
        </w:rPr>
        <w:t xml:space="preserve">; QALYs= quality-adjusted life-years </w:t>
      </w:r>
      <w:r w:rsidRPr="00B3449A">
        <w:rPr>
          <w:rFonts w:ascii="Arial Narrow" w:eastAsiaTheme="minorHAnsi" w:hAnsi="Arial Narrow" w:cs="Tahoma"/>
          <w:color w:val="000000"/>
          <w:sz w:val="18"/>
          <w:szCs w:val="18"/>
        </w:rPr>
        <w:br/>
        <w:t>Rounding applies.</w:t>
      </w:r>
    </w:p>
    <w:p w14:paraId="7A091C53" w14:textId="5B596FB8" w:rsidR="00BC6102" w:rsidRPr="00BC6102" w:rsidRDefault="00BC6102" w:rsidP="00BC6102">
      <w:pPr>
        <w:keepLines/>
        <w:jc w:val="left"/>
        <w:rPr>
          <w:rFonts w:ascii="Arial Narrow" w:eastAsiaTheme="minorHAnsi" w:hAnsi="Arial Narrow" w:cs="Tahoma"/>
          <w:i/>
          <w:iCs/>
          <w:color w:val="000000"/>
          <w:sz w:val="18"/>
          <w:szCs w:val="18"/>
        </w:rPr>
      </w:pPr>
      <w:r w:rsidRPr="00BC6102">
        <w:rPr>
          <w:rFonts w:ascii="Arial Narrow" w:eastAsiaTheme="minorHAnsi" w:hAnsi="Arial Narrow" w:cs="Tahoma"/>
          <w:i/>
          <w:iCs/>
          <w:color w:val="000000"/>
          <w:sz w:val="18"/>
          <w:szCs w:val="18"/>
        </w:rPr>
        <w:t>The redacted values correspond to the following ranges:</w:t>
      </w:r>
    </w:p>
    <w:p w14:paraId="111FD351" w14:textId="32F5FA66" w:rsidR="00BC6102" w:rsidRPr="00BC6102" w:rsidRDefault="00BC6102" w:rsidP="00BC6102">
      <w:pPr>
        <w:keepLines/>
        <w:jc w:val="left"/>
        <w:rPr>
          <w:rFonts w:ascii="Arial Narrow" w:eastAsiaTheme="minorHAnsi" w:hAnsi="Arial Narrow" w:cs="Tahoma"/>
          <w:i/>
          <w:iCs/>
          <w:color w:val="000000"/>
          <w:sz w:val="18"/>
          <w:szCs w:val="18"/>
        </w:rPr>
      </w:pPr>
      <w:r w:rsidRPr="00BC6102">
        <w:rPr>
          <w:rFonts w:ascii="Arial Narrow" w:eastAsiaTheme="minorHAnsi" w:hAnsi="Arial Narrow" w:cs="Tahoma"/>
          <w:i/>
          <w:iCs/>
          <w:color w:val="000000"/>
          <w:sz w:val="18"/>
          <w:szCs w:val="18"/>
          <w:vertAlign w:val="superscript"/>
        </w:rPr>
        <w:t>1</w:t>
      </w:r>
      <w:r w:rsidRPr="00BC6102">
        <w:rPr>
          <w:rFonts w:ascii="Arial Narrow" w:eastAsiaTheme="minorHAnsi" w:hAnsi="Arial Narrow" w:cs="Tahoma"/>
          <w:i/>
          <w:iCs/>
          <w:color w:val="000000"/>
          <w:sz w:val="18"/>
          <w:szCs w:val="18"/>
        </w:rPr>
        <w:t xml:space="preserve"> $95,000 to &lt; $115,000</w:t>
      </w:r>
    </w:p>
    <w:p w14:paraId="2193E84F" w14:textId="0BA1AD44" w:rsidR="00BC6102" w:rsidRPr="00BC6102" w:rsidRDefault="00BC6102" w:rsidP="00BC6102">
      <w:pPr>
        <w:keepLines/>
        <w:jc w:val="left"/>
        <w:rPr>
          <w:rFonts w:ascii="Arial Narrow" w:eastAsiaTheme="minorHAnsi" w:hAnsi="Arial Narrow" w:cs="Tahoma"/>
          <w:i/>
          <w:iCs/>
          <w:color w:val="000000"/>
          <w:sz w:val="18"/>
          <w:szCs w:val="18"/>
        </w:rPr>
      </w:pPr>
      <w:r w:rsidRPr="00BC6102">
        <w:rPr>
          <w:rFonts w:ascii="Arial Narrow" w:eastAsiaTheme="minorHAnsi" w:hAnsi="Arial Narrow" w:cs="Tahoma"/>
          <w:i/>
          <w:iCs/>
          <w:color w:val="000000"/>
          <w:sz w:val="18"/>
          <w:szCs w:val="18"/>
          <w:vertAlign w:val="superscript"/>
        </w:rPr>
        <w:t>2</w:t>
      </w:r>
      <w:r w:rsidRPr="00BC6102">
        <w:rPr>
          <w:rFonts w:ascii="Arial Narrow" w:eastAsiaTheme="minorHAnsi" w:hAnsi="Arial Narrow" w:cs="Tahoma"/>
          <w:i/>
          <w:iCs/>
          <w:color w:val="000000"/>
          <w:sz w:val="18"/>
          <w:szCs w:val="18"/>
        </w:rPr>
        <w:t xml:space="preserve"> $55,000 to &lt; $75,000</w:t>
      </w:r>
    </w:p>
    <w:p w14:paraId="5480BE60" w14:textId="26ED87EA" w:rsidR="00BC6102" w:rsidRPr="00BC6102" w:rsidRDefault="00BC6102" w:rsidP="00BC6102">
      <w:pPr>
        <w:keepLines/>
        <w:jc w:val="left"/>
        <w:rPr>
          <w:rFonts w:ascii="Arial Narrow" w:eastAsiaTheme="minorHAnsi" w:hAnsi="Arial Narrow" w:cs="Tahoma"/>
          <w:i/>
          <w:iCs/>
          <w:color w:val="000000"/>
          <w:sz w:val="18"/>
          <w:szCs w:val="18"/>
        </w:rPr>
      </w:pPr>
      <w:r w:rsidRPr="00BC6102">
        <w:rPr>
          <w:rFonts w:ascii="Arial Narrow" w:eastAsiaTheme="minorHAnsi" w:hAnsi="Arial Narrow" w:cs="Tahoma"/>
          <w:i/>
          <w:iCs/>
          <w:color w:val="000000"/>
          <w:sz w:val="18"/>
          <w:szCs w:val="18"/>
          <w:vertAlign w:val="superscript"/>
        </w:rPr>
        <w:t>3</w:t>
      </w:r>
      <w:r w:rsidRPr="00BC6102">
        <w:rPr>
          <w:rFonts w:ascii="Arial Narrow" w:eastAsiaTheme="minorHAnsi" w:hAnsi="Arial Narrow" w:cs="Tahoma"/>
          <w:i/>
          <w:iCs/>
          <w:color w:val="000000"/>
          <w:sz w:val="18"/>
          <w:szCs w:val="18"/>
        </w:rPr>
        <w:t xml:space="preserve"> $75,000 to &lt; $95,000</w:t>
      </w:r>
    </w:p>
    <w:p w14:paraId="0183DA81" w14:textId="43B2BF62" w:rsidR="00BC6102" w:rsidRPr="00BC6102" w:rsidRDefault="00BC6102" w:rsidP="00BC6102">
      <w:pPr>
        <w:keepLines/>
        <w:jc w:val="left"/>
        <w:rPr>
          <w:rFonts w:ascii="Arial Narrow" w:eastAsiaTheme="minorHAnsi" w:hAnsi="Arial Narrow" w:cs="Tahoma"/>
          <w:i/>
          <w:iCs/>
          <w:color w:val="000000"/>
          <w:sz w:val="18"/>
          <w:szCs w:val="18"/>
        </w:rPr>
      </w:pPr>
      <w:r w:rsidRPr="00BC6102">
        <w:rPr>
          <w:rFonts w:ascii="Arial Narrow" w:eastAsiaTheme="minorHAnsi" w:hAnsi="Arial Narrow" w:cs="Tahoma"/>
          <w:i/>
          <w:iCs/>
          <w:color w:val="000000"/>
          <w:sz w:val="18"/>
          <w:szCs w:val="18"/>
          <w:vertAlign w:val="superscript"/>
        </w:rPr>
        <w:t>4</w:t>
      </w:r>
      <w:r w:rsidRPr="00BC6102">
        <w:rPr>
          <w:rFonts w:ascii="Arial Narrow" w:eastAsiaTheme="minorHAnsi" w:hAnsi="Arial Narrow" w:cs="Tahoma"/>
          <w:i/>
          <w:iCs/>
          <w:color w:val="000000"/>
          <w:sz w:val="18"/>
          <w:szCs w:val="18"/>
        </w:rPr>
        <w:t xml:space="preserve"> $115,000 to &lt; $135,000</w:t>
      </w:r>
    </w:p>
    <w:p w14:paraId="3B64F249" w14:textId="558DA6BF" w:rsidR="00BC6102" w:rsidRPr="00BC6102" w:rsidRDefault="00BC6102" w:rsidP="00BC6102">
      <w:pPr>
        <w:keepLines/>
        <w:jc w:val="left"/>
        <w:rPr>
          <w:rFonts w:ascii="Arial Narrow" w:eastAsiaTheme="minorHAnsi" w:hAnsi="Arial Narrow" w:cs="Tahoma"/>
          <w:i/>
          <w:iCs/>
          <w:color w:val="000000"/>
          <w:sz w:val="18"/>
          <w:szCs w:val="18"/>
        </w:rPr>
      </w:pPr>
      <w:r w:rsidRPr="00BC6102">
        <w:rPr>
          <w:rFonts w:ascii="Arial Narrow" w:eastAsiaTheme="minorHAnsi" w:hAnsi="Arial Narrow" w:cs="Tahoma"/>
          <w:i/>
          <w:iCs/>
          <w:color w:val="000000"/>
          <w:sz w:val="18"/>
          <w:szCs w:val="18"/>
          <w:vertAlign w:val="superscript"/>
        </w:rPr>
        <w:t>5</w:t>
      </w:r>
      <w:r w:rsidRPr="00BC6102">
        <w:rPr>
          <w:rFonts w:ascii="Arial Narrow" w:eastAsiaTheme="minorHAnsi" w:hAnsi="Arial Narrow" w:cs="Tahoma"/>
          <w:i/>
          <w:iCs/>
          <w:color w:val="000000"/>
          <w:sz w:val="18"/>
          <w:szCs w:val="18"/>
        </w:rPr>
        <w:t xml:space="preserve"> $155,000 to &lt; $255,000</w:t>
      </w:r>
    </w:p>
    <w:p w14:paraId="3642DFE1" w14:textId="4F1C0F03" w:rsidR="00BC6102" w:rsidRPr="00BC6102" w:rsidRDefault="00BC6102" w:rsidP="00BC6102">
      <w:pPr>
        <w:keepLines/>
        <w:jc w:val="left"/>
        <w:rPr>
          <w:rFonts w:ascii="Arial Narrow" w:eastAsiaTheme="minorHAnsi" w:hAnsi="Arial Narrow" w:cs="Tahoma"/>
          <w:i/>
          <w:iCs/>
          <w:color w:val="000000"/>
          <w:sz w:val="18"/>
          <w:szCs w:val="18"/>
        </w:rPr>
      </w:pPr>
      <w:r w:rsidRPr="00BC6102">
        <w:rPr>
          <w:rFonts w:ascii="Arial Narrow" w:eastAsiaTheme="minorHAnsi" w:hAnsi="Arial Narrow" w:cs="Tahoma"/>
          <w:i/>
          <w:iCs/>
          <w:color w:val="000000"/>
          <w:sz w:val="18"/>
          <w:szCs w:val="18"/>
          <w:vertAlign w:val="superscript"/>
        </w:rPr>
        <w:t>6</w:t>
      </w:r>
      <w:r w:rsidRPr="00BC6102">
        <w:rPr>
          <w:rFonts w:ascii="Arial Narrow" w:eastAsiaTheme="minorHAnsi" w:hAnsi="Arial Narrow" w:cs="Tahoma"/>
          <w:i/>
          <w:iCs/>
          <w:color w:val="000000"/>
          <w:sz w:val="18"/>
          <w:szCs w:val="18"/>
        </w:rPr>
        <w:t xml:space="preserve"> $455,000 to &lt; $555,000</w:t>
      </w:r>
    </w:p>
    <w:p w14:paraId="0278BA8A" w14:textId="77777777" w:rsidR="00BC6102" w:rsidRPr="00BC6102" w:rsidRDefault="00BC6102" w:rsidP="00BC6102">
      <w:pPr>
        <w:keepLines/>
        <w:jc w:val="left"/>
        <w:rPr>
          <w:rFonts w:ascii="Arial Narrow" w:eastAsiaTheme="minorHAnsi" w:hAnsi="Arial Narrow" w:cs="Tahoma"/>
          <w:color w:val="000000"/>
          <w:sz w:val="18"/>
          <w:szCs w:val="18"/>
        </w:rPr>
      </w:pPr>
    </w:p>
    <w:p w14:paraId="2A924EB1" w14:textId="04E704EF" w:rsidR="009567FD" w:rsidRPr="00051171" w:rsidRDefault="006E36B3" w:rsidP="00185E28">
      <w:pPr>
        <w:pStyle w:val="3-BodyText"/>
        <w:ind w:left="720"/>
      </w:pPr>
      <w:r w:rsidRPr="00051171">
        <w:t>Overall, t</w:t>
      </w:r>
      <w:r w:rsidR="009567FD" w:rsidRPr="00051171">
        <w:t>he ESC considered that the economic model presented was not informative for decision making as it did not compare the benefit and cost of starting lumacaftor/ ivacaftor between 1 and 2 years of age to starting</w:t>
      </w:r>
      <w:r w:rsidR="00526F8C" w:rsidRPr="00051171">
        <w:t xml:space="preserve"> at </w:t>
      </w:r>
      <w:r w:rsidR="009567FD" w:rsidRPr="00051171">
        <w:t xml:space="preserve">2 years </w:t>
      </w:r>
      <w:r w:rsidR="00526F8C" w:rsidRPr="00051171">
        <w:t xml:space="preserve">of age </w:t>
      </w:r>
      <w:r w:rsidR="009567FD" w:rsidRPr="00051171">
        <w:t xml:space="preserve">and transitioning to ELX/TEZ/IVA at 6 years of age. However, the ESC acknowledged the challenges in providing a robust </w:t>
      </w:r>
      <w:r w:rsidR="00526F8C" w:rsidRPr="00051171">
        <w:t xml:space="preserve">economic </w:t>
      </w:r>
      <w:r w:rsidR="009567FD" w:rsidRPr="00051171">
        <w:t xml:space="preserve">model for this comparison. </w:t>
      </w:r>
    </w:p>
    <w:p w14:paraId="487BAD06" w14:textId="77777777" w:rsidR="00F86069" w:rsidRPr="00FF09A2" w:rsidRDefault="00F86069" w:rsidP="006F04C9">
      <w:pPr>
        <w:pStyle w:val="4-SubsectionHeading"/>
      </w:pPr>
      <w:bookmarkStart w:id="46" w:name="_Toc107927632"/>
      <w:bookmarkStart w:id="47" w:name="_Toc135204530"/>
      <w:r w:rsidRPr="00FF09A2">
        <w:lastRenderedPageBreak/>
        <w:t>Drug cost/patient/year</w:t>
      </w:r>
      <w:bookmarkEnd w:id="46"/>
      <w:bookmarkEnd w:id="47"/>
    </w:p>
    <w:p w14:paraId="4326E00D" w14:textId="4672F5C0" w:rsidR="00F86069" w:rsidRPr="00FF09A2" w:rsidRDefault="00215FC3" w:rsidP="006E36B3">
      <w:pPr>
        <w:pStyle w:val="3-BodyText"/>
        <w:ind w:left="720"/>
      </w:pPr>
      <w:r w:rsidRPr="00FF09A2">
        <w:t xml:space="preserve">A summary of the drug cost per patient </w:t>
      </w:r>
      <w:proofErr w:type="gramStart"/>
      <w:r w:rsidRPr="00FF09A2">
        <w:t>is provided</w:t>
      </w:r>
      <w:proofErr w:type="gramEnd"/>
      <w:r w:rsidRPr="00FF09A2">
        <w:t xml:space="preserve"> in </w:t>
      </w:r>
      <w:r w:rsidRPr="00FF09A2">
        <w:fldChar w:fldCharType="begin"/>
      </w:r>
      <w:r w:rsidRPr="00FF09A2">
        <w:instrText xml:space="preserve"> REF _Ref132555359 \h  \* MERGEFORMAT </w:instrText>
      </w:r>
      <w:r w:rsidRPr="00FF09A2">
        <w:fldChar w:fldCharType="separate"/>
      </w:r>
      <w:r w:rsidR="00025B72" w:rsidRPr="00025B72">
        <w:t>Table 10</w:t>
      </w:r>
      <w:r w:rsidRPr="00FF09A2">
        <w:fldChar w:fldCharType="end"/>
      </w:r>
      <w:r w:rsidRPr="00FF09A2">
        <w:t xml:space="preserve">. </w:t>
      </w:r>
      <w:r w:rsidR="00F86069" w:rsidRPr="00FF09A2">
        <w:t>Based on the effective</w:t>
      </w:r>
      <w:r w:rsidR="0001330F" w:rsidRPr="00FF09A2">
        <w:t xml:space="preserve"> </w:t>
      </w:r>
      <w:r w:rsidRPr="00FF09A2">
        <w:t xml:space="preserve">ex-manufacturer </w:t>
      </w:r>
      <w:r w:rsidR="000839E9">
        <w:t xml:space="preserve">approved </w:t>
      </w:r>
      <w:r w:rsidR="00F86069" w:rsidRPr="00FF09A2">
        <w:t xml:space="preserve">price </w:t>
      </w:r>
      <w:r w:rsidR="000839E9">
        <w:t xml:space="preserve">(AEMP) </w:t>
      </w:r>
      <w:r w:rsidR="00F86069" w:rsidRPr="00FF09A2">
        <w:t>of $</w:t>
      </w:r>
      <w:proofErr w:type="gramStart"/>
      <w:r w:rsidR="00D62E6D" w:rsidRPr="00025B72">
        <w:rPr>
          <w:color w:val="000000"/>
          <w:w w:val="15"/>
          <w:shd w:val="solid" w:color="000000" w:fill="000000"/>
          <w:fitText w:val="-20" w:id="-1167896818"/>
          <w14:textFill>
            <w14:solidFill>
              <w14:srgbClr w14:val="000000">
                <w14:alpha w14:val="100000"/>
              </w14:srgbClr>
            </w14:solidFill>
          </w14:textFill>
        </w:rPr>
        <w:t xml:space="preserve">|  </w:t>
      </w:r>
      <w:r w:rsidR="00D62E6D" w:rsidRPr="00025B72">
        <w:rPr>
          <w:color w:val="000000"/>
          <w:spacing w:val="-69"/>
          <w:w w:val="15"/>
          <w:shd w:val="solid" w:color="000000" w:fill="000000"/>
          <w:fitText w:val="-20" w:id="-1167896818"/>
          <w14:textFill>
            <w14:solidFill>
              <w14:srgbClr w14:val="000000">
                <w14:alpha w14:val="100000"/>
              </w14:srgbClr>
            </w14:solidFill>
          </w14:textFill>
        </w:rPr>
        <w:t>|</w:t>
      </w:r>
      <w:proofErr w:type="gramEnd"/>
      <w:r w:rsidR="00F86069" w:rsidRPr="00FF09A2">
        <w:t xml:space="preserve"> per pack the total cost per patient per year </w:t>
      </w:r>
      <w:r w:rsidR="000839E9">
        <w:t xml:space="preserve">(AEMP) </w:t>
      </w:r>
      <w:r w:rsidR="00F86069" w:rsidRPr="00FF09A2">
        <w:t>is estimated at $</w:t>
      </w:r>
      <w:r w:rsidR="00D62E6D" w:rsidRPr="00025B72">
        <w:rPr>
          <w:color w:val="000000"/>
          <w:w w:val="15"/>
          <w:shd w:val="solid" w:color="000000" w:fill="000000"/>
          <w:fitText w:val="-20" w:id="-1167896817"/>
          <w14:textFill>
            <w14:solidFill>
              <w14:srgbClr w14:val="000000">
                <w14:alpha w14:val="100000"/>
              </w14:srgbClr>
            </w14:solidFill>
          </w14:textFill>
        </w:rPr>
        <w:t xml:space="preserve">|  </w:t>
      </w:r>
      <w:r w:rsidR="00D62E6D" w:rsidRPr="00025B72">
        <w:rPr>
          <w:color w:val="000000"/>
          <w:spacing w:val="-69"/>
          <w:w w:val="15"/>
          <w:shd w:val="solid" w:color="000000" w:fill="000000"/>
          <w:fitText w:val="-20" w:id="-1167896817"/>
          <w14:textFill>
            <w14:solidFill>
              <w14:srgbClr w14:val="000000">
                <w14:alpha w14:val="100000"/>
              </w14:srgbClr>
            </w14:solidFill>
          </w14:textFill>
        </w:rPr>
        <w:t>|</w:t>
      </w:r>
      <w:r w:rsidR="00F86069" w:rsidRPr="00FF09A2">
        <w:t xml:space="preserve"> assuming </w:t>
      </w:r>
      <w:r w:rsidR="004E6318" w:rsidRPr="00FF09A2">
        <w:t>99.94</w:t>
      </w:r>
      <w:r w:rsidR="00F86069" w:rsidRPr="00FF09A2">
        <w:t xml:space="preserve">% compliance. </w:t>
      </w:r>
    </w:p>
    <w:p w14:paraId="456E18EE" w14:textId="501FBE8A" w:rsidR="00F86069" w:rsidRPr="003F5A2A" w:rsidRDefault="00F86069" w:rsidP="00F86069">
      <w:pPr>
        <w:keepNext/>
        <w:keepLines/>
        <w:rPr>
          <w:rFonts w:ascii="Arial Narrow" w:hAnsi="Arial Narrow"/>
          <w:b/>
          <w:bCs/>
          <w:sz w:val="20"/>
          <w:szCs w:val="18"/>
        </w:rPr>
      </w:pPr>
      <w:bookmarkStart w:id="48" w:name="_Ref132555359"/>
      <w:r w:rsidRPr="003F5A2A">
        <w:rPr>
          <w:rFonts w:ascii="Arial Narrow" w:hAnsi="Arial Narrow"/>
          <w:b/>
          <w:bCs/>
          <w:sz w:val="20"/>
          <w:szCs w:val="18"/>
        </w:rPr>
        <w:t xml:space="preserve">Table </w:t>
      </w:r>
      <w:r w:rsidRPr="003F5A2A">
        <w:rPr>
          <w:rFonts w:ascii="Arial Narrow" w:hAnsi="Arial Narrow"/>
          <w:b/>
          <w:bCs/>
          <w:sz w:val="20"/>
          <w:szCs w:val="18"/>
        </w:rPr>
        <w:fldChar w:fldCharType="begin"/>
      </w:r>
      <w:r w:rsidRPr="003F5A2A">
        <w:rPr>
          <w:rFonts w:ascii="Arial Narrow" w:hAnsi="Arial Narrow"/>
          <w:b/>
          <w:bCs/>
          <w:sz w:val="20"/>
          <w:szCs w:val="18"/>
        </w:rPr>
        <w:instrText xml:space="preserve"> SEQ Table \* ARABIC </w:instrText>
      </w:r>
      <w:r w:rsidRPr="003F5A2A">
        <w:rPr>
          <w:rFonts w:ascii="Arial Narrow" w:hAnsi="Arial Narrow"/>
          <w:b/>
          <w:bCs/>
          <w:sz w:val="20"/>
          <w:szCs w:val="18"/>
        </w:rPr>
        <w:fldChar w:fldCharType="separate"/>
      </w:r>
      <w:r w:rsidR="00025B72">
        <w:rPr>
          <w:rFonts w:ascii="Arial Narrow" w:hAnsi="Arial Narrow"/>
          <w:b/>
          <w:bCs/>
          <w:noProof/>
          <w:sz w:val="20"/>
          <w:szCs w:val="18"/>
        </w:rPr>
        <w:t>10</w:t>
      </w:r>
      <w:r w:rsidRPr="003F5A2A">
        <w:rPr>
          <w:rFonts w:ascii="Arial Narrow" w:hAnsi="Arial Narrow"/>
          <w:b/>
          <w:bCs/>
          <w:noProof/>
          <w:sz w:val="20"/>
          <w:szCs w:val="18"/>
        </w:rPr>
        <w:fldChar w:fldCharType="end"/>
      </w:r>
      <w:bookmarkEnd w:id="48"/>
      <w:r w:rsidRPr="003F5A2A">
        <w:rPr>
          <w:rFonts w:ascii="Arial Narrow" w:hAnsi="Arial Narrow"/>
          <w:b/>
          <w:bCs/>
          <w:sz w:val="20"/>
          <w:szCs w:val="18"/>
        </w:rPr>
        <w:t>: Drug cost per patient for lumacaftor/ivacaftor</w:t>
      </w:r>
      <w:r w:rsidR="00215FC3" w:rsidRPr="003F5A2A">
        <w:rPr>
          <w:rFonts w:ascii="Arial Narrow" w:hAnsi="Arial Narrow"/>
          <w:b/>
          <w:bCs/>
          <w:sz w:val="20"/>
          <w:szCs w:val="18"/>
        </w:rPr>
        <w:t xml:space="preserve"> (based on effective</w:t>
      </w:r>
      <w:r w:rsidR="003F5A2A" w:rsidRPr="003F5A2A">
        <w:rPr>
          <w:rFonts w:ascii="Arial Narrow" w:hAnsi="Arial Narrow"/>
          <w:b/>
          <w:bCs/>
          <w:sz w:val="20"/>
          <w:szCs w:val="18"/>
        </w:rPr>
        <w:t xml:space="preserve"> </w:t>
      </w:r>
      <w:r w:rsidR="00215FC3" w:rsidRPr="003F5A2A">
        <w:rPr>
          <w:rFonts w:ascii="Arial Narrow" w:hAnsi="Arial Narrow"/>
          <w:b/>
          <w:bCs/>
          <w:sz w:val="20"/>
          <w:szCs w:val="18"/>
        </w:rPr>
        <w:t>price of $</w:t>
      </w:r>
      <w:r w:rsidR="00D62E6D" w:rsidRPr="00D62E6D">
        <w:rPr>
          <w:rFonts w:ascii="Arial Narrow" w:hAnsi="Arial Narrow"/>
          <w:b/>
          <w:bCs/>
          <w:color w:val="000000"/>
          <w:spacing w:val="13"/>
          <w:sz w:val="20"/>
          <w:szCs w:val="18"/>
          <w:shd w:val="solid" w:color="000000" w:fill="000000"/>
          <w:fitText w:val="344" w:id="-1167896816"/>
          <w14:textFill>
            <w14:solidFill>
              <w14:srgbClr w14:val="000000">
                <w14:alpha w14:val="100000"/>
              </w14:srgbClr>
            </w14:solidFill>
          </w14:textFill>
        </w:rPr>
        <w:t>|</w:t>
      </w:r>
      <w:proofErr w:type="gramStart"/>
      <w:r w:rsidR="00D62E6D" w:rsidRPr="00D62E6D">
        <w:rPr>
          <w:rFonts w:ascii="Arial Narrow" w:hAnsi="Arial Narrow"/>
          <w:b/>
          <w:bCs/>
          <w:color w:val="000000"/>
          <w:spacing w:val="13"/>
          <w:sz w:val="20"/>
          <w:szCs w:val="18"/>
          <w:shd w:val="solid" w:color="000000" w:fill="000000"/>
          <w:fitText w:val="344" w:id="-1167896816"/>
          <w14:textFill>
            <w14:solidFill>
              <w14:srgbClr w14:val="000000">
                <w14:alpha w14:val="100000"/>
              </w14:srgbClr>
            </w14:solidFill>
          </w14:textFill>
        </w:rPr>
        <w:t>|  |</w:t>
      </w:r>
      <w:proofErr w:type="gramEnd"/>
      <w:r w:rsidR="00D62E6D" w:rsidRPr="00D62E6D">
        <w:rPr>
          <w:rFonts w:ascii="Arial Narrow" w:hAnsi="Arial Narrow"/>
          <w:b/>
          <w:bCs/>
          <w:color w:val="000000"/>
          <w:spacing w:val="4"/>
          <w:sz w:val="20"/>
          <w:szCs w:val="18"/>
          <w:shd w:val="solid" w:color="000000" w:fill="000000"/>
          <w:fitText w:val="344" w:id="-1167896816"/>
          <w14:textFill>
            <w14:solidFill>
              <w14:srgbClr w14:val="000000">
                <w14:alpha w14:val="100000"/>
              </w14:srgbClr>
            </w14:solidFill>
          </w14:textFill>
        </w:rPr>
        <w:t>|</w:t>
      </w:r>
      <w:r w:rsidR="00215FC3" w:rsidRPr="003F5A2A">
        <w:rPr>
          <w:rFonts w:ascii="Arial Narrow" w:hAnsi="Arial Narrow"/>
          <w:b/>
          <w:bCs/>
          <w:sz w:val="20"/>
          <w:szCs w:val="18"/>
        </w:rPr>
        <w:t xml:space="preserve"> per pack)</w:t>
      </w:r>
      <w:r w:rsidR="003F5A2A" w:rsidRPr="003F5A2A">
        <w:rPr>
          <w:rFonts w:ascii="Arial Narrow" w:hAnsi="Arial Narrow"/>
          <w:b/>
          <w:bCs/>
          <w:sz w:val="20"/>
          <w:szCs w:val="18"/>
          <w:vertAlign w:val="superscript"/>
        </w:rPr>
        <w: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6"/>
        <w:gridCol w:w="2433"/>
        <w:gridCol w:w="2433"/>
        <w:gridCol w:w="2435"/>
      </w:tblGrid>
      <w:tr w:rsidR="00F86069" w:rsidRPr="003F5A2A" w14:paraId="4E4C7CD4" w14:textId="77777777" w:rsidTr="006E36B3">
        <w:trPr>
          <w:trHeight w:val="62"/>
          <w:jc w:val="center"/>
        </w:trPr>
        <w:tc>
          <w:tcPr>
            <w:tcW w:w="952" w:type="pct"/>
            <w:tcBorders>
              <w:top w:val="single" w:sz="4" w:space="0" w:color="auto"/>
              <w:left w:val="single" w:sz="4" w:space="0" w:color="auto"/>
              <w:bottom w:val="single" w:sz="4" w:space="0" w:color="auto"/>
              <w:right w:val="single" w:sz="4" w:space="0" w:color="auto"/>
            </w:tcBorders>
          </w:tcPr>
          <w:p w14:paraId="2BBF43DF" w14:textId="77777777" w:rsidR="00F86069" w:rsidRPr="006E36B3" w:rsidRDefault="00F86069" w:rsidP="006E36B3">
            <w:pPr>
              <w:keepNext/>
              <w:jc w:val="left"/>
              <w:rPr>
                <w:sz w:val="20"/>
                <w:szCs w:val="20"/>
              </w:rPr>
            </w:pPr>
          </w:p>
        </w:tc>
        <w:tc>
          <w:tcPr>
            <w:tcW w:w="1349" w:type="pct"/>
            <w:tcBorders>
              <w:top w:val="single" w:sz="4" w:space="0" w:color="auto"/>
              <w:left w:val="single" w:sz="4" w:space="0" w:color="auto"/>
              <w:bottom w:val="single" w:sz="4" w:space="0" w:color="auto"/>
              <w:right w:val="single" w:sz="4" w:space="0" w:color="auto"/>
            </w:tcBorders>
            <w:hideMark/>
          </w:tcPr>
          <w:p w14:paraId="639B7A95" w14:textId="2DB4FBF9" w:rsidR="00F86069" w:rsidRPr="003F5A2A" w:rsidRDefault="00544C5D" w:rsidP="006E36B3">
            <w:pPr>
              <w:keepNext/>
              <w:ind w:right="-62"/>
              <w:jc w:val="center"/>
              <w:rPr>
                <w:rFonts w:ascii="Arial Narrow" w:hAnsi="Arial Narrow"/>
                <w:b/>
                <w:sz w:val="20"/>
              </w:rPr>
            </w:pPr>
            <w:r>
              <w:rPr>
                <w:rFonts w:ascii="Arial Narrow" w:hAnsi="Arial Narrow"/>
                <w:b/>
                <w:sz w:val="20"/>
              </w:rPr>
              <w:t>Study</w:t>
            </w:r>
            <w:r w:rsidRPr="003F5A2A">
              <w:rPr>
                <w:rFonts w:ascii="Arial Narrow" w:hAnsi="Arial Narrow"/>
                <w:b/>
                <w:sz w:val="20"/>
              </w:rPr>
              <w:t xml:space="preserve"> </w:t>
            </w:r>
            <w:r w:rsidR="00294146" w:rsidRPr="003F5A2A">
              <w:rPr>
                <w:rFonts w:ascii="Arial Narrow" w:hAnsi="Arial Narrow"/>
                <w:b/>
                <w:sz w:val="20"/>
              </w:rPr>
              <w:t xml:space="preserve">based </w:t>
            </w:r>
          </w:p>
        </w:tc>
        <w:tc>
          <w:tcPr>
            <w:tcW w:w="1349" w:type="pct"/>
            <w:tcBorders>
              <w:top w:val="single" w:sz="4" w:space="0" w:color="auto"/>
              <w:left w:val="single" w:sz="4" w:space="0" w:color="auto"/>
              <w:bottom w:val="single" w:sz="4" w:space="0" w:color="auto"/>
              <w:right w:val="single" w:sz="4" w:space="0" w:color="auto"/>
            </w:tcBorders>
            <w:hideMark/>
          </w:tcPr>
          <w:p w14:paraId="5EBA8549" w14:textId="1E07A4CC" w:rsidR="00F86069" w:rsidRPr="003F5A2A" w:rsidRDefault="00294146" w:rsidP="006E36B3">
            <w:pPr>
              <w:keepNext/>
              <w:ind w:right="-62"/>
              <w:jc w:val="center"/>
              <w:rPr>
                <w:rFonts w:ascii="Arial Narrow" w:hAnsi="Arial Narrow"/>
                <w:b/>
                <w:sz w:val="20"/>
              </w:rPr>
            </w:pPr>
            <w:r w:rsidRPr="003F5A2A">
              <w:rPr>
                <w:rFonts w:ascii="Arial Narrow" w:hAnsi="Arial Narrow"/>
                <w:b/>
                <w:sz w:val="20"/>
              </w:rPr>
              <w:t>Economic m</w:t>
            </w:r>
            <w:r w:rsidR="00F86069" w:rsidRPr="003F5A2A">
              <w:rPr>
                <w:rFonts w:ascii="Arial Narrow" w:hAnsi="Arial Narrow"/>
                <w:b/>
                <w:sz w:val="20"/>
              </w:rPr>
              <w:t>odel</w:t>
            </w:r>
          </w:p>
        </w:tc>
        <w:tc>
          <w:tcPr>
            <w:tcW w:w="1350" w:type="pct"/>
            <w:tcBorders>
              <w:top w:val="single" w:sz="4" w:space="0" w:color="auto"/>
              <w:left w:val="single" w:sz="4" w:space="0" w:color="auto"/>
              <w:bottom w:val="single" w:sz="4" w:space="0" w:color="auto"/>
              <w:right w:val="single" w:sz="4" w:space="0" w:color="auto"/>
            </w:tcBorders>
            <w:hideMark/>
          </w:tcPr>
          <w:p w14:paraId="34983596" w14:textId="77777777" w:rsidR="00F86069" w:rsidRPr="003F5A2A" w:rsidRDefault="00F86069" w:rsidP="006E36B3">
            <w:pPr>
              <w:keepNext/>
              <w:ind w:right="-62"/>
              <w:jc w:val="center"/>
              <w:rPr>
                <w:rFonts w:ascii="Arial Narrow" w:hAnsi="Arial Narrow"/>
                <w:b/>
                <w:sz w:val="20"/>
              </w:rPr>
            </w:pPr>
            <w:r w:rsidRPr="003F5A2A">
              <w:rPr>
                <w:rFonts w:ascii="Arial Narrow" w:hAnsi="Arial Narrow"/>
                <w:b/>
                <w:sz w:val="20"/>
              </w:rPr>
              <w:t>Financial estimates</w:t>
            </w:r>
          </w:p>
        </w:tc>
      </w:tr>
      <w:tr w:rsidR="00F86069" w:rsidRPr="003F5A2A" w14:paraId="67854041" w14:textId="77777777" w:rsidTr="00B12403">
        <w:trPr>
          <w:jc w:val="center"/>
        </w:trPr>
        <w:tc>
          <w:tcPr>
            <w:tcW w:w="952" w:type="pct"/>
            <w:tcBorders>
              <w:top w:val="single" w:sz="4" w:space="0" w:color="auto"/>
              <w:left w:val="single" w:sz="4" w:space="0" w:color="auto"/>
              <w:bottom w:val="single" w:sz="4" w:space="0" w:color="auto"/>
              <w:right w:val="single" w:sz="4" w:space="0" w:color="auto"/>
            </w:tcBorders>
          </w:tcPr>
          <w:p w14:paraId="39268EFC" w14:textId="4DAA4B03" w:rsidR="00F86069" w:rsidRPr="003F5A2A" w:rsidRDefault="0029694F" w:rsidP="00B12403">
            <w:pPr>
              <w:keepNext/>
              <w:jc w:val="left"/>
              <w:rPr>
                <w:rFonts w:ascii="Arial Narrow" w:hAnsi="Arial Narrow"/>
                <w:sz w:val="20"/>
              </w:rPr>
            </w:pPr>
            <w:r w:rsidRPr="003F5A2A">
              <w:rPr>
                <w:rFonts w:ascii="Arial Narrow" w:hAnsi="Arial Narrow"/>
                <w:sz w:val="20"/>
              </w:rPr>
              <w:t>C</w:t>
            </w:r>
            <w:r w:rsidR="00F86069" w:rsidRPr="003F5A2A">
              <w:rPr>
                <w:rFonts w:ascii="Arial Narrow" w:hAnsi="Arial Narrow"/>
                <w:sz w:val="20"/>
              </w:rPr>
              <w:t>ompliance</w:t>
            </w:r>
          </w:p>
        </w:tc>
        <w:tc>
          <w:tcPr>
            <w:tcW w:w="1349" w:type="pct"/>
            <w:tcBorders>
              <w:top w:val="single" w:sz="4" w:space="0" w:color="auto"/>
              <w:left w:val="single" w:sz="4" w:space="0" w:color="auto"/>
              <w:bottom w:val="single" w:sz="4" w:space="0" w:color="auto"/>
              <w:right w:val="single" w:sz="4" w:space="0" w:color="auto"/>
            </w:tcBorders>
          </w:tcPr>
          <w:p w14:paraId="17482BE5" w14:textId="77777777" w:rsidR="00F86069" w:rsidRPr="003F5A2A" w:rsidRDefault="00F86069" w:rsidP="00B12403">
            <w:pPr>
              <w:keepNext/>
              <w:ind w:right="-62"/>
              <w:jc w:val="center"/>
              <w:rPr>
                <w:rFonts w:ascii="Arial Narrow" w:hAnsi="Arial Narrow"/>
                <w:sz w:val="20"/>
              </w:rPr>
            </w:pPr>
            <w:r w:rsidRPr="003F5A2A">
              <w:rPr>
                <w:rFonts w:ascii="Arial Narrow" w:hAnsi="Arial Narrow"/>
                <w:sz w:val="20"/>
              </w:rPr>
              <w:t>99.94%</w:t>
            </w:r>
          </w:p>
        </w:tc>
        <w:tc>
          <w:tcPr>
            <w:tcW w:w="1349" w:type="pct"/>
            <w:tcBorders>
              <w:top w:val="single" w:sz="4" w:space="0" w:color="auto"/>
              <w:left w:val="single" w:sz="4" w:space="0" w:color="auto"/>
              <w:bottom w:val="single" w:sz="4" w:space="0" w:color="auto"/>
              <w:right w:val="single" w:sz="4" w:space="0" w:color="auto"/>
            </w:tcBorders>
          </w:tcPr>
          <w:p w14:paraId="46C8BB92" w14:textId="77777777" w:rsidR="00F86069" w:rsidRPr="003F5A2A" w:rsidRDefault="00F86069" w:rsidP="00B12403">
            <w:pPr>
              <w:keepNext/>
              <w:ind w:right="-62"/>
              <w:jc w:val="center"/>
              <w:rPr>
                <w:rFonts w:ascii="Arial Narrow" w:hAnsi="Arial Narrow"/>
                <w:sz w:val="20"/>
              </w:rPr>
            </w:pPr>
            <w:r w:rsidRPr="003F5A2A">
              <w:rPr>
                <w:rFonts w:ascii="Arial Narrow" w:hAnsi="Arial Narrow"/>
                <w:sz w:val="20"/>
              </w:rPr>
              <w:t>90%</w:t>
            </w:r>
          </w:p>
        </w:tc>
        <w:tc>
          <w:tcPr>
            <w:tcW w:w="1350" w:type="pct"/>
            <w:tcBorders>
              <w:top w:val="single" w:sz="4" w:space="0" w:color="auto"/>
              <w:left w:val="single" w:sz="4" w:space="0" w:color="auto"/>
              <w:bottom w:val="single" w:sz="4" w:space="0" w:color="auto"/>
              <w:right w:val="single" w:sz="4" w:space="0" w:color="auto"/>
            </w:tcBorders>
          </w:tcPr>
          <w:p w14:paraId="1DD09F8A" w14:textId="77777777" w:rsidR="00F86069" w:rsidRPr="003F5A2A" w:rsidRDefault="00F86069" w:rsidP="00B12403">
            <w:pPr>
              <w:keepNext/>
              <w:ind w:right="-62"/>
              <w:jc w:val="center"/>
              <w:rPr>
                <w:rFonts w:ascii="Arial Narrow" w:hAnsi="Arial Narrow"/>
                <w:sz w:val="20"/>
              </w:rPr>
            </w:pPr>
            <w:r w:rsidRPr="003F5A2A">
              <w:rPr>
                <w:rFonts w:ascii="Arial Narrow" w:hAnsi="Arial Narrow"/>
                <w:sz w:val="20"/>
              </w:rPr>
              <w:t>99.94%</w:t>
            </w:r>
          </w:p>
        </w:tc>
      </w:tr>
      <w:tr w:rsidR="00F86069" w:rsidRPr="003F5A2A" w14:paraId="2C9A2BBF" w14:textId="77777777" w:rsidTr="00B12403">
        <w:trPr>
          <w:jc w:val="center"/>
        </w:trPr>
        <w:tc>
          <w:tcPr>
            <w:tcW w:w="952" w:type="pct"/>
            <w:tcBorders>
              <w:top w:val="single" w:sz="4" w:space="0" w:color="auto"/>
              <w:left w:val="single" w:sz="4" w:space="0" w:color="auto"/>
              <w:bottom w:val="single" w:sz="4" w:space="0" w:color="auto"/>
              <w:right w:val="single" w:sz="4" w:space="0" w:color="auto"/>
            </w:tcBorders>
          </w:tcPr>
          <w:p w14:paraId="7DFEF69E" w14:textId="6907168F" w:rsidR="00F86069" w:rsidRPr="003F5A2A" w:rsidRDefault="00F86069" w:rsidP="00B12403">
            <w:pPr>
              <w:keepNext/>
              <w:jc w:val="left"/>
              <w:rPr>
                <w:rFonts w:ascii="Arial Narrow" w:hAnsi="Arial Narrow"/>
                <w:sz w:val="20"/>
              </w:rPr>
            </w:pPr>
            <w:r w:rsidRPr="003F5A2A">
              <w:rPr>
                <w:rFonts w:ascii="Arial Narrow" w:hAnsi="Arial Narrow"/>
                <w:sz w:val="20"/>
              </w:rPr>
              <w:t>Cost/patient/year</w:t>
            </w:r>
          </w:p>
        </w:tc>
        <w:tc>
          <w:tcPr>
            <w:tcW w:w="1349" w:type="pct"/>
            <w:tcBorders>
              <w:top w:val="single" w:sz="4" w:space="0" w:color="auto"/>
              <w:left w:val="single" w:sz="4" w:space="0" w:color="auto"/>
              <w:bottom w:val="single" w:sz="4" w:space="0" w:color="auto"/>
              <w:right w:val="single" w:sz="4" w:space="0" w:color="auto"/>
            </w:tcBorders>
          </w:tcPr>
          <w:p w14:paraId="1DF46D9F" w14:textId="5EC95AFA" w:rsidR="00F86069" w:rsidRPr="003F5A2A" w:rsidRDefault="00F86069" w:rsidP="00B12403">
            <w:pPr>
              <w:keepNext/>
              <w:ind w:right="-62"/>
              <w:jc w:val="center"/>
              <w:rPr>
                <w:rFonts w:ascii="Arial Narrow" w:hAnsi="Arial Narrow"/>
                <w:sz w:val="20"/>
              </w:rPr>
            </w:pPr>
            <w:r w:rsidRPr="003F5A2A">
              <w:rPr>
                <w:rFonts w:ascii="Arial Narrow" w:hAnsi="Arial Narrow"/>
                <w:sz w:val="20"/>
              </w:rPr>
              <w:t>$</w:t>
            </w:r>
            <w:r w:rsidR="00D62E6D" w:rsidRPr="00D62E6D">
              <w:rPr>
                <w:rFonts w:ascii="Arial Narrow" w:hAnsi="Arial Narrow"/>
                <w:color w:val="000000"/>
                <w:sz w:val="20"/>
                <w:shd w:val="solid" w:color="000000" w:fill="000000"/>
                <w14:textFill>
                  <w14:solidFill>
                    <w14:srgbClr w14:val="000000">
                      <w14:alpha w14:val="100000"/>
                    </w14:srgbClr>
                  </w14:solidFill>
                </w14:textFill>
              </w:rPr>
              <w:t>|</w:t>
            </w:r>
          </w:p>
        </w:tc>
        <w:tc>
          <w:tcPr>
            <w:tcW w:w="1349" w:type="pct"/>
            <w:tcBorders>
              <w:top w:val="single" w:sz="4" w:space="0" w:color="auto"/>
              <w:left w:val="single" w:sz="4" w:space="0" w:color="auto"/>
              <w:bottom w:val="single" w:sz="4" w:space="0" w:color="auto"/>
              <w:right w:val="single" w:sz="4" w:space="0" w:color="auto"/>
            </w:tcBorders>
          </w:tcPr>
          <w:p w14:paraId="307CADB0" w14:textId="118E36D2" w:rsidR="00F86069" w:rsidRPr="003F5A2A" w:rsidRDefault="00F86069" w:rsidP="00B12403">
            <w:pPr>
              <w:keepNext/>
              <w:ind w:right="-62"/>
              <w:jc w:val="center"/>
              <w:rPr>
                <w:rFonts w:ascii="Arial Narrow" w:hAnsi="Arial Narrow"/>
                <w:sz w:val="20"/>
                <w:szCs w:val="20"/>
              </w:rPr>
            </w:pPr>
            <w:r w:rsidRPr="003F5A2A">
              <w:rPr>
                <w:rFonts w:ascii="Arial Narrow" w:hAnsi="Arial Narrow"/>
                <w:sz w:val="20"/>
                <w:szCs w:val="20"/>
              </w:rPr>
              <w:t>$</w:t>
            </w:r>
            <w:r w:rsidR="00D62E6D" w:rsidRPr="00D62E6D">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50" w:type="pct"/>
            <w:tcBorders>
              <w:top w:val="single" w:sz="4" w:space="0" w:color="auto"/>
              <w:left w:val="single" w:sz="4" w:space="0" w:color="auto"/>
              <w:bottom w:val="single" w:sz="4" w:space="0" w:color="auto"/>
              <w:right w:val="single" w:sz="4" w:space="0" w:color="auto"/>
            </w:tcBorders>
          </w:tcPr>
          <w:p w14:paraId="77024190" w14:textId="01FD1177" w:rsidR="00F86069" w:rsidRPr="003F5A2A" w:rsidRDefault="00F86069" w:rsidP="00B12403">
            <w:pPr>
              <w:keepNext/>
              <w:ind w:right="67"/>
              <w:jc w:val="center"/>
              <w:rPr>
                <w:rFonts w:ascii="Arial Narrow" w:hAnsi="Arial Narrow"/>
                <w:sz w:val="20"/>
                <w:szCs w:val="20"/>
              </w:rPr>
            </w:pPr>
            <w:r w:rsidRPr="003F5A2A">
              <w:rPr>
                <w:rFonts w:ascii="Arial Narrow" w:hAnsi="Arial Narrow"/>
                <w:sz w:val="20"/>
                <w:szCs w:val="20"/>
              </w:rPr>
              <w:t>$</w:t>
            </w:r>
            <w:r w:rsidR="00D62E6D" w:rsidRPr="00D62E6D">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318D10BC" w14:textId="4C093BDF" w:rsidR="00F86069" w:rsidRPr="003F5A2A" w:rsidRDefault="00F86069" w:rsidP="00F86069">
      <w:pPr>
        <w:rPr>
          <w:rFonts w:ascii="Arial Narrow" w:hAnsi="Arial Narrow"/>
          <w:sz w:val="18"/>
        </w:rPr>
      </w:pPr>
      <w:r w:rsidRPr="003F5A2A">
        <w:rPr>
          <w:rFonts w:ascii="Arial Narrow" w:hAnsi="Arial Narrow"/>
          <w:sz w:val="18"/>
        </w:rPr>
        <w:t xml:space="preserve">Source: </w:t>
      </w:r>
      <w:r w:rsidR="003F5A2A" w:rsidRPr="003F5A2A">
        <w:rPr>
          <w:rFonts w:ascii="Arial Narrow" w:hAnsi="Arial Narrow"/>
          <w:sz w:val="18"/>
        </w:rPr>
        <w:t xml:space="preserve">Constructed using information in Table 3.5.19, Table 4.1.1 of submission </w:t>
      </w:r>
    </w:p>
    <w:p w14:paraId="2A97F910" w14:textId="6F38E504" w:rsidR="00275238" w:rsidRPr="003F5A2A" w:rsidRDefault="003F5A2A" w:rsidP="006E36B3">
      <w:pPr>
        <w:spacing w:after="120"/>
        <w:rPr>
          <w:rFonts w:ascii="Arial Narrow" w:hAnsi="Arial Narrow"/>
          <w:sz w:val="18"/>
        </w:rPr>
      </w:pPr>
      <w:r w:rsidRPr="006E36B3">
        <w:rPr>
          <w:rFonts w:ascii="Arial Narrow" w:hAnsi="Arial Narrow"/>
          <w:sz w:val="18"/>
          <w:vertAlign w:val="superscript"/>
        </w:rPr>
        <w:t>a</w:t>
      </w:r>
      <w:r w:rsidR="00275238" w:rsidRPr="003F5A2A">
        <w:rPr>
          <w:rFonts w:ascii="Arial Narrow" w:hAnsi="Arial Narrow"/>
          <w:sz w:val="18"/>
        </w:rPr>
        <w:t xml:space="preserve"> </w:t>
      </w:r>
      <w:proofErr w:type="gramStart"/>
      <w:r w:rsidR="00275238" w:rsidRPr="003F5A2A">
        <w:rPr>
          <w:rFonts w:ascii="Arial Narrow" w:hAnsi="Arial Narrow"/>
          <w:sz w:val="18"/>
        </w:rPr>
        <w:t>The</w:t>
      </w:r>
      <w:proofErr w:type="gramEnd"/>
      <w:r w:rsidR="00275238" w:rsidRPr="003F5A2A">
        <w:rPr>
          <w:rFonts w:ascii="Arial Narrow" w:hAnsi="Arial Narrow"/>
          <w:sz w:val="18"/>
        </w:rPr>
        <w:t xml:space="preserve"> submission assumed 100%</w:t>
      </w:r>
      <w:r w:rsidRPr="003F5A2A">
        <w:rPr>
          <w:rFonts w:ascii="Arial Narrow" w:hAnsi="Arial Narrow"/>
          <w:sz w:val="18"/>
        </w:rPr>
        <w:t xml:space="preserve"> of scripts are</w:t>
      </w:r>
      <w:r w:rsidR="00275238" w:rsidRPr="003F5A2A">
        <w:rPr>
          <w:rFonts w:ascii="Arial Narrow" w:hAnsi="Arial Narrow"/>
          <w:sz w:val="18"/>
        </w:rPr>
        <w:t xml:space="preserve"> </w:t>
      </w:r>
      <w:r w:rsidR="002B4D33" w:rsidRPr="003F5A2A">
        <w:rPr>
          <w:rFonts w:ascii="Arial Narrow" w:hAnsi="Arial Narrow"/>
          <w:sz w:val="18"/>
        </w:rPr>
        <w:t>dispense</w:t>
      </w:r>
      <w:r w:rsidRPr="003F5A2A">
        <w:rPr>
          <w:rFonts w:ascii="Arial Narrow" w:hAnsi="Arial Narrow"/>
          <w:sz w:val="18"/>
        </w:rPr>
        <w:t>d</w:t>
      </w:r>
      <w:r w:rsidR="00275238" w:rsidRPr="003F5A2A">
        <w:rPr>
          <w:rFonts w:ascii="Arial Narrow" w:hAnsi="Arial Narrow"/>
          <w:sz w:val="18"/>
        </w:rPr>
        <w:t xml:space="preserve"> via public </w:t>
      </w:r>
      <w:r w:rsidR="002B4D33" w:rsidRPr="003F5A2A">
        <w:rPr>
          <w:rFonts w:ascii="Arial Narrow" w:hAnsi="Arial Narrow"/>
          <w:sz w:val="18"/>
        </w:rPr>
        <w:t>hospital</w:t>
      </w:r>
      <w:r w:rsidR="00275238" w:rsidRPr="003F5A2A">
        <w:rPr>
          <w:rFonts w:ascii="Arial Narrow" w:hAnsi="Arial Narrow"/>
          <w:sz w:val="18"/>
        </w:rPr>
        <w:t xml:space="preserve">, </w:t>
      </w:r>
      <w:r w:rsidRPr="003F5A2A">
        <w:rPr>
          <w:rFonts w:ascii="Arial Narrow" w:hAnsi="Arial Narrow"/>
          <w:sz w:val="18"/>
        </w:rPr>
        <w:t xml:space="preserve">therefore </w:t>
      </w:r>
      <w:r w:rsidR="006E36B3">
        <w:rPr>
          <w:rFonts w:ascii="Arial Narrow" w:hAnsi="Arial Narrow"/>
          <w:sz w:val="18"/>
        </w:rPr>
        <w:t xml:space="preserve">the </w:t>
      </w:r>
      <w:r w:rsidRPr="003F5A2A">
        <w:rPr>
          <w:rFonts w:ascii="Arial Narrow" w:hAnsi="Arial Narrow"/>
          <w:sz w:val="18"/>
        </w:rPr>
        <w:t xml:space="preserve">effective price = </w:t>
      </w:r>
      <w:r w:rsidR="006E36B3">
        <w:rPr>
          <w:rFonts w:ascii="Arial Narrow" w:hAnsi="Arial Narrow"/>
          <w:sz w:val="18"/>
        </w:rPr>
        <w:t>dispensed price for maximum quantity</w:t>
      </w:r>
    </w:p>
    <w:p w14:paraId="56B04B26" w14:textId="77777777" w:rsidR="00F86069" w:rsidRPr="00FF09A2" w:rsidRDefault="00F86069" w:rsidP="006F04C9">
      <w:pPr>
        <w:pStyle w:val="4-SubsectionHeading"/>
      </w:pPr>
      <w:bookmarkStart w:id="49" w:name="_Toc107927633"/>
      <w:bookmarkStart w:id="50" w:name="_Toc135204531"/>
      <w:r w:rsidRPr="00FF09A2">
        <w:t xml:space="preserve">Estimated PBS usage &amp; financial </w:t>
      </w:r>
      <w:proofErr w:type="gramStart"/>
      <w:r w:rsidRPr="00FF09A2">
        <w:t>implications</w:t>
      </w:r>
      <w:bookmarkEnd w:id="49"/>
      <w:bookmarkEnd w:id="50"/>
      <w:proofErr w:type="gramEnd"/>
    </w:p>
    <w:p w14:paraId="195386B8" w14:textId="77777777" w:rsidR="00025B72" w:rsidRPr="00EB6821" w:rsidRDefault="00F86069" w:rsidP="006E36B3">
      <w:pPr>
        <w:pStyle w:val="3-BodyText"/>
        <w:ind w:left="720"/>
        <w:rPr>
          <w:rFonts w:ascii="Arial Narrow" w:eastAsiaTheme="minorHAnsi" w:hAnsi="Arial Narrow" w:cstheme="minorBidi"/>
          <w:b/>
          <w:sz w:val="20"/>
          <w:szCs w:val="18"/>
          <w:lang w:eastAsia="en-US"/>
        </w:rPr>
      </w:pPr>
      <w:r w:rsidRPr="00051171">
        <w:t xml:space="preserve">This submission </w:t>
      </w:r>
      <w:proofErr w:type="gramStart"/>
      <w:r w:rsidR="00B3449A" w:rsidRPr="00051171">
        <w:t>was not</w:t>
      </w:r>
      <w:r w:rsidRPr="00051171">
        <w:t xml:space="preserve"> considered</w:t>
      </w:r>
      <w:proofErr w:type="gramEnd"/>
      <w:r w:rsidRPr="00051171">
        <w:t xml:space="preserve"> by DUSC</w:t>
      </w:r>
      <w:r w:rsidRPr="00051171">
        <w:rPr>
          <w:color w:val="000000" w:themeColor="text1"/>
        </w:rPr>
        <w:t xml:space="preserve">. </w:t>
      </w:r>
      <w:r w:rsidRPr="00051171">
        <w:t xml:space="preserve">An epidemiological approach was used, </w:t>
      </w:r>
      <w:proofErr w:type="gramStart"/>
      <w:r w:rsidRPr="00051171">
        <w:t>similar to</w:t>
      </w:r>
      <w:proofErr w:type="gramEnd"/>
      <w:r w:rsidRPr="00051171">
        <w:t xml:space="preserve"> </w:t>
      </w:r>
      <w:r w:rsidR="006E36B3" w:rsidRPr="00051171">
        <w:t>that presented in</w:t>
      </w:r>
      <w:r w:rsidR="00B770CA" w:rsidRPr="00051171">
        <w:t xml:space="preserve"> </w:t>
      </w:r>
      <w:r w:rsidRPr="00051171">
        <w:t>previous submission</w:t>
      </w:r>
      <w:r w:rsidR="00B770CA" w:rsidRPr="00051171">
        <w:t>s</w:t>
      </w:r>
      <w:r w:rsidRPr="00051171">
        <w:t xml:space="preserve"> (</w:t>
      </w:r>
      <w:r w:rsidR="00B770CA" w:rsidRPr="00051171">
        <w:t xml:space="preserve">e.g., </w:t>
      </w:r>
      <w:r w:rsidRPr="00051171">
        <w:t>July 2019 for</w:t>
      </w:r>
      <w:r w:rsidR="00B67498" w:rsidRPr="00051171">
        <w:t xml:space="preserve"> the</w:t>
      </w:r>
      <w:r w:rsidRPr="00051171">
        <w:t xml:space="preserve"> </w:t>
      </w:r>
      <w:r w:rsidR="005B000F" w:rsidRPr="00051171">
        <w:t>F/F population</w:t>
      </w:r>
      <w:r w:rsidRPr="00051171">
        <w:t xml:space="preserve"> aged 2 to 5 years old) for lumacaftor/ivacaftor. A summary of the estimated use and financial implications </w:t>
      </w:r>
      <w:proofErr w:type="gramStart"/>
      <w:r w:rsidRPr="00051171">
        <w:t>is provided</w:t>
      </w:r>
      <w:proofErr w:type="gramEnd"/>
      <w:r w:rsidRPr="00051171">
        <w:t xml:space="preserve"> in </w:t>
      </w:r>
      <w:r w:rsidR="00A01452" w:rsidRPr="00051171">
        <w:fldChar w:fldCharType="begin"/>
      </w:r>
      <w:r w:rsidR="00A01452" w:rsidRPr="00051171">
        <w:instrText xml:space="preserve"> REF _Ref132555374 \h  \* MERGEFORMAT </w:instrText>
      </w:r>
      <w:r w:rsidR="00A01452" w:rsidRPr="00051171">
        <w:fldChar w:fldCharType="separate"/>
      </w:r>
    </w:p>
    <w:p w14:paraId="443FD822" w14:textId="7D0D7803" w:rsidR="00F86069" w:rsidRPr="00833661" w:rsidRDefault="00025B72" w:rsidP="00833661">
      <w:pPr>
        <w:pStyle w:val="3-BodyText"/>
        <w:ind w:left="720"/>
        <w:rPr>
          <w:rFonts w:eastAsiaTheme="minorHAnsi" w:cstheme="minorHAnsi"/>
          <w:bCs/>
          <w:lang w:eastAsia="en-US"/>
        </w:rPr>
      </w:pPr>
      <w:r w:rsidRPr="00025B72">
        <w:rPr>
          <w:rFonts w:ascii="Calibri" w:eastAsiaTheme="minorHAnsi" w:hAnsi="Calibri" w:cs="Calibri"/>
          <w:bCs/>
          <w:noProof/>
          <w:lang w:eastAsia="en-US"/>
        </w:rPr>
        <w:t>Table</w:t>
      </w:r>
      <w:r w:rsidRPr="00FF09A2">
        <w:rPr>
          <w:rFonts w:ascii="Arial Narrow" w:eastAsiaTheme="minorHAnsi" w:hAnsi="Arial Narrow" w:cstheme="minorBidi"/>
          <w:b/>
          <w:noProof/>
          <w:sz w:val="20"/>
          <w:szCs w:val="18"/>
          <w:lang w:eastAsia="en-US"/>
        </w:rPr>
        <w:t xml:space="preserve"> </w:t>
      </w:r>
      <w:r>
        <w:rPr>
          <w:rFonts w:ascii="Arial Narrow" w:eastAsiaTheme="minorHAnsi" w:hAnsi="Arial Narrow" w:cstheme="minorBidi"/>
          <w:b/>
          <w:noProof/>
          <w:sz w:val="20"/>
          <w:szCs w:val="18"/>
          <w:lang w:eastAsia="en-US"/>
        </w:rPr>
        <w:t>11</w:t>
      </w:r>
      <w:r w:rsidR="00A01452" w:rsidRPr="00051171">
        <w:fldChar w:fldCharType="end"/>
      </w:r>
      <w:r w:rsidR="00F86069" w:rsidRPr="00051171">
        <w:t xml:space="preserve">. </w:t>
      </w:r>
    </w:p>
    <w:p w14:paraId="3D45AF6A" w14:textId="6D3ECE08" w:rsidR="004E6318" w:rsidRPr="00051171" w:rsidRDefault="00F86069" w:rsidP="006E36B3">
      <w:pPr>
        <w:pStyle w:val="3-BodyText"/>
        <w:ind w:left="720"/>
      </w:pPr>
      <w:r w:rsidRPr="00051171">
        <w:t>The submission's estimates were based on a</w:t>
      </w:r>
      <w:r w:rsidR="00A62400" w:rsidRPr="00051171">
        <w:t>n</w:t>
      </w:r>
      <w:r w:rsidRPr="00051171">
        <w:t xml:space="preserve"> </w:t>
      </w:r>
      <w:r w:rsidR="00A62400" w:rsidRPr="00051171">
        <w:t>initial</w:t>
      </w:r>
      <w:r w:rsidRPr="00051171">
        <w:t xml:space="preserve"> cohort of patients aged </w:t>
      </w:r>
      <w:proofErr w:type="gramStart"/>
      <w:r w:rsidRPr="00051171">
        <w:t>1</w:t>
      </w:r>
      <w:proofErr w:type="gramEnd"/>
      <w:r w:rsidRPr="00051171">
        <w:t xml:space="preserve"> to less than 2 years </w:t>
      </w:r>
      <w:r w:rsidR="00B67498" w:rsidRPr="00051171">
        <w:t xml:space="preserve">treated in </w:t>
      </w:r>
      <w:r w:rsidRPr="00051171">
        <w:t xml:space="preserve">Year 1 to Year 6, </w:t>
      </w:r>
      <w:r w:rsidR="00B67498" w:rsidRPr="00051171">
        <w:t>assuming</w:t>
      </w:r>
      <w:r w:rsidR="00A62400" w:rsidRPr="00051171">
        <w:t xml:space="preserve"> </w:t>
      </w:r>
      <w:r w:rsidR="00B67498" w:rsidRPr="00051171">
        <w:t xml:space="preserve">6.8% </w:t>
      </w:r>
      <w:r w:rsidR="00A62400" w:rsidRPr="00051171">
        <w:t xml:space="preserve">discontinuation in Year 1 and </w:t>
      </w:r>
      <w:r w:rsidR="00B67498" w:rsidRPr="00051171">
        <w:t xml:space="preserve">14.9% in </w:t>
      </w:r>
      <w:r w:rsidR="00A62400" w:rsidRPr="00051171">
        <w:t xml:space="preserve">Year 2 and </w:t>
      </w:r>
      <w:r w:rsidR="00B67498" w:rsidRPr="00051171">
        <w:t xml:space="preserve">an </w:t>
      </w:r>
      <w:r w:rsidR="00A62400" w:rsidRPr="00051171">
        <w:t>estimated</w:t>
      </w:r>
      <w:r w:rsidRPr="00051171">
        <w:t xml:space="preserve"> </w:t>
      </w:r>
      <w:r w:rsidR="00223063" w:rsidRPr="00051171">
        <w:t xml:space="preserve">additional </w:t>
      </w:r>
      <w:r w:rsidRPr="00051171">
        <w:t xml:space="preserve">0.5 incident patients </w:t>
      </w:r>
      <w:r w:rsidR="00A62400" w:rsidRPr="00051171">
        <w:t xml:space="preserve">in each </w:t>
      </w:r>
      <w:r w:rsidRPr="00051171">
        <w:t>year.</w:t>
      </w:r>
      <w:r w:rsidR="0090316E" w:rsidRPr="00051171">
        <w:t xml:space="preserve"> </w:t>
      </w:r>
      <w:r w:rsidR="00294146" w:rsidRPr="00051171">
        <w:t xml:space="preserve">This does not account for patients being eligible for lumacaftor/ ivacaftor once they turn 2 years of age. </w:t>
      </w:r>
      <w:r w:rsidR="00E6764C" w:rsidRPr="00051171">
        <w:t>The evaluation considered i</w:t>
      </w:r>
      <w:r w:rsidR="00294146" w:rsidRPr="00051171">
        <w:t xml:space="preserve">t may have been more appropriate to account for a prevalent population of patients aged </w:t>
      </w:r>
      <w:proofErr w:type="gramStart"/>
      <w:r w:rsidR="00294146" w:rsidRPr="00051171">
        <w:t>1</w:t>
      </w:r>
      <w:proofErr w:type="gramEnd"/>
      <w:r w:rsidR="00294146" w:rsidRPr="00051171">
        <w:t xml:space="preserve"> to less than 2 years initiating treatment in each year (with the assumption that the financial cost of treatment from 2 years of age has already been accounted for). This approach is </w:t>
      </w:r>
      <w:proofErr w:type="gramStart"/>
      <w:r w:rsidR="00294146" w:rsidRPr="00051171">
        <w:t>tested</w:t>
      </w:r>
      <w:proofErr w:type="gramEnd"/>
      <w:r w:rsidR="00294146" w:rsidRPr="00051171">
        <w:t xml:space="preserve"> in a sensitivity analysis below. </w:t>
      </w:r>
    </w:p>
    <w:p w14:paraId="1147C0C3" w14:textId="7A6AAD6B" w:rsidR="00FB32FB" w:rsidRPr="00EB6821" w:rsidRDefault="00F86069" w:rsidP="006E36B3">
      <w:pPr>
        <w:pStyle w:val="3-BodyText"/>
        <w:ind w:left="720"/>
        <w:rPr>
          <w:rFonts w:ascii="Arial Narrow" w:eastAsiaTheme="minorHAnsi" w:hAnsi="Arial Narrow" w:cstheme="minorBidi"/>
          <w:b/>
          <w:sz w:val="20"/>
          <w:szCs w:val="18"/>
          <w:lang w:eastAsia="en-US"/>
        </w:rPr>
      </w:pPr>
      <w:bookmarkStart w:id="51" w:name="_Ref135064566"/>
      <w:r w:rsidRPr="00B3449A">
        <w:t>The submission assumed that initiating patients would receive a full year of treatment in</w:t>
      </w:r>
      <w:r w:rsidR="00B67498" w:rsidRPr="00B3449A">
        <w:t xml:space="preserve"> Year 1</w:t>
      </w:r>
      <w:r w:rsidRPr="00B3449A">
        <w:t xml:space="preserve">. The PBAC has previously noted that a more reasonable assumption was that initiating patients would commence treatment throughout the year, so that on average each patient received the equivalent of half a year’s supply in the year in which they commence treatment (paragraph 6.42, lumacaftor/ivacaftor </w:t>
      </w:r>
      <w:r w:rsidR="00D0653F" w:rsidRPr="00B3449A">
        <w:t>PSD</w:t>
      </w:r>
      <w:r w:rsidRPr="00B3449A">
        <w:t xml:space="preserve">, </w:t>
      </w:r>
      <w:r w:rsidR="009C4D98" w:rsidRPr="00B3449A">
        <w:t>July</w:t>
      </w:r>
      <w:r w:rsidR="009C4D98">
        <w:t> </w:t>
      </w:r>
      <w:r w:rsidRPr="00B3449A">
        <w:t>2019 PBAC meeting).</w:t>
      </w:r>
      <w:bookmarkEnd w:id="51"/>
      <w:r w:rsidRPr="00FF09A2">
        <w:t xml:space="preserve"> </w:t>
      </w:r>
      <w:bookmarkStart w:id="52" w:name="_Ref132555374"/>
    </w:p>
    <w:p w14:paraId="7823EDBE" w14:textId="46FD44C0" w:rsidR="00F86069" w:rsidRPr="00FF09A2" w:rsidRDefault="00F86069" w:rsidP="00967957">
      <w:pPr>
        <w:keepNext/>
        <w:keepLines/>
        <w:rPr>
          <w:rFonts w:asciiTheme="minorHAnsi" w:hAnsiTheme="minorHAnsi"/>
          <w:snapToGrid w:val="0"/>
        </w:rPr>
      </w:pPr>
      <w:r w:rsidRPr="00FF09A2">
        <w:rPr>
          <w:rFonts w:ascii="Arial Narrow" w:eastAsiaTheme="minorHAnsi" w:hAnsi="Arial Narrow" w:cstheme="minorBidi"/>
          <w:b/>
          <w:sz w:val="20"/>
          <w:szCs w:val="18"/>
          <w:lang w:eastAsia="en-US"/>
        </w:rPr>
        <w:lastRenderedPageBreak/>
        <w:t xml:space="preserve">Table </w:t>
      </w:r>
      <w:r w:rsidRPr="00FF09A2">
        <w:rPr>
          <w:rFonts w:ascii="Arial Narrow" w:eastAsiaTheme="minorHAnsi" w:hAnsi="Arial Narrow" w:cstheme="minorBidi"/>
          <w:b/>
          <w:sz w:val="20"/>
          <w:szCs w:val="18"/>
          <w:lang w:eastAsia="en-US"/>
        </w:rPr>
        <w:fldChar w:fldCharType="begin"/>
      </w:r>
      <w:r w:rsidRPr="00FF09A2">
        <w:rPr>
          <w:rFonts w:ascii="Arial Narrow" w:eastAsiaTheme="minorHAnsi" w:hAnsi="Arial Narrow" w:cstheme="minorBidi"/>
          <w:b/>
          <w:sz w:val="20"/>
          <w:szCs w:val="18"/>
          <w:lang w:eastAsia="en-US"/>
        </w:rPr>
        <w:instrText xml:space="preserve"> SEQ Table \* ARABIC </w:instrText>
      </w:r>
      <w:r w:rsidRPr="00FF09A2">
        <w:rPr>
          <w:rFonts w:ascii="Arial Narrow" w:eastAsiaTheme="minorHAnsi" w:hAnsi="Arial Narrow" w:cstheme="minorBidi"/>
          <w:b/>
          <w:sz w:val="20"/>
          <w:szCs w:val="18"/>
          <w:lang w:eastAsia="en-US"/>
        </w:rPr>
        <w:fldChar w:fldCharType="separate"/>
      </w:r>
      <w:r w:rsidR="00025B72">
        <w:rPr>
          <w:rFonts w:ascii="Arial Narrow" w:eastAsiaTheme="minorHAnsi" w:hAnsi="Arial Narrow" w:cstheme="minorBidi"/>
          <w:b/>
          <w:noProof/>
          <w:sz w:val="20"/>
          <w:szCs w:val="18"/>
          <w:lang w:eastAsia="en-US"/>
        </w:rPr>
        <w:t>11</w:t>
      </w:r>
      <w:r w:rsidRPr="00FF09A2">
        <w:rPr>
          <w:rFonts w:ascii="Arial Narrow" w:eastAsiaTheme="minorHAnsi" w:hAnsi="Arial Narrow" w:cstheme="minorBidi"/>
          <w:b/>
          <w:noProof/>
          <w:sz w:val="20"/>
          <w:szCs w:val="18"/>
          <w:lang w:eastAsia="en-US"/>
        </w:rPr>
        <w:fldChar w:fldCharType="end"/>
      </w:r>
      <w:bookmarkEnd w:id="52"/>
      <w:r w:rsidRPr="00FF09A2">
        <w:rPr>
          <w:rFonts w:ascii="Arial Narrow" w:eastAsiaTheme="minorHAnsi" w:hAnsi="Arial Narrow" w:cstheme="minorBidi"/>
          <w:b/>
          <w:sz w:val="20"/>
          <w:szCs w:val="18"/>
          <w:lang w:eastAsia="en-US"/>
        </w:rPr>
        <w:t>:</w:t>
      </w:r>
      <w:r w:rsidRPr="00FF09A2">
        <w:rPr>
          <w:rFonts w:ascii="Arial Narrow" w:eastAsiaTheme="minorHAnsi" w:hAnsi="Arial Narrow" w:cstheme="minorBidi"/>
          <w:b/>
          <w:sz w:val="20"/>
          <w:szCs w:val="22"/>
          <w:lang w:eastAsia="en-US"/>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16"/>
        <w:gridCol w:w="4080"/>
        <w:gridCol w:w="3621"/>
      </w:tblGrid>
      <w:tr w:rsidR="00F86069" w:rsidRPr="00051171" w14:paraId="7903FE28" w14:textId="77777777" w:rsidTr="006E36B3">
        <w:trPr>
          <w:tblHeader/>
        </w:trPr>
        <w:tc>
          <w:tcPr>
            <w:tcW w:w="729" w:type="pct"/>
            <w:shd w:val="clear" w:color="auto" w:fill="auto"/>
            <w:vAlign w:val="center"/>
          </w:tcPr>
          <w:p w14:paraId="15647D53" w14:textId="77777777" w:rsidR="00F86069" w:rsidRPr="00051171" w:rsidRDefault="00F86069" w:rsidP="00967957">
            <w:pPr>
              <w:keepNext/>
              <w:keepLines/>
              <w:widowControl w:val="0"/>
              <w:jc w:val="left"/>
              <w:rPr>
                <w:rFonts w:ascii="Arial Narrow" w:eastAsiaTheme="majorEastAsia" w:hAnsi="Arial Narrow" w:cs="Times New Roman"/>
                <w:b/>
                <w:sz w:val="20"/>
              </w:rPr>
            </w:pPr>
            <w:r w:rsidRPr="00051171">
              <w:rPr>
                <w:rFonts w:ascii="Arial Narrow" w:eastAsiaTheme="majorEastAsia" w:hAnsi="Arial Narrow" w:cs="Times New Roman"/>
                <w:b/>
                <w:sz w:val="20"/>
              </w:rPr>
              <w:t>Parameter</w:t>
            </w:r>
          </w:p>
        </w:tc>
        <w:tc>
          <w:tcPr>
            <w:tcW w:w="2262" w:type="pct"/>
            <w:shd w:val="clear" w:color="auto" w:fill="auto"/>
            <w:vAlign w:val="center"/>
          </w:tcPr>
          <w:p w14:paraId="4B2890D3" w14:textId="77777777" w:rsidR="00F86069" w:rsidRPr="00051171" w:rsidRDefault="00F86069" w:rsidP="00967957">
            <w:pPr>
              <w:keepNext/>
              <w:keepLines/>
              <w:widowControl w:val="0"/>
              <w:jc w:val="left"/>
              <w:rPr>
                <w:rFonts w:ascii="Arial Narrow" w:eastAsiaTheme="majorEastAsia" w:hAnsi="Arial Narrow" w:cs="Times New Roman"/>
                <w:b/>
                <w:sz w:val="20"/>
              </w:rPr>
            </w:pPr>
            <w:r w:rsidRPr="00051171">
              <w:rPr>
                <w:rFonts w:ascii="Arial Narrow" w:eastAsiaTheme="majorEastAsia" w:hAnsi="Arial Narrow" w:cs="Times New Roman"/>
                <w:b/>
                <w:sz w:val="20"/>
              </w:rPr>
              <w:t>Value applied and source</w:t>
            </w:r>
          </w:p>
        </w:tc>
        <w:tc>
          <w:tcPr>
            <w:tcW w:w="2008" w:type="pct"/>
            <w:shd w:val="clear" w:color="auto" w:fill="auto"/>
            <w:vAlign w:val="center"/>
          </w:tcPr>
          <w:p w14:paraId="6E48C6EA" w14:textId="77777777" w:rsidR="00F86069" w:rsidRPr="00051171" w:rsidRDefault="00F86069" w:rsidP="00967957">
            <w:pPr>
              <w:keepNext/>
              <w:keepLines/>
              <w:widowControl w:val="0"/>
              <w:jc w:val="left"/>
              <w:rPr>
                <w:rFonts w:ascii="Arial Narrow" w:eastAsiaTheme="majorEastAsia" w:hAnsi="Arial Narrow" w:cs="Times New Roman"/>
                <w:b/>
                <w:sz w:val="20"/>
              </w:rPr>
            </w:pPr>
            <w:r w:rsidRPr="00051171">
              <w:rPr>
                <w:rFonts w:ascii="Arial Narrow" w:eastAsiaTheme="majorEastAsia" w:hAnsi="Arial Narrow" w:cs="Times New Roman"/>
                <w:b/>
                <w:sz w:val="20"/>
              </w:rPr>
              <w:t>Comment</w:t>
            </w:r>
          </w:p>
        </w:tc>
      </w:tr>
      <w:tr w:rsidR="00F86069" w:rsidRPr="00051171" w14:paraId="6F884C80" w14:textId="77777777" w:rsidTr="006E36B3">
        <w:tc>
          <w:tcPr>
            <w:tcW w:w="729" w:type="pct"/>
            <w:shd w:val="clear" w:color="auto" w:fill="auto"/>
            <w:vAlign w:val="center"/>
          </w:tcPr>
          <w:p w14:paraId="293A4E2D" w14:textId="77777777"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Prevalent population</w:t>
            </w:r>
          </w:p>
        </w:tc>
        <w:tc>
          <w:tcPr>
            <w:tcW w:w="2262" w:type="pct"/>
            <w:shd w:val="clear" w:color="auto" w:fill="auto"/>
            <w:vAlign w:val="center"/>
          </w:tcPr>
          <w:p w14:paraId="3CD5E1C0" w14:textId="5FA49AC4"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 xml:space="preserve">Prevalence of 33 patients in Year 1, based on </w:t>
            </w:r>
            <w:r w:rsidRPr="00051171">
              <w:rPr>
                <w:rFonts w:ascii="Arial Narrow" w:eastAsiaTheme="majorEastAsia" w:hAnsi="Arial Narrow" w:cstheme="majorBidi"/>
                <w:bCs/>
                <w:sz w:val="20"/>
                <w:lang w:eastAsia="en-GB"/>
              </w:rPr>
              <w:t>the number of reported CF patients &lt;2 years old with F508del mutation</w:t>
            </w:r>
            <w:r w:rsidR="006E36B3" w:rsidRPr="00051171">
              <w:rPr>
                <w:rFonts w:ascii="Arial Narrow" w:eastAsiaTheme="majorEastAsia" w:hAnsi="Arial Narrow" w:cstheme="majorBidi"/>
                <w:bCs/>
                <w:sz w:val="20"/>
                <w:lang w:eastAsia="en-GB"/>
              </w:rPr>
              <w:t xml:space="preserve"> and</w:t>
            </w:r>
            <w:r w:rsidRPr="00051171">
              <w:rPr>
                <w:rFonts w:ascii="Arial Narrow" w:eastAsiaTheme="majorEastAsia" w:hAnsi="Arial Narrow" w:cstheme="majorBidi"/>
                <w:bCs/>
                <w:sz w:val="20"/>
                <w:lang w:eastAsia="en-GB"/>
              </w:rPr>
              <w:t xml:space="preserve"> </w:t>
            </w:r>
            <w:proofErr w:type="gramStart"/>
            <w:r w:rsidRPr="00051171">
              <w:rPr>
                <w:rFonts w:ascii="Arial Narrow" w:eastAsiaTheme="majorEastAsia" w:hAnsi="Arial Narrow" w:cstheme="majorBidi"/>
                <w:bCs/>
                <w:sz w:val="20"/>
                <w:lang w:eastAsia="en-GB"/>
              </w:rPr>
              <w:t xml:space="preserve">assuming </w:t>
            </w:r>
            <w:r w:rsidR="006E36B3" w:rsidRPr="00051171">
              <w:rPr>
                <w:rFonts w:ascii="Arial Narrow" w:eastAsiaTheme="majorEastAsia" w:hAnsi="Arial Narrow" w:cstheme="majorBidi"/>
                <w:bCs/>
                <w:sz w:val="20"/>
                <w:lang w:eastAsia="en-GB"/>
              </w:rPr>
              <w:t>that</w:t>
            </w:r>
            <w:proofErr w:type="gramEnd"/>
            <w:r w:rsidR="006E36B3" w:rsidRPr="00051171">
              <w:rPr>
                <w:rFonts w:ascii="Arial Narrow" w:eastAsiaTheme="majorEastAsia" w:hAnsi="Arial Narrow" w:cstheme="majorBidi"/>
                <w:bCs/>
                <w:sz w:val="20"/>
                <w:lang w:eastAsia="en-GB"/>
              </w:rPr>
              <w:t xml:space="preserve"> </w:t>
            </w:r>
            <w:r w:rsidRPr="00051171">
              <w:rPr>
                <w:rFonts w:ascii="Arial Narrow" w:eastAsiaTheme="majorEastAsia" w:hAnsi="Arial Narrow" w:cstheme="majorBidi"/>
                <w:bCs/>
                <w:sz w:val="20"/>
                <w:lang w:eastAsia="en-GB"/>
              </w:rPr>
              <w:t xml:space="preserve">50% of those </w:t>
            </w:r>
            <w:r w:rsidR="006E36B3" w:rsidRPr="00051171">
              <w:rPr>
                <w:rFonts w:ascii="Arial Narrow" w:eastAsiaTheme="majorEastAsia" w:hAnsi="Arial Narrow" w:cstheme="majorBidi"/>
                <w:bCs/>
                <w:sz w:val="20"/>
                <w:lang w:eastAsia="en-GB"/>
              </w:rPr>
              <w:t xml:space="preserve">are </w:t>
            </w:r>
            <w:r w:rsidRPr="00051171">
              <w:rPr>
                <w:rFonts w:ascii="Arial Narrow" w:eastAsiaTheme="majorEastAsia" w:hAnsi="Arial Narrow" w:cstheme="majorBidi"/>
                <w:bCs/>
                <w:sz w:val="20"/>
                <w:lang w:eastAsia="en-GB"/>
              </w:rPr>
              <w:t>between 1-2 years old (ACFDR annual reports 2013-2020 and bespoke report 2021)</w:t>
            </w:r>
          </w:p>
        </w:tc>
        <w:tc>
          <w:tcPr>
            <w:tcW w:w="2008" w:type="pct"/>
            <w:shd w:val="clear" w:color="auto" w:fill="auto"/>
            <w:vAlign w:val="center"/>
          </w:tcPr>
          <w:p w14:paraId="168460F5" w14:textId="754EE968" w:rsidR="00F86069" w:rsidRPr="00051171" w:rsidRDefault="006E36B3"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D</w:t>
            </w:r>
            <w:r w:rsidR="00F86069" w:rsidRPr="00051171">
              <w:rPr>
                <w:rFonts w:ascii="Arial Narrow" w:eastAsiaTheme="majorEastAsia" w:hAnsi="Arial Narrow" w:cstheme="majorBidi"/>
                <w:bCs/>
                <w:sz w:val="20"/>
              </w:rPr>
              <w:t xml:space="preserve">ata provided by </w:t>
            </w:r>
            <w:r w:rsidR="00656BCC" w:rsidRPr="00051171">
              <w:rPr>
                <w:rFonts w:ascii="Arial Narrow" w:eastAsiaTheme="majorEastAsia" w:hAnsi="Arial Narrow" w:cstheme="majorBidi"/>
                <w:bCs/>
                <w:sz w:val="20"/>
              </w:rPr>
              <w:t xml:space="preserve">the </w:t>
            </w:r>
            <w:r w:rsidR="00F86069" w:rsidRPr="00051171">
              <w:rPr>
                <w:rFonts w:ascii="Arial Narrow" w:eastAsiaTheme="majorEastAsia" w:hAnsi="Arial Narrow" w:cstheme="majorBidi"/>
                <w:bCs/>
                <w:sz w:val="20"/>
              </w:rPr>
              <w:t xml:space="preserve">DUSC </w:t>
            </w:r>
            <w:r w:rsidR="00656BCC" w:rsidRPr="00051171">
              <w:rPr>
                <w:rFonts w:ascii="Arial Narrow" w:eastAsiaTheme="majorEastAsia" w:hAnsi="Arial Narrow" w:cstheme="majorBidi"/>
                <w:bCs/>
                <w:sz w:val="20"/>
              </w:rPr>
              <w:t xml:space="preserve">Secretariat </w:t>
            </w:r>
            <w:r w:rsidRPr="00051171">
              <w:rPr>
                <w:rFonts w:ascii="Arial Narrow" w:eastAsiaTheme="majorEastAsia" w:hAnsi="Arial Narrow" w:cstheme="majorBidi"/>
                <w:bCs/>
                <w:sz w:val="20"/>
              </w:rPr>
              <w:t xml:space="preserve">indicated that </w:t>
            </w:r>
            <w:r w:rsidR="00F86069" w:rsidRPr="00051171">
              <w:rPr>
                <w:rFonts w:ascii="Arial Narrow" w:eastAsiaTheme="majorEastAsia" w:hAnsi="Arial Narrow" w:cstheme="majorBidi"/>
                <w:bCs/>
                <w:sz w:val="20"/>
              </w:rPr>
              <w:t>the</w:t>
            </w:r>
            <w:r w:rsidRPr="00051171">
              <w:rPr>
                <w:rFonts w:ascii="Arial Narrow" w:eastAsiaTheme="majorEastAsia" w:hAnsi="Arial Narrow" w:cstheme="majorBidi"/>
                <w:bCs/>
                <w:sz w:val="20"/>
              </w:rPr>
              <w:t xml:space="preserve">re were </w:t>
            </w:r>
            <w:r w:rsidR="00F86069" w:rsidRPr="00051171">
              <w:rPr>
                <w:rFonts w:ascii="Arial Narrow" w:eastAsiaTheme="majorEastAsia" w:hAnsi="Arial Narrow" w:cstheme="majorBidi"/>
                <w:bCs/>
                <w:sz w:val="20"/>
              </w:rPr>
              <w:t>49 patients</w:t>
            </w:r>
            <w:r w:rsidRPr="00051171">
              <w:rPr>
                <w:rFonts w:ascii="Arial Narrow" w:eastAsiaTheme="majorEastAsia" w:hAnsi="Arial Narrow" w:cstheme="majorBidi"/>
                <w:bCs/>
                <w:sz w:val="20"/>
              </w:rPr>
              <w:t xml:space="preserve"> in</w:t>
            </w:r>
            <w:r w:rsidR="00F86069" w:rsidRPr="00051171">
              <w:rPr>
                <w:rFonts w:ascii="Arial Narrow" w:eastAsiaTheme="majorEastAsia" w:hAnsi="Arial Narrow" w:cstheme="majorBidi"/>
                <w:bCs/>
                <w:sz w:val="20"/>
              </w:rPr>
              <w:t xml:space="preserve"> 2020, 24 patients </w:t>
            </w:r>
            <w:r w:rsidRPr="00051171">
              <w:rPr>
                <w:rFonts w:ascii="Arial Narrow" w:eastAsiaTheme="majorEastAsia" w:hAnsi="Arial Narrow" w:cstheme="majorBidi"/>
                <w:bCs/>
                <w:sz w:val="20"/>
              </w:rPr>
              <w:t xml:space="preserve">in </w:t>
            </w:r>
            <w:r w:rsidR="00F86069" w:rsidRPr="00051171">
              <w:rPr>
                <w:rFonts w:ascii="Arial Narrow" w:eastAsiaTheme="majorEastAsia" w:hAnsi="Arial Narrow" w:cstheme="majorBidi"/>
                <w:bCs/>
                <w:sz w:val="20"/>
              </w:rPr>
              <w:t xml:space="preserve">2021 and 33 patients </w:t>
            </w:r>
            <w:r w:rsidRPr="00051171">
              <w:rPr>
                <w:rFonts w:ascii="Arial Narrow" w:eastAsiaTheme="majorEastAsia" w:hAnsi="Arial Narrow" w:cstheme="majorBidi"/>
                <w:bCs/>
                <w:sz w:val="20"/>
              </w:rPr>
              <w:t xml:space="preserve">in </w:t>
            </w:r>
            <w:r w:rsidR="00F86069" w:rsidRPr="00051171">
              <w:rPr>
                <w:rFonts w:ascii="Arial Narrow" w:eastAsiaTheme="majorEastAsia" w:hAnsi="Arial Narrow" w:cstheme="majorBidi"/>
                <w:bCs/>
                <w:sz w:val="20"/>
              </w:rPr>
              <w:t>2022</w:t>
            </w:r>
            <w:r w:rsidRPr="00051171">
              <w:rPr>
                <w:rFonts w:ascii="Arial Narrow" w:eastAsiaTheme="majorEastAsia" w:hAnsi="Arial Narrow" w:cstheme="majorBidi"/>
                <w:bCs/>
                <w:sz w:val="20"/>
              </w:rPr>
              <w:t xml:space="preserve"> with the F/F mutation receiving lumacaftor/ivacaftor scripts at 2 years of age (age at first script).</w:t>
            </w:r>
          </w:p>
        </w:tc>
      </w:tr>
      <w:tr w:rsidR="00F86069" w:rsidRPr="00051171" w14:paraId="35EA9BA1" w14:textId="77777777" w:rsidTr="006E36B3">
        <w:tc>
          <w:tcPr>
            <w:tcW w:w="729" w:type="pct"/>
            <w:shd w:val="clear" w:color="auto" w:fill="auto"/>
            <w:vAlign w:val="center"/>
          </w:tcPr>
          <w:p w14:paraId="5AEBBEDD" w14:textId="77777777"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Incident patients</w:t>
            </w:r>
          </w:p>
        </w:tc>
        <w:tc>
          <w:tcPr>
            <w:tcW w:w="2262" w:type="pct"/>
            <w:shd w:val="clear" w:color="auto" w:fill="auto"/>
            <w:vAlign w:val="center"/>
          </w:tcPr>
          <w:p w14:paraId="21060193" w14:textId="0AEA7246"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0.5 patients per year, based on estimated CF patient growth rate and the prevalent population.</w:t>
            </w:r>
          </w:p>
        </w:tc>
        <w:tc>
          <w:tcPr>
            <w:tcW w:w="2008" w:type="pct"/>
            <w:shd w:val="clear" w:color="auto" w:fill="auto"/>
            <w:vAlign w:val="center"/>
          </w:tcPr>
          <w:p w14:paraId="3AADBAF8" w14:textId="27BDDB64" w:rsidR="00A62400" w:rsidRPr="00051171" w:rsidRDefault="00C77FAF"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The submission used the annual growth rate of the CF population (1.6% per annum) and applied it to the F/F population, which produced an estimated growth of 0.5 patients per annum</w:t>
            </w:r>
          </w:p>
        </w:tc>
      </w:tr>
      <w:tr w:rsidR="00F86069" w:rsidRPr="00051171" w14:paraId="1C4BCFDD" w14:textId="77777777" w:rsidTr="006E36B3">
        <w:tc>
          <w:tcPr>
            <w:tcW w:w="729" w:type="pct"/>
            <w:shd w:val="clear" w:color="auto" w:fill="auto"/>
            <w:vAlign w:val="center"/>
          </w:tcPr>
          <w:p w14:paraId="046139AC" w14:textId="77777777"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Uptake rate</w:t>
            </w:r>
          </w:p>
        </w:tc>
        <w:tc>
          <w:tcPr>
            <w:tcW w:w="2262" w:type="pct"/>
            <w:shd w:val="clear" w:color="auto" w:fill="auto"/>
            <w:vAlign w:val="center"/>
          </w:tcPr>
          <w:p w14:paraId="20EE2838" w14:textId="77777777"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90% based on local clinical opinion.</w:t>
            </w:r>
          </w:p>
        </w:tc>
        <w:tc>
          <w:tcPr>
            <w:tcW w:w="2008" w:type="pct"/>
            <w:shd w:val="clear" w:color="auto" w:fill="auto"/>
            <w:vAlign w:val="center"/>
          </w:tcPr>
          <w:p w14:paraId="6B89B0AD" w14:textId="6D624678" w:rsidR="00F86069" w:rsidRPr="00051171" w:rsidRDefault="006E36B3"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N</w:t>
            </w:r>
            <w:r w:rsidR="00F86069" w:rsidRPr="00051171">
              <w:rPr>
                <w:rFonts w:ascii="Arial Narrow" w:eastAsiaTheme="majorEastAsia" w:hAnsi="Arial Narrow" w:cstheme="majorBidi"/>
                <w:bCs/>
                <w:sz w:val="20"/>
              </w:rPr>
              <w:t>o source for this assumption w</w:t>
            </w:r>
            <w:r w:rsidRPr="00051171">
              <w:rPr>
                <w:rFonts w:ascii="Arial Narrow" w:eastAsiaTheme="majorEastAsia" w:hAnsi="Arial Narrow" w:cstheme="majorBidi"/>
                <w:bCs/>
                <w:sz w:val="20"/>
              </w:rPr>
              <w:t>as</w:t>
            </w:r>
            <w:r w:rsidR="00F86069" w:rsidRPr="00051171">
              <w:rPr>
                <w:rFonts w:ascii="Arial Narrow" w:eastAsiaTheme="majorEastAsia" w:hAnsi="Arial Narrow" w:cstheme="majorBidi"/>
                <w:bCs/>
                <w:sz w:val="20"/>
              </w:rPr>
              <w:t xml:space="preserve"> presented.</w:t>
            </w:r>
          </w:p>
        </w:tc>
      </w:tr>
      <w:tr w:rsidR="00F86069" w:rsidRPr="00051171" w14:paraId="150C40A6" w14:textId="77777777" w:rsidTr="006E36B3">
        <w:tc>
          <w:tcPr>
            <w:tcW w:w="729" w:type="pct"/>
            <w:shd w:val="clear" w:color="auto" w:fill="auto"/>
            <w:vAlign w:val="center"/>
          </w:tcPr>
          <w:p w14:paraId="2372243C" w14:textId="77777777"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Discontinuation rate</w:t>
            </w:r>
          </w:p>
        </w:tc>
        <w:tc>
          <w:tcPr>
            <w:tcW w:w="2262" w:type="pct"/>
            <w:shd w:val="clear" w:color="auto" w:fill="auto"/>
          </w:tcPr>
          <w:p w14:paraId="6CE4C831" w14:textId="08A4920B"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 xml:space="preserve">6.8% </w:t>
            </w:r>
            <w:r w:rsidR="006E36B3" w:rsidRPr="00051171">
              <w:rPr>
                <w:rFonts w:ascii="Arial Narrow" w:eastAsiaTheme="majorEastAsia" w:hAnsi="Arial Narrow" w:cstheme="majorBidi"/>
                <w:bCs/>
                <w:sz w:val="20"/>
              </w:rPr>
              <w:t>in Year 1</w:t>
            </w:r>
            <w:r w:rsidRPr="00051171">
              <w:rPr>
                <w:rFonts w:ascii="Arial Narrow" w:eastAsiaTheme="majorEastAsia" w:hAnsi="Arial Narrow" w:cstheme="majorBidi"/>
                <w:bCs/>
                <w:sz w:val="20"/>
              </w:rPr>
              <w:t xml:space="preserve"> and 14.9% </w:t>
            </w:r>
            <w:r w:rsidR="006E36B3" w:rsidRPr="00051171">
              <w:rPr>
                <w:rFonts w:ascii="Arial Narrow" w:eastAsiaTheme="majorEastAsia" w:hAnsi="Arial Narrow" w:cstheme="majorBidi"/>
                <w:bCs/>
                <w:sz w:val="20"/>
              </w:rPr>
              <w:t>in Year 2. B</w:t>
            </w:r>
            <w:r w:rsidR="00294146" w:rsidRPr="00051171">
              <w:rPr>
                <w:rFonts w:ascii="Arial Narrow" w:eastAsiaTheme="majorEastAsia" w:hAnsi="Arial Narrow" w:cstheme="majorBidi"/>
                <w:bCs/>
                <w:sz w:val="20"/>
              </w:rPr>
              <w:t>ased on the PBAC previously accepting these discontinuation rates for LUM/IVA in F508del patients aged 2 and older (July 2018 PBAC meeting)</w:t>
            </w:r>
          </w:p>
        </w:tc>
        <w:tc>
          <w:tcPr>
            <w:tcW w:w="2008" w:type="pct"/>
            <w:shd w:val="clear" w:color="auto" w:fill="auto"/>
            <w:vAlign w:val="center"/>
          </w:tcPr>
          <w:p w14:paraId="1FE0FB0F" w14:textId="48C81C67" w:rsidR="00F86069" w:rsidRPr="00051171" w:rsidRDefault="006E36B3"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w:t>
            </w:r>
          </w:p>
        </w:tc>
      </w:tr>
      <w:tr w:rsidR="00F86069" w:rsidRPr="00051171" w14:paraId="3A9B497A" w14:textId="77777777" w:rsidTr="006E36B3">
        <w:tc>
          <w:tcPr>
            <w:tcW w:w="729" w:type="pct"/>
            <w:shd w:val="clear" w:color="auto" w:fill="auto"/>
            <w:vAlign w:val="center"/>
          </w:tcPr>
          <w:p w14:paraId="1218DDC0" w14:textId="77777777"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Compliance rate</w:t>
            </w:r>
          </w:p>
        </w:tc>
        <w:tc>
          <w:tcPr>
            <w:tcW w:w="2262" w:type="pct"/>
            <w:shd w:val="clear" w:color="auto" w:fill="auto"/>
            <w:vAlign w:val="center"/>
          </w:tcPr>
          <w:p w14:paraId="5EFFC020" w14:textId="2866B48D"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99.94% (based on Study 122, Part B) and estimated 13.04 script</w:t>
            </w:r>
            <w:r w:rsidR="006E36B3" w:rsidRPr="00051171">
              <w:rPr>
                <w:rFonts w:ascii="Arial Narrow" w:eastAsiaTheme="majorEastAsia" w:hAnsi="Arial Narrow" w:cstheme="majorBidi"/>
                <w:bCs/>
                <w:sz w:val="20"/>
              </w:rPr>
              <w:t>s</w:t>
            </w:r>
            <w:r w:rsidRPr="00051171">
              <w:rPr>
                <w:rFonts w:ascii="Arial Narrow" w:eastAsiaTheme="majorEastAsia" w:hAnsi="Arial Narrow" w:cstheme="majorBidi"/>
                <w:bCs/>
                <w:sz w:val="20"/>
              </w:rPr>
              <w:t xml:space="preserve"> per patient per year</w:t>
            </w:r>
          </w:p>
        </w:tc>
        <w:tc>
          <w:tcPr>
            <w:tcW w:w="2008" w:type="pct"/>
            <w:shd w:val="clear" w:color="auto" w:fill="auto"/>
            <w:vAlign w:val="center"/>
          </w:tcPr>
          <w:p w14:paraId="147A805E" w14:textId="6DFA2B44"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 xml:space="preserve">The submission </w:t>
            </w:r>
            <w:r w:rsidR="006E36B3" w:rsidRPr="00051171">
              <w:rPr>
                <w:rFonts w:ascii="Arial Narrow" w:eastAsiaTheme="majorEastAsia" w:hAnsi="Arial Narrow" w:cstheme="majorBidi"/>
                <w:bCs/>
                <w:sz w:val="20"/>
              </w:rPr>
              <w:t xml:space="preserve">applied a </w:t>
            </w:r>
            <w:r w:rsidRPr="00051171">
              <w:rPr>
                <w:rFonts w:ascii="Arial Narrow" w:eastAsiaTheme="majorEastAsia" w:hAnsi="Arial Narrow" w:cstheme="majorBidi"/>
                <w:bCs/>
                <w:sz w:val="20"/>
              </w:rPr>
              <w:t xml:space="preserve">90% compliance </w:t>
            </w:r>
            <w:r w:rsidR="006E36B3" w:rsidRPr="00051171">
              <w:rPr>
                <w:rFonts w:ascii="Arial Narrow" w:eastAsiaTheme="majorEastAsia" w:hAnsi="Arial Narrow" w:cstheme="majorBidi"/>
                <w:bCs/>
                <w:sz w:val="20"/>
              </w:rPr>
              <w:t xml:space="preserve">rate </w:t>
            </w:r>
            <w:r w:rsidRPr="00051171">
              <w:rPr>
                <w:rFonts w:ascii="Arial Narrow" w:eastAsiaTheme="majorEastAsia" w:hAnsi="Arial Narrow" w:cstheme="majorBidi"/>
                <w:bCs/>
                <w:sz w:val="20"/>
              </w:rPr>
              <w:t xml:space="preserve">in the economic evaluation. </w:t>
            </w:r>
            <w:r w:rsidR="000F53C2" w:rsidRPr="00051171">
              <w:rPr>
                <w:rFonts w:ascii="Arial Narrow" w:eastAsiaTheme="majorEastAsia" w:hAnsi="Arial Narrow" w:cstheme="majorBidi"/>
                <w:bCs/>
                <w:sz w:val="20"/>
              </w:rPr>
              <w:t>The PSCR stated that in the paediatric population compliance was high as it relied on parental supervision of the treatment. The PSCR stated that the difference between the compliance rate applied in the financial estimates and the economic evaluation was due to the economic evaluation including patients aged above 12 years.</w:t>
            </w:r>
          </w:p>
        </w:tc>
      </w:tr>
      <w:tr w:rsidR="00F86069" w:rsidRPr="00051171" w14:paraId="5E17C881" w14:textId="77777777" w:rsidTr="006E36B3">
        <w:tc>
          <w:tcPr>
            <w:tcW w:w="729" w:type="pct"/>
            <w:shd w:val="clear" w:color="auto" w:fill="auto"/>
            <w:vAlign w:val="center"/>
          </w:tcPr>
          <w:p w14:paraId="725E910E" w14:textId="77777777"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MBS item</w:t>
            </w:r>
          </w:p>
        </w:tc>
        <w:tc>
          <w:tcPr>
            <w:tcW w:w="2262" w:type="pct"/>
            <w:shd w:val="clear" w:color="auto" w:fill="auto"/>
            <w:vAlign w:val="center"/>
          </w:tcPr>
          <w:p w14:paraId="30EFA7B8" w14:textId="315ABE13"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 xml:space="preserve">MBS item number 66512 - 4 services in </w:t>
            </w:r>
            <w:r w:rsidR="006E36B3" w:rsidRPr="00051171">
              <w:rPr>
                <w:rFonts w:ascii="Arial Narrow" w:eastAsiaTheme="majorEastAsia" w:hAnsi="Arial Narrow" w:cstheme="majorBidi"/>
                <w:bCs/>
                <w:sz w:val="20"/>
              </w:rPr>
              <w:t xml:space="preserve">Year 1, followed by </w:t>
            </w:r>
            <w:r w:rsidRPr="00051171">
              <w:rPr>
                <w:rFonts w:ascii="Arial Narrow" w:eastAsiaTheme="majorEastAsia" w:hAnsi="Arial Narrow" w:cstheme="majorBidi"/>
                <w:bCs/>
                <w:sz w:val="20"/>
              </w:rPr>
              <w:t xml:space="preserve">1 service per year </w:t>
            </w:r>
            <w:r w:rsidR="006E36B3" w:rsidRPr="00051171">
              <w:rPr>
                <w:rFonts w:ascii="Arial Narrow" w:eastAsiaTheme="majorEastAsia" w:hAnsi="Arial Narrow" w:cstheme="majorBidi"/>
                <w:bCs/>
                <w:sz w:val="20"/>
              </w:rPr>
              <w:t xml:space="preserve">thereafter </w:t>
            </w:r>
            <w:r w:rsidRPr="00051171">
              <w:rPr>
                <w:rFonts w:ascii="Arial Narrow" w:eastAsiaTheme="majorEastAsia" w:hAnsi="Arial Narrow" w:cstheme="majorBidi"/>
                <w:bCs/>
                <w:sz w:val="20"/>
              </w:rPr>
              <w:t>for mandatory liver function test.</w:t>
            </w:r>
          </w:p>
          <w:p w14:paraId="75020B64" w14:textId="013AA7D0" w:rsidR="00F86069" w:rsidRPr="00051171" w:rsidRDefault="00F86069"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 xml:space="preserve">MBS item number 104 </w:t>
            </w:r>
            <w:r w:rsidR="006E36B3" w:rsidRPr="00051171">
              <w:rPr>
                <w:rFonts w:ascii="Arial Narrow" w:eastAsiaTheme="majorEastAsia" w:hAnsi="Arial Narrow" w:cstheme="majorBidi"/>
                <w:bCs/>
                <w:sz w:val="20"/>
              </w:rPr>
              <w:t xml:space="preserve">- </w:t>
            </w:r>
            <w:r w:rsidRPr="00051171">
              <w:rPr>
                <w:rFonts w:ascii="Arial Narrow" w:eastAsiaTheme="majorEastAsia" w:hAnsi="Arial Narrow" w:cstheme="majorBidi"/>
                <w:bCs/>
                <w:sz w:val="20"/>
              </w:rPr>
              <w:t>2 services per year for ophthalmological visits.</w:t>
            </w:r>
          </w:p>
        </w:tc>
        <w:tc>
          <w:tcPr>
            <w:tcW w:w="2008" w:type="pct"/>
            <w:shd w:val="clear" w:color="auto" w:fill="auto"/>
            <w:vAlign w:val="center"/>
          </w:tcPr>
          <w:p w14:paraId="6A7BFB74" w14:textId="42447FEC" w:rsidR="00F86069" w:rsidRPr="00051171" w:rsidRDefault="006E36B3" w:rsidP="00967957">
            <w:pPr>
              <w:keepNext/>
              <w:keepLines/>
              <w:widowControl w:val="0"/>
              <w:jc w:val="left"/>
              <w:rPr>
                <w:rFonts w:ascii="Arial Narrow" w:eastAsiaTheme="majorEastAsia" w:hAnsi="Arial Narrow" w:cstheme="majorBidi"/>
                <w:bCs/>
                <w:sz w:val="20"/>
              </w:rPr>
            </w:pPr>
            <w:r w:rsidRPr="00051171">
              <w:rPr>
                <w:rFonts w:ascii="Arial Narrow" w:eastAsiaTheme="majorEastAsia" w:hAnsi="Arial Narrow" w:cstheme="majorBidi"/>
                <w:bCs/>
                <w:sz w:val="20"/>
              </w:rPr>
              <w:t>-</w:t>
            </w:r>
          </w:p>
          <w:p w14:paraId="316A825C" w14:textId="1D635425" w:rsidR="00F86069" w:rsidRPr="00051171" w:rsidRDefault="00F86069" w:rsidP="00967957">
            <w:pPr>
              <w:keepNext/>
              <w:keepLines/>
              <w:widowControl w:val="0"/>
              <w:jc w:val="left"/>
              <w:rPr>
                <w:rFonts w:ascii="Arial Narrow" w:eastAsiaTheme="majorEastAsia" w:hAnsi="Arial Narrow" w:cstheme="majorBidi"/>
                <w:bCs/>
                <w:sz w:val="20"/>
              </w:rPr>
            </w:pPr>
          </w:p>
        </w:tc>
      </w:tr>
    </w:tbl>
    <w:p w14:paraId="36DE8E5B" w14:textId="77777777" w:rsidR="003F57B7" w:rsidRPr="00FF09A2" w:rsidRDefault="00F86069" w:rsidP="00967957">
      <w:pPr>
        <w:pStyle w:val="FooterTableFigure"/>
        <w:keepNext/>
        <w:keepLines/>
      </w:pPr>
      <w:r w:rsidRPr="00FF09A2">
        <w:t>Source: Compiled during evaluation using data</w:t>
      </w:r>
      <w:r w:rsidR="003F57B7" w:rsidRPr="00FF09A2">
        <w:t xml:space="preserve"> from Table 4.1.1, p135, Table 4.2.4, 139, Table 4.2.5, p139, Table 4.3.3, p141, Table 4.8.1, p148 of the submission. </w:t>
      </w:r>
    </w:p>
    <w:p w14:paraId="66B829C3" w14:textId="6CA45810" w:rsidR="00F86069" w:rsidRPr="00FF09A2" w:rsidRDefault="00F86069" w:rsidP="00967957">
      <w:pPr>
        <w:pStyle w:val="FooterTableFigure"/>
        <w:keepNext/>
        <w:keepLines/>
      </w:pPr>
      <w:r w:rsidRPr="00FF09A2">
        <w:t>ACFDR = Australian Cystic Fibrosis Disease Registry; CF = cystic fibrosis;</w:t>
      </w:r>
      <w:r w:rsidR="003671A0" w:rsidRPr="00FF09A2">
        <w:t xml:space="preserve"> </w:t>
      </w:r>
      <w:r w:rsidR="006E36B3">
        <w:t xml:space="preserve">DUSC = Drug Utilisation Sub-Committee; </w:t>
      </w:r>
      <w:r w:rsidR="003671A0" w:rsidRPr="00FF09A2">
        <w:t>F/F = F508del homozygous;</w:t>
      </w:r>
      <w:r w:rsidRPr="00FF09A2">
        <w:t xml:space="preserve"> LUM</w:t>
      </w:r>
      <w:r w:rsidR="006E36B3">
        <w:t>/IVA</w:t>
      </w:r>
      <w:r w:rsidRPr="00FF09A2">
        <w:t xml:space="preserve"> = lumacaftor</w:t>
      </w:r>
      <w:r w:rsidR="006E36B3">
        <w:t>/ivacaftor</w:t>
      </w:r>
      <w:r w:rsidRPr="00FF09A2">
        <w:t xml:space="preserve">; MBS = Medicare Benefits Schedule; PBAC = </w:t>
      </w:r>
      <w:r w:rsidR="006E36B3">
        <w:t>P</w:t>
      </w:r>
      <w:r w:rsidRPr="00FF09A2">
        <w:t xml:space="preserve">harmaceutical </w:t>
      </w:r>
      <w:r w:rsidR="006E36B3">
        <w:t>B</w:t>
      </w:r>
      <w:r w:rsidRPr="00FF09A2">
        <w:t xml:space="preserve">enefits </w:t>
      </w:r>
      <w:r w:rsidR="006E36B3">
        <w:t>A</w:t>
      </w:r>
      <w:r w:rsidRPr="00FF09A2">
        <w:t xml:space="preserve">dvisory </w:t>
      </w:r>
      <w:r w:rsidR="006E36B3">
        <w:t>C</w:t>
      </w:r>
      <w:r w:rsidRPr="00FF09A2">
        <w:t>ommittee; PBS = Pharmaceutical Benefits Scheme</w:t>
      </w:r>
      <w:r w:rsidR="006E36B3">
        <w:t>; PSCR = pre-sub-committee response</w:t>
      </w:r>
    </w:p>
    <w:p w14:paraId="71ACDE2F" w14:textId="4F6C7EDA" w:rsidR="00F86069" w:rsidRPr="00B3449A" w:rsidRDefault="00F86069" w:rsidP="006E36B3">
      <w:pPr>
        <w:pStyle w:val="3-BodyText"/>
        <w:ind w:left="720"/>
        <w:rPr>
          <w:rFonts w:ascii="Calibri" w:eastAsiaTheme="minorHAnsi" w:hAnsi="Calibri" w:cs="Calibri"/>
          <w:lang w:eastAsia="en-US"/>
        </w:rPr>
      </w:pPr>
      <w:r w:rsidRPr="00FF09A2">
        <w:t xml:space="preserve">A summary of the estimated use and financial implications </w:t>
      </w:r>
      <w:proofErr w:type="gramStart"/>
      <w:r w:rsidRPr="00FF09A2">
        <w:t>is provided</w:t>
      </w:r>
      <w:proofErr w:type="gramEnd"/>
      <w:r w:rsidRPr="00FF09A2">
        <w:t xml:space="preserve"> in </w:t>
      </w:r>
      <w:r w:rsidR="00A01452" w:rsidRPr="00B3449A">
        <w:rPr>
          <w:rFonts w:ascii="Calibri" w:hAnsi="Calibri" w:cs="Calibri"/>
        </w:rPr>
        <w:fldChar w:fldCharType="begin"/>
      </w:r>
      <w:r w:rsidR="00A01452" w:rsidRPr="00B3449A">
        <w:rPr>
          <w:rFonts w:ascii="Calibri" w:hAnsi="Calibri" w:cs="Calibri"/>
        </w:rPr>
        <w:instrText xml:space="preserve"> REF _Ref132555389 \h  \* MERGEFORMAT </w:instrText>
      </w:r>
      <w:r w:rsidR="00A01452" w:rsidRPr="00B3449A">
        <w:rPr>
          <w:rFonts w:ascii="Calibri" w:hAnsi="Calibri" w:cs="Calibri"/>
        </w:rPr>
      </w:r>
      <w:r w:rsidR="00A01452" w:rsidRPr="00B3449A">
        <w:rPr>
          <w:rFonts w:ascii="Calibri" w:hAnsi="Calibri" w:cs="Calibri"/>
        </w:rPr>
        <w:fldChar w:fldCharType="separate"/>
      </w:r>
      <w:r w:rsidR="00025B72" w:rsidRPr="00025B72">
        <w:rPr>
          <w:rFonts w:ascii="Calibri" w:eastAsiaTheme="minorHAnsi" w:hAnsi="Calibri" w:cs="Calibri"/>
          <w:noProof/>
          <w:lang w:eastAsia="en-US"/>
        </w:rPr>
        <w:t>Table</w:t>
      </w:r>
      <w:r w:rsidR="00025B72" w:rsidRPr="00025B72">
        <w:rPr>
          <w:rFonts w:ascii="Calibri" w:eastAsiaTheme="minorHAnsi" w:hAnsi="Calibri" w:cs="Calibri"/>
          <w:lang w:eastAsia="en-US"/>
        </w:rPr>
        <w:t xml:space="preserve"> </w:t>
      </w:r>
      <w:r w:rsidR="00025B72" w:rsidRPr="00025B72">
        <w:rPr>
          <w:rFonts w:ascii="Calibri" w:eastAsiaTheme="minorHAnsi" w:hAnsi="Calibri" w:cs="Calibri"/>
          <w:noProof/>
          <w:lang w:eastAsia="en-US"/>
        </w:rPr>
        <w:t>12</w:t>
      </w:r>
      <w:r w:rsidR="00A01452" w:rsidRPr="00B3449A">
        <w:rPr>
          <w:rFonts w:ascii="Calibri" w:hAnsi="Calibri" w:cs="Calibri"/>
        </w:rPr>
        <w:fldChar w:fldCharType="end"/>
      </w:r>
      <w:r w:rsidRPr="00B3449A">
        <w:rPr>
          <w:rFonts w:ascii="Calibri" w:hAnsi="Calibri" w:cs="Calibri"/>
        </w:rPr>
        <w:t>.</w:t>
      </w:r>
    </w:p>
    <w:p w14:paraId="0FD49AF3" w14:textId="45C7AD06" w:rsidR="00F86069" w:rsidRPr="00FF09A2" w:rsidRDefault="00F86069" w:rsidP="006E36B3">
      <w:pPr>
        <w:keepNext/>
        <w:jc w:val="left"/>
        <w:rPr>
          <w:rFonts w:ascii="Arial Narrow" w:eastAsiaTheme="minorHAnsi" w:hAnsi="Arial Narrow" w:cstheme="minorBidi"/>
          <w:b/>
          <w:sz w:val="20"/>
          <w:szCs w:val="18"/>
          <w:lang w:eastAsia="en-US"/>
        </w:rPr>
      </w:pPr>
      <w:bookmarkStart w:id="53" w:name="_Ref132555389"/>
      <w:bookmarkStart w:id="54" w:name="_Ref134596693"/>
      <w:r w:rsidRPr="00FF09A2">
        <w:rPr>
          <w:rFonts w:ascii="Arial Narrow" w:eastAsiaTheme="minorHAnsi" w:hAnsi="Arial Narrow" w:cstheme="minorBidi"/>
          <w:b/>
          <w:sz w:val="20"/>
          <w:szCs w:val="18"/>
          <w:lang w:eastAsia="en-US"/>
        </w:rPr>
        <w:t xml:space="preserve">Table </w:t>
      </w:r>
      <w:r w:rsidRPr="00FF09A2">
        <w:rPr>
          <w:rFonts w:ascii="Arial Narrow" w:eastAsiaTheme="minorHAnsi" w:hAnsi="Arial Narrow" w:cstheme="minorBidi"/>
          <w:b/>
          <w:sz w:val="20"/>
          <w:szCs w:val="18"/>
          <w:lang w:eastAsia="en-US"/>
        </w:rPr>
        <w:fldChar w:fldCharType="begin"/>
      </w:r>
      <w:r w:rsidRPr="00FF09A2">
        <w:rPr>
          <w:rFonts w:ascii="Arial Narrow" w:eastAsiaTheme="minorHAnsi" w:hAnsi="Arial Narrow" w:cstheme="minorBidi"/>
          <w:b/>
          <w:sz w:val="20"/>
          <w:szCs w:val="18"/>
          <w:lang w:eastAsia="en-US"/>
        </w:rPr>
        <w:instrText xml:space="preserve"> SEQ Table \* ARABIC </w:instrText>
      </w:r>
      <w:r w:rsidRPr="00FF09A2">
        <w:rPr>
          <w:rFonts w:ascii="Arial Narrow" w:eastAsiaTheme="minorHAnsi" w:hAnsi="Arial Narrow" w:cstheme="minorBidi"/>
          <w:b/>
          <w:sz w:val="20"/>
          <w:szCs w:val="18"/>
          <w:lang w:eastAsia="en-US"/>
        </w:rPr>
        <w:fldChar w:fldCharType="separate"/>
      </w:r>
      <w:r w:rsidR="00025B72">
        <w:rPr>
          <w:rFonts w:ascii="Arial Narrow" w:eastAsiaTheme="minorHAnsi" w:hAnsi="Arial Narrow" w:cstheme="minorBidi"/>
          <w:b/>
          <w:noProof/>
          <w:sz w:val="20"/>
          <w:szCs w:val="18"/>
          <w:lang w:eastAsia="en-US"/>
        </w:rPr>
        <w:t>12</w:t>
      </w:r>
      <w:r w:rsidRPr="00FF09A2">
        <w:rPr>
          <w:rFonts w:ascii="Arial Narrow" w:eastAsiaTheme="minorHAnsi" w:hAnsi="Arial Narrow" w:cstheme="minorBidi"/>
          <w:b/>
          <w:noProof/>
          <w:sz w:val="20"/>
          <w:szCs w:val="18"/>
          <w:lang w:eastAsia="en-US"/>
        </w:rPr>
        <w:fldChar w:fldCharType="end"/>
      </w:r>
      <w:bookmarkEnd w:id="53"/>
      <w:bookmarkEnd w:id="54"/>
      <w:r w:rsidRPr="00FF09A2">
        <w:rPr>
          <w:rFonts w:ascii="Arial Narrow" w:eastAsiaTheme="minorHAnsi" w:hAnsi="Arial Narrow" w:cstheme="minorBidi"/>
          <w:b/>
          <w:sz w:val="20"/>
          <w:szCs w:val="18"/>
          <w:lang w:eastAsia="en-US"/>
        </w:rPr>
        <w:t>:</w:t>
      </w:r>
      <w:r w:rsidRPr="00FF09A2">
        <w:rPr>
          <w:rFonts w:ascii="Arial Narrow" w:eastAsiaTheme="minorHAnsi" w:hAnsi="Arial Narrow" w:cstheme="minorBidi"/>
          <w:b/>
          <w:sz w:val="20"/>
          <w:szCs w:val="22"/>
          <w:lang w:eastAsia="en-US"/>
        </w:rPr>
        <w:t xml:space="preserve"> Estimated use and financial implications (effective</w:t>
      </w:r>
      <w:r w:rsidR="00C77FAF" w:rsidRPr="00FF09A2">
        <w:rPr>
          <w:rFonts w:ascii="Arial Narrow" w:eastAsiaTheme="minorHAnsi" w:hAnsi="Arial Narrow" w:cstheme="minorBidi"/>
          <w:b/>
          <w:sz w:val="20"/>
          <w:szCs w:val="22"/>
          <w:lang w:eastAsia="en-US"/>
        </w:rPr>
        <w:t xml:space="preserve"> price</w:t>
      </w:r>
      <w:r w:rsidRPr="00FF09A2">
        <w:rPr>
          <w:rFonts w:ascii="Arial Narrow" w:eastAsiaTheme="minorHAnsi" w:hAnsi="Arial Narrow" w:cstheme="minorBidi"/>
          <w:b/>
          <w:sz w:val="20"/>
          <w:szCs w:val="22"/>
          <w:lang w:eastAsia="en-US"/>
        </w:rPr>
        <w:t xml:space="preserve">) – aged 1 to less than 2 years </w:t>
      </w:r>
      <w:proofErr w:type="gramStart"/>
      <w:r w:rsidRPr="00FF09A2">
        <w:rPr>
          <w:rFonts w:ascii="Arial Narrow" w:eastAsiaTheme="minorHAnsi" w:hAnsi="Arial Narrow" w:cstheme="minorBidi"/>
          <w:b/>
          <w:sz w:val="20"/>
          <w:szCs w:val="22"/>
          <w:lang w:eastAsia="en-US"/>
        </w:rPr>
        <w:t>old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F86069" w:rsidRPr="00FF09A2" w14:paraId="01FD5740" w14:textId="77777777" w:rsidTr="00B12403">
        <w:trPr>
          <w:tblHeader/>
        </w:trPr>
        <w:tc>
          <w:tcPr>
            <w:tcW w:w="1334" w:type="pct"/>
            <w:shd w:val="clear" w:color="auto" w:fill="auto"/>
            <w:vAlign w:val="center"/>
          </w:tcPr>
          <w:p w14:paraId="6A492914" w14:textId="77777777" w:rsidR="00F86069" w:rsidRPr="00FF09A2" w:rsidRDefault="00F86069" w:rsidP="006E36B3">
            <w:pPr>
              <w:keepNext/>
              <w:widowControl w:val="0"/>
              <w:contextualSpacing/>
              <w:jc w:val="left"/>
              <w:rPr>
                <w:rFonts w:ascii="Arial Narrow" w:eastAsiaTheme="majorEastAsia" w:hAnsi="Arial Narrow"/>
                <w:sz w:val="20"/>
                <w:szCs w:val="20"/>
              </w:rPr>
            </w:pPr>
          </w:p>
        </w:tc>
        <w:tc>
          <w:tcPr>
            <w:tcW w:w="611" w:type="pct"/>
            <w:shd w:val="clear" w:color="auto" w:fill="auto"/>
            <w:vAlign w:val="center"/>
          </w:tcPr>
          <w:p w14:paraId="13B9C513" w14:textId="77777777" w:rsidR="00F86069" w:rsidRPr="00FF09A2" w:rsidRDefault="00F86069" w:rsidP="006E36B3">
            <w:pPr>
              <w:keepNext/>
              <w:widowControl w:val="0"/>
              <w:contextualSpacing/>
              <w:jc w:val="center"/>
              <w:rPr>
                <w:rFonts w:ascii="Arial Narrow" w:eastAsiaTheme="majorEastAsia" w:hAnsi="Arial Narrow"/>
                <w:sz w:val="20"/>
                <w:szCs w:val="20"/>
              </w:rPr>
            </w:pPr>
            <w:r w:rsidRPr="00FF09A2">
              <w:rPr>
                <w:rFonts w:ascii="Arial Narrow" w:eastAsiaTheme="majorEastAsia" w:hAnsi="Arial Narrow"/>
                <w:sz w:val="20"/>
                <w:szCs w:val="20"/>
              </w:rPr>
              <w:t>Year 1</w:t>
            </w:r>
          </w:p>
        </w:tc>
        <w:tc>
          <w:tcPr>
            <w:tcW w:w="611" w:type="pct"/>
            <w:shd w:val="clear" w:color="auto" w:fill="auto"/>
            <w:vAlign w:val="center"/>
          </w:tcPr>
          <w:p w14:paraId="58CA3774" w14:textId="77777777" w:rsidR="00F86069" w:rsidRPr="00FF09A2" w:rsidRDefault="00F86069" w:rsidP="006E36B3">
            <w:pPr>
              <w:keepNext/>
              <w:widowControl w:val="0"/>
              <w:contextualSpacing/>
              <w:jc w:val="center"/>
              <w:rPr>
                <w:rFonts w:ascii="Arial Narrow" w:eastAsiaTheme="majorEastAsia" w:hAnsi="Arial Narrow"/>
                <w:sz w:val="20"/>
                <w:szCs w:val="20"/>
              </w:rPr>
            </w:pPr>
            <w:r w:rsidRPr="00FF09A2">
              <w:rPr>
                <w:rFonts w:ascii="Arial Narrow" w:eastAsiaTheme="majorEastAsia" w:hAnsi="Arial Narrow"/>
                <w:sz w:val="20"/>
                <w:szCs w:val="20"/>
              </w:rPr>
              <w:t>Year 2</w:t>
            </w:r>
          </w:p>
        </w:tc>
        <w:tc>
          <w:tcPr>
            <w:tcW w:w="611" w:type="pct"/>
            <w:shd w:val="clear" w:color="auto" w:fill="auto"/>
            <w:vAlign w:val="center"/>
          </w:tcPr>
          <w:p w14:paraId="60BE36E7" w14:textId="77777777" w:rsidR="00F86069" w:rsidRPr="00FF09A2" w:rsidRDefault="00F86069" w:rsidP="006E36B3">
            <w:pPr>
              <w:keepNext/>
              <w:widowControl w:val="0"/>
              <w:contextualSpacing/>
              <w:jc w:val="center"/>
              <w:rPr>
                <w:rFonts w:ascii="Arial Narrow" w:eastAsiaTheme="majorEastAsia" w:hAnsi="Arial Narrow"/>
                <w:sz w:val="20"/>
                <w:szCs w:val="20"/>
              </w:rPr>
            </w:pPr>
            <w:r w:rsidRPr="00FF09A2">
              <w:rPr>
                <w:rFonts w:ascii="Arial Narrow" w:eastAsiaTheme="majorEastAsia" w:hAnsi="Arial Narrow"/>
                <w:sz w:val="20"/>
                <w:szCs w:val="20"/>
              </w:rPr>
              <w:t>Year 3</w:t>
            </w:r>
          </w:p>
        </w:tc>
        <w:tc>
          <w:tcPr>
            <w:tcW w:w="611" w:type="pct"/>
            <w:shd w:val="clear" w:color="auto" w:fill="auto"/>
            <w:vAlign w:val="center"/>
          </w:tcPr>
          <w:p w14:paraId="7C4D2CFB" w14:textId="77777777" w:rsidR="00F86069" w:rsidRPr="00FF09A2" w:rsidRDefault="00F86069" w:rsidP="006E36B3">
            <w:pPr>
              <w:keepNext/>
              <w:widowControl w:val="0"/>
              <w:contextualSpacing/>
              <w:jc w:val="center"/>
              <w:rPr>
                <w:rFonts w:ascii="Arial Narrow" w:eastAsiaTheme="majorEastAsia" w:hAnsi="Arial Narrow"/>
                <w:sz w:val="20"/>
                <w:szCs w:val="20"/>
              </w:rPr>
            </w:pPr>
            <w:r w:rsidRPr="00FF09A2">
              <w:rPr>
                <w:rFonts w:ascii="Arial Narrow" w:eastAsiaTheme="majorEastAsia" w:hAnsi="Arial Narrow"/>
                <w:sz w:val="20"/>
                <w:szCs w:val="20"/>
              </w:rPr>
              <w:t>Year 4</w:t>
            </w:r>
          </w:p>
        </w:tc>
        <w:tc>
          <w:tcPr>
            <w:tcW w:w="611" w:type="pct"/>
            <w:shd w:val="clear" w:color="auto" w:fill="auto"/>
            <w:vAlign w:val="center"/>
          </w:tcPr>
          <w:p w14:paraId="37C39D0F" w14:textId="77777777" w:rsidR="00F86069" w:rsidRPr="00FF09A2" w:rsidRDefault="00F86069" w:rsidP="006E36B3">
            <w:pPr>
              <w:keepNext/>
              <w:widowControl w:val="0"/>
              <w:contextualSpacing/>
              <w:jc w:val="center"/>
              <w:rPr>
                <w:rFonts w:ascii="Arial Narrow" w:eastAsiaTheme="majorEastAsia" w:hAnsi="Arial Narrow"/>
                <w:sz w:val="20"/>
                <w:szCs w:val="20"/>
              </w:rPr>
            </w:pPr>
            <w:r w:rsidRPr="00FF09A2">
              <w:rPr>
                <w:rFonts w:ascii="Arial Narrow" w:eastAsiaTheme="majorEastAsia" w:hAnsi="Arial Narrow"/>
                <w:sz w:val="20"/>
                <w:szCs w:val="20"/>
              </w:rPr>
              <w:t>Year 5</w:t>
            </w:r>
          </w:p>
        </w:tc>
        <w:tc>
          <w:tcPr>
            <w:tcW w:w="611" w:type="pct"/>
          </w:tcPr>
          <w:p w14:paraId="666D164C" w14:textId="77777777" w:rsidR="00F86069" w:rsidRPr="00FF09A2" w:rsidRDefault="00F86069" w:rsidP="006E36B3">
            <w:pPr>
              <w:keepNext/>
              <w:widowControl w:val="0"/>
              <w:contextualSpacing/>
              <w:jc w:val="center"/>
              <w:rPr>
                <w:rFonts w:ascii="Arial Narrow" w:eastAsiaTheme="majorEastAsia" w:hAnsi="Arial Narrow"/>
                <w:sz w:val="20"/>
                <w:szCs w:val="20"/>
              </w:rPr>
            </w:pPr>
            <w:r w:rsidRPr="00FF09A2">
              <w:rPr>
                <w:rFonts w:ascii="Arial Narrow" w:eastAsiaTheme="majorEastAsia" w:hAnsi="Arial Narrow"/>
                <w:sz w:val="20"/>
                <w:szCs w:val="20"/>
              </w:rPr>
              <w:t>Year 6</w:t>
            </w:r>
          </w:p>
        </w:tc>
      </w:tr>
      <w:tr w:rsidR="00F86069" w:rsidRPr="00FF09A2" w14:paraId="4464969B" w14:textId="77777777" w:rsidTr="00B12403">
        <w:tc>
          <w:tcPr>
            <w:tcW w:w="5000" w:type="pct"/>
            <w:gridSpan w:val="7"/>
            <w:shd w:val="clear" w:color="auto" w:fill="auto"/>
            <w:vAlign w:val="center"/>
          </w:tcPr>
          <w:p w14:paraId="6F08EC77" w14:textId="77777777" w:rsidR="00F86069" w:rsidRPr="00FF09A2" w:rsidRDefault="00F86069" w:rsidP="006E36B3">
            <w:pPr>
              <w:keepNext/>
              <w:widowControl w:val="0"/>
              <w:contextualSpacing/>
              <w:jc w:val="left"/>
              <w:rPr>
                <w:rFonts w:ascii="Arial Narrow" w:eastAsiaTheme="majorEastAsia" w:hAnsi="Arial Narrow"/>
                <w:sz w:val="20"/>
                <w:szCs w:val="20"/>
              </w:rPr>
            </w:pPr>
            <w:r w:rsidRPr="00FF09A2">
              <w:rPr>
                <w:rFonts w:ascii="Arial Narrow" w:eastAsiaTheme="majorEastAsia" w:hAnsi="Arial Narrow"/>
                <w:sz w:val="20"/>
                <w:szCs w:val="20"/>
              </w:rPr>
              <w:t>Estimated extent of use</w:t>
            </w:r>
          </w:p>
        </w:tc>
      </w:tr>
      <w:tr w:rsidR="00F86069" w:rsidRPr="00FF09A2" w14:paraId="1AC3497E" w14:textId="77777777" w:rsidTr="00B12403">
        <w:tc>
          <w:tcPr>
            <w:tcW w:w="1334" w:type="pct"/>
            <w:shd w:val="clear" w:color="auto" w:fill="auto"/>
            <w:vAlign w:val="center"/>
          </w:tcPr>
          <w:p w14:paraId="61F28F26" w14:textId="77777777" w:rsidR="00F86069" w:rsidRPr="00FF09A2" w:rsidRDefault="00F86069" w:rsidP="006E36B3">
            <w:pPr>
              <w:keepNext/>
              <w:widowControl w:val="0"/>
              <w:contextualSpacing/>
              <w:jc w:val="left"/>
              <w:rPr>
                <w:rFonts w:ascii="Arial Narrow" w:eastAsiaTheme="majorEastAsia" w:hAnsi="Arial Narrow"/>
                <w:sz w:val="20"/>
                <w:szCs w:val="20"/>
              </w:rPr>
            </w:pPr>
            <w:r w:rsidRPr="00FF09A2">
              <w:rPr>
                <w:rFonts w:ascii="Arial Narrow" w:eastAsiaTheme="majorEastAsia" w:hAnsi="Arial Narrow"/>
                <w:sz w:val="20"/>
                <w:szCs w:val="20"/>
              </w:rPr>
              <w:t>Number of patients treated</w:t>
            </w:r>
            <w:r w:rsidRPr="00FF09A2">
              <w:rPr>
                <w:rFonts w:ascii="Arial Narrow" w:eastAsiaTheme="majorEastAsia" w:hAnsi="Arial Narrow"/>
                <w:sz w:val="20"/>
                <w:szCs w:val="20"/>
                <w:vertAlign w:val="superscript"/>
              </w:rPr>
              <w:t>a</w:t>
            </w:r>
          </w:p>
        </w:tc>
        <w:tc>
          <w:tcPr>
            <w:tcW w:w="611" w:type="pct"/>
            <w:shd w:val="clear" w:color="auto" w:fill="auto"/>
            <w:vAlign w:val="center"/>
          </w:tcPr>
          <w:p w14:paraId="316A92A7" w14:textId="4196A525"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832"/>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832"/>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832"/>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shd w:val="clear" w:color="auto" w:fill="auto"/>
            <w:vAlign w:val="center"/>
          </w:tcPr>
          <w:p w14:paraId="6088CF15" w14:textId="0DA4078F"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831"/>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831"/>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831"/>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shd w:val="clear" w:color="auto" w:fill="auto"/>
            <w:vAlign w:val="center"/>
          </w:tcPr>
          <w:p w14:paraId="7B7D3E3A" w14:textId="20746CA7"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830"/>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830"/>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830"/>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shd w:val="clear" w:color="auto" w:fill="auto"/>
            <w:vAlign w:val="center"/>
          </w:tcPr>
          <w:p w14:paraId="0EC942F7" w14:textId="194C9837"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829"/>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829"/>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829"/>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shd w:val="clear" w:color="auto" w:fill="auto"/>
            <w:vAlign w:val="center"/>
          </w:tcPr>
          <w:p w14:paraId="5A1AB600" w14:textId="27A969E6"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828"/>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828"/>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828"/>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vAlign w:val="center"/>
          </w:tcPr>
          <w:p w14:paraId="4DC507A6" w14:textId="0B0A7AFE"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827"/>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827"/>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827"/>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r>
      <w:tr w:rsidR="00F86069" w:rsidRPr="00FF09A2" w14:paraId="0F1988F9" w14:textId="77777777" w:rsidTr="00B12403">
        <w:tc>
          <w:tcPr>
            <w:tcW w:w="1334" w:type="pct"/>
            <w:shd w:val="clear" w:color="auto" w:fill="auto"/>
            <w:vAlign w:val="center"/>
          </w:tcPr>
          <w:p w14:paraId="50E7269D" w14:textId="77777777" w:rsidR="00F86069" w:rsidRPr="00FF09A2" w:rsidRDefault="00F86069" w:rsidP="006E36B3">
            <w:pPr>
              <w:keepNext/>
              <w:widowControl w:val="0"/>
              <w:contextualSpacing/>
              <w:jc w:val="left"/>
              <w:rPr>
                <w:rFonts w:ascii="Arial Narrow" w:eastAsiaTheme="majorEastAsia" w:hAnsi="Arial Narrow"/>
                <w:sz w:val="20"/>
                <w:szCs w:val="20"/>
              </w:rPr>
            </w:pPr>
            <w:r w:rsidRPr="00FF09A2">
              <w:rPr>
                <w:rFonts w:ascii="Arial Narrow" w:eastAsiaTheme="majorEastAsia" w:hAnsi="Arial Narrow"/>
                <w:sz w:val="20"/>
                <w:szCs w:val="20"/>
              </w:rPr>
              <w:t>Number of scripts dispensed</w:t>
            </w:r>
            <w:r w:rsidRPr="00FF09A2">
              <w:rPr>
                <w:rFonts w:ascii="Arial Narrow" w:eastAsiaTheme="majorEastAsia" w:hAnsi="Arial Narrow"/>
                <w:sz w:val="20"/>
                <w:szCs w:val="20"/>
                <w:vertAlign w:val="superscript"/>
              </w:rPr>
              <w:t>b</w:t>
            </w:r>
          </w:p>
        </w:tc>
        <w:tc>
          <w:tcPr>
            <w:tcW w:w="611" w:type="pct"/>
            <w:shd w:val="clear" w:color="auto" w:fill="auto"/>
            <w:vAlign w:val="center"/>
          </w:tcPr>
          <w:p w14:paraId="4EC12595" w14:textId="660D7EC2"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826"/>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826"/>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826"/>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shd w:val="clear" w:color="auto" w:fill="auto"/>
            <w:vAlign w:val="center"/>
          </w:tcPr>
          <w:p w14:paraId="62CBA915" w14:textId="57B1E541"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825"/>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825"/>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825"/>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shd w:val="clear" w:color="auto" w:fill="auto"/>
            <w:vAlign w:val="center"/>
          </w:tcPr>
          <w:p w14:paraId="3A22704F" w14:textId="4B32973A"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824"/>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824"/>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824"/>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shd w:val="clear" w:color="auto" w:fill="auto"/>
            <w:vAlign w:val="center"/>
          </w:tcPr>
          <w:p w14:paraId="563B4CD5" w14:textId="40E93B56"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823"/>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823"/>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823"/>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shd w:val="clear" w:color="auto" w:fill="auto"/>
            <w:vAlign w:val="center"/>
          </w:tcPr>
          <w:p w14:paraId="3BFF61D1" w14:textId="272A569C"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822"/>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822"/>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822"/>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c>
          <w:tcPr>
            <w:tcW w:w="611" w:type="pct"/>
            <w:vAlign w:val="center"/>
          </w:tcPr>
          <w:p w14:paraId="4F5871FB" w14:textId="5C0A1CBC" w:rsidR="00F86069" w:rsidRPr="00D648C6" w:rsidRDefault="00D62E6D" w:rsidP="006E36B3">
            <w:pPr>
              <w:keepNext/>
              <w:widowControl w:val="0"/>
              <w:contextualSpacing/>
              <w:jc w:val="center"/>
              <w:rPr>
                <w:rFonts w:ascii="Arial Narrow" w:eastAsiaTheme="majorEastAsia" w:hAnsi="Arial Narrow"/>
                <w:color w:val="000000"/>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821"/>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821"/>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821"/>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1</w:t>
            </w:r>
          </w:p>
        </w:tc>
      </w:tr>
      <w:tr w:rsidR="00F86069" w:rsidRPr="006E36B3" w14:paraId="13F6F05F" w14:textId="77777777" w:rsidTr="00B12403">
        <w:tc>
          <w:tcPr>
            <w:tcW w:w="5000" w:type="pct"/>
            <w:gridSpan w:val="7"/>
            <w:shd w:val="clear" w:color="auto" w:fill="auto"/>
            <w:vAlign w:val="center"/>
          </w:tcPr>
          <w:p w14:paraId="61A86350" w14:textId="77777777" w:rsidR="00F86069" w:rsidRPr="006E36B3" w:rsidRDefault="00F86069" w:rsidP="006E36B3">
            <w:pPr>
              <w:keepNext/>
              <w:widowControl w:val="0"/>
              <w:contextualSpacing/>
              <w:jc w:val="left"/>
              <w:rPr>
                <w:rFonts w:ascii="Arial Narrow" w:eastAsiaTheme="majorEastAsia" w:hAnsi="Arial Narrow"/>
                <w:b/>
                <w:bCs/>
                <w:sz w:val="20"/>
                <w:szCs w:val="20"/>
              </w:rPr>
            </w:pPr>
            <w:r w:rsidRPr="006E36B3">
              <w:rPr>
                <w:rFonts w:ascii="Arial Narrow" w:eastAsiaTheme="majorEastAsia" w:hAnsi="Arial Narrow"/>
                <w:b/>
                <w:bCs/>
                <w:sz w:val="20"/>
                <w:szCs w:val="20"/>
              </w:rPr>
              <w:t>Estimated financial implications of lumacaftor/ivacaftor</w:t>
            </w:r>
          </w:p>
        </w:tc>
      </w:tr>
      <w:tr w:rsidR="00F86069" w:rsidRPr="00E6764C" w14:paraId="3073CF3B" w14:textId="77777777" w:rsidTr="006E36B3">
        <w:tc>
          <w:tcPr>
            <w:tcW w:w="1334" w:type="pct"/>
            <w:shd w:val="clear" w:color="auto" w:fill="auto"/>
            <w:vAlign w:val="center"/>
          </w:tcPr>
          <w:p w14:paraId="03702D1B" w14:textId="39D52EC3" w:rsidR="00F86069" w:rsidRPr="00E6764C" w:rsidRDefault="00F86069" w:rsidP="006E36B3">
            <w:pPr>
              <w:keepNext/>
              <w:widowControl w:val="0"/>
              <w:contextualSpacing/>
              <w:jc w:val="left"/>
              <w:rPr>
                <w:rFonts w:ascii="Arial Narrow" w:eastAsiaTheme="majorEastAsia" w:hAnsi="Arial Narrow"/>
                <w:sz w:val="20"/>
                <w:szCs w:val="20"/>
              </w:rPr>
            </w:pPr>
            <w:r w:rsidRPr="00E6764C">
              <w:rPr>
                <w:rFonts w:ascii="Arial Narrow" w:eastAsiaTheme="majorEastAsia" w:hAnsi="Arial Narrow"/>
                <w:sz w:val="20"/>
                <w:szCs w:val="20"/>
              </w:rPr>
              <w:t>Cost to PBS</w:t>
            </w:r>
            <w:r w:rsidR="006E36B3">
              <w:rPr>
                <w:rFonts w:ascii="Arial Narrow" w:eastAsiaTheme="majorEastAsia" w:hAnsi="Arial Narrow"/>
                <w:sz w:val="20"/>
                <w:szCs w:val="20"/>
              </w:rPr>
              <w:t>/RPBS</w:t>
            </w:r>
            <w:r w:rsidRPr="00E6764C">
              <w:rPr>
                <w:rFonts w:ascii="Arial Narrow" w:eastAsiaTheme="majorEastAsia" w:hAnsi="Arial Narrow"/>
                <w:sz w:val="20"/>
                <w:szCs w:val="20"/>
              </w:rPr>
              <w:t xml:space="preserve"> less copayments</w:t>
            </w:r>
          </w:p>
        </w:tc>
        <w:tc>
          <w:tcPr>
            <w:tcW w:w="611" w:type="pct"/>
            <w:shd w:val="clear" w:color="auto" w:fill="auto"/>
            <w:vAlign w:val="center"/>
          </w:tcPr>
          <w:p w14:paraId="017F07F4" w14:textId="3029A0B7"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820"/>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820"/>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820"/>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0160D663" w14:textId="161496E8"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576"/>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576"/>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576"/>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7B0D5706" w14:textId="60E1D9D5"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575"/>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575"/>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575"/>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49D07C52" w14:textId="73980BA9"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574"/>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574"/>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574"/>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5E3E401C" w14:textId="72DEEC55"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573"/>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573"/>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573"/>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vAlign w:val="center"/>
          </w:tcPr>
          <w:p w14:paraId="152E68B6" w14:textId="06A992BF"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572"/>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572"/>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572"/>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r>
      <w:tr w:rsidR="00F86069" w:rsidRPr="00B3449A" w14:paraId="251C0D52" w14:textId="77777777" w:rsidTr="00B12403">
        <w:tc>
          <w:tcPr>
            <w:tcW w:w="5000" w:type="pct"/>
            <w:gridSpan w:val="7"/>
            <w:shd w:val="clear" w:color="auto" w:fill="auto"/>
            <w:vAlign w:val="center"/>
          </w:tcPr>
          <w:p w14:paraId="65E1DE5A" w14:textId="77777777" w:rsidR="00F86069" w:rsidRPr="00B3449A" w:rsidRDefault="00F86069" w:rsidP="006E36B3">
            <w:pPr>
              <w:keepNext/>
              <w:widowControl w:val="0"/>
              <w:contextualSpacing/>
              <w:jc w:val="left"/>
              <w:rPr>
                <w:rFonts w:ascii="Arial Narrow" w:eastAsiaTheme="majorEastAsia" w:hAnsi="Arial Narrow"/>
                <w:b/>
                <w:bCs/>
                <w:sz w:val="20"/>
                <w:szCs w:val="20"/>
              </w:rPr>
            </w:pPr>
            <w:r w:rsidRPr="00B3449A">
              <w:rPr>
                <w:rFonts w:ascii="Arial Narrow" w:eastAsiaTheme="majorEastAsia" w:hAnsi="Arial Narrow"/>
                <w:b/>
                <w:bCs/>
                <w:sz w:val="20"/>
                <w:szCs w:val="20"/>
              </w:rPr>
              <w:t>Net financial implications</w:t>
            </w:r>
          </w:p>
        </w:tc>
      </w:tr>
      <w:tr w:rsidR="00F86069" w:rsidRPr="00FF09A2" w14:paraId="15A2414D" w14:textId="77777777" w:rsidTr="00B12403">
        <w:tc>
          <w:tcPr>
            <w:tcW w:w="1334" w:type="pct"/>
            <w:shd w:val="clear" w:color="auto" w:fill="auto"/>
            <w:vAlign w:val="center"/>
          </w:tcPr>
          <w:p w14:paraId="4037C879" w14:textId="77777777" w:rsidR="00F86069" w:rsidRPr="00FF09A2" w:rsidRDefault="00F86069" w:rsidP="006E36B3">
            <w:pPr>
              <w:keepNext/>
              <w:widowControl w:val="0"/>
              <w:contextualSpacing/>
              <w:jc w:val="left"/>
              <w:rPr>
                <w:rFonts w:ascii="Arial Narrow" w:eastAsiaTheme="majorEastAsia" w:hAnsi="Arial Narrow"/>
                <w:sz w:val="20"/>
                <w:szCs w:val="20"/>
              </w:rPr>
            </w:pPr>
            <w:r w:rsidRPr="00FF09A2">
              <w:rPr>
                <w:rFonts w:ascii="Arial Narrow" w:eastAsiaTheme="majorEastAsia" w:hAnsi="Arial Narrow"/>
                <w:sz w:val="20"/>
                <w:szCs w:val="20"/>
              </w:rPr>
              <w:t>Net cost to MBS</w:t>
            </w:r>
          </w:p>
        </w:tc>
        <w:tc>
          <w:tcPr>
            <w:tcW w:w="611" w:type="pct"/>
            <w:shd w:val="clear" w:color="auto" w:fill="auto"/>
            <w:vAlign w:val="center"/>
          </w:tcPr>
          <w:p w14:paraId="3712A0F3" w14:textId="089D2237"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571"/>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571"/>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571"/>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60B55FB2" w14:textId="302D923D"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570"/>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570"/>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570"/>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29250C34" w14:textId="1AFD5604"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569"/>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569"/>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569"/>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0D51E6E2" w14:textId="2CBA91B9"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4" w:id="-1167896568"/>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4" w:id="-1167896568"/>
                <w14:textFill>
                  <w14:solidFill>
                    <w14:srgbClr w14:val="000000">
                      <w14:alpha w14:val="100000"/>
                    </w14:srgbClr>
                  </w14:solidFill>
                </w14:textFill>
              </w:rPr>
              <w:t>|</w:t>
            </w:r>
            <w:r w:rsidRPr="00D62E6D">
              <w:rPr>
                <w:rFonts w:ascii="Arial Narrow" w:eastAsiaTheme="majorEastAsia" w:hAnsi="Arial Narrow" w:hint="eastAsia"/>
                <w:color w:val="000000"/>
                <w:spacing w:val="-21"/>
                <w:w w:val="15"/>
                <w:sz w:val="20"/>
                <w:szCs w:val="20"/>
                <w:shd w:val="solid" w:color="000000" w:fill="000000"/>
                <w:fitText w:val="44" w:id="-1167896568"/>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1A13243A" w14:textId="2961E88C"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567"/>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567"/>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567"/>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vAlign w:val="center"/>
          </w:tcPr>
          <w:p w14:paraId="6B617A6B" w14:textId="450D0664" w:rsidR="00F86069" w:rsidRPr="00D648C6" w:rsidRDefault="00D62E6D" w:rsidP="006E36B3">
            <w:pPr>
              <w:keepNext/>
              <w:widowControl w:val="0"/>
              <w:contextualSpacing/>
              <w:jc w:val="center"/>
              <w:rPr>
                <w:rFonts w:ascii="Arial Narrow" w:eastAsiaTheme="majorEastAsia" w:hAnsi="Arial Narrow"/>
                <w:sz w:val="20"/>
                <w:szCs w:val="20"/>
                <w:highlight w:val="darkGray"/>
              </w:rPr>
            </w:pPr>
            <w:r w:rsidRPr="00D62E6D">
              <w:rPr>
                <w:rFonts w:ascii="Arial Narrow" w:eastAsiaTheme="majorEastAsia" w:hAnsi="Arial Narrow" w:hint="eastAsia"/>
                <w:color w:val="000000"/>
                <w:w w:val="15"/>
                <w:sz w:val="20"/>
                <w:szCs w:val="20"/>
                <w:shd w:val="solid" w:color="000000" w:fill="000000"/>
                <w:fitText w:val="43" w:id="-1167896566"/>
                <w14:textFill>
                  <w14:solidFill>
                    <w14:srgbClr w14:val="000000">
                      <w14:alpha w14:val="100000"/>
                    </w14:srgbClr>
                  </w14:solidFill>
                </w14:textFill>
              </w:rPr>
              <w:t xml:space="preserve">　</w:t>
            </w:r>
            <w:r w:rsidRPr="00D62E6D">
              <w:rPr>
                <w:rFonts w:ascii="Arial Narrow" w:eastAsiaTheme="majorEastAsia" w:hAnsi="Arial Narrow"/>
                <w:color w:val="000000"/>
                <w:w w:val="15"/>
                <w:sz w:val="20"/>
                <w:szCs w:val="20"/>
                <w:shd w:val="solid" w:color="000000" w:fill="000000"/>
                <w:fitText w:val="43" w:id="-1167896566"/>
                <w14:textFill>
                  <w14:solidFill>
                    <w14:srgbClr w14:val="000000">
                      <w14:alpha w14:val="100000"/>
                    </w14:srgbClr>
                  </w14:solidFill>
                </w14:textFill>
              </w:rPr>
              <w:t>|</w:t>
            </w:r>
            <w:r w:rsidRPr="00D62E6D">
              <w:rPr>
                <w:rFonts w:ascii="Arial Narrow" w:eastAsiaTheme="majorEastAsia" w:hAnsi="Arial Narrow" w:hint="eastAsia"/>
                <w:color w:val="000000"/>
                <w:spacing w:val="-22"/>
                <w:w w:val="15"/>
                <w:sz w:val="20"/>
                <w:szCs w:val="20"/>
                <w:shd w:val="solid" w:color="000000" w:fill="000000"/>
                <w:fitText w:val="43" w:id="-1167896566"/>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r>
      <w:tr w:rsidR="00F86069" w:rsidRPr="00B3449A" w14:paraId="791A5FBB" w14:textId="77777777" w:rsidTr="00B12403">
        <w:tc>
          <w:tcPr>
            <w:tcW w:w="1334" w:type="pct"/>
            <w:shd w:val="clear" w:color="auto" w:fill="auto"/>
            <w:vAlign w:val="center"/>
          </w:tcPr>
          <w:p w14:paraId="0CAFE624" w14:textId="77777777" w:rsidR="00F86069" w:rsidRPr="00B3449A" w:rsidRDefault="00F86069" w:rsidP="006E36B3">
            <w:pPr>
              <w:keepNext/>
              <w:widowControl w:val="0"/>
              <w:contextualSpacing/>
              <w:jc w:val="left"/>
              <w:rPr>
                <w:rFonts w:ascii="Arial Narrow" w:eastAsiaTheme="majorEastAsia" w:hAnsi="Arial Narrow"/>
                <w:b/>
                <w:bCs/>
                <w:sz w:val="20"/>
                <w:szCs w:val="20"/>
              </w:rPr>
            </w:pPr>
            <w:r w:rsidRPr="00B3449A">
              <w:rPr>
                <w:rFonts w:ascii="Arial Narrow" w:eastAsiaTheme="majorEastAsia" w:hAnsi="Arial Narrow"/>
                <w:b/>
                <w:bCs/>
                <w:sz w:val="20"/>
                <w:szCs w:val="20"/>
              </w:rPr>
              <w:t>Net cost to Government</w:t>
            </w:r>
          </w:p>
        </w:tc>
        <w:tc>
          <w:tcPr>
            <w:tcW w:w="611" w:type="pct"/>
            <w:shd w:val="clear" w:color="auto" w:fill="auto"/>
            <w:vAlign w:val="center"/>
          </w:tcPr>
          <w:p w14:paraId="531CAB46" w14:textId="356C9499" w:rsidR="00F86069" w:rsidRPr="00D648C6" w:rsidRDefault="00D62E6D" w:rsidP="006E36B3">
            <w:pPr>
              <w:keepNext/>
              <w:widowControl w:val="0"/>
              <w:contextualSpacing/>
              <w:jc w:val="center"/>
              <w:rPr>
                <w:rFonts w:ascii="Arial Narrow" w:eastAsiaTheme="majorEastAsia" w:hAnsi="Arial Narrow"/>
                <w:b/>
                <w:bCs/>
                <w:sz w:val="20"/>
                <w:szCs w:val="20"/>
                <w:highlight w:val="darkGray"/>
              </w:rPr>
            </w:pPr>
            <w:r w:rsidRPr="00D62E6D">
              <w:rPr>
                <w:rFonts w:ascii="Arial Narrow" w:eastAsiaTheme="majorEastAsia" w:hAnsi="Arial Narrow" w:hint="eastAsia"/>
                <w:b/>
                <w:bCs/>
                <w:color w:val="000000"/>
                <w:w w:val="19"/>
                <w:sz w:val="20"/>
                <w:szCs w:val="20"/>
                <w:shd w:val="solid" w:color="000000" w:fill="000000"/>
                <w:fitText w:val="87" w:id="-1167896565"/>
                <w14:textFill>
                  <w14:solidFill>
                    <w14:srgbClr w14:val="000000">
                      <w14:alpha w14:val="100000"/>
                    </w14:srgbClr>
                  </w14:solidFill>
                </w14:textFill>
              </w:rPr>
              <w:t xml:space="preserve">　</w:t>
            </w:r>
            <w:r w:rsidRPr="00D62E6D">
              <w:rPr>
                <w:rFonts w:ascii="Arial Narrow" w:eastAsiaTheme="majorEastAsia" w:hAnsi="Arial Narrow"/>
                <w:b/>
                <w:bCs/>
                <w:color w:val="000000"/>
                <w:w w:val="19"/>
                <w:sz w:val="20"/>
                <w:szCs w:val="20"/>
                <w:shd w:val="solid" w:color="000000" w:fill="000000"/>
                <w:fitText w:val="87" w:id="-1167896565"/>
                <w14:textFill>
                  <w14:solidFill>
                    <w14:srgbClr w14:val="000000">
                      <w14:alpha w14:val="100000"/>
                    </w14:srgbClr>
                  </w14:solidFill>
                </w14:textFill>
              </w:rPr>
              <w:t>|</w:t>
            </w:r>
            <w:r w:rsidRPr="00D62E6D">
              <w:rPr>
                <w:rFonts w:ascii="Arial Narrow" w:eastAsiaTheme="majorEastAsia" w:hAnsi="Arial Narrow" w:hint="eastAsia"/>
                <w:b/>
                <w:bCs/>
                <w:color w:val="000000"/>
                <w:spacing w:val="3"/>
                <w:w w:val="19"/>
                <w:sz w:val="20"/>
                <w:szCs w:val="20"/>
                <w:shd w:val="solid" w:color="000000" w:fill="000000"/>
                <w:fitText w:val="87" w:id="-1167896565"/>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0DE37F1D" w14:textId="3C87C4F3" w:rsidR="00F86069" w:rsidRPr="00D648C6" w:rsidRDefault="00D62E6D" w:rsidP="006E36B3">
            <w:pPr>
              <w:keepNext/>
              <w:widowControl w:val="0"/>
              <w:contextualSpacing/>
              <w:jc w:val="center"/>
              <w:rPr>
                <w:rFonts w:ascii="Arial Narrow" w:eastAsiaTheme="majorEastAsia" w:hAnsi="Arial Narrow"/>
                <w:b/>
                <w:bCs/>
                <w:sz w:val="20"/>
                <w:szCs w:val="20"/>
                <w:highlight w:val="darkGray"/>
              </w:rPr>
            </w:pPr>
            <w:r w:rsidRPr="00D62E6D">
              <w:rPr>
                <w:rFonts w:ascii="Arial Narrow" w:eastAsiaTheme="majorEastAsia" w:hAnsi="Arial Narrow" w:hint="eastAsia"/>
                <w:b/>
                <w:bCs/>
                <w:color w:val="000000"/>
                <w:w w:val="19"/>
                <w:sz w:val="20"/>
                <w:szCs w:val="20"/>
                <w:shd w:val="solid" w:color="000000" w:fill="000000"/>
                <w:fitText w:val="87" w:id="-1167896564"/>
                <w14:textFill>
                  <w14:solidFill>
                    <w14:srgbClr w14:val="000000">
                      <w14:alpha w14:val="100000"/>
                    </w14:srgbClr>
                  </w14:solidFill>
                </w14:textFill>
              </w:rPr>
              <w:t xml:space="preserve">　</w:t>
            </w:r>
            <w:r w:rsidRPr="00D62E6D">
              <w:rPr>
                <w:rFonts w:ascii="Arial Narrow" w:eastAsiaTheme="majorEastAsia" w:hAnsi="Arial Narrow"/>
                <w:b/>
                <w:bCs/>
                <w:color w:val="000000"/>
                <w:w w:val="19"/>
                <w:sz w:val="20"/>
                <w:szCs w:val="20"/>
                <w:shd w:val="solid" w:color="000000" w:fill="000000"/>
                <w:fitText w:val="87" w:id="-1167896564"/>
                <w14:textFill>
                  <w14:solidFill>
                    <w14:srgbClr w14:val="000000">
                      <w14:alpha w14:val="100000"/>
                    </w14:srgbClr>
                  </w14:solidFill>
                </w14:textFill>
              </w:rPr>
              <w:t>|</w:t>
            </w:r>
            <w:r w:rsidRPr="00D62E6D">
              <w:rPr>
                <w:rFonts w:ascii="Arial Narrow" w:eastAsiaTheme="majorEastAsia" w:hAnsi="Arial Narrow" w:hint="eastAsia"/>
                <w:b/>
                <w:bCs/>
                <w:color w:val="000000"/>
                <w:spacing w:val="3"/>
                <w:w w:val="19"/>
                <w:sz w:val="20"/>
                <w:szCs w:val="20"/>
                <w:shd w:val="solid" w:color="000000" w:fill="000000"/>
                <w:fitText w:val="87" w:id="-1167896564"/>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6B90377A" w14:textId="7EF6363E" w:rsidR="00F86069" w:rsidRPr="00D648C6" w:rsidRDefault="00D62E6D" w:rsidP="006E36B3">
            <w:pPr>
              <w:keepNext/>
              <w:widowControl w:val="0"/>
              <w:contextualSpacing/>
              <w:jc w:val="center"/>
              <w:rPr>
                <w:rFonts w:ascii="Arial Narrow" w:eastAsiaTheme="majorEastAsia" w:hAnsi="Arial Narrow"/>
                <w:b/>
                <w:bCs/>
                <w:sz w:val="20"/>
                <w:szCs w:val="20"/>
                <w:highlight w:val="darkGray"/>
              </w:rPr>
            </w:pPr>
            <w:r w:rsidRPr="00D62E6D">
              <w:rPr>
                <w:rFonts w:ascii="Arial Narrow" w:eastAsiaTheme="majorEastAsia" w:hAnsi="Arial Narrow" w:hint="eastAsia"/>
                <w:b/>
                <w:bCs/>
                <w:color w:val="000000"/>
                <w:w w:val="19"/>
                <w:sz w:val="20"/>
                <w:szCs w:val="20"/>
                <w:shd w:val="solid" w:color="000000" w:fill="000000"/>
                <w:fitText w:val="87" w:id="-1167896563"/>
                <w14:textFill>
                  <w14:solidFill>
                    <w14:srgbClr w14:val="000000">
                      <w14:alpha w14:val="100000"/>
                    </w14:srgbClr>
                  </w14:solidFill>
                </w14:textFill>
              </w:rPr>
              <w:t xml:space="preserve">　</w:t>
            </w:r>
            <w:r w:rsidRPr="00D62E6D">
              <w:rPr>
                <w:rFonts w:ascii="Arial Narrow" w:eastAsiaTheme="majorEastAsia" w:hAnsi="Arial Narrow"/>
                <w:b/>
                <w:bCs/>
                <w:color w:val="000000"/>
                <w:w w:val="19"/>
                <w:sz w:val="20"/>
                <w:szCs w:val="20"/>
                <w:shd w:val="solid" w:color="000000" w:fill="000000"/>
                <w:fitText w:val="87" w:id="-1167896563"/>
                <w14:textFill>
                  <w14:solidFill>
                    <w14:srgbClr w14:val="000000">
                      <w14:alpha w14:val="100000"/>
                    </w14:srgbClr>
                  </w14:solidFill>
                </w14:textFill>
              </w:rPr>
              <w:t>|</w:t>
            </w:r>
            <w:r w:rsidRPr="00D62E6D">
              <w:rPr>
                <w:rFonts w:ascii="Arial Narrow" w:eastAsiaTheme="majorEastAsia" w:hAnsi="Arial Narrow" w:hint="eastAsia"/>
                <w:b/>
                <w:bCs/>
                <w:color w:val="000000"/>
                <w:spacing w:val="3"/>
                <w:w w:val="19"/>
                <w:sz w:val="20"/>
                <w:szCs w:val="20"/>
                <w:shd w:val="solid" w:color="000000" w:fill="000000"/>
                <w:fitText w:val="87" w:id="-1167896563"/>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16AD2927" w14:textId="508217A4" w:rsidR="00F86069" w:rsidRPr="00D648C6" w:rsidRDefault="00D62E6D" w:rsidP="006E36B3">
            <w:pPr>
              <w:keepNext/>
              <w:widowControl w:val="0"/>
              <w:contextualSpacing/>
              <w:jc w:val="center"/>
              <w:rPr>
                <w:rFonts w:ascii="Arial Narrow" w:eastAsiaTheme="majorEastAsia" w:hAnsi="Arial Narrow"/>
                <w:b/>
                <w:bCs/>
                <w:sz w:val="20"/>
                <w:szCs w:val="20"/>
                <w:highlight w:val="darkGray"/>
              </w:rPr>
            </w:pPr>
            <w:r w:rsidRPr="00D62E6D">
              <w:rPr>
                <w:rFonts w:ascii="Arial Narrow" w:eastAsiaTheme="majorEastAsia" w:hAnsi="Arial Narrow" w:hint="eastAsia"/>
                <w:b/>
                <w:bCs/>
                <w:color w:val="000000"/>
                <w:w w:val="19"/>
                <w:sz w:val="20"/>
                <w:szCs w:val="20"/>
                <w:shd w:val="solid" w:color="000000" w:fill="000000"/>
                <w:fitText w:val="87" w:id="-1167896562"/>
                <w14:textFill>
                  <w14:solidFill>
                    <w14:srgbClr w14:val="000000">
                      <w14:alpha w14:val="100000"/>
                    </w14:srgbClr>
                  </w14:solidFill>
                </w14:textFill>
              </w:rPr>
              <w:t xml:space="preserve">　</w:t>
            </w:r>
            <w:r w:rsidRPr="00D62E6D">
              <w:rPr>
                <w:rFonts w:ascii="Arial Narrow" w:eastAsiaTheme="majorEastAsia" w:hAnsi="Arial Narrow"/>
                <w:b/>
                <w:bCs/>
                <w:color w:val="000000"/>
                <w:w w:val="19"/>
                <w:sz w:val="20"/>
                <w:szCs w:val="20"/>
                <w:shd w:val="solid" w:color="000000" w:fill="000000"/>
                <w:fitText w:val="87" w:id="-1167896562"/>
                <w14:textFill>
                  <w14:solidFill>
                    <w14:srgbClr w14:val="000000">
                      <w14:alpha w14:val="100000"/>
                    </w14:srgbClr>
                  </w14:solidFill>
                </w14:textFill>
              </w:rPr>
              <w:t>|</w:t>
            </w:r>
            <w:r w:rsidRPr="00D62E6D">
              <w:rPr>
                <w:rFonts w:ascii="Arial Narrow" w:eastAsiaTheme="majorEastAsia" w:hAnsi="Arial Narrow" w:hint="eastAsia"/>
                <w:b/>
                <w:bCs/>
                <w:color w:val="000000"/>
                <w:spacing w:val="3"/>
                <w:w w:val="19"/>
                <w:sz w:val="20"/>
                <w:szCs w:val="20"/>
                <w:shd w:val="solid" w:color="000000" w:fill="000000"/>
                <w:fitText w:val="87" w:id="-1167896562"/>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shd w:val="clear" w:color="auto" w:fill="auto"/>
            <w:vAlign w:val="center"/>
          </w:tcPr>
          <w:p w14:paraId="0C106AF4" w14:textId="2AB608B2" w:rsidR="00F86069" w:rsidRPr="00D648C6" w:rsidRDefault="00D62E6D" w:rsidP="006E36B3">
            <w:pPr>
              <w:keepNext/>
              <w:widowControl w:val="0"/>
              <w:contextualSpacing/>
              <w:jc w:val="center"/>
              <w:rPr>
                <w:rFonts w:ascii="Arial Narrow" w:eastAsiaTheme="majorEastAsia" w:hAnsi="Arial Narrow"/>
                <w:b/>
                <w:bCs/>
                <w:sz w:val="20"/>
                <w:szCs w:val="20"/>
                <w:highlight w:val="darkGray"/>
              </w:rPr>
            </w:pPr>
            <w:r w:rsidRPr="00D62E6D">
              <w:rPr>
                <w:rFonts w:ascii="Arial Narrow" w:eastAsiaTheme="majorEastAsia" w:hAnsi="Arial Narrow" w:hint="eastAsia"/>
                <w:b/>
                <w:bCs/>
                <w:color w:val="000000"/>
                <w:w w:val="19"/>
                <w:sz w:val="20"/>
                <w:szCs w:val="20"/>
                <w:shd w:val="solid" w:color="000000" w:fill="000000"/>
                <w:fitText w:val="87" w:id="-1167896561"/>
                <w14:textFill>
                  <w14:solidFill>
                    <w14:srgbClr w14:val="000000">
                      <w14:alpha w14:val="100000"/>
                    </w14:srgbClr>
                  </w14:solidFill>
                </w14:textFill>
              </w:rPr>
              <w:t xml:space="preserve">　</w:t>
            </w:r>
            <w:r w:rsidRPr="00D62E6D">
              <w:rPr>
                <w:rFonts w:ascii="Arial Narrow" w:eastAsiaTheme="majorEastAsia" w:hAnsi="Arial Narrow"/>
                <w:b/>
                <w:bCs/>
                <w:color w:val="000000"/>
                <w:w w:val="19"/>
                <w:sz w:val="20"/>
                <w:szCs w:val="20"/>
                <w:shd w:val="solid" w:color="000000" w:fill="000000"/>
                <w:fitText w:val="87" w:id="-1167896561"/>
                <w14:textFill>
                  <w14:solidFill>
                    <w14:srgbClr w14:val="000000">
                      <w14:alpha w14:val="100000"/>
                    </w14:srgbClr>
                  </w14:solidFill>
                </w14:textFill>
              </w:rPr>
              <w:t>|</w:t>
            </w:r>
            <w:r w:rsidRPr="00D62E6D">
              <w:rPr>
                <w:rFonts w:ascii="Arial Narrow" w:eastAsiaTheme="majorEastAsia" w:hAnsi="Arial Narrow" w:hint="eastAsia"/>
                <w:b/>
                <w:bCs/>
                <w:color w:val="000000"/>
                <w:spacing w:val="3"/>
                <w:w w:val="19"/>
                <w:sz w:val="20"/>
                <w:szCs w:val="20"/>
                <w:shd w:val="solid" w:color="000000" w:fill="000000"/>
                <w:fitText w:val="87" w:id="-1167896561"/>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c>
          <w:tcPr>
            <w:tcW w:w="611" w:type="pct"/>
            <w:vAlign w:val="center"/>
          </w:tcPr>
          <w:p w14:paraId="6CE3C571" w14:textId="6611800E" w:rsidR="00F86069" w:rsidRPr="00D648C6" w:rsidRDefault="00D62E6D" w:rsidP="006E36B3">
            <w:pPr>
              <w:keepNext/>
              <w:widowControl w:val="0"/>
              <w:contextualSpacing/>
              <w:jc w:val="center"/>
              <w:rPr>
                <w:rFonts w:ascii="Arial Narrow" w:eastAsiaTheme="majorEastAsia" w:hAnsi="Arial Narrow"/>
                <w:b/>
                <w:bCs/>
                <w:sz w:val="20"/>
                <w:szCs w:val="20"/>
                <w:highlight w:val="darkGray"/>
              </w:rPr>
            </w:pPr>
            <w:r w:rsidRPr="00D62E6D">
              <w:rPr>
                <w:rFonts w:ascii="Arial Narrow" w:eastAsiaTheme="majorEastAsia" w:hAnsi="Arial Narrow" w:hint="eastAsia"/>
                <w:b/>
                <w:bCs/>
                <w:color w:val="000000"/>
                <w:w w:val="19"/>
                <w:sz w:val="20"/>
                <w:szCs w:val="20"/>
                <w:shd w:val="solid" w:color="000000" w:fill="000000"/>
                <w:fitText w:val="87" w:id="-1167896560"/>
                <w14:textFill>
                  <w14:solidFill>
                    <w14:srgbClr w14:val="000000">
                      <w14:alpha w14:val="100000"/>
                    </w14:srgbClr>
                  </w14:solidFill>
                </w14:textFill>
              </w:rPr>
              <w:t xml:space="preserve">　</w:t>
            </w:r>
            <w:r w:rsidRPr="00D62E6D">
              <w:rPr>
                <w:rFonts w:ascii="Arial Narrow" w:eastAsiaTheme="majorEastAsia" w:hAnsi="Arial Narrow"/>
                <w:b/>
                <w:bCs/>
                <w:color w:val="000000"/>
                <w:w w:val="19"/>
                <w:sz w:val="20"/>
                <w:szCs w:val="20"/>
                <w:shd w:val="solid" w:color="000000" w:fill="000000"/>
                <w:fitText w:val="87" w:id="-1167896560"/>
                <w14:textFill>
                  <w14:solidFill>
                    <w14:srgbClr w14:val="000000">
                      <w14:alpha w14:val="100000"/>
                    </w14:srgbClr>
                  </w14:solidFill>
                </w14:textFill>
              </w:rPr>
              <w:t>|</w:t>
            </w:r>
            <w:r w:rsidRPr="00D62E6D">
              <w:rPr>
                <w:rFonts w:ascii="Arial Narrow" w:eastAsiaTheme="majorEastAsia" w:hAnsi="Arial Narrow" w:hint="eastAsia"/>
                <w:b/>
                <w:bCs/>
                <w:color w:val="000000"/>
                <w:spacing w:val="3"/>
                <w:w w:val="19"/>
                <w:sz w:val="20"/>
                <w:szCs w:val="20"/>
                <w:shd w:val="solid" w:color="000000" w:fill="000000"/>
                <w:fitText w:val="87" w:id="-1167896560"/>
                <w14:textFill>
                  <w14:solidFill>
                    <w14:srgbClr w14:val="000000">
                      <w14:alpha w14:val="100000"/>
                    </w14:srgbClr>
                  </w14:solidFill>
                </w14:textFill>
              </w:rPr>
              <w:t xml:space="preserve">　</w:t>
            </w:r>
            <w:r w:rsidR="00D648C6">
              <w:rPr>
                <w:rFonts w:ascii="Arial Narrow" w:hAnsi="Arial Narrow"/>
                <w:snapToGrid w:val="0"/>
                <w:sz w:val="18"/>
                <w:szCs w:val="22"/>
                <w:vertAlign w:val="superscript"/>
              </w:rPr>
              <w:t>2</w:t>
            </w:r>
          </w:p>
        </w:tc>
      </w:tr>
    </w:tbl>
    <w:p w14:paraId="03D7877E" w14:textId="77777777" w:rsidR="00F86069" w:rsidRPr="00FF09A2" w:rsidRDefault="00F86069" w:rsidP="00F86069">
      <w:pPr>
        <w:spacing w:after="120"/>
        <w:contextualSpacing/>
        <w:rPr>
          <w:rFonts w:ascii="Arial Narrow" w:hAnsi="Arial Narrow"/>
          <w:snapToGrid w:val="0"/>
          <w:sz w:val="18"/>
          <w:szCs w:val="22"/>
        </w:rPr>
      </w:pPr>
      <w:r w:rsidRPr="00FF09A2">
        <w:rPr>
          <w:rFonts w:ascii="Arial Narrow" w:hAnsi="Arial Narrow"/>
          <w:snapToGrid w:val="0"/>
          <w:sz w:val="18"/>
          <w:szCs w:val="22"/>
        </w:rPr>
        <w:t>Source: Table 4.3.3, and Table 4.3.4, p141, Table 4.6.1 and Table 4.6.2, p146, Table 4.8.1, p148 of the submission.</w:t>
      </w:r>
    </w:p>
    <w:p w14:paraId="7E75984E" w14:textId="4F7D5F05" w:rsidR="00F86069" w:rsidRPr="00FF09A2" w:rsidRDefault="00F86069" w:rsidP="00F86069">
      <w:pPr>
        <w:spacing w:after="120"/>
        <w:contextualSpacing/>
        <w:rPr>
          <w:rFonts w:ascii="Arial Narrow" w:hAnsi="Arial Narrow"/>
          <w:snapToGrid w:val="0"/>
          <w:sz w:val="18"/>
          <w:szCs w:val="22"/>
        </w:rPr>
      </w:pPr>
      <w:r w:rsidRPr="00FF09A2">
        <w:rPr>
          <w:rFonts w:ascii="Arial Narrow" w:hAnsi="Arial Narrow"/>
          <w:snapToGrid w:val="0"/>
          <w:sz w:val="18"/>
          <w:szCs w:val="22"/>
        </w:rPr>
        <w:t>MBS</w:t>
      </w:r>
      <w:r w:rsidR="006E36B3">
        <w:rPr>
          <w:rFonts w:ascii="Arial Narrow" w:hAnsi="Arial Narrow"/>
          <w:snapToGrid w:val="0"/>
          <w:sz w:val="18"/>
          <w:szCs w:val="22"/>
        </w:rPr>
        <w:t xml:space="preserve"> </w:t>
      </w:r>
      <w:r w:rsidRPr="00FF09A2">
        <w:rPr>
          <w:rFonts w:ascii="Arial Narrow" w:hAnsi="Arial Narrow"/>
          <w:snapToGrid w:val="0"/>
          <w:sz w:val="18"/>
          <w:szCs w:val="22"/>
        </w:rPr>
        <w:t>=</w:t>
      </w:r>
      <w:r w:rsidR="006E36B3">
        <w:rPr>
          <w:rFonts w:ascii="Arial Narrow" w:hAnsi="Arial Narrow"/>
          <w:snapToGrid w:val="0"/>
          <w:sz w:val="18"/>
          <w:szCs w:val="22"/>
        </w:rPr>
        <w:t xml:space="preserve"> </w:t>
      </w:r>
      <w:r w:rsidRPr="00FF09A2">
        <w:rPr>
          <w:rFonts w:ascii="Arial Narrow" w:hAnsi="Arial Narrow"/>
          <w:snapToGrid w:val="0"/>
          <w:sz w:val="18"/>
          <w:szCs w:val="22"/>
        </w:rPr>
        <w:t>Medicare Benefits Schedule; PBS = Pharmaceutical Benefits Scheme</w:t>
      </w:r>
      <w:r w:rsidR="006E36B3">
        <w:rPr>
          <w:rFonts w:ascii="Arial Narrow" w:hAnsi="Arial Narrow"/>
          <w:snapToGrid w:val="0"/>
          <w:sz w:val="18"/>
          <w:szCs w:val="22"/>
        </w:rPr>
        <w:t>; RPBS = Repatriation Pharmaceutical Benefits Scheme</w:t>
      </w:r>
      <w:r w:rsidRPr="00FF09A2">
        <w:rPr>
          <w:rFonts w:ascii="Arial Narrow" w:hAnsi="Arial Narrow"/>
          <w:snapToGrid w:val="0"/>
          <w:sz w:val="18"/>
          <w:szCs w:val="22"/>
        </w:rPr>
        <w:t xml:space="preserve">. </w:t>
      </w:r>
    </w:p>
    <w:p w14:paraId="0060D6A2" w14:textId="77777777" w:rsidR="00F86069" w:rsidRPr="00FF09A2" w:rsidRDefault="00F86069" w:rsidP="00F86069">
      <w:pPr>
        <w:spacing w:after="120"/>
        <w:contextualSpacing/>
        <w:rPr>
          <w:rFonts w:ascii="Arial Narrow" w:hAnsi="Arial Narrow"/>
          <w:b/>
          <w:snapToGrid w:val="0"/>
          <w:sz w:val="20"/>
          <w:szCs w:val="16"/>
        </w:rPr>
      </w:pPr>
      <w:proofErr w:type="spellStart"/>
      <w:proofErr w:type="gramStart"/>
      <w:r w:rsidRPr="00FF09A2">
        <w:rPr>
          <w:rFonts w:ascii="Arial Narrow" w:hAnsi="Arial Narrow"/>
          <w:snapToGrid w:val="0"/>
          <w:sz w:val="18"/>
          <w:szCs w:val="22"/>
          <w:vertAlign w:val="superscript"/>
        </w:rPr>
        <w:t>a</w:t>
      </w:r>
      <w:proofErr w:type="spellEnd"/>
      <w:proofErr w:type="gramEnd"/>
      <w:r w:rsidRPr="00FF09A2">
        <w:rPr>
          <w:rFonts w:ascii="Arial Narrow" w:hAnsi="Arial Narrow"/>
          <w:snapToGrid w:val="0"/>
          <w:sz w:val="18"/>
          <w:szCs w:val="22"/>
        </w:rPr>
        <w:t xml:space="preserve"> Estimated patient numbers as fulltime equivalent, including discontinuation rate in Year 1 6.8% and Year 2 14.7%.</w:t>
      </w:r>
    </w:p>
    <w:p w14:paraId="6AD2275B" w14:textId="7F5E5E5B" w:rsidR="00F86069" w:rsidRDefault="00F86069" w:rsidP="00F86069">
      <w:pPr>
        <w:spacing w:after="120"/>
        <w:contextualSpacing/>
        <w:rPr>
          <w:rFonts w:ascii="Arial Narrow" w:hAnsi="Arial Narrow"/>
          <w:snapToGrid w:val="0"/>
          <w:sz w:val="18"/>
          <w:szCs w:val="22"/>
        </w:rPr>
      </w:pPr>
      <w:r w:rsidRPr="00FF09A2">
        <w:rPr>
          <w:rFonts w:ascii="Arial Narrow" w:hAnsi="Arial Narrow"/>
          <w:snapToGrid w:val="0"/>
          <w:sz w:val="18"/>
          <w:szCs w:val="22"/>
          <w:vertAlign w:val="superscript"/>
        </w:rPr>
        <w:t>b</w:t>
      </w:r>
      <w:r w:rsidRPr="00FF09A2">
        <w:rPr>
          <w:rFonts w:ascii="Arial Narrow" w:hAnsi="Arial Narrow"/>
          <w:snapToGrid w:val="0"/>
          <w:sz w:val="18"/>
          <w:szCs w:val="22"/>
        </w:rPr>
        <w:t xml:space="preserve"> Assuming 13.04 per year as estimated by the submission.</w:t>
      </w:r>
    </w:p>
    <w:p w14:paraId="6256D5EC" w14:textId="4F59F2B4" w:rsidR="00D648C6" w:rsidRPr="00D648C6" w:rsidRDefault="00D648C6" w:rsidP="00F86069">
      <w:pPr>
        <w:spacing w:after="120"/>
        <w:contextualSpacing/>
        <w:rPr>
          <w:rFonts w:ascii="Arial Narrow" w:hAnsi="Arial Narrow"/>
          <w:i/>
          <w:iCs/>
          <w:snapToGrid w:val="0"/>
          <w:sz w:val="18"/>
          <w:szCs w:val="22"/>
        </w:rPr>
      </w:pPr>
      <w:r w:rsidRPr="00D648C6">
        <w:rPr>
          <w:rFonts w:ascii="Arial Narrow" w:hAnsi="Arial Narrow"/>
          <w:i/>
          <w:iCs/>
          <w:snapToGrid w:val="0"/>
          <w:sz w:val="18"/>
          <w:szCs w:val="22"/>
        </w:rPr>
        <w:t>The redacted values correspond to the following ranges:</w:t>
      </w:r>
    </w:p>
    <w:p w14:paraId="48C0B73C" w14:textId="1B25D188" w:rsidR="00D648C6" w:rsidRPr="00D648C6" w:rsidRDefault="00D648C6" w:rsidP="00F86069">
      <w:pPr>
        <w:spacing w:after="120"/>
        <w:contextualSpacing/>
        <w:rPr>
          <w:rFonts w:ascii="Arial Narrow" w:hAnsi="Arial Narrow"/>
          <w:i/>
          <w:iCs/>
          <w:snapToGrid w:val="0"/>
          <w:sz w:val="18"/>
          <w:szCs w:val="22"/>
        </w:rPr>
      </w:pPr>
      <w:r w:rsidRPr="00D648C6">
        <w:rPr>
          <w:rFonts w:ascii="Arial Narrow" w:hAnsi="Arial Narrow"/>
          <w:i/>
          <w:iCs/>
          <w:snapToGrid w:val="0"/>
          <w:sz w:val="18"/>
          <w:szCs w:val="22"/>
          <w:vertAlign w:val="superscript"/>
        </w:rPr>
        <w:t>1</w:t>
      </w:r>
      <w:r w:rsidRPr="00D648C6">
        <w:rPr>
          <w:rFonts w:ascii="Arial Narrow" w:hAnsi="Arial Narrow"/>
          <w:i/>
          <w:iCs/>
          <w:snapToGrid w:val="0"/>
          <w:sz w:val="18"/>
          <w:szCs w:val="22"/>
        </w:rPr>
        <w:t xml:space="preserve"> &lt; 500</w:t>
      </w:r>
    </w:p>
    <w:p w14:paraId="14E41DC2" w14:textId="251F15B1" w:rsidR="00D648C6" w:rsidRPr="00D648C6" w:rsidRDefault="00D648C6" w:rsidP="00F86069">
      <w:pPr>
        <w:spacing w:after="120"/>
        <w:contextualSpacing/>
        <w:rPr>
          <w:rFonts w:ascii="Arial Narrow" w:hAnsi="Arial Narrow"/>
          <w:i/>
          <w:iCs/>
          <w:snapToGrid w:val="0"/>
          <w:sz w:val="18"/>
          <w:szCs w:val="22"/>
        </w:rPr>
      </w:pPr>
      <w:r w:rsidRPr="00D648C6">
        <w:rPr>
          <w:rFonts w:ascii="Arial Narrow" w:hAnsi="Arial Narrow"/>
          <w:i/>
          <w:iCs/>
          <w:snapToGrid w:val="0"/>
          <w:sz w:val="18"/>
          <w:szCs w:val="22"/>
          <w:vertAlign w:val="superscript"/>
        </w:rPr>
        <w:t>2</w:t>
      </w:r>
      <w:r w:rsidRPr="00D648C6">
        <w:rPr>
          <w:rFonts w:ascii="Arial Narrow" w:hAnsi="Arial Narrow"/>
          <w:i/>
          <w:iCs/>
          <w:snapToGrid w:val="0"/>
          <w:sz w:val="18"/>
          <w:szCs w:val="22"/>
        </w:rPr>
        <w:t xml:space="preserve"> $0 to &lt; $10 million</w:t>
      </w:r>
    </w:p>
    <w:p w14:paraId="1B3CC439" w14:textId="46093969" w:rsidR="00F86069" w:rsidRPr="00051171" w:rsidRDefault="00F86069" w:rsidP="00D907DA">
      <w:pPr>
        <w:pStyle w:val="3-BodyText"/>
        <w:ind w:left="720"/>
      </w:pPr>
      <w:r w:rsidRPr="00051171">
        <w:lastRenderedPageBreak/>
        <w:t xml:space="preserve">The total cost to the PBS/RPBS of listing lumacaftor/ivacaftor </w:t>
      </w:r>
      <w:proofErr w:type="gramStart"/>
      <w:r w:rsidRPr="00051171">
        <w:t>was estimated</w:t>
      </w:r>
      <w:proofErr w:type="gramEnd"/>
      <w:r w:rsidRPr="00051171">
        <w:t xml:space="preserve"> to be $</w:t>
      </w:r>
      <w:r w:rsidR="00D648C6">
        <w:t>0 to &lt; $10</w:t>
      </w:r>
      <w:r w:rsidRPr="00051171">
        <w:t xml:space="preserve"> million in Year 1 decreasing to $</w:t>
      </w:r>
      <w:r w:rsidR="00D648C6">
        <w:t>0 to &lt; $10</w:t>
      </w:r>
      <w:r w:rsidRPr="00051171">
        <w:t xml:space="preserve"> million in Year 6 and tota</w:t>
      </w:r>
      <w:r w:rsidR="000839E9">
        <w:t>l</w:t>
      </w:r>
      <w:r w:rsidR="006E36B3" w:rsidRPr="00051171">
        <w:t>ing</w:t>
      </w:r>
      <w:r w:rsidRPr="00051171">
        <w:t xml:space="preserve"> $</w:t>
      </w:r>
      <w:r w:rsidR="00D648C6">
        <w:t>10 million to &lt; $20</w:t>
      </w:r>
      <w:r w:rsidRPr="00051171">
        <w:t xml:space="preserve"> million </w:t>
      </w:r>
      <w:r w:rsidR="006E36B3" w:rsidRPr="00051171">
        <w:t xml:space="preserve">over </w:t>
      </w:r>
      <w:r w:rsidRPr="00051171">
        <w:t xml:space="preserve">the first 6 years of listing. </w:t>
      </w:r>
    </w:p>
    <w:p w14:paraId="1AB1B86F" w14:textId="0348AECE" w:rsidR="00C77FAF" w:rsidRPr="00051171" w:rsidRDefault="00C77FAF" w:rsidP="006E36B3">
      <w:pPr>
        <w:pStyle w:val="3-BodyText"/>
        <w:ind w:left="720"/>
      </w:pPr>
      <w:r w:rsidRPr="00051171">
        <w:t xml:space="preserve">The submission presented sensitivity analyses </w:t>
      </w:r>
      <w:proofErr w:type="gramStart"/>
      <w:r w:rsidRPr="00051171">
        <w:t>testing</w:t>
      </w:r>
      <w:proofErr w:type="gramEnd"/>
      <w:r w:rsidRPr="00051171">
        <w:t xml:space="preserve"> a higher and lower number of prevalent patients (n=38 and n=28) as well as </w:t>
      </w:r>
      <w:r w:rsidR="00294146" w:rsidRPr="00051171">
        <w:t xml:space="preserve">a </w:t>
      </w:r>
      <w:r w:rsidRPr="00051171">
        <w:t>95% treatment compliance rate (</w:t>
      </w:r>
      <w:r w:rsidR="00294146" w:rsidRPr="00051171">
        <w:fldChar w:fldCharType="begin"/>
      </w:r>
      <w:r w:rsidR="00294146" w:rsidRPr="00051171">
        <w:instrText xml:space="preserve"> REF _Ref134596693 \h  \* MERGEFORMAT </w:instrText>
      </w:r>
      <w:r w:rsidR="00294146" w:rsidRPr="00051171">
        <w:fldChar w:fldCharType="separate"/>
      </w:r>
      <w:r w:rsidR="00025B72" w:rsidRPr="00025B72">
        <w:t>Table 12</w:t>
      </w:r>
      <w:r w:rsidR="00294146" w:rsidRPr="00051171">
        <w:fldChar w:fldCharType="end"/>
      </w:r>
      <w:r w:rsidRPr="00051171">
        <w:t xml:space="preserve">). </w:t>
      </w:r>
    </w:p>
    <w:p w14:paraId="52C6D3DA" w14:textId="5141AFD7" w:rsidR="00C77FAF" w:rsidRPr="00051171" w:rsidRDefault="00C77FAF" w:rsidP="006E36B3">
      <w:pPr>
        <w:pStyle w:val="3-BodyText"/>
        <w:ind w:left="720"/>
      </w:pPr>
      <w:r w:rsidRPr="00051171">
        <w:t xml:space="preserve">Additional sensitivity analyses </w:t>
      </w:r>
      <w:proofErr w:type="gramStart"/>
      <w:r w:rsidRPr="00051171">
        <w:t>were conducted</w:t>
      </w:r>
      <w:proofErr w:type="gramEnd"/>
      <w:r w:rsidRPr="00051171">
        <w:t xml:space="preserve"> during </w:t>
      </w:r>
      <w:r w:rsidR="00294146" w:rsidRPr="00051171">
        <w:t xml:space="preserve">the </w:t>
      </w:r>
      <w:r w:rsidRPr="00051171">
        <w:t>evaluation (Table 1</w:t>
      </w:r>
      <w:r w:rsidR="002020C9" w:rsidRPr="00051171">
        <w:t>3</w:t>
      </w:r>
      <w:r w:rsidRPr="00051171">
        <w:t>)</w:t>
      </w:r>
      <w:r w:rsidR="006E36B3" w:rsidRPr="00051171">
        <w:t xml:space="preserve"> that</w:t>
      </w:r>
      <w:r w:rsidRPr="00051171">
        <w:t>:</w:t>
      </w:r>
    </w:p>
    <w:p w14:paraId="5447BFE5" w14:textId="5A6C30D9" w:rsidR="00C77FAF" w:rsidRPr="00051171" w:rsidRDefault="006E36B3" w:rsidP="00D907DA">
      <w:pPr>
        <w:pStyle w:val="ListParagraph"/>
        <w:numPr>
          <w:ilvl w:val="0"/>
          <w:numId w:val="5"/>
        </w:numPr>
        <w:ind w:left="1080"/>
      </w:pPr>
      <w:r w:rsidRPr="00051171">
        <w:t xml:space="preserve">applied a </w:t>
      </w:r>
      <w:r w:rsidR="00C77FAF" w:rsidRPr="00051171">
        <w:t>90% compliance rate, consistent with the economic evaluation</w:t>
      </w:r>
      <w:r w:rsidR="002B4D1C" w:rsidRPr="00051171">
        <w:t xml:space="preserve">. As noted in </w:t>
      </w:r>
      <w:r w:rsidR="002B4D1C" w:rsidRPr="00051171">
        <w:rPr>
          <w:rFonts w:ascii="Calibri" w:hAnsi="Calibri" w:cs="Calibri"/>
        </w:rPr>
        <w:fldChar w:fldCharType="begin"/>
      </w:r>
      <w:r w:rsidR="002B4D1C" w:rsidRPr="00051171">
        <w:rPr>
          <w:rFonts w:ascii="Calibri" w:hAnsi="Calibri" w:cs="Calibri"/>
        </w:rPr>
        <w:instrText xml:space="preserve"> REF _Ref134596693 \h  \* MERGEFORMAT </w:instrText>
      </w:r>
      <w:r w:rsidR="002B4D1C" w:rsidRPr="00051171">
        <w:rPr>
          <w:rFonts w:ascii="Calibri" w:hAnsi="Calibri" w:cs="Calibri"/>
        </w:rPr>
      </w:r>
      <w:r w:rsidR="002B4D1C" w:rsidRPr="00051171">
        <w:rPr>
          <w:rFonts w:ascii="Calibri" w:hAnsi="Calibri" w:cs="Calibri"/>
        </w:rPr>
        <w:fldChar w:fldCharType="separate"/>
      </w:r>
      <w:r w:rsidR="00025B72" w:rsidRPr="00025B72">
        <w:rPr>
          <w:rFonts w:ascii="Calibri" w:eastAsiaTheme="minorHAnsi" w:hAnsi="Calibri" w:cs="Calibri"/>
          <w:lang w:eastAsia="en-US"/>
        </w:rPr>
        <w:t xml:space="preserve">Table </w:t>
      </w:r>
      <w:r w:rsidR="00025B72" w:rsidRPr="00025B72">
        <w:rPr>
          <w:rFonts w:ascii="Calibri" w:eastAsiaTheme="minorHAnsi" w:hAnsi="Calibri" w:cs="Calibri"/>
          <w:noProof/>
          <w:lang w:eastAsia="en-US"/>
        </w:rPr>
        <w:t>12</w:t>
      </w:r>
      <w:r w:rsidR="002B4D1C" w:rsidRPr="00051171">
        <w:rPr>
          <w:rFonts w:ascii="Calibri" w:hAnsi="Calibri" w:cs="Calibri"/>
        </w:rPr>
        <w:fldChar w:fldCharType="end"/>
      </w:r>
      <w:r w:rsidR="002B4D1C" w:rsidRPr="00051171">
        <w:t xml:space="preserve">, the PSCR </w:t>
      </w:r>
      <w:r w:rsidRPr="00051171">
        <w:t xml:space="preserve">stated that </w:t>
      </w:r>
      <w:r w:rsidR="002B4D1C" w:rsidRPr="00051171">
        <w:t>the 90% compliance rate included patients who were aged older than 12 years for the majority of modelled time horizon</w:t>
      </w:r>
      <w:r w:rsidR="00C77FAF" w:rsidRPr="00051171">
        <w:t>;</w:t>
      </w:r>
      <w:r w:rsidRPr="00051171">
        <w:t xml:space="preserve"> and</w:t>
      </w:r>
    </w:p>
    <w:p w14:paraId="491490D5" w14:textId="68196A12" w:rsidR="00C77FAF" w:rsidRPr="00051171" w:rsidRDefault="006E36B3" w:rsidP="00D907DA">
      <w:pPr>
        <w:pStyle w:val="ListParagraph"/>
        <w:numPr>
          <w:ilvl w:val="0"/>
          <w:numId w:val="5"/>
        </w:numPr>
        <w:ind w:left="1080"/>
      </w:pPr>
      <w:r w:rsidRPr="00051171">
        <w:t>a</w:t>
      </w:r>
      <w:r w:rsidR="00C77FAF" w:rsidRPr="00051171">
        <w:t>ssumed 30 patients</w:t>
      </w:r>
      <w:r w:rsidR="0052675E" w:rsidRPr="00051171">
        <w:rPr>
          <w:rStyle w:val="FootnoteReference"/>
        </w:rPr>
        <w:footnoteReference w:id="3"/>
      </w:r>
      <w:r w:rsidR="00C77FAF" w:rsidRPr="00051171">
        <w:t xml:space="preserve"> aged 1 to less than 2 </w:t>
      </w:r>
      <w:proofErr w:type="gramStart"/>
      <w:r w:rsidR="00C77FAF" w:rsidRPr="00051171">
        <w:t>years initiate</w:t>
      </w:r>
      <w:r w:rsidRPr="00051171">
        <w:t>d</w:t>
      </w:r>
      <w:proofErr w:type="gramEnd"/>
      <w:r w:rsidR="00C77FAF" w:rsidRPr="00051171">
        <w:t xml:space="preserve"> treatment each year </w:t>
      </w:r>
      <w:r w:rsidR="00294146" w:rsidRPr="00051171">
        <w:t xml:space="preserve">with </w:t>
      </w:r>
      <w:r w:rsidR="0052675E" w:rsidRPr="00051171">
        <w:t xml:space="preserve">initiating </w:t>
      </w:r>
      <w:r w:rsidR="00294146" w:rsidRPr="00051171">
        <w:t>patients receiving 6 months of treatment in Year 1</w:t>
      </w:r>
      <w:r w:rsidR="00CF7273" w:rsidRPr="00051171">
        <w:t xml:space="preserve"> (to account for commencing treatment partway through the year as discussed in paragraph </w:t>
      </w:r>
      <w:r w:rsidR="00CF7273" w:rsidRPr="00051171">
        <w:fldChar w:fldCharType="begin"/>
      </w:r>
      <w:r w:rsidR="00CF7273" w:rsidRPr="00051171">
        <w:instrText xml:space="preserve"> REF _Ref135064566 \r \h </w:instrText>
      </w:r>
      <w:r w:rsidR="00B3449A" w:rsidRPr="00051171">
        <w:instrText xml:space="preserve"> \* MERGEFORMAT </w:instrText>
      </w:r>
      <w:r w:rsidR="00CF7273" w:rsidRPr="00051171">
        <w:fldChar w:fldCharType="separate"/>
      </w:r>
      <w:r w:rsidR="00025B72">
        <w:t>6.41</w:t>
      </w:r>
      <w:r w:rsidR="00CF7273" w:rsidRPr="00051171">
        <w:fldChar w:fldCharType="end"/>
      </w:r>
      <w:r w:rsidR="00CF7273" w:rsidRPr="00051171">
        <w:t>)</w:t>
      </w:r>
      <w:r w:rsidR="00294146" w:rsidRPr="00051171">
        <w:t>.</w:t>
      </w:r>
      <w:r w:rsidR="00C77FAF" w:rsidRPr="00051171">
        <w:t xml:space="preserve"> </w:t>
      </w:r>
      <w:r w:rsidR="000F53C2" w:rsidRPr="00051171">
        <w:t>The PSCR stated that this approach did not assume growth in the CF population.</w:t>
      </w:r>
    </w:p>
    <w:p w14:paraId="75283227" w14:textId="6FCE8522" w:rsidR="003D5B4C" w:rsidRPr="00FF09A2" w:rsidRDefault="003D5B4C" w:rsidP="006E36B3">
      <w:pPr>
        <w:keepNext/>
        <w:keepLines/>
        <w:jc w:val="left"/>
        <w:rPr>
          <w:rFonts w:ascii="Arial Narrow" w:eastAsiaTheme="majorEastAsia" w:hAnsi="Arial Narrow"/>
          <w:b/>
          <w:iCs/>
          <w:sz w:val="20"/>
          <w:szCs w:val="20"/>
          <w:lang w:bidi="en-US"/>
        </w:rPr>
      </w:pPr>
      <w:r w:rsidRPr="00FF09A2">
        <w:rPr>
          <w:rFonts w:ascii="Arial Narrow" w:eastAsiaTheme="minorHAnsi" w:hAnsi="Arial Narrow" w:cstheme="minorBidi"/>
          <w:b/>
          <w:sz w:val="20"/>
          <w:szCs w:val="18"/>
          <w:lang w:eastAsia="en-US"/>
        </w:rPr>
        <w:t xml:space="preserve">Table </w:t>
      </w:r>
      <w:r w:rsidRPr="00FF09A2">
        <w:rPr>
          <w:rFonts w:ascii="Arial Narrow" w:eastAsiaTheme="minorHAnsi" w:hAnsi="Arial Narrow" w:cstheme="minorBidi"/>
          <w:b/>
          <w:sz w:val="20"/>
          <w:szCs w:val="18"/>
          <w:lang w:eastAsia="en-US"/>
        </w:rPr>
        <w:fldChar w:fldCharType="begin"/>
      </w:r>
      <w:r w:rsidRPr="00FF09A2">
        <w:rPr>
          <w:rFonts w:ascii="Arial Narrow" w:eastAsiaTheme="minorHAnsi" w:hAnsi="Arial Narrow" w:cstheme="minorBidi"/>
          <w:b/>
          <w:sz w:val="20"/>
          <w:szCs w:val="18"/>
          <w:lang w:eastAsia="en-US"/>
        </w:rPr>
        <w:instrText xml:space="preserve"> SEQ Table \* ARABIC </w:instrText>
      </w:r>
      <w:r w:rsidRPr="00FF09A2">
        <w:rPr>
          <w:rFonts w:ascii="Arial Narrow" w:eastAsiaTheme="minorHAnsi" w:hAnsi="Arial Narrow" w:cstheme="minorBidi"/>
          <w:b/>
          <w:sz w:val="20"/>
          <w:szCs w:val="18"/>
          <w:lang w:eastAsia="en-US"/>
        </w:rPr>
        <w:fldChar w:fldCharType="separate"/>
      </w:r>
      <w:r w:rsidR="00025B72">
        <w:rPr>
          <w:rFonts w:ascii="Arial Narrow" w:eastAsiaTheme="minorHAnsi" w:hAnsi="Arial Narrow" w:cstheme="minorBidi"/>
          <w:b/>
          <w:noProof/>
          <w:sz w:val="20"/>
          <w:szCs w:val="18"/>
          <w:lang w:eastAsia="en-US"/>
        </w:rPr>
        <w:t>13</w:t>
      </w:r>
      <w:r w:rsidRPr="00FF09A2">
        <w:rPr>
          <w:rFonts w:ascii="Arial Narrow" w:eastAsiaTheme="minorHAnsi" w:hAnsi="Arial Narrow" w:cstheme="minorBidi"/>
          <w:b/>
          <w:noProof/>
          <w:sz w:val="20"/>
          <w:szCs w:val="18"/>
          <w:lang w:eastAsia="en-US"/>
        </w:rPr>
        <w:fldChar w:fldCharType="end"/>
      </w:r>
      <w:r w:rsidRPr="00FF09A2">
        <w:rPr>
          <w:rFonts w:ascii="Arial Narrow" w:eastAsiaTheme="minorHAnsi" w:hAnsi="Arial Narrow" w:cstheme="minorBidi"/>
          <w:b/>
          <w:sz w:val="20"/>
          <w:szCs w:val="18"/>
          <w:lang w:eastAsia="en-US"/>
        </w:rPr>
        <w:t>:</w:t>
      </w:r>
      <w:r w:rsidRPr="00FF09A2">
        <w:rPr>
          <w:rFonts w:ascii="Arial Narrow" w:eastAsiaTheme="minorHAnsi" w:hAnsi="Arial Narrow" w:cstheme="minorBidi"/>
          <w:b/>
          <w:sz w:val="20"/>
          <w:szCs w:val="22"/>
          <w:lang w:eastAsia="en-US"/>
        </w:rPr>
        <w:t xml:space="preserve"> </w:t>
      </w:r>
      <w:r w:rsidRPr="00FF09A2">
        <w:rPr>
          <w:rFonts w:ascii="Arial Narrow" w:eastAsiaTheme="majorEastAsia" w:hAnsi="Arial Narrow"/>
          <w:b/>
          <w:iCs/>
          <w:sz w:val="20"/>
          <w:szCs w:val="20"/>
          <w:lang w:bidi="en-US"/>
        </w:rPr>
        <w:t xml:space="preserve">Sensitivity analysis, impact on net PBS/RPBS costs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037"/>
        <w:gridCol w:w="1037"/>
        <w:gridCol w:w="1037"/>
        <w:gridCol w:w="1037"/>
        <w:gridCol w:w="1037"/>
        <w:gridCol w:w="1037"/>
        <w:gridCol w:w="1133"/>
      </w:tblGrid>
      <w:tr w:rsidR="00A32E1B" w:rsidRPr="00B3449A" w14:paraId="2CE5D5D0" w14:textId="77777777" w:rsidTr="00D907DA">
        <w:trPr>
          <w:tblHeader/>
        </w:trPr>
        <w:tc>
          <w:tcPr>
            <w:tcW w:w="922" w:type="pct"/>
            <w:tcBorders>
              <w:bottom w:val="single" w:sz="4" w:space="0" w:color="auto"/>
            </w:tcBorders>
            <w:shd w:val="clear" w:color="auto" w:fill="auto"/>
          </w:tcPr>
          <w:p w14:paraId="22190BAA" w14:textId="77777777" w:rsidR="003D5B4C" w:rsidRPr="00B3449A" w:rsidRDefault="003D5B4C" w:rsidP="00447403">
            <w:pPr>
              <w:keepNext/>
              <w:keepLines/>
              <w:ind w:left="-76"/>
              <w:jc w:val="left"/>
              <w:rPr>
                <w:rFonts w:ascii="Arial Narrow" w:eastAsiaTheme="majorEastAsia" w:hAnsi="Arial Narrow" w:cstheme="majorBidi"/>
                <w:b/>
                <w:bCs/>
                <w:sz w:val="20"/>
                <w:szCs w:val="20"/>
              </w:rPr>
            </w:pPr>
          </w:p>
        </w:tc>
        <w:tc>
          <w:tcPr>
            <w:tcW w:w="575" w:type="pct"/>
            <w:tcBorders>
              <w:bottom w:val="single" w:sz="4" w:space="0" w:color="auto"/>
            </w:tcBorders>
            <w:shd w:val="clear" w:color="auto" w:fill="auto"/>
          </w:tcPr>
          <w:p w14:paraId="35E13839" w14:textId="77777777" w:rsidR="003D5B4C" w:rsidRPr="00B3449A" w:rsidRDefault="003D5B4C" w:rsidP="00447403">
            <w:pPr>
              <w:keepNext/>
              <w:keepLines/>
              <w:jc w:val="center"/>
              <w:rPr>
                <w:rFonts w:ascii="Arial Narrow" w:eastAsiaTheme="majorEastAsia" w:hAnsi="Arial Narrow" w:cstheme="majorBidi"/>
                <w:b/>
                <w:bCs/>
                <w:sz w:val="20"/>
                <w:szCs w:val="20"/>
              </w:rPr>
            </w:pPr>
            <w:r w:rsidRPr="00B3449A">
              <w:rPr>
                <w:rFonts w:ascii="Arial Narrow" w:eastAsiaTheme="majorEastAsia" w:hAnsi="Arial Narrow" w:cstheme="majorBidi"/>
                <w:b/>
                <w:bCs/>
                <w:sz w:val="20"/>
                <w:szCs w:val="20"/>
              </w:rPr>
              <w:t>Year 1</w:t>
            </w:r>
          </w:p>
        </w:tc>
        <w:tc>
          <w:tcPr>
            <w:tcW w:w="575" w:type="pct"/>
            <w:tcBorders>
              <w:bottom w:val="single" w:sz="4" w:space="0" w:color="auto"/>
            </w:tcBorders>
            <w:shd w:val="clear" w:color="auto" w:fill="auto"/>
          </w:tcPr>
          <w:p w14:paraId="1C36B6C7" w14:textId="77777777" w:rsidR="003D5B4C" w:rsidRPr="00B3449A" w:rsidRDefault="003D5B4C" w:rsidP="00447403">
            <w:pPr>
              <w:keepNext/>
              <w:keepLines/>
              <w:jc w:val="center"/>
              <w:rPr>
                <w:rFonts w:ascii="Arial Narrow" w:eastAsiaTheme="majorEastAsia" w:hAnsi="Arial Narrow" w:cstheme="majorBidi"/>
                <w:b/>
                <w:bCs/>
                <w:sz w:val="20"/>
                <w:szCs w:val="20"/>
              </w:rPr>
            </w:pPr>
            <w:r w:rsidRPr="00B3449A">
              <w:rPr>
                <w:rFonts w:ascii="Arial Narrow" w:eastAsiaTheme="majorEastAsia" w:hAnsi="Arial Narrow" w:cstheme="majorBidi"/>
                <w:b/>
                <w:bCs/>
                <w:sz w:val="20"/>
                <w:szCs w:val="20"/>
              </w:rPr>
              <w:t>Year 2</w:t>
            </w:r>
          </w:p>
        </w:tc>
        <w:tc>
          <w:tcPr>
            <w:tcW w:w="575" w:type="pct"/>
            <w:tcBorders>
              <w:bottom w:val="single" w:sz="4" w:space="0" w:color="auto"/>
            </w:tcBorders>
            <w:shd w:val="clear" w:color="auto" w:fill="auto"/>
          </w:tcPr>
          <w:p w14:paraId="7A0EC27C" w14:textId="77777777" w:rsidR="003D5B4C" w:rsidRPr="00B3449A" w:rsidRDefault="003D5B4C" w:rsidP="00447403">
            <w:pPr>
              <w:keepNext/>
              <w:keepLines/>
              <w:jc w:val="center"/>
              <w:rPr>
                <w:rFonts w:ascii="Arial Narrow" w:eastAsiaTheme="majorEastAsia" w:hAnsi="Arial Narrow" w:cstheme="majorBidi"/>
                <w:b/>
                <w:bCs/>
                <w:sz w:val="20"/>
                <w:szCs w:val="20"/>
              </w:rPr>
            </w:pPr>
            <w:r w:rsidRPr="00B3449A">
              <w:rPr>
                <w:rFonts w:ascii="Arial Narrow" w:eastAsiaTheme="majorEastAsia" w:hAnsi="Arial Narrow" w:cstheme="majorBidi"/>
                <w:b/>
                <w:bCs/>
                <w:sz w:val="20"/>
                <w:szCs w:val="20"/>
              </w:rPr>
              <w:t>Year 3</w:t>
            </w:r>
          </w:p>
        </w:tc>
        <w:tc>
          <w:tcPr>
            <w:tcW w:w="575" w:type="pct"/>
            <w:tcBorders>
              <w:bottom w:val="single" w:sz="4" w:space="0" w:color="auto"/>
            </w:tcBorders>
            <w:shd w:val="clear" w:color="auto" w:fill="auto"/>
          </w:tcPr>
          <w:p w14:paraId="23481937" w14:textId="77777777" w:rsidR="003D5B4C" w:rsidRPr="00B3449A" w:rsidRDefault="003D5B4C" w:rsidP="00447403">
            <w:pPr>
              <w:keepNext/>
              <w:keepLines/>
              <w:jc w:val="center"/>
              <w:rPr>
                <w:rFonts w:ascii="Arial Narrow" w:eastAsiaTheme="majorEastAsia" w:hAnsi="Arial Narrow" w:cstheme="majorBidi"/>
                <w:b/>
                <w:bCs/>
                <w:sz w:val="20"/>
                <w:szCs w:val="20"/>
              </w:rPr>
            </w:pPr>
            <w:r w:rsidRPr="00B3449A">
              <w:rPr>
                <w:rFonts w:ascii="Arial Narrow" w:eastAsiaTheme="majorEastAsia" w:hAnsi="Arial Narrow" w:cstheme="majorBidi"/>
                <w:b/>
                <w:bCs/>
                <w:sz w:val="20"/>
                <w:szCs w:val="20"/>
              </w:rPr>
              <w:t>Year 4</w:t>
            </w:r>
          </w:p>
        </w:tc>
        <w:tc>
          <w:tcPr>
            <w:tcW w:w="575" w:type="pct"/>
            <w:tcBorders>
              <w:bottom w:val="single" w:sz="4" w:space="0" w:color="auto"/>
            </w:tcBorders>
            <w:shd w:val="clear" w:color="auto" w:fill="auto"/>
          </w:tcPr>
          <w:p w14:paraId="1FFC2AB9" w14:textId="77777777" w:rsidR="003D5B4C" w:rsidRPr="00B3449A" w:rsidRDefault="003D5B4C" w:rsidP="00447403">
            <w:pPr>
              <w:keepNext/>
              <w:keepLines/>
              <w:jc w:val="center"/>
              <w:rPr>
                <w:rFonts w:ascii="Arial Narrow" w:eastAsiaTheme="majorEastAsia" w:hAnsi="Arial Narrow" w:cstheme="majorBidi"/>
                <w:b/>
                <w:bCs/>
                <w:sz w:val="20"/>
                <w:szCs w:val="20"/>
              </w:rPr>
            </w:pPr>
            <w:r w:rsidRPr="00B3449A">
              <w:rPr>
                <w:rFonts w:ascii="Arial Narrow" w:eastAsiaTheme="majorEastAsia" w:hAnsi="Arial Narrow" w:cstheme="majorBidi"/>
                <w:b/>
                <w:bCs/>
                <w:sz w:val="20"/>
                <w:szCs w:val="20"/>
              </w:rPr>
              <w:t>Year 5</w:t>
            </w:r>
          </w:p>
        </w:tc>
        <w:tc>
          <w:tcPr>
            <w:tcW w:w="575" w:type="pct"/>
            <w:tcBorders>
              <w:bottom w:val="single" w:sz="4" w:space="0" w:color="auto"/>
            </w:tcBorders>
            <w:shd w:val="clear" w:color="auto" w:fill="auto"/>
          </w:tcPr>
          <w:p w14:paraId="27FFC995" w14:textId="77777777" w:rsidR="003D5B4C" w:rsidRPr="00B3449A" w:rsidRDefault="003D5B4C" w:rsidP="00447403">
            <w:pPr>
              <w:keepNext/>
              <w:keepLines/>
              <w:jc w:val="center"/>
              <w:rPr>
                <w:rFonts w:ascii="Arial Narrow" w:eastAsiaTheme="majorEastAsia" w:hAnsi="Arial Narrow" w:cstheme="majorBidi"/>
                <w:b/>
                <w:bCs/>
                <w:sz w:val="20"/>
                <w:szCs w:val="20"/>
              </w:rPr>
            </w:pPr>
            <w:r w:rsidRPr="00B3449A">
              <w:rPr>
                <w:rFonts w:ascii="Arial Narrow" w:eastAsiaTheme="majorEastAsia" w:hAnsi="Arial Narrow" w:cstheme="majorBidi"/>
                <w:b/>
                <w:bCs/>
                <w:sz w:val="20"/>
                <w:szCs w:val="20"/>
              </w:rPr>
              <w:t>Year 6</w:t>
            </w:r>
          </w:p>
        </w:tc>
        <w:tc>
          <w:tcPr>
            <w:tcW w:w="628" w:type="pct"/>
            <w:tcBorders>
              <w:bottom w:val="single" w:sz="4" w:space="0" w:color="auto"/>
            </w:tcBorders>
          </w:tcPr>
          <w:p w14:paraId="65DB6606" w14:textId="031C4503" w:rsidR="003D5B4C" w:rsidRPr="00B3449A" w:rsidRDefault="003D5B4C" w:rsidP="00447403">
            <w:pPr>
              <w:keepNext/>
              <w:keepLines/>
              <w:ind w:right="-156"/>
              <w:jc w:val="left"/>
              <w:rPr>
                <w:rFonts w:ascii="Arial Narrow" w:eastAsiaTheme="majorEastAsia" w:hAnsi="Arial Narrow" w:cstheme="majorBidi"/>
                <w:b/>
                <w:bCs/>
                <w:sz w:val="20"/>
                <w:szCs w:val="20"/>
              </w:rPr>
            </w:pPr>
            <w:r w:rsidRPr="00B3449A">
              <w:rPr>
                <w:rFonts w:ascii="Arial Narrow" w:eastAsiaTheme="majorEastAsia" w:hAnsi="Arial Narrow" w:cstheme="majorBidi"/>
                <w:b/>
                <w:bCs/>
                <w:sz w:val="20"/>
                <w:szCs w:val="20"/>
              </w:rPr>
              <w:t>% change over 6 years</w:t>
            </w:r>
          </w:p>
        </w:tc>
      </w:tr>
      <w:tr w:rsidR="003D5B4C" w:rsidRPr="00B3449A" w14:paraId="20BDBECA" w14:textId="77777777" w:rsidTr="00D907DA">
        <w:tc>
          <w:tcPr>
            <w:tcW w:w="4372" w:type="pct"/>
            <w:gridSpan w:val="7"/>
            <w:tcBorders>
              <w:right w:val="nil"/>
            </w:tcBorders>
            <w:shd w:val="clear" w:color="auto" w:fill="auto"/>
          </w:tcPr>
          <w:p w14:paraId="08485A0B" w14:textId="77777777" w:rsidR="003D5B4C" w:rsidRPr="00B3449A" w:rsidRDefault="003D5B4C" w:rsidP="00447403">
            <w:pPr>
              <w:keepNext/>
              <w:keepLines/>
              <w:ind w:left="-76"/>
              <w:jc w:val="left"/>
              <w:rPr>
                <w:rFonts w:ascii="Arial Narrow" w:eastAsiaTheme="majorEastAsia" w:hAnsi="Arial Narrow" w:cstheme="majorBidi"/>
                <w:b/>
                <w:sz w:val="20"/>
                <w:szCs w:val="20"/>
              </w:rPr>
            </w:pPr>
            <w:r w:rsidRPr="00B3449A">
              <w:rPr>
                <w:rFonts w:ascii="Arial Narrow" w:eastAsiaTheme="majorEastAsia" w:hAnsi="Arial Narrow" w:cstheme="majorBidi"/>
                <w:b/>
                <w:sz w:val="20"/>
                <w:szCs w:val="20"/>
              </w:rPr>
              <w:t>Base case</w:t>
            </w:r>
          </w:p>
        </w:tc>
        <w:tc>
          <w:tcPr>
            <w:tcW w:w="628" w:type="pct"/>
            <w:tcBorders>
              <w:left w:val="nil"/>
            </w:tcBorders>
          </w:tcPr>
          <w:p w14:paraId="5AB3046D" w14:textId="77777777" w:rsidR="003D5B4C" w:rsidRPr="00B3449A" w:rsidRDefault="003D5B4C" w:rsidP="00447403">
            <w:pPr>
              <w:keepNext/>
              <w:keepLines/>
              <w:ind w:left="-76"/>
              <w:jc w:val="left"/>
              <w:rPr>
                <w:rFonts w:ascii="Arial Narrow" w:eastAsiaTheme="majorEastAsia" w:hAnsi="Arial Narrow" w:cstheme="majorBidi"/>
                <w:bCs/>
                <w:sz w:val="20"/>
                <w:szCs w:val="20"/>
              </w:rPr>
            </w:pPr>
          </w:p>
        </w:tc>
      </w:tr>
      <w:tr w:rsidR="00A32E1B" w:rsidRPr="00B3449A" w14:paraId="6DF42BE3" w14:textId="77777777" w:rsidTr="00D907DA">
        <w:tc>
          <w:tcPr>
            <w:tcW w:w="922" w:type="pct"/>
            <w:shd w:val="clear" w:color="auto" w:fill="auto"/>
            <w:vAlign w:val="bottom"/>
          </w:tcPr>
          <w:p w14:paraId="2A4D0228" w14:textId="77777777" w:rsidR="003D5B4C" w:rsidRPr="00B3449A" w:rsidRDefault="003D5B4C" w:rsidP="00447403">
            <w:pPr>
              <w:keepNext/>
              <w:keepLines/>
              <w:ind w:left="-76"/>
              <w:jc w:val="left"/>
              <w:rPr>
                <w:rFonts w:ascii="Arial Narrow" w:eastAsiaTheme="majorEastAsia" w:hAnsi="Arial Narrow" w:cstheme="majorBidi"/>
                <w:bCs/>
                <w:sz w:val="20"/>
                <w:szCs w:val="20"/>
              </w:rPr>
            </w:pPr>
            <w:r w:rsidRPr="00B3449A">
              <w:rPr>
                <w:rFonts w:ascii="Arial Narrow" w:eastAsiaTheme="majorEastAsia" w:hAnsi="Arial Narrow" w:cstheme="majorBidi"/>
                <w:bCs/>
                <w:sz w:val="20"/>
                <w:szCs w:val="20"/>
              </w:rPr>
              <w:t>PBS/RPBS costs</w:t>
            </w:r>
          </w:p>
        </w:tc>
        <w:tc>
          <w:tcPr>
            <w:tcW w:w="575" w:type="pct"/>
            <w:shd w:val="clear" w:color="auto" w:fill="auto"/>
          </w:tcPr>
          <w:p w14:paraId="675889E7" w14:textId="0DF5D1E7" w:rsidR="003D5B4C" w:rsidRPr="00D648C6" w:rsidRDefault="00D62E6D" w:rsidP="00447403">
            <w:pPr>
              <w:keepNext/>
              <w:keepLines/>
              <w:jc w:val="center"/>
              <w:rPr>
                <w:rFonts w:ascii="Arial Narrow" w:eastAsiaTheme="majorEastAsia" w:hAnsi="Arial Narrow" w:cstheme="majorBidi"/>
                <w:bCs/>
                <w:sz w:val="20"/>
                <w:szCs w:val="20"/>
                <w:highlight w:val="darkGray"/>
              </w:rPr>
            </w:pPr>
            <w:r w:rsidRPr="00D62E6D">
              <w:rPr>
                <w:rFonts w:ascii="Arial Narrow" w:eastAsiaTheme="majorEastAsia" w:hAnsi="Arial Narrow"/>
                <w:color w:val="000000"/>
                <w:spacing w:val="74"/>
                <w:sz w:val="20"/>
                <w:szCs w:val="20"/>
                <w:shd w:val="solid" w:color="000000" w:fill="000000"/>
                <w:fitText w:val="160" w:id="-1167896576"/>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6"/>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tcPr>
          <w:p w14:paraId="4AAF46CC" w14:textId="46B2F09A" w:rsidR="003D5B4C" w:rsidRPr="00D648C6" w:rsidRDefault="00D62E6D" w:rsidP="00447403">
            <w:pPr>
              <w:keepNext/>
              <w:keepLines/>
              <w:jc w:val="center"/>
              <w:rPr>
                <w:rFonts w:ascii="Arial Narrow" w:eastAsiaTheme="majorEastAsia" w:hAnsi="Arial Narrow" w:cstheme="majorBidi"/>
                <w:bCs/>
                <w:sz w:val="20"/>
                <w:szCs w:val="20"/>
                <w:highlight w:val="darkGray"/>
              </w:rPr>
            </w:pPr>
            <w:r w:rsidRPr="00D62E6D">
              <w:rPr>
                <w:rFonts w:ascii="Arial Narrow" w:eastAsiaTheme="majorEastAsia" w:hAnsi="Arial Narrow"/>
                <w:color w:val="000000"/>
                <w:spacing w:val="74"/>
                <w:sz w:val="20"/>
                <w:szCs w:val="20"/>
                <w:shd w:val="solid" w:color="000000" w:fill="000000"/>
                <w:fitText w:val="160" w:id="-1167896575"/>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5"/>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tcPr>
          <w:p w14:paraId="413BDED2" w14:textId="54ABCE45" w:rsidR="003D5B4C" w:rsidRPr="00D648C6" w:rsidRDefault="00D62E6D" w:rsidP="00447403">
            <w:pPr>
              <w:keepNext/>
              <w:keepLines/>
              <w:jc w:val="center"/>
              <w:rPr>
                <w:rFonts w:ascii="Arial Narrow" w:eastAsiaTheme="majorEastAsia" w:hAnsi="Arial Narrow" w:cstheme="majorBidi"/>
                <w:bCs/>
                <w:sz w:val="20"/>
                <w:szCs w:val="20"/>
                <w:highlight w:val="darkGray"/>
              </w:rPr>
            </w:pPr>
            <w:r w:rsidRPr="00D62E6D">
              <w:rPr>
                <w:rFonts w:ascii="Arial Narrow" w:eastAsiaTheme="majorEastAsia" w:hAnsi="Arial Narrow"/>
                <w:color w:val="000000"/>
                <w:spacing w:val="74"/>
                <w:sz w:val="20"/>
                <w:szCs w:val="20"/>
                <w:shd w:val="solid" w:color="000000" w:fill="000000"/>
                <w:fitText w:val="160" w:id="-1167896574"/>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4"/>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tcPr>
          <w:p w14:paraId="30DFE88B" w14:textId="453BF14D" w:rsidR="003D5B4C" w:rsidRPr="00D648C6" w:rsidRDefault="00D62E6D" w:rsidP="00447403">
            <w:pPr>
              <w:keepNext/>
              <w:keepLines/>
              <w:jc w:val="center"/>
              <w:rPr>
                <w:rFonts w:ascii="Arial Narrow" w:eastAsiaTheme="majorEastAsia" w:hAnsi="Arial Narrow" w:cstheme="majorBidi"/>
                <w:bCs/>
                <w:sz w:val="20"/>
                <w:szCs w:val="20"/>
                <w:highlight w:val="darkGray"/>
              </w:rPr>
            </w:pPr>
            <w:r w:rsidRPr="00D62E6D">
              <w:rPr>
                <w:rFonts w:ascii="Arial Narrow" w:eastAsiaTheme="majorEastAsia" w:hAnsi="Arial Narrow"/>
                <w:color w:val="000000"/>
                <w:spacing w:val="74"/>
                <w:sz w:val="20"/>
                <w:szCs w:val="20"/>
                <w:shd w:val="solid" w:color="000000" w:fill="000000"/>
                <w:fitText w:val="160" w:id="-1167896573"/>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3"/>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tcPr>
          <w:p w14:paraId="18E8F690" w14:textId="1226E32A" w:rsidR="003D5B4C" w:rsidRPr="00D648C6" w:rsidRDefault="00D62E6D" w:rsidP="00447403">
            <w:pPr>
              <w:keepNext/>
              <w:keepLines/>
              <w:jc w:val="center"/>
              <w:rPr>
                <w:rFonts w:ascii="Arial Narrow" w:eastAsiaTheme="majorEastAsia" w:hAnsi="Arial Narrow" w:cstheme="majorBidi"/>
                <w:bCs/>
                <w:sz w:val="20"/>
                <w:szCs w:val="20"/>
                <w:highlight w:val="darkGray"/>
              </w:rPr>
            </w:pPr>
            <w:r w:rsidRPr="00D62E6D">
              <w:rPr>
                <w:rFonts w:ascii="Arial Narrow" w:eastAsiaTheme="majorEastAsia" w:hAnsi="Arial Narrow"/>
                <w:color w:val="000000"/>
                <w:spacing w:val="74"/>
                <w:sz w:val="20"/>
                <w:szCs w:val="20"/>
                <w:shd w:val="solid" w:color="000000" w:fill="000000"/>
                <w:fitText w:val="160" w:id="-1167896572"/>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2"/>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tcPr>
          <w:p w14:paraId="3C47B287" w14:textId="7FCFF5D5" w:rsidR="003D5B4C" w:rsidRPr="00D648C6" w:rsidRDefault="00D62E6D" w:rsidP="00447403">
            <w:pPr>
              <w:keepNext/>
              <w:keepLines/>
              <w:jc w:val="center"/>
              <w:rPr>
                <w:rFonts w:ascii="Arial Narrow" w:eastAsiaTheme="majorEastAsia" w:hAnsi="Arial Narrow" w:cstheme="majorBidi"/>
                <w:bCs/>
                <w:sz w:val="20"/>
                <w:szCs w:val="20"/>
                <w:highlight w:val="darkGray"/>
              </w:rPr>
            </w:pPr>
            <w:r w:rsidRPr="00D62E6D">
              <w:rPr>
                <w:rFonts w:ascii="Arial Narrow" w:eastAsiaTheme="majorEastAsia" w:hAnsi="Arial Narrow"/>
                <w:color w:val="000000"/>
                <w:spacing w:val="74"/>
                <w:sz w:val="20"/>
                <w:szCs w:val="20"/>
                <w:shd w:val="solid" w:color="000000" w:fill="000000"/>
                <w:fitText w:val="160" w:id="-1167896571"/>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1"/>
                <w14:textFill>
                  <w14:solidFill>
                    <w14:srgbClr w14:val="000000">
                      <w14:alpha w14:val="100000"/>
                    </w14:srgbClr>
                  </w14:solidFill>
                </w14:textFill>
              </w:rPr>
              <w:t>|</w:t>
            </w:r>
            <w:r w:rsidR="00D648C6">
              <w:rPr>
                <w:rFonts w:ascii="Arial Narrow" w:hAnsi="Arial Narrow"/>
                <w:sz w:val="18"/>
                <w:vertAlign w:val="superscript"/>
              </w:rPr>
              <w:t>1</w:t>
            </w:r>
          </w:p>
        </w:tc>
        <w:tc>
          <w:tcPr>
            <w:tcW w:w="628" w:type="pct"/>
          </w:tcPr>
          <w:p w14:paraId="2598B212" w14:textId="77777777" w:rsidR="003D5B4C" w:rsidRPr="00B3449A" w:rsidRDefault="003D5B4C" w:rsidP="00447403">
            <w:pPr>
              <w:keepNext/>
              <w:keepLines/>
              <w:jc w:val="center"/>
              <w:rPr>
                <w:rFonts w:ascii="Arial Narrow" w:eastAsiaTheme="majorEastAsia" w:hAnsi="Arial Narrow" w:cstheme="majorBidi"/>
                <w:bCs/>
                <w:sz w:val="20"/>
              </w:rPr>
            </w:pPr>
            <w:r w:rsidRPr="00B3449A">
              <w:rPr>
                <w:rFonts w:ascii="Arial Narrow" w:eastAsiaTheme="majorEastAsia" w:hAnsi="Arial Narrow" w:cstheme="majorBidi"/>
                <w:bCs/>
                <w:sz w:val="20"/>
              </w:rPr>
              <w:t>-</w:t>
            </w:r>
          </w:p>
        </w:tc>
      </w:tr>
      <w:tr w:rsidR="003D5B4C" w:rsidRPr="00B3449A" w14:paraId="1F95F37E" w14:textId="77777777" w:rsidTr="00176C92">
        <w:tc>
          <w:tcPr>
            <w:tcW w:w="5000" w:type="pct"/>
            <w:gridSpan w:val="8"/>
            <w:tcBorders>
              <w:bottom w:val="single" w:sz="4" w:space="0" w:color="auto"/>
            </w:tcBorders>
            <w:shd w:val="clear" w:color="auto" w:fill="auto"/>
            <w:vAlign w:val="bottom"/>
          </w:tcPr>
          <w:p w14:paraId="4B448B04" w14:textId="77777777" w:rsidR="003D5B4C" w:rsidRPr="00B3449A" w:rsidRDefault="003D5B4C" w:rsidP="00447403">
            <w:pPr>
              <w:keepNext/>
              <w:keepLines/>
              <w:ind w:left="-76"/>
              <w:jc w:val="left"/>
              <w:rPr>
                <w:rFonts w:ascii="Arial Narrow" w:eastAsiaTheme="majorEastAsia" w:hAnsi="Arial Narrow" w:cstheme="majorBidi"/>
                <w:b/>
                <w:sz w:val="20"/>
                <w:szCs w:val="20"/>
              </w:rPr>
            </w:pPr>
            <w:r w:rsidRPr="00B3449A">
              <w:rPr>
                <w:rFonts w:ascii="Arial Narrow" w:eastAsiaTheme="majorEastAsia" w:hAnsi="Arial Narrow" w:cstheme="majorBidi"/>
                <w:b/>
                <w:sz w:val="20"/>
                <w:szCs w:val="20"/>
              </w:rPr>
              <w:t xml:space="preserve">Sensitivity analyses provided in submission </w:t>
            </w:r>
          </w:p>
        </w:tc>
      </w:tr>
      <w:tr w:rsidR="003D5B4C" w:rsidRPr="00B3449A" w14:paraId="77CCC702" w14:textId="77777777" w:rsidTr="00176C92">
        <w:tc>
          <w:tcPr>
            <w:tcW w:w="5000" w:type="pct"/>
            <w:gridSpan w:val="8"/>
            <w:tcBorders>
              <w:bottom w:val="single" w:sz="4" w:space="0" w:color="auto"/>
            </w:tcBorders>
            <w:shd w:val="clear" w:color="auto" w:fill="auto"/>
            <w:vAlign w:val="bottom"/>
          </w:tcPr>
          <w:p w14:paraId="56AAF6D9" w14:textId="77777777" w:rsidR="003D5B4C" w:rsidRPr="00B3449A" w:rsidRDefault="003D5B4C" w:rsidP="00447403">
            <w:pPr>
              <w:keepNext/>
              <w:keepLines/>
              <w:ind w:left="-76"/>
              <w:jc w:val="left"/>
              <w:rPr>
                <w:rFonts w:ascii="Arial Narrow" w:eastAsiaTheme="majorEastAsia" w:hAnsi="Arial Narrow" w:cstheme="majorBidi"/>
                <w:b/>
                <w:sz w:val="20"/>
                <w:szCs w:val="20"/>
              </w:rPr>
            </w:pPr>
            <w:r w:rsidRPr="00B3449A">
              <w:rPr>
                <w:rFonts w:ascii="Arial Narrow" w:eastAsiaTheme="majorEastAsia" w:hAnsi="Arial Narrow" w:cstheme="majorBidi"/>
                <w:b/>
                <w:sz w:val="20"/>
                <w:szCs w:val="20"/>
              </w:rPr>
              <w:t>Prevalent F/F population aged 1 to less than 2 years, base case 33 → 38</w:t>
            </w:r>
          </w:p>
        </w:tc>
      </w:tr>
      <w:tr w:rsidR="00A32E1B" w:rsidRPr="00B3449A" w14:paraId="03E9F5D8" w14:textId="77777777" w:rsidTr="00D907DA">
        <w:tc>
          <w:tcPr>
            <w:tcW w:w="922" w:type="pct"/>
            <w:tcBorders>
              <w:bottom w:val="single" w:sz="4" w:space="0" w:color="auto"/>
            </w:tcBorders>
            <w:shd w:val="clear" w:color="auto" w:fill="auto"/>
            <w:vAlign w:val="bottom"/>
          </w:tcPr>
          <w:p w14:paraId="05FB9250" w14:textId="77777777" w:rsidR="003D5B4C" w:rsidRPr="00B3449A" w:rsidRDefault="003D5B4C" w:rsidP="00447403">
            <w:pPr>
              <w:keepNext/>
              <w:keepLines/>
              <w:ind w:left="-76"/>
              <w:jc w:val="left"/>
              <w:rPr>
                <w:rFonts w:ascii="Arial Narrow" w:eastAsiaTheme="majorEastAsia" w:hAnsi="Arial Narrow" w:cstheme="majorBidi"/>
                <w:bCs/>
                <w:sz w:val="20"/>
                <w:szCs w:val="20"/>
              </w:rPr>
            </w:pPr>
            <w:r w:rsidRPr="00B3449A">
              <w:rPr>
                <w:rFonts w:ascii="Arial Narrow" w:eastAsiaTheme="majorEastAsia" w:hAnsi="Arial Narrow" w:cstheme="majorBidi"/>
                <w:bCs/>
                <w:sz w:val="20"/>
                <w:szCs w:val="20"/>
              </w:rPr>
              <w:t>PBS/RPBS costs</w:t>
            </w:r>
          </w:p>
        </w:tc>
        <w:tc>
          <w:tcPr>
            <w:tcW w:w="575" w:type="pct"/>
            <w:shd w:val="clear" w:color="auto" w:fill="auto"/>
            <w:vAlign w:val="center"/>
          </w:tcPr>
          <w:p w14:paraId="1F28C0D6" w14:textId="645260B9"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70"/>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0"/>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vAlign w:val="center"/>
          </w:tcPr>
          <w:p w14:paraId="797A86F0" w14:textId="0714D48B"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9"/>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9"/>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vAlign w:val="center"/>
          </w:tcPr>
          <w:p w14:paraId="6C97A40A" w14:textId="07A0B54B"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8"/>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8"/>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vAlign w:val="center"/>
          </w:tcPr>
          <w:p w14:paraId="107D0168" w14:textId="6B90DC01"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7"/>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7"/>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vAlign w:val="center"/>
          </w:tcPr>
          <w:p w14:paraId="26ABAA4E" w14:textId="2A5ED400"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6"/>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6"/>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shd w:val="clear" w:color="auto" w:fill="auto"/>
            <w:vAlign w:val="center"/>
          </w:tcPr>
          <w:p w14:paraId="22B13CAB" w14:textId="41842E97"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5"/>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5"/>
                <w14:textFill>
                  <w14:solidFill>
                    <w14:srgbClr w14:val="000000">
                      <w14:alpha w14:val="100000"/>
                    </w14:srgbClr>
                  </w14:solidFill>
                </w14:textFill>
              </w:rPr>
              <w:t>|</w:t>
            </w:r>
            <w:r w:rsidR="00D648C6">
              <w:rPr>
                <w:rFonts w:ascii="Arial Narrow" w:hAnsi="Arial Narrow"/>
                <w:sz w:val="18"/>
                <w:vertAlign w:val="superscript"/>
              </w:rPr>
              <w:t>1</w:t>
            </w:r>
          </w:p>
        </w:tc>
        <w:tc>
          <w:tcPr>
            <w:tcW w:w="628" w:type="pct"/>
            <w:tcBorders>
              <w:bottom w:val="single" w:sz="4" w:space="0" w:color="auto"/>
            </w:tcBorders>
            <w:vAlign w:val="center"/>
          </w:tcPr>
          <w:p w14:paraId="047126CB" w14:textId="3A0E54CB" w:rsidR="003D5B4C" w:rsidRPr="00B3449A" w:rsidRDefault="003D5B4C" w:rsidP="00447403">
            <w:pPr>
              <w:keepNext/>
              <w:keepLines/>
              <w:jc w:val="center"/>
              <w:rPr>
                <w:rFonts w:ascii="Arial Narrow" w:eastAsiaTheme="majorEastAsia" w:hAnsi="Arial Narrow" w:cstheme="majorBidi"/>
                <w:bCs/>
                <w:sz w:val="20"/>
              </w:rPr>
            </w:pPr>
            <w:r w:rsidRPr="00B3449A">
              <w:rPr>
                <w:rFonts w:ascii="Arial Narrow" w:eastAsiaTheme="majorEastAsia" w:hAnsi="Arial Narrow" w:cstheme="majorBidi"/>
                <w:bCs/>
                <w:sz w:val="20"/>
              </w:rPr>
              <w:t>+13%</w:t>
            </w:r>
          </w:p>
        </w:tc>
      </w:tr>
      <w:tr w:rsidR="003D5B4C" w:rsidRPr="00B3449A" w14:paraId="40CB750E" w14:textId="77777777" w:rsidTr="00176C92">
        <w:tc>
          <w:tcPr>
            <w:tcW w:w="5000" w:type="pct"/>
            <w:gridSpan w:val="8"/>
            <w:tcBorders>
              <w:bottom w:val="single" w:sz="4" w:space="0" w:color="auto"/>
            </w:tcBorders>
            <w:shd w:val="clear" w:color="auto" w:fill="auto"/>
            <w:vAlign w:val="bottom"/>
          </w:tcPr>
          <w:p w14:paraId="41890682" w14:textId="77777777" w:rsidR="003D5B4C" w:rsidRPr="00B3449A" w:rsidRDefault="003D5B4C" w:rsidP="00447403">
            <w:pPr>
              <w:keepNext/>
              <w:keepLines/>
              <w:ind w:left="-76"/>
              <w:jc w:val="left"/>
              <w:rPr>
                <w:rFonts w:ascii="Arial Narrow" w:eastAsiaTheme="majorEastAsia" w:hAnsi="Arial Narrow" w:cstheme="majorBidi"/>
                <w:b/>
                <w:sz w:val="20"/>
                <w:szCs w:val="20"/>
              </w:rPr>
            </w:pPr>
            <w:r w:rsidRPr="00B3449A">
              <w:rPr>
                <w:rFonts w:ascii="Arial Narrow" w:eastAsiaTheme="majorEastAsia" w:hAnsi="Arial Narrow" w:cstheme="majorBidi"/>
                <w:b/>
                <w:sz w:val="20"/>
                <w:szCs w:val="20"/>
              </w:rPr>
              <w:t>Prevalent F/F population aged 1 to less than 2 years, base case 33 → 28</w:t>
            </w:r>
          </w:p>
        </w:tc>
      </w:tr>
      <w:tr w:rsidR="00A32E1B" w:rsidRPr="00B3449A" w14:paraId="21C03D54" w14:textId="77777777" w:rsidTr="00D907DA">
        <w:tc>
          <w:tcPr>
            <w:tcW w:w="922" w:type="pct"/>
            <w:tcBorders>
              <w:bottom w:val="single" w:sz="4" w:space="0" w:color="auto"/>
            </w:tcBorders>
            <w:shd w:val="clear" w:color="auto" w:fill="auto"/>
            <w:vAlign w:val="bottom"/>
          </w:tcPr>
          <w:p w14:paraId="58566D08" w14:textId="77777777" w:rsidR="003D5B4C" w:rsidRPr="00B3449A" w:rsidRDefault="003D5B4C" w:rsidP="00447403">
            <w:pPr>
              <w:keepNext/>
              <w:keepLines/>
              <w:ind w:left="-76"/>
              <w:jc w:val="left"/>
              <w:rPr>
                <w:rFonts w:ascii="Arial Narrow" w:eastAsiaTheme="majorEastAsia" w:hAnsi="Arial Narrow" w:cstheme="majorBidi"/>
                <w:bCs/>
                <w:sz w:val="20"/>
                <w:szCs w:val="20"/>
              </w:rPr>
            </w:pPr>
            <w:r w:rsidRPr="00B3449A">
              <w:rPr>
                <w:rFonts w:ascii="Arial Narrow" w:eastAsiaTheme="majorEastAsia" w:hAnsi="Arial Narrow" w:cstheme="majorBidi"/>
                <w:bCs/>
                <w:sz w:val="20"/>
                <w:szCs w:val="20"/>
              </w:rPr>
              <w:t>PBS/RPBS costs</w:t>
            </w:r>
          </w:p>
        </w:tc>
        <w:tc>
          <w:tcPr>
            <w:tcW w:w="575" w:type="pct"/>
            <w:tcBorders>
              <w:bottom w:val="single" w:sz="4" w:space="0" w:color="auto"/>
            </w:tcBorders>
            <w:shd w:val="clear" w:color="auto" w:fill="auto"/>
            <w:vAlign w:val="center"/>
          </w:tcPr>
          <w:p w14:paraId="06A1A8AC" w14:textId="7E1D5F8E"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4"/>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4"/>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02D07D05" w14:textId="21117BCF"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3"/>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3"/>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1358D494" w14:textId="6437B318"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2"/>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2"/>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51DFE83D" w14:textId="58DA5330"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1"/>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1"/>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15DD5F07" w14:textId="7421D8B3"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60"/>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60"/>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6893547A" w14:textId="1E3BC985"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76"/>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6"/>
                <w14:textFill>
                  <w14:solidFill>
                    <w14:srgbClr w14:val="000000">
                      <w14:alpha w14:val="100000"/>
                    </w14:srgbClr>
                  </w14:solidFill>
                </w14:textFill>
              </w:rPr>
              <w:t>|</w:t>
            </w:r>
            <w:r w:rsidR="00D648C6">
              <w:rPr>
                <w:rFonts w:ascii="Arial Narrow" w:hAnsi="Arial Narrow"/>
                <w:sz w:val="18"/>
                <w:vertAlign w:val="superscript"/>
              </w:rPr>
              <w:t>1</w:t>
            </w:r>
          </w:p>
        </w:tc>
        <w:tc>
          <w:tcPr>
            <w:tcW w:w="628" w:type="pct"/>
            <w:tcBorders>
              <w:bottom w:val="single" w:sz="4" w:space="0" w:color="auto"/>
            </w:tcBorders>
            <w:vAlign w:val="center"/>
          </w:tcPr>
          <w:p w14:paraId="771CAA5A" w14:textId="52D7D400" w:rsidR="003D5B4C" w:rsidRPr="00B3449A" w:rsidRDefault="003D5B4C" w:rsidP="00447403">
            <w:pPr>
              <w:keepNext/>
              <w:keepLines/>
              <w:jc w:val="center"/>
              <w:rPr>
                <w:rFonts w:ascii="Arial Narrow" w:eastAsiaTheme="majorEastAsia" w:hAnsi="Arial Narrow" w:cstheme="majorBidi"/>
                <w:bCs/>
                <w:sz w:val="20"/>
              </w:rPr>
            </w:pPr>
            <w:r w:rsidRPr="00B3449A">
              <w:rPr>
                <w:rFonts w:ascii="Arial Narrow" w:eastAsiaTheme="majorEastAsia" w:hAnsi="Arial Narrow" w:cstheme="majorBidi"/>
                <w:bCs/>
                <w:sz w:val="20"/>
              </w:rPr>
              <w:t>-16%</w:t>
            </w:r>
          </w:p>
        </w:tc>
      </w:tr>
      <w:tr w:rsidR="003D5B4C" w:rsidRPr="00B3449A" w14:paraId="240ECD80" w14:textId="77777777" w:rsidTr="00176C92">
        <w:tc>
          <w:tcPr>
            <w:tcW w:w="5000" w:type="pct"/>
            <w:gridSpan w:val="8"/>
            <w:tcBorders>
              <w:bottom w:val="single" w:sz="4" w:space="0" w:color="auto"/>
            </w:tcBorders>
            <w:shd w:val="clear" w:color="auto" w:fill="auto"/>
            <w:vAlign w:val="bottom"/>
          </w:tcPr>
          <w:p w14:paraId="66FD7217" w14:textId="77777777" w:rsidR="003D5B4C" w:rsidRPr="00B3449A" w:rsidRDefault="003D5B4C" w:rsidP="00447403">
            <w:pPr>
              <w:keepNext/>
              <w:keepLines/>
              <w:ind w:left="-76"/>
              <w:jc w:val="left"/>
              <w:rPr>
                <w:rFonts w:ascii="Arial Narrow" w:eastAsiaTheme="majorEastAsia" w:hAnsi="Arial Narrow" w:cstheme="majorBidi"/>
                <w:b/>
                <w:sz w:val="20"/>
                <w:szCs w:val="20"/>
              </w:rPr>
            </w:pPr>
            <w:r w:rsidRPr="00B3449A">
              <w:rPr>
                <w:rFonts w:ascii="Arial Narrow" w:eastAsiaTheme="majorEastAsia" w:hAnsi="Arial Narrow" w:cstheme="majorBidi"/>
                <w:b/>
                <w:sz w:val="20"/>
                <w:szCs w:val="20"/>
              </w:rPr>
              <w:t>Compliance, base case 99.94% → 95%</w:t>
            </w:r>
          </w:p>
        </w:tc>
      </w:tr>
      <w:tr w:rsidR="00A32E1B" w:rsidRPr="00B3449A" w14:paraId="312662F2" w14:textId="77777777" w:rsidTr="00D907DA">
        <w:tc>
          <w:tcPr>
            <w:tcW w:w="922" w:type="pct"/>
            <w:tcBorders>
              <w:bottom w:val="single" w:sz="4" w:space="0" w:color="auto"/>
            </w:tcBorders>
            <w:shd w:val="clear" w:color="auto" w:fill="auto"/>
            <w:vAlign w:val="bottom"/>
          </w:tcPr>
          <w:p w14:paraId="66EE659D" w14:textId="77777777" w:rsidR="003D5B4C" w:rsidRPr="00B3449A" w:rsidRDefault="003D5B4C" w:rsidP="00447403">
            <w:pPr>
              <w:keepNext/>
              <w:keepLines/>
              <w:ind w:left="-76"/>
              <w:jc w:val="left"/>
              <w:rPr>
                <w:rFonts w:ascii="Arial Narrow" w:eastAsiaTheme="majorEastAsia" w:hAnsi="Arial Narrow" w:cstheme="majorBidi"/>
                <w:bCs/>
                <w:sz w:val="20"/>
                <w:szCs w:val="20"/>
              </w:rPr>
            </w:pPr>
            <w:r w:rsidRPr="00B3449A">
              <w:rPr>
                <w:rFonts w:ascii="Arial Narrow" w:eastAsiaTheme="majorEastAsia" w:hAnsi="Arial Narrow" w:cstheme="majorBidi"/>
                <w:bCs/>
                <w:sz w:val="20"/>
                <w:szCs w:val="20"/>
              </w:rPr>
              <w:t>PBS/RPBS costs</w:t>
            </w:r>
          </w:p>
        </w:tc>
        <w:tc>
          <w:tcPr>
            <w:tcW w:w="575" w:type="pct"/>
            <w:tcBorders>
              <w:bottom w:val="single" w:sz="4" w:space="0" w:color="auto"/>
            </w:tcBorders>
            <w:shd w:val="clear" w:color="auto" w:fill="auto"/>
            <w:vAlign w:val="center"/>
          </w:tcPr>
          <w:p w14:paraId="62BD2820" w14:textId="28E56E37"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75"/>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5"/>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0DB949A4" w14:textId="68EB4B06"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74"/>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4"/>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184ACF47" w14:textId="6F406F18"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73"/>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3"/>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08FEA133" w14:textId="6FBF8E93"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72"/>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2"/>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2B7AE32B" w14:textId="17DC3496"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71"/>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1"/>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bottom w:val="single" w:sz="4" w:space="0" w:color="auto"/>
            </w:tcBorders>
            <w:shd w:val="clear" w:color="auto" w:fill="auto"/>
            <w:vAlign w:val="center"/>
          </w:tcPr>
          <w:p w14:paraId="2469A098" w14:textId="13295D45" w:rsidR="003D5B4C" w:rsidRPr="00D648C6" w:rsidRDefault="00D62E6D" w:rsidP="00447403">
            <w:pPr>
              <w:keepNext/>
              <w:keepLines/>
              <w:jc w:val="center"/>
              <w:rPr>
                <w:rFonts w:ascii="Arial Narrow" w:eastAsiaTheme="majorEastAsia" w:hAnsi="Arial Narrow"/>
                <w:sz w:val="20"/>
                <w:szCs w:val="20"/>
                <w:highlight w:val="darkGray"/>
                <w:lang w:eastAsia="en-US"/>
              </w:rPr>
            </w:pPr>
            <w:r w:rsidRPr="00D62E6D">
              <w:rPr>
                <w:rFonts w:ascii="Arial Narrow" w:eastAsiaTheme="majorEastAsia" w:hAnsi="Arial Narrow"/>
                <w:color w:val="000000"/>
                <w:spacing w:val="74"/>
                <w:sz w:val="20"/>
                <w:szCs w:val="20"/>
                <w:shd w:val="solid" w:color="000000" w:fill="000000"/>
                <w:fitText w:val="160" w:id="-1167896570"/>
                <w14:textFill>
                  <w14:solidFill>
                    <w14:srgbClr w14:val="000000">
                      <w14:alpha w14:val="100000"/>
                    </w14:srgbClr>
                  </w14:solidFill>
                </w14:textFill>
              </w:rPr>
              <w:t>|</w:t>
            </w:r>
            <w:r w:rsidRPr="00D62E6D">
              <w:rPr>
                <w:rFonts w:ascii="Arial Narrow" w:eastAsiaTheme="majorEastAsia" w:hAnsi="Arial Narrow"/>
                <w:color w:val="000000"/>
                <w:spacing w:val="1"/>
                <w:sz w:val="20"/>
                <w:szCs w:val="20"/>
                <w:shd w:val="solid" w:color="000000" w:fill="000000"/>
                <w:fitText w:val="160" w:id="-1167896570"/>
                <w14:textFill>
                  <w14:solidFill>
                    <w14:srgbClr w14:val="000000">
                      <w14:alpha w14:val="100000"/>
                    </w14:srgbClr>
                  </w14:solidFill>
                </w14:textFill>
              </w:rPr>
              <w:t>|</w:t>
            </w:r>
            <w:r w:rsidR="00D648C6">
              <w:rPr>
                <w:rFonts w:ascii="Arial Narrow" w:hAnsi="Arial Narrow"/>
                <w:sz w:val="18"/>
                <w:vertAlign w:val="superscript"/>
              </w:rPr>
              <w:t>1</w:t>
            </w:r>
          </w:p>
        </w:tc>
        <w:tc>
          <w:tcPr>
            <w:tcW w:w="628" w:type="pct"/>
            <w:tcBorders>
              <w:bottom w:val="single" w:sz="4" w:space="0" w:color="auto"/>
            </w:tcBorders>
            <w:vAlign w:val="center"/>
          </w:tcPr>
          <w:p w14:paraId="0342B500" w14:textId="3CECDF30" w:rsidR="003D5B4C" w:rsidRPr="00B3449A" w:rsidRDefault="003D5B4C" w:rsidP="00447403">
            <w:pPr>
              <w:keepNext/>
              <w:keepLines/>
              <w:jc w:val="center"/>
              <w:rPr>
                <w:rFonts w:ascii="Arial Narrow" w:eastAsiaTheme="majorEastAsia" w:hAnsi="Arial Narrow" w:cstheme="majorBidi"/>
                <w:bCs/>
                <w:sz w:val="20"/>
              </w:rPr>
            </w:pPr>
            <w:r w:rsidRPr="00B3449A">
              <w:rPr>
                <w:rFonts w:ascii="Arial Narrow" w:eastAsiaTheme="majorEastAsia" w:hAnsi="Arial Narrow" w:cstheme="majorBidi"/>
                <w:bCs/>
                <w:sz w:val="20"/>
              </w:rPr>
              <w:t>-5%</w:t>
            </w:r>
          </w:p>
        </w:tc>
      </w:tr>
      <w:tr w:rsidR="003D5B4C" w:rsidRPr="00B3449A" w14:paraId="07766819" w14:textId="77777777" w:rsidTr="00D907DA">
        <w:tc>
          <w:tcPr>
            <w:tcW w:w="4372" w:type="pct"/>
            <w:gridSpan w:val="7"/>
            <w:tcBorders>
              <w:right w:val="nil"/>
            </w:tcBorders>
            <w:shd w:val="clear" w:color="auto" w:fill="auto"/>
            <w:tcMar>
              <w:left w:w="20" w:type="dxa"/>
              <w:right w:w="20" w:type="dxa"/>
            </w:tcMar>
          </w:tcPr>
          <w:p w14:paraId="0F2BFAD6" w14:textId="56DF1A23" w:rsidR="003D5B4C" w:rsidRPr="00B3449A" w:rsidRDefault="003D5B4C" w:rsidP="006E36B3">
            <w:pPr>
              <w:keepNext/>
              <w:keepLines/>
              <w:jc w:val="left"/>
              <w:rPr>
                <w:rFonts w:ascii="Arial Narrow" w:eastAsiaTheme="majorEastAsia" w:hAnsi="Arial Narrow" w:cstheme="majorBidi"/>
                <w:b/>
                <w:sz w:val="20"/>
                <w:szCs w:val="20"/>
              </w:rPr>
            </w:pPr>
            <w:r w:rsidRPr="00B3449A">
              <w:rPr>
                <w:rFonts w:ascii="Arial Narrow" w:eastAsiaTheme="majorEastAsia" w:hAnsi="Arial Narrow" w:cstheme="majorBidi"/>
                <w:b/>
                <w:sz w:val="20"/>
                <w:szCs w:val="20"/>
              </w:rPr>
              <w:t>Compliance, base case 99.94% → 90% (#1)</w:t>
            </w:r>
          </w:p>
        </w:tc>
        <w:tc>
          <w:tcPr>
            <w:tcW w:w="628" w:type="pct"/>
            <w:tcBorders>
              <w:left w:val="nil"/>
            </w:tcBorders>
          </w:tcPr>
          <w:p w14:paraId="25429C64" w14:textId="77777777" w:rsidR="003D5B4C" w:rsidRPr="00B3449A" w:rsidRDefault="003D5B4C" w:rsidP="00447403">
            <w:pPr>
              <w:keepNext/>
              <w:keepLines/>
              <w:ind w:left="-76"/>
              <w:jc w:val="left"/>
              <w:rPr>
                <w:rFonts w:ascii="Arial Narrow" w:eastAsiaTheme="majorEastAsia" w:hAnsi="Arial Narrow" w:cstheme="majorBidi"/>
                <w:bCs/>
                <w:sz w:val="20"/>
                <w:szCs w:val="20"/>
              </w:rPr>
            </w:pPr>
          </w:p>
        </w:tc>
      </w:tr>
      <w:tr w:rsidR="00A32E1B" w:rsidRPr="00B3449A" w14:paraId="3C94764E" w14:textId="77777777" w:rsidTr="00D907DA">
        <w:tc>
          <w:tcPr>
            <w:tcW w:w="922" w:type="pct"/>
            <w:shd w:val="clear" w:color="auto" w:fill="auto"/>
            <w:vAlign w:val="bottom"/>
          </w:tcPr>
          <w:p w14:paraId="64842A4C" w14:textId="77777777" w:rsidR="003D5B4C" w:rsidRPr="00B3449A" w:rsidRDefault="003D5B4C" w:rsidP="00447403">
            <w:pPr>
              <w:keepNext/>
              <w:keepLines/>
              <w:ind w:left="-76"/>
              <w:jc w:val="left"/>
              <w:rPr>
                <w:rFonts w:ascii="Arial Narrow" w:eastAsiaTheme="majorEastAsia" w:hAnsi="Arial Narrow" w:cstheme="majorBidi"/>
                <w:bCs/>
                <w:sz w:val="20"/>
                <w:szCs w:val="20"/>
              </w:rPr>
            </w:pPr>
            <w:r w:rsidRPr="00B3449A">
              <w:rPr>
                <w:rFonts w:ascii="Arial Narrow" w:eastAsiaTheme="majorEastAsia" w:hAnsi="Arial Narrow" w:cstheme="majorBidi"/>
                <w:bCs/>
                <w:sz w:val="20"/>
                <w:szCs w:val="20"/>
              </w:rPr>
              <w:t>PBS/RPBS costs</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D578DAF" w14:textId="3327315F" w:rsidR="003D5B4C" w:rsidRPr="00D648C6" w:rsidRDefault="00D62E6D" w:rsidP="00447403">
            <w:pPr>
              <w:keepNext/>
              <w:keepLines/>
              <w:jc w:val="center"/>
              <w:rPr>
                <w:rFonts w:ascii="Arial Narrow" w:eastAsiaTheme="majorEastAsia" w:hAnsi="Arial Narrow" w:cstheme="majorBidi"/>
                <w:bCs/>
                <w:sz w:val="20"/>
                <w:highlight w:val="darkGray"/>
              </w:rPr>
            </w:pPr>
            <w:r w:rsidRPr="00D62E6D">
              <w:rPr>
                <w:rFonts w:ascii="Arial Narrow" w:hAnsi="Arial Narrow"/>
                <w:snapToGrid w:val="0"/>
                <w:color w:val="000000"/>
                <w:spacing w:val="74"/>
                <w:sz w:val="20"/>
                <w:szCs w:val="20"/>
                <w:shd w:val="solid" w:color="000000" w:fill="000000"/>
                <w:fitText w:val="160" w:id="-1167896569"/>
                <w14:textFill>
                  <w14:solidFill>
                    <w14:srgbClr w14:val="000000">
                      <w14:alpha w14:val="100000"/>
                    </w14:srgbClr>
                  </w14:solidFill>
                </w14:textFill>
              </w:rPr>
              <w:t>|</w:t>
            </w:r>
            <w:r w:rsidRPr="00D62E6D">
              <w:rPr>
                <w:rFonts w:ascii="Arial Narrow" w:hAnsi="Arial Narrow"/>
                <w:snapToGrid w:val="0"/>
                <w:color w:val="000000"/>
                <w:spacing w:val="1"/>
                <w:sz w:val="20"/>
                <w:szCs w:val="20"/>
                <w:shd w:val="solid" w:color="000000" w:fill="000000"/>
                <w:fitText w:val="160" w:id="-1167896569"/>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vAlign w:val="center"/>
          </w:tcPr>
          <w:p w14:paraId="62E357E0" w14:textId="6DA1D65D" w:rsidR="003D5B4C" w:rsidRPr="00D648C6" w:rsidRDefault="00D62E6D" w:rsidP="00447403">
            <w:pPr>
              <w:keepNext/>
              <w:keepLines/>
              <w:jc w:val="center"/>
              <w:rPr>
                <w:rFonts w:ascii="Arial Narrow" w:eastAsiaTheme="majorEastAsia" w:hAnsi="Arial Narrow" w:cstheme="majorBidi"/>
                <w:bCs/>
                <w:sz w:val="20"/>
                <w:highlight w:val="darkGray"/>
              </w:rPr>
            </w:pPr>
            <w:r w:rsidRPr="00D62E6D">
              <w:rPr>
                <w:rFonts w:ascii="Arial Narrow" w:hAnsi="Arial Narrow"/>
                <w:snapToGrid w:val="0"/>
                <w:color w:val="000000"/>
                <w:spacing w:val="74"/>
                <w:sz w:val="20"/>
                <w:szCs w:val="20"/>
                <w:shd w:val="solid" w:color="000000" w:fill="000000"/>
                <w:fitText w:val="160" w:id="-1167896568"/>
                <w14:textFill>
                  <w14:solidFill>
                    <w14:srgbClr w14:val="000000">
                      <w14:alpha w14:val="100000"/>
                    </w14:srgbClr>
                  </w14:solidFill>
                </w14:textFill>
              </w:rPr>
              <w:t>|</w:t>
            </w:r>
            <w:r w:rsidRPr="00D62E6D">
              <w:rPr>
                <w:rFonts w:ascii="Arial Narrow" w:hAnsi="Arial Narrow"/>
                <w:snapToGrid w:val="0"/>
                <w:color w:val="000000"/>
                <w:spacing w:val="1"/>
                <w:sz w:val="20"/>
                <w:szCs w:val="20"/>
                <w:shd w:val="solid" w:color="000000" w:fill="000000"/>
                <w:fitText w:val="160" w:id="-1167896568"/>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vAlign w:val="center"/>
          </w:tcPr>
          <w:p w14:paraId="46AF1C65" w14:textId="0CBC5725" w:rsidR="003D5B4C" w:rsidRPr="00D648C6" w:rsidRDefault="00D62E6D" w:rsidP="00447403">
            <w:pPr>
              <w:keepNext/>
              <w:keepLines/>
              <w:jc w:val="center"/>
              <w:rPr>
                <w:rFonts w:ascii="Arial Narrow" w:eastAsiaTheme="majorEastAsia" w:hAnsi="Arial Narrow" w:cstheme="majorBidi"/>
                <w:bCs/>
                <w:sz w:val="20"/>
                <w:highlight w:val="darkGray"/>
              </w:rPr>
            </w:pPr>
            <w:r w:rsidRPr="00D62E6D">
              <w:rPr>
                <w:rFonts w:ascii="Arial Narrow" w:hAnsi="Arial Narrow"/>
                <w:snapToGrid w:val="0"/>
                <w:color w:val="000000"/>
                <w:spacing w:val="74"/>
                <w:sz w:val="20"/>
                <w:szCs w:val="20"/>
                <w:shd w:val="solid" w:color="000000" w:fill="000000"/>
                <w:fitText w:val="160" w:id="-1167896567"/>
                <w14:textFill>
                  <w14:solidFill>
                    <w14:srgbClr w14:val="000000">
                      <w14:alpha w14:val="100000"/>
                    </w14:srgbClr>
                  </w14:solidFill>
                </w14:textFill>
              </w:rPr>
              <w:t>|</w:t>
            </w:r>
            <w:r w:rsidRPr="00D62E6D">
              <w:rPr>
                <w:rFonts w:ascii="Arial Narrow" w:hAnsi="Arial Narrow"/>
                <w:snapToGrid w:val="0"/>
                <w:color w:val="000000"/>
                <w:spacing w:val="1"/>
                <w:sz w:val="20"/>
                <w:szCs w:val="20"/>
                <w:shd w:val="solid" w:color="000000" w:fill="000000"/>
                <w:fitText w:val="160" w:id="-1167896567"/>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vAlign w:val="center"/>
          </w:tcPr>
          <w:p w14:paraId="46E1175F" w14:textId="3F777338" w:rsidR="003D5B4C" w:rsidRPr="00D648C6" w:rsidRDefault="00D62E6D" w:rsidP="00447403">
            <w:pPr>
              <w:keepNext/>
              <w:keepLines/>
              <w:jc w:val="center"/>
              <w:rPr>
                <w:rFonts w:ascii="Arial Narrow" w:eastAsiaTheme="majorEastAsia" w:hAnsi="Arial Narrow" w:cstheme="majorBidi"/>
                <w:bCs/>
                <w:sz w:val="20"/>
                <w:highlight w:val="darkGray"/>
              </w:rPr>
            </w:pPr>
            <w:r w:rsidRPr="00D62E6D">
              <w:rPr>
                <w:rFonts w:ascii="Arial Narrow" w:hAnsi="Arial Narrow"/>
                <w:snapToGrid w:val="0"/>
                <w:color w:val="000000"/>
                <w:spacing w:val="74"/>
                <w:sz w:val="20"/>
                <w:szCs w:val="20"/>
                <w:shd w:val="solid" w:color="000000" w:fill="000000"/>
                <w:fitText w:val="160" w:id="-1167896566"/>
                <w14:textFill>
                  <w14:solidFill>
                    <w14:srgbClr w14:val="000000">
                      <w14:alpha w14:val="100000"/>
                    </w14:srgbClr>
                  </w14:solidFill>
                </w14:textFill>
              </w:rPr>
              <w:t>|</w:t>
            </w:r>
            <w:r w:rsidRPr="00D62E6D">
              <w:rPr>
                <w:rFonts w:ascii="Arial Narrow" w:hAnsi="Arial Narrow"/>
                <w:snapToGrid w:val="0"/>
                <w:color w:val="000000"/>
                <w:spacing w:val="1"/>
                <w:sz w:val="20"/>
                <w:szCs w:val="20"/>
                <w:shd w:val="solid" w:color="000000" w:fill="000000"/>
                <w:fitText w:val="160" w:id="-1167896566"/>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vAlign w:val="center"/>
          </w:tcPr>
          <w:p w14:paraId="444A78B2" w14:textId="1BC85D01" w:rsidR="003D5B4C" w:rsidRPr="00D648C6" w:rsidRDefault="00D62E6D" w:rsidP="00447403">
            <w:pPr>
              <w:keepNext/>
              <w:keepLines/>
              <w:jc w:val="center"/>
              <w:rPr>
                <w:rFonts w:ascii="Arial Narrow" w:eastAsiaTheme="majorEastAsia" w:hAnsi="Arial Narrow" w:cstheme="majorBidi"/>
                <w:bCs/>
                <w:sz w:val="20"/>
                <w:highlight w:val="darkGray"/>
              </w:rPr>
            </w:pPr>
            <w:r w:rsidRPr="00D62E6D">
              <w:rPr>
                <w:rFonts w:ascii="Arial Narrow" w:hAnsi="Arial Narrow"/>
                <w:snapToGrid w:val="0"/>
                <w:color w:val="000000"/>
                <w:spacing w:val="74"/>
                <w:sz w:val="20"/>
                <w:szCs w:val="20"/>
                <w:shd w:val="solid" w:color="000000" w:fill="000000"/>
                <w:fitText w:val="160" w:id="-1167896565"/>
                <w14:textFill>
                  <w14:solidFill>
                    <w14:srgbClr w14:val="000000">
                      <w14:alpha w14:val="100000"/>
                    </w14:srgbClr>
                  </w14:solidFill>
                </w14:textFill>
              </w:rPr>
              <w:t>|</w:t>
            </w:r>
            <w:r w:rsidRPr="00D62E6D">
              <w:rPr>
                <w:rFonts w:ascii="Arial Narrow" w:hAnsi="Arial Narrow"/>
                <w:snapToGrid w:val="0"/>
                <w:color w:val="000000"/>
                <w:spacing w:val="1"/>
                <w:sz w:val="20"/>
                <w:szCs w:val="20"/>
                <w:shd w:val="solid" w:color="000000" w:fill="000000"/>
                <w:fitText w:val="160" w:id="-1167896565"/>
                <w14:textFill>
                  <w14:solidFill>
                    <w14:srgbClr w14:val="000000">
                      <w14:alpha w14:val="100000"/>
                    </w14:srgbClr>
                  </w14:solidFill>
                </w14:textFill>
              </w:rPr>
              <w:t>|</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vAlign w:val="center"/>
          </w:tcPr>
          <w:p w14:paraId="78050EB1" w14:textId="697E20A7" w:rsidR="003D5B4C" w:rsidRPr="00D648C6" w:rsidRDefault="00D62E6D" w:rsidP="00447403">
            <w:pPr>
              <w:keepNext/>
              <w:keepLines/>
              <w:jc w:val="center"/>
              <w:rPr>
                <w:rFonts w:ascii="Arial Narrow" w:eastAsiaTheme="majorEastAsia" w:hAnsi="Arial Narrow" w:cstheme="majorBidi"/>
                <w:bCs/>
                <w:sz w:val="20"/>
                <w:highlight w:val="darkGray"/>
              </w:rPr>
            </w:pPr>
            <w:r w:rsidRPr="00D62E6D">
              <w:rPr>
                <w:rFonts w:ascii="Arial Narrow" w:hAnsi="Arial Narrow"/>
                <w:snapToGrid w:val="0"/>
                <w:color w:val="000000"/>
                <w:spacing w:val="74"/>
                <w:sz w:val="20"/>
                <w:szCs w:val="20"/>
                <w:shd w:val="solid" w:color="000000" w:fill="000000"/>
                <w:fitText w:val="160" w:id="-1167896564"/>
                <w14:textFill>
                  <w14:solidFill>
                    <w14:srgbClr w14:val="000000">
                      <w14:alpha w14:val="100000"/>
                    </w14:srgbClr>
                  </w14:solidFill>
                </w14:textFill>
              </w:rPr>
              <w:t>|</w:t>
            </w:r>
            <w:r w:rsidRPr="00D62E6D">
              <w:rPr>
                <w:rFonts w:ascii="Arial Narrow" w:hAnsi="Arial Narrow"/>
                <w:snapToGrid w:val="0"/>
                <w:color w:val="000000"/>
                <w:spacing w:val="1"/>
                <w:sz w:val="20"/>
                <w:szCs w:val="20"/>
                <w:shd w:val="solid" w:color="000000" w:fill="000000"/>
                <w:fitText w:val="160" w:id="-1167896564"/>
                <w14:textFill>
                  <w14:solidFill>
                    <w14:srgbClr w14:val="000000">
                      <w14:alpha w14:val="100000"/>
                    </w14:srgbClr>
                  </w14:solidFill>
                </w14:textFill>
              </w:rPr>
              <w:t>|</w:t>
            </w:r>
            <w:r w:rsidR="00D648C6">
              <w:rPr>
                <w:rFonts w:ascii="Arial Narrow" w:hAnsi="Arial Narrow"/>
                <w:sz w:val="18"/>
                <w:vertAlign w:val="superscript"/>
              </w:rPr>
              <w:t>1</w:t>
            </w:r>
          </w:p>
        </w:tc>
        <w:tc>
          <w:tcPr>
            <w:tcW w:w="628" w:type="pct"/>
            <w:vAlign w:val="center"/>
          </w:tcPr>
          <w:p w14:paraId="751187D2" w14:textId="663B1073" w:rsidR="003D5B4C" w:rsidRPr="00B3449A" w:rsidRDefault="003D5B4C" w:rsidP="00447403">
            <w:pPr>
              <w:keepNext/>
              <w:keepLines/>
              <w:jc w:val="center"/>
              <w:rPr>
                <w:rFonts w:ascii="Arial Narrow" w:eastAsiaTheme="majorEastAsia" w:hAnsi="Arial Narrow" w:cstheme="majorBidi"/>
                <w:bCs/>
                <w:sz w:val="20"/>
              </w:rPr>
            </w:pPr>
            <w:r w:rsidRPr="00B3449A">
              <w:rPr>
                <w:rFonts w:ascii="Arial Narrow" w:eastAsiaTheme="majorEastAsia" w:hAnsi="Arial Narrow" w:cstheme="majorBidi"/>
                <w:bCs/>
                <w:sz w:val="20"/>
              </w:rPr>
              <w:t>-10%</w:t>
            </w:r>
          </w:p>
        </w:tc>
      </w:tr>
      <w:tr w:rsidR="003D5B4C" w:rsidRPr="00B3449A" w14:paraId="5FFFF34C" w14:textId="77777777" w:rsidTr="006E36B3">
        <w:tc>
          <w:tcPr>
            <w:tcW w:w="5000" w:type="pct"/>
            <w:gridSpan w:val="8"/>
            <w:shd w:val="clear" w:color="auto" w:fill="auto"/>
            <w:tcMar>
              <w:left w:w="20" w:type="dxa"/>
              <w:right w:w="20" w:type="dxa"/>
            </w:tcMar>
            <w:vAlign w:val="bottom"/>
          </w:tcPr>
          <w:p w14:paraId="32221157" w14:textId="736FB61C" w:rsidR="003D5B4C" w:rsidRPr="00B3449A" w:rsidRDefault="003D5B4C" w:rsidP="00447403">
            <w:pPr>
              <w:keepNext/>
              <w:keepLines/>
              <w:jc w:val="left"/>
              <w:rPr>
                <w:rFonts w:ascii="Arial Narrow" w:eastAsiaTheme="majorEastAsia" w:hAnsi="Arial Narrow" w:cstheme="majorBidi"/>
                <w:b/>
                <w:sz w:val="20"/>
              </w:rPr>
            </w:pPr>
            <w:r w:rsidRPr="00B3449A">
              <w:rPr>
                <w:rFonts w:ascii="Arial Narrow" w:eastAsiaTheme="majorEastAsia" w:hAnsi="Arial Narrow" w:cstheme="majorBidi"/>
                <w:b/>
                <w:sz w:val="20"/>
                <w:szCs w:val="20"/>
              </w:rPr>
              <w:t xml:space="preserve">An additional 30 patients </w:t>
            </w:r>
            <w:r w:rsidR="00294146" w:rsidRPr="00B3449A">
              <w:rPr>
                <w:rFonts w:ascii="Arial Narrow" w:eastAsiaTheme="majorEastAsia" w:hAnsi="Arial Narrow" w:cstheme="majorBidi"/>
                <w:b/>
                <w:sz w:val="20"/>
                <w:szCs w:val="20"/>
              </w:rPr>
              <w:t xml:space="preserve">aged 1 to less than 2 years </w:t>
            </w:r>
            <w:r w:rsidRPr="00B3449A">
              <w:rPr>
                <w:rFonts w:ascii="Arial Narrow" w:eastAsiaTheme="majorEastAsia" w:hAnsi="Arial Narrow" w:cstheme="majorBidi"/>
                <w:b/>
                <w:sz w:val="20"/>
                <w:szCs w:val="20"/>
              </w:rPr>
              <w:t>initiating</w:t>
            </w:r>
            <w:r w:rsidR="00294146" w:rsidRPr="00B3449A">
              <w:rPr>
                <w:rFonts w:ascii="Arial Narrow" w:eastAsiaTheme="majorEastAsia" w:hAnsi="Arial Narrow" w:cstheme="majorBidi"/>
                <w:b/>
                <w:sz w:val="20"/>
                <w:szCs w:val="20"/>
              </w:rPr>
              <w:t xml:space="preserve"> treatment </w:t>
            </w:r>
            <w:r w:rsidRPr="00B3449A">
              <w:rPr>
                <w:rFonts w:ascii="Arial Narrow" w:eastAsiaTheme="majorEastAsia" w:hAnsi="Arial Narrow" w:cstheme="majorBidi"/>
                <w:b/>
                <w:sz w:val="20"/>
                <w:szCs w:val="20"/>
              </w:rPr>
              <w:t xml:space="preserve">each year </w:t>
            </w:r>
            <w:r w:rsidR="00294146" w:rsidRPr="00B3449A">
              <w:rPr>
                <w:rFonts w:ascii="Arial Narrow" w:eastAsiaTheme="majorEastAsia" w:hAnsi="Arial Narrow" w:cstheme="majorBidi"/>
                <w:b/>
                <w:sz w:val="20"/>
                <w:szCs w:val="20"/>
              </w:rPr>
              <w:t>with patients in Year 1 receiving 6 months of treatment</w:t>
            </w:r>
            <w:r w:rsidRPr="00B3449A">
              <w:rPr>
                <w:rFonts w:ascii="Arial Narrow" w:eastAsiaTheme="majorEastAsia" w:hAnsi="Arial Narrow" w:cstheme="majorBidi"/>
                <w:b/>
                <w:sz w:val="20"/>
                <w:szCs w:val="20"/>
              </w:rPr>
              <w:t xml:space="preserve"> (#2)</w:t>
            </w:r>
          </w:p>
        </w:tc>
      </w:tr>
      <w:tr w:rsidR="00A32E1B" w:rsidRPr="00B3449A" w14:paraId="0EC2CA75" w14:textId="77777777" w:rsidTr="00D907DA">
        <w:tc>
          <w:tcPr>
            <w:tcW w:w="922" w:type="pct"/>
            <w:shd w:val="clear" w:color="auto" w:fill="auto"/>
            <w:tcMar>
              <w:left w:w="20" w:type="dxa"/>
              <w:right w:w="20" w:type="dxa"/>
            </w:tcMar>
            <w:vAlign w:val="bottom"/>
          </w:tcPr>
          <w:p w14:paraId="0A9EA79D" w14:textId="4449B917" w:rsidR="00294146" w:rsidRPr="00B3449A" w:rsidRDefault="00294146" w:rsidP="006E36B3">
            <w:pPr>
              <w:keepNext/>
              <w:keepLines/>
              <w:jc w:val="left"/>
              <w:rPr>
                <w:rFonts w:ascii="Arial Narrow" w:eastAsiaTheme="majorEastAsia" w:hAnsi="Arial Narrow" w:cstheme="majorBidi"/>
                <w:bCs/>
                <w:sz w:val="20"/>
                <w:szCs w:val="20"/>
              </w:rPr>
            </w:pPr>
            <w:r w:rsidRPr="00B3449A">
              <w:rPr>
                <w:rFonts w:ascii="Arial Narrow" w:eastAsiaTheme="majorEastAsia" w:hAnsi="Arial Narrow" w:cstheme="majorBidi"/>
                <w:bCs/>
                <w:sz w:val="20"/>
                <w:szCs w:val="20"/>
              </w:rPr>
              <w:t>PBS/RPBS costs</w:t>
            </w:r>
          </w:p>
        </w:tc>
        <w:tc>
          <w:tcPr>
            <w:tcW w:w="575"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0390D794" w14:textId="14B06B13"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3" w:id="-1167896563"/>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3" w:id="-1167896563"/>
                <w14:textFill>
                  <w14:solidFill>
                    <w14:srgbClr w14:val="000000">
                      <w14:alpha w14:val="100000"/>
                    </w14:srgbClr>
                  </w14:solidFill>
                </w14:textFill>
              </w:rPr>
              <w:t>|</w:t>
            </w:r>
            <w:r w:rsidRPr="00D62E6D">
              <w:rPr>
                <w:rFonts w:ascii="Arial Narrow" w:hAnsi="Arial Narrow" w:hint="eastAsia"/>
                <w:snapToGrid w:val="0"/>
                <w:color w:val="000000"/>
                <w:spacing w:val="3"/>
                <w:w w:val="16"/>
                <w:sz w:val="20"/>
                <w:szCs w:val="20"/>
                <w:shd w:val="solid" w:color="000000" w:fill="000000"/>
                <w:fitText w:val="73" w:id="-1167896563"/>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66AAFC50" w14:textId="0FD3AD15"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3" w:id="-1167896562"/>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3" w:id="-1167896562"/>
                <w14:textFill>
                  <w14:solidFill>
                    <w14:srgbClr w14:val="000000">
                      <w14:alpha w14:val="100000"/>
                    </w14:srgbClr>
                  </w14:solidFill>
                </w14:textFill>
              </w:rPr>
              <w:t>|</w:t>
            </w:r>
            <w:r w:rsidRPr="00D62E6D">
              <w:rPr>
                <w:rFonts w:ascii="Arial Narrow" w:hAnsi="Arial Narrow" w:hint="eastAsia"/>
                <w:snapToGrid w:val="0"/>
                <w:color w:val="000000"/>
                <w:spacing w:val="3"/>
                <w:w w:val="16"/>
                <w:sz w:val="20"/>
                <w:szCs w:val="20"/>
                <w:shd w:val="solid" w:color="000000" w:fill="000000"/>
                <w:fitText w:val="73" w:id="-1167896562"/>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489E8811" w14:textId="0B75DEB2"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3" w:id="-1167896561"/>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3" w:id="-1167896561"/>
                <w14:textFill>
                  <w14:solidFill>
                    <w14:srgbClr w14:val="000000">
                      <w14:alpha w14:val="100000"/>
                    </w14:srgbClr>
                  </w14:solidFill>
                </w14:textFill>
              </w:rPr>
              <w:t>|</w:t>
            </w:r>
            <w:r w:rsidRPr="00D62E6D">
              <w:rPr>
                <w:rFonts w:ascii="Arial Narrow" w:hAnsi="Arial Narrow" w:hint="eastAsia"/>
                <w:snapToGrid w:val="0"/>
                <w:color w:val="000000"/>
                <w:spacing w:val="3"/>
                <w:w w:val="16"/>
                <w:sz w:val="20"/>
                <w:szCs w:val="20"/>
                <w:shd w:val="solid" w:color="000000" w:fill="000000"/>
                <w:fitText w:val="73" w:id="-1167896561"/>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04D6C973" w14:textId="5F1B2390"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2" w:id="-1167896560"/>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2" w:id="-1167896560"/>
                <w14:textFill>
                  <w14:solidFill>
                    <w14:srgbClr w14:val="000000">
                      <w14:alpha w14:val="100000"/>
                    </w14:srgbClr>
                  </w14:solidFill>
                </w14:textFill>
              </w:rPr>
              <w:t>|</w:t>
            </w:r>
            <w:r w:rsidRPr="00D62E6D">
              <w:rPr>
                <w:rFonts w:ascii="Arial Narrow" w:hAnsi="Arial Narrow" w:hint="eastAsia"/>
                <w:snapToGrid w:val="0"/>
                <w:color w:val="000000"/>
                <w:spacing w:val="2"/>
                <w:w w:val="16"/>
                <w:sz w:val="20"/>
                <w:szCs w:val="20"/>
                <w:shd w:val="solid" w:color="000000" w:fill="000000"/>
                <w:fitText w:val="72" w:id="-1167896560"/>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3EFAE904" w14:textId="002DDFC6"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3" w:id="-1167896576"/>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3" w:id="-1167896576"/>
                <w14:textFill>
                  <w14:solidFill>
                    <w14:srgbClr w14:val="000000">
                      <w14:alpha w14:val="100000"/>
                    </w14:srgbClr>
                  </w14:solidFill>
                </w14:textFill>
              </w:rPr>
              <w:t>|</w:t>
            </w:r>
            <w:r w:rsidRPr="00D62E6D">
              <w:rPr>
                <w:rFonts w:ascii="Arial Narrow" w:hAnsi="Arial Narrow" w:hint="eastAsia"/>
                <w:snapToGrid w:val="0"/>
                <w:color w:val="000000"/>
                <w:spacing w:val="3"/>
                <w:w w:val="16"/>
                <w:sz w:val="20"/>
                <w:szCs w:val="20"/>
                <w:shd w:val="solid" w:color="000000" w:fill="000000"/>
                <w:fitText w:val="73" w:id="-1167896576"/>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3ACA06AF" w14:textId="50820FA7"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2" w:id="-1167896575"/>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2" w:id="-1167896575"/>
                <w14:textFill>
                  <w14:solidFill>
                    <w14:srgbClr w14:val="000000">
                      <w14:alpha w14:val="100000"/>
                    </w14:srgbClr>
                  </w14:solidFill>
                </w14:textFill>
              </w:rPr>
              <w:t>|</w:t>
            </w:r>
            <w:r w:rsidRPr="00D62E6D">
              <w:rPr>
                <w:rFonts w:ascii="Arial Narrow" w:hAnsi="Arial Narrow" w:hint="eastAsia"/>
                <w:snapToGrid w:val="0"/>
                <w:color w:val="000000"/>
                <w:spacing w:val="2"/>
                <w:w w:val="16"/>
                <w:sz w:val="20"/>
                <w:szCs w:val="20"/>
                <w:shd w:val="solid" w:color="000000" w:fill="000000"/>
                <w:fitText w:val="72" w:id="-1167896575"/>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628" w:type="pct"/>
            <w:tcMar>
              <w:left w:w="20" w:type="dxa"/>
              <w:right w:w="20" w:type="dxa"/>
            </w:tcMar>
            <w:vAlign w:val="center"/>
          </w:tcPr>
          <w:p w14:paraId="736F454F" w14:textId="1C28392C" w:rsidR="00294146" w:rsidRPr="00B3449A" w:rsidRDefault="00294146" w:rsidP="00447403">
            <w:pPr>
              <w:keepNext/>
              <w:keepLines/>
              <w:jc w:val="center"/>
              <w:rPr>
                <w:rFonts w:ascii="Arial Narrow" w:eastAsiaTheme="majorEastAsia" w:hAnsi="Arial Narrow" w:cstheme="majorBidi"/>
                <w:bCs/>
                <w:sz w:val="20"/>
              </w:rPr>
            </w:pPr>
            <w:r w:rsidRPr="00B3449A">
              <w:rPr>
                <w:rFonts w:ascii="Arial Narrow" w:eastAsiaTheme="majorEastAsia" w:hAnsi="Arial Narrow" w:cstheme="majorBidi"/>
                <w:bCs/>
                <w:sz w:val="20"/>
              </w:rPr>
              <w:t>+5%</w:t>
            </w:r>
          </w:p>
        </w:tc>
      </w:tr>
      <w:tr w:rsidR="003D5B4C" w:rsidRPr="00B3449A" w14:paraId="1D92944C" w14:textId="77777777" w:rsidTr="006E36B3">
        <w:tc>
          <w:tcPr>
            <w:tcW w:w="5000" w:type="pct"/>
            <w:gridSpan w:val="8"/>
            <w:shd w:val="clear" w:color="auto" w:fill="auto"/>
            <w:tcMar>
              <w:left w:w="20" w:type="dxa"/>
              <w:right w:w="20" w:type="dxa"/>
            </w:tcMar>
            <w:vAlign w:val="bottom"/>
          </w:tcPr>
          <w:p w14:paraId="58FA8379" w14:textId="5DAA5A6E" w:rsidR="003D5B4C" w:rsidRPr="00B3449A" w:rsidRDefault="003D5B4C" w:rsidP="00447403">
            <w:pPr>
              <w:keepNext/>
              <w:keepLines/>
              <w:jc w:val="left"/>
              <w:rPr>
                <w:rFonts w:ascii="Arial Narrow" w:eastAsiaTheme="majorEastAsia" w:hAnsi="Arial Narrow" w:cstheme="majorBidi"/>
                <w:b/>
                <w:sz w:val="20"/>
              </w:rPr>
            </w:pPr>
            <w:r w:rsidRPr="00B3449A">
              <w:rPr>
                <w:rFonts w:ascii="Arial Narrow" w:eastAsiaTheme="majorEastAsia" w:hAnsi="Arial Narrow" w:cstheme="majorBidi"/>
                <w:b/>
                <w:sz w:val="20"/>
                <w:szCs w:val="20"/>
              </w:rPr>
              <w:t xml:space="preserve">#1 and #2 </w:t>
            </w:r>
          </w:p>
        </w:tc>
      </w:tr>
      <w:tr w:rsidR="00A32E1B" w:rsidRPr="00B3449A" w14:paraId="74D38CD7" w14:textId="77777777" w:rsidTr="00D907DA">
        <w:tc>
          <w:tcPr>
            <w:tcW w:w="922" w:type="pct"/>
            <w:shd w:val="clear" w:color="auto" w:fill="auto"/>
            <w:tcMar>
              <w:left w:w="20" w:type="dxa"/>
              <w:right w:w="20" w:type="dxa"/>
            </w:tcMar>
            <w:vAlign w:val="bottom"/>
          </w:tcPr>
          <w:p w14:paraId="5CD270D6" w14:textId="57E211EF" w:rsidR="00294146" w:rsidRPr="00B3449A" w:rsidRDefault="00294146" w:rsidP="006E36B3">
            <w:pPr>
              <w:keepNext/>
              <w:keepLines/>
              <w:jc w:val="left"/>
              <w:rPr>
                <w:rFonts w:ascii="Arial Narrow" w:eastAsiaTheme="majorEastAsia" w:hAnsi="Arial Narrow" w:cstheme="majorBidi"/>
                <w:bCs/>
                <w:sz w:val="20"/>
                <w:szCs w:val="20"/>
              </w:rPr>
            </w:pPr>
            <w:r w:rsidRPr="00B3449A">
              <w:rPr>
                <w:rFonts w:ascii="Arial Narrow" w:eastAsiaTheme="majorEastAsia" w:hAnsi="Arial Narrow" w:cstheme="majorBidi"/>
                <w:bCs/>
                <w:sz w:val="20"/>
                <w:szCs w:val="20"/>
              </w:rPr>
              <w:t>PBS/RPBS costs</w:t>
            </w:r>
          </w:p>
        </w:tc>
        <w:tc>
          <w:tcPr>
            <w:tcW w:w="575"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103F99C9" w14:textId="0411D0DC"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3" w:id="-1167896574"/>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3" w:id="-1167896574"/>
                <w14:textFill>
                  <w14:solidFill>
                    <w14:srgbClr w14:val="000000">
                      <w14:alpha w14:val="100000"/>
                    </w14:srgbClr>
                  </w14:solidFill>
                </w14:textFill>
              </w:rPr>
              <w:t>|</w:t>
            </w:r>
            <w:r w:rsidRPr="00D62E6D">
              <w:rPr>
                <w:rFonts w:ascii="Arial Narrow" w:hAnsi="Arial Narrow" w:hint="eastAsia"/>
                <w:snapToGrid w:val="0"/>
                <w:color w:val="000000"/>
                <w:spacing w:val="3"/>
                <w:w w:val="16"/>
                <w:sz w:val="20"/>
                <w:szCs w:val="20"/>
                <w:shd w:val="solid" w:color="000000" w:fill="000000"/>
                <w:fitText w:val="73" w:id="-1167896574"/>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72FB77E7" w14:textId="2671C13E"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3" w:id="-1167896573"/>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3" w:id="-1167896573"/>
                <w14:textFill>
                  <w14:solidFill>
                    <w14:srgbClr w14:val="000000">
                      <w14:alpha w14:val="100000"/>
                    </w14:srgbClr>
                  </w14:solidFill>
                </w14:textFill>
              </w:rPr>
              <w:t>|</w:t>
            </w:r>
            <w:r w:rsidRPr="00D62E6D">
              <w:rPr>
                <w:rFonts w:ascii="Arial Narrow" w:hAnsi="Arial Narrow" w:hint="eastAsia"/>
                <w:snapToGrid w:val="0"/>
                <w:color w:val="000000"/>
                <w:spacing w:val="3"/>
                <w:w w:val="16"/>
                <w:sz w:val="20"/>
                <w:szCs w:val="20"/>
                <w:shd w:val="solid" w:color="000000" w:fill="000000"/>
                <w:fitText w:val="73" w:id="-1167896573"/>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3433C87D" w14:textId="2C42406D"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3" w:id="-1167896572"/>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3" w:id="-1167896572"/>
                <w14:textFill>
                  <w14:solidFill>
                    <w14:srgbClr w14:val="000000">
                      <w14:alpha w14:val="100000"/>
                    </w14:srgbClr>
                  </w14:solidFill>
                </w14:textFill>
              </w:rPr>
              <w:t>|</w:t>
            </w:r>
            <w:r w:rsidRPr="00D62E6D">
              <w:rPr>
                <w:rFonts w:ascii="Arial Narrow" w:hAnsi="Arial Narrow" w:hint="eastAsia"/>
                <w:snapToGrid w:val="0"/>
                <w:color w:val="000000"/>
                <w:spacing w:val="3"/>
                <w:w w:val="16"/>
                <w:sz w:val="20"/>
                <w:szCs w:val="20"/>
                <w:shd w:val="solid" w:color="000000" w:fill="000000"/>
                <w:fitText w:val="73" w:id="-1167896572"/>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419F28B8" w14:textId="4F790273"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2" w:id="-1167896571"/>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2" w:id="-1167896571"/>
                <w14:textFill>
                  <w14:solidFill>
                    <w14:srgbClr w14:val="000000">
                      <w14:alpha w14:val="100000"/>
                    </w14:srgbClr>
                  </w14:solidFill>
                </w14:textFill>
              </w:rPr>
              <w:t>|</w:t>
            </w:r>
            <w:r w:rsidRPr="00D62E6D">
              <w:rPr>
                <w:rFonts w:ascii="Arial Narrow" w:hAnsi="Arial Narrow" w:hint="eastAsia"/>
                <w:snapToGrid w:val="0"/>
                <w:color w:val="000000"/>
                <w:spacing w:val="2"/>
                <w:w w:val="16"/>
                <w:sz w:val="20"/>
                <w:szCs w:val="20"/>
                <w:shd w:val="solid" w:color="000000" w:fill="000000"/>
                <w:fitText w:val="72" w:id="-1167896571"/>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11E9F55C" w14:textId="2DADD3E9"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3" w:id="-1167896570"/>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3" w:id="-1167896570"/>
                <w14:textFill>
                  <w14:solidFill>
                    <w14:srgbClr w14:val="000000">
                      <w14:alpha w14:val="100000"/>
                    </w14:srgbClr>
                  </w14:solidFill>
                </w14:textFill>
              </w:rPr>
              <w:t>|</w:t>
            </w:r>
            <w:r w:rsidRPr="00D62E6D">
              <w:rPr>
                <w:rFonts w:ascii="Arial Narrow" w:hAnsi="Arial Narrow" w:hint="eastAsia"/>
                <w:snapToGrid w:val="0"/>
                <w:color w:val="000000"/>
                <w:spacing w:val="3"/>
                <w:w w:val="16"/>
                <w:sz w:val="20"/>
                <w:szCs w:val="20"/>
                <w:shd w:val="solid" w:color="000000" w:fill="000000"/>
                <w:fitText w:val="73" w:id="-1167896570"/>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57768E15" w14:textId="3DC16500" w:rsidR="00294146" w:rsidRPr="00D648C6" w:rsidRDefault="00D62E6D" w:rsidP="00447403">
            <w:pPr>
              <w:keepNext/>
              <w:keepLines/>
              <w:jc w:val="center"/>
              <w:rPr>
                <w:rFonts w:ascii="Arial Narrow" w:hAnsi="Arial Narrow"/>
                <w:snapToGrid w:val="0"/>
                <w:color w:val="000000"/>
                <w:sz w:val="20"/>
                <w:szCs w:val="20"/>
                <w:highlight w:val="darkGray"/>
              </w:rPr>
            </w:pPr>
            <w:r w:rsidRPr="00D62E6D">
              <w:rPr>
                <w:rFonts w:ascii="Arial Narrow" w:hAnsi="Arial Narrow" w:hint="eastAsia"/>
                <w:snapToGrid w:val="0"/>
                <w:color w:val="000000"/>
                <w:w w:val="16"/>
                <w:sz w:val="20"/>
                <w:szCs w:val="20"/>
                <w:shd w:val="solid" w:color="000000" w:fill="000000"/>
                <w:fitText w:val="72" w:id="-1167896569"/>
                <w14:textFill>
                  <w14:solidFill>
                    <w14:srgbClr w14:val="000000">
                      <w14:alpha w14:val="100000"/>
                    </w14:srgbClr>
                  </w14:solidFill>
                </w14:textFill>
              </w:rPr>
              <w:t xml:space="preserve">　</w:t>
            </w:r>
            <w:r w:rsidRPr="00D62E6D">
              <w:rPr>
                <w:rFonts w:ascii="Arial Narrow" w:hAnsi="Arial Narrow"/>
                <w:snapToGrid w:val="0"/>
                <w:color w:val="000000"/>
                <w:w w:val="16"/>
                <w:sz w:val="20"/>
                <w:szCs w:val="20"/>
                <w:shd w:val="solid" w:color="000000" w:fill="000000"/>
                <w:fitText w:val="72" w:id="-1167896569"/>
                <w14:textFill>
                  <w14:solidFill>
                    <w14:srgbClr w14:val="000000">
                      <w14:alpha w14:val="100000"/>
                    </w14:srgbClr>
                  </w14:solidFill>
                </w14:textFill>
              </w:rPr>
              <w:t>|</w:t>
            </w:r>
            <w:r w:rsidRPr="00D62E6D">
              <w:rPr>
                <w:rFonts w:ascii="Arial Narrow" w:hAnsi="Arial Narrow" w:hint="eastAsia"/>
                <w:snapToGrid w:val="0"/>
                <w:color w:val="000000"/>
                <w:spacing w:val="2"/>
                <w:w w:val="16"/>
                <w:sz w:val="20"/>
                <w:szCs w:val="20"/>
                <w:shd w:val="solid" w:color="000000" w:fill="000000"/>
                <w:fitText w:val="72" w:id="-1167896569"/>
                <w14:textFill>
                  <w14:solidFill>
                    <w14:srgbClr w14:val="000000">
                      <w14:alpha w14:val="100000"/>
                    </w14:srgbClr>
                  </w14:solidFill>
                </w14:textFill>
              </w:rPr>
              <w:t xml:space="preserve">　</w:t>
            </w:r>
            <w:r w:rsidR="00D648C6">
              <w:rPr>
                <w:rFonts w:ascii="Arial Narrow" w:hAnsi="Arial Narrow"/>
                <w:sz w:val="18"/>
                <w:vertAlign w:val="superscript"/>
              </w:rPr>
              <w:t>1</w:t>
            </w:r>
          </w:p>
        </w:tc>
        <w:tc>
          <w:tcPr>
            <w:tcW w:w="628" w:type="pct"/>
            <w:tcMar>
              <w:left w:w="20" w:type="dxa"/>
              <w:right w:w="20" w:type="dxa"/>
            </w:tcMar>
            <w:vAlign w:val="center"/>
          </w:tcPr>
          <w:p w14:paraId="7A35964A" w14:textId="7A3E4AC8" w:rsidR="00294146" w:rsidRPr="00B3449A" w:rsidRDefault="00294146" w:rsidP="00447403">
            <w:pPr>
              <w:keepNext/>
              <w:keepLines/>
              <w:jc w:val="center"/>
              <w:rPr>
                <w:rFonts w:ascii="Arial Narrow" w:eastAsiaTheme="majorEastAsia" w:hAnsi="Arial Narrow" w:cstheme="majorBidi"/>
                <w:bCs/>
                <w:sz w:val="20"/>
              </w:rPr>
            </w:pPr>
            <w:r w:rsidRPr="00B3449A">
              <w:rPr>
                <w:rFonts w:ascii="Arial Narrow" w:eastAsiaTheme="majorEastAsia" w:hAnsi="Arial Narrow" w:cstheme="majorBidi"/>
                <w:bCs/>
                <w:sz w:val="20"/>
              </w:rPr>
              <w:t>-6%</w:t>
            </w:r>
          </w:p>
        </w:tc>
      </w:tr>
    </w:tbl>
    <w:p w14:paraId="2AD9E7D7" w14:textId="69CFBC90" w:rsidR="00104ED0" w:rsidRDefault="00CF7273" w:rsidP="00447403">
      <w:pPr>
        <w:pStyle w:val="TableFigNotes0"/>
        <w:rPr>
          <w:rFonts w:ascii="Arial Narrow" w:hAnsi="Arial Narrow"/>
          <w:sz w:val="18"/>
          <w:lang w:val="en-AU"/>
        </w:rPr>
      </w:pPr>
      <w:r w:rsidRPr="00B3449A">
        <w:rPr>
          <w:rFonts w:ascii="Arial Narrow" w:hAnsi="Arial Narrow"/>
          <w:snapToGrid w:val="0"/>
          <w:sz w:val="18"/>
        </w:rPr>
        <w:t>Source:</w:t>
      </w:r>
      <w:r w:rsidR="00104ED0" w:rsidRPr="00B3449A">
        <w:rPr>
          <w:rFonts w:ascii="Arial Narrow" w:hAnsi="Arial Narrow"/>
          <w:snapToGrid w:val="0"/>
          <w:sz w:val="18"/>
        </w:rPr>
        <w:t xml:space="preserve"> </w:t>
      </w:r>
      <w:r w:rsidR="00104ED0" w:rsidRPr="00B3449A">
        <w:rPr>
          <w:rFonts w:ascii="Arial Narrow" w:hAnsi="Arial Narrow"/>
          <w:sz w:val="18"/>
          <w:lang w:val="en-AU"/>
        </w:rPr>
        <w:t>Table 4.9.1, p148 of the submission; estimated during evaluation using the Excel workbook provided with the submission for Section 4: OKB1-2_UCM-Release-3-Workbook-v108.xlsx.</w:t>
      </w:r>
    </w:p>
    <w:p w14:paraId="6181CD2E" w14:textId="35A418B0" w:rsidR="006E36B3" w:rsidRPr="00D648C6" w:rsidRDefault="006E36B3" w:rsidP="00D648C6">
      <w:pPr>
        <w:pStyle w:val="TableFigNotes0"/>
        <w:rPr>
          <w:rFonts w:ascii="Arial Narrow" w:hAnsi="Arial Narrow"/>
          <w:sz w:val="18"/>
          <w:lang w:val="en-AU"/>
        </w:rPr>
      </w:pPr>
      <w:r w:rsidRPr="00D648C6">
        <w:rPr>
          <w:rFonts w:ascii="Arial Narrow" w:hAnsi="Arial Narrow"/>
          <w:sz w:val="18"/>
          <w:lang w:val="en-AU"/>
        </w:rPr>
        <w:t>F/F = F508del homozygous; PBS = Pharmaceutical Benefits Scheme; RPBS = Repatriation Pharmaceutical Benefits Scheme.</w:t>
      </w:r>
    </w:p>
    <w:p w14:paraId="7353E57C" w14:textId="5D35A651" w:rsidR="00D648C6" w:rsidRPr="00D648C6" w:rsidRDefault="00D648C6" w:rsidP="00D648C6">
      <w:pPr>
        <w:pStyle w:val="TableFigNotes0"/>
        <w:rPr>
          <w:rFonts w:ascii="Arial Narrow" w:hAnsi="Arial Narrow"/>
          <w:i/>
          <w:iCs/>
          <w:sz w:val="18"/>
          <w:lang w:val="en-AU"/>
        </w:rPr>
      </w:pPr>
      <w:r w:rsidRPr="00D648C6">
        <w:rPr>
          <w:rFonts w:ascii="Arial Narrow" w:hAnsi="Arial Narrow"/>
          <w:i/>
          <w:iCs/>
          <w:sz w:val="18"/>
          <w:lang w:val="en-AU"/>
        </w:rPr>
        <w:t>The redacted values correspond to the following ranges:</w:t>
      </w:r>
    </w:p>
    <w:p w14:paraId="6E3A6929" w14:textId="6D8A1604" w:rsidR="00D648C6" w:rsidRDefault="00D648C6" w:rsidP="00D648C6">
      <w:pPr>
        <w:pStyle w:val="TableFigNotes0"/>
        <w:rPr>
          <w:rFonts w:ascii="Arial Narrow" w:hAnsi="Arial Narrow"/>
          <w:i/>
          <w:iCs/>
          <w:sz w:val="18"/>
          <w:lang w:val="en-AU"/>
        </w:rPr>
      </w:pPr>
      <w:r w:rsidRPr="00D648C6">
        <w:rPr>
          <w:rFonts w:ascii="Arial Narrow" w:hAnsi="Arial Narrow"/>
          <w:i/>
          <w:iCs/>
          <w:sz w:val="18"/>
          <w:vertAlign w:val="superscript"/>
          <w:lang w:val="en-AU"/>
        </w:rPr>
        <w:t>1</w:t>
      </w:r>
      <w:r w:rsidRPr="00D648C6">
        <w:rPr>
          <w:rFonts w:ascii="Arial Narrow" w:hAnsi="Arial Narrow"/>
          <w:i/>
          <w:iCs/>
          <w:sz w:val="18"/>
          <w:lang w:val="en-AU"/>
        </w:rPr>
        <w:t xml:space="preserve"> $0 to &lt; $10 million</w:t>
      </w:r>
    </w:p>
    <w:p w14:paraId="657B904F" w14:textId="77777777" w:rsidR="00D648C6" w:rsidRPr="00D648C6" w:rsidRDefault="00D648C6" w:rsidP="00D648C6">
      <w:pPr>
        <w:pStyle w:val="TableFigNotes0"/>
        <w:rPr>
          <w:rFonts w:ascii="Arial Narrow" w:hAnsi="Arial Narrow"/>
          <w:i/>
          <w:iCs/>
          <w:sz w:val="18"/>
          <w:lang w:val="en-AU"/>
        </w:rPr>
      </w:pPr>
    </w:p>
    <w:p w14:paraId="5BF43F0C" w14:textId="034240C9" w:rsidR="00E6764C" w:rsidRPr="00051171" w:rsidRDefault="00E6764C" w:rsidP="006E36B3">
      <w:pPr>
        <w:pStyle w:val="3-BodyText"/>
        <w:ind w:left="720"/>
        <w:rPr>
          <w:b/>
        </w:rPr>
      </w:pPr>
      <w:r w:rsidRPr="00051171">
        <w:t>The ESC noted the sensitivity analyses presented above but considered that, overall, the approach taken in the submission to estimate the financial implications was reasonable</w:t>
      </w:r>
      <w:proofErr w:type="gramStart"/>
      <w:r w:rsidRPr="00051171">
        <w:t xml:space="preserve">.  </w:t>
      </w:r>
      <w:proofErr w:type="gramEnd"/>
    </w:p>
    <w:p w14:paraId="597EE99B" w14:textId="77777777" w:rsidR="00F86069" w:rsidRPr="00FF09A2" w:rsidRDefault="00F86069" w:rsidP="006F04C9">
      <w:pPr>
        <w:pStyle w:val="4-SubsectionHeading"/>
      </w:pPr>
      <w:bookmarkStart w:id="55" w:name="_Toc107927634"/>
      <w:bookmarkStart w:id="56" w:name="_Toc135204532"/>
      <w:r w:rsidRPr="00FF09A2">
        <w:lastRenderedPageBreak/>
        <w:t>Quality Use of Medicines</w:t>
      </w:r>
      <w:bookmarkEnd w:id="55"/>
      <w:bookmarkEnd w:id="56"/>
    </w:p>
    <w:p w14:paraId="41D695BC" w14:textId="603B16BA" w:rsidR="00D907DA" w:rsidRDefault="00F86069" w:rsidP="00D907DA">
      <w:pPr>
        <w:pStyle w:val="3-BodyText"/>
        <w:ind w:left="720"/>
      </w:pPr>
      <w:r w:rsidRPr="00FF09A2">
        <w:t xml:space="preserve">The submission did not present a discussion of quality use of medicine issues. However, the administration of lumacaftor/ivacaftor granules mixed with food presents a wastage risk in </w:t>
      </w:r>
      <w:proofErr w:type="gramStart"/>
      <w:r w:rsidRPr="00FF09A2">
        <w:t>very young</w:t>
      </w:r>
      <w:proofErr w:type="gramEnd"/>
      <w:r w:rsidRPr="00FF09A2">
        <w:t xml:space="preserve"> children (potentially through regurgitation of the lumacaftor/ivacaftor mixed with food, or refusal to eat, and drug stability of only one hour when mixed) (paragraph 2.3, lumacaftor/Ivacaftor </w:t>
      </w:r>
      <w:r w:rsidR="00D0653F" w:rsidRPr="00FF09A2">
        <w:t>PSD</w:t>
      </w:r>
      <w:r w:rsidRPr="00FF09A2">
        <w:t>, July 2019 PBAC meeting).</w:t>
      </w:r>
    </w:p>
    <w:p w14:paraId="1C0B884D" w14:textId="77777777" w:rsidR="00D907DA" w:rsidRPr="00FF09A2" w:rsidRDefault="00D907DA" w:rsidP="00D907DA">
      <w:pPr>
        <w:pStyle w:val="3-SubsectionHeading"/>
      </w:pPr>
      <w:bookmarkStart w:id="57" w:name="_Toc107927635"/>
      <w:bookmarkStart w:id="58" w:name="_Toc135204533"/>
      <w:r w:rsidRPr="00FF09A2">
        <w:t>Financial Management – Risk Sharing Arrangements</w:t>
      </w:r>
      <w:bookmarkEnd w:id="57"/>
      <w:bookmarkEnd w:id="58"/>
    </w:p>
    <w:p w14:paraId="3CF9CA41" w14:textId="3403DFAF" w:rsidR="00051171" w:rsidRDefault="00F86069" w:rsidP="00D907DA">
      <w:pPr>
        <w:pStyle w:val="3-BodyText"/>
        <w:ind w:left="720"/>
      </w:pPr>
      <w:r w:rsidRPr="00051171">
        <w:t xml:space="preserve">The submission proposed including the </w:t>
      </w:r>
      <w:r w:rsidR="008D267A" w:rsidRPr="00051171">
        <w:t xml:space="preserve">cost of </w:t>
      </w:r>
      <w:r w:rsidRPr="00051171">
        <w:t xml:space="preserve">lumacaftor/ivacaftor granules for </w:t>
      </w:r>
      <w:r w:rsidR="00C16CB6" w:rsidRPr="00051171">
        <w:t xml:space="preserve">the </w:t>
      </w:r>
      <w:r w:rsidRPr="00051171">
        <w:t xml:space="preserve">F/F </w:t>
      </w:r>
      <w:r w:rsidR="00C16CB6" w:rsidRPr="00051171">
        <w:t>population</w:t>
      </w:r>
      <w:r w:rsidR="003D5CB1" w:rsidRPr="00051171">
        <w:t xml:space="preserve"> </w:t>
      </w:r>
      <w:r w:rsidRPr="00051171">
        <w:t xml:space="preserve">aged </w:t>
      </w:r>
      <w:proofErr w:type="gramStart"/>
      <w:r w:rsidRPr="00051171">
        <w:t>1</w:t>
      </w:r>
      <w:proofErr w:type="gramEnd"/>
      <w:r w:rsidRPr="00051171">
        <w:t xml:space="preserve"> to less than 2 years old under the same </w:t>
      </w:r>
      <w:r w:rsidR="000839E9">
        <w:t>R</w:t>
      </w:r>
      <w:r w:rsidRPr="00051171">
        <w:t>isk</w:t>
      </w:r>
      <w:r w:rsidR="000839E9">
        <w:t xml:space="preserve"> S</w:t>
      </w:r>
      <w:r w:rsidRPr="00051171">
        <w:t xml:space="preserve">haring </w:t>
      </w:r>
      <w:r w:rsidR="000839E9">
        <w:t>A</w:t>
      </w:r>
      <w:r w:rsidRPr="00051171">
        <w:t xml:space="preserve">rrangement as applied to lumacaftor/ivacaftor for the older population. This would add the estimates for PBS use (at the effective price) to the existing caps for </w:t>
      </w:r>
      <w:r w:rsidR="006E36B3" w:rsidRPr="00051171">
        <w:t xml:space="preserve">the </w:t>
      </w:r>
      <w:r w:rsidR="0029694F" w:rsidRPr="00051171">
        <w:t>CFTR modulators</w:t>
      </w:r>
      <w:r w:rsidRPr="00051171">
        <w:t xml:space="preserve">. </w:t>
      </w:r>
      <w:r w:rsidR="002B4D1C" w:rsidRPr="00051171">
        <w:t xml:space="preserve">The PSCR stated that the approach would be aligned with previous submissions where the forward estimates add the additional period of treatment to the existing financial cap, considering year on/off adjustments and </w:t>
      </w:r>
      <w:proofErr w:type="gramStart"/>
      <w:r w:rsidR="002B4D1C" w:rsidRPr="00051171">
        <w:t>first and second year</w:t>
      </w:r>
      <w:proofErr w:type="gramEnd"/>
      <w:r w:rsidR="002B4D1C" w:rsidRPr="00051171">
        <w:t xml:space="preserve"> discontinuations.</w:t>
      </w:r>
      <w:r w:rsidR="00051171">
        <w:t xml:space="preserve"> </w:t>
      </w:r>
    </w:p>
    <w:p w14:paraId="16341F0E" w14:textId="55D106CA" w:rsidR="00F86069" w:rsidRPr="00051171" w:rsidRDefault="00051171" w:rsidP="00051171">
      <w:pPr>
        <w:pStyle w:val="3-BodyText"/>
        <w:numPr>
          <w:ilvl w:val="0"/>
          <w:numId w:val="0"/>
        </w:numPr>
        <w:ind w:left="720"/>
        <w:rPr>
          <w:i/>
          <w:iCs/>
        </w:rPr>
      </w:pPr>
      <w:r w:rsidRPr="00051171">
        <w:rPr>
          <w:rFonts w:cstheme="minorHAnsi"/>
          <w:i/>
          <w:iCs/>
        </w:rPr>
        <w:t>For more detail on PBAC’s view, see section 7 PBAC outcome.</w:t>
      </w:r>
    </w:p>
    <w:p w14:paraId="008FCC68" w14:textId="77777777" w:rsidR="00051171" w:rsidRPr="0090150D" w:rsidRDefault="00051171" w:rsidP="00051171">
      <w:pPr>
        <w:pStyle w:val="2-SectionHeading"/>
      </w:pPr>
      <w:bookmarkStart w:id="59" w:name="_Hlk76381249"/>
      <w:bookmarkStart w:id="60" w:name="_Hlk76377955"/>
      <w:bookmarkStart w:id="61" w:name="_Toc132209887"/>
      <w:r w:rsidRPr="0090150D">
        <w:t>PBAC Outcome</w:t>
      </w:r>
    </w:p>
    <w:p w14:paraId="5BB33F09" w14:textId="4E8E9BD1" w:rsidR="00D907DA" w:rsidRPr="00D907DA" w:rsidRDefault="00D907DA" w:rsidP="00051171">
      <w:pPr>
        <w:widowControl w:val="0"/>
        <w:numPr>
          <w:ilvl w:val="1"/>
          <w:numId w:val="1"/>
        </w:numPr>
        <w:spacing w:after="120"/>
        <w:ind w:left="720"/>
        <w:rPr>
          <w:rFonts w:asciiTheme="minorHAnsi" w:hAnsiTheme="minorHAnsi"/>
          <w:snapToGrid w:val="0"/>
          <w:lang w:val="en-GB"/>
        </w:rPr>
      </w:pPr>
      <w:bookmarkStart w:id="62" w:name="_Hlk111543188"/>
      <w:r>
        <w:t xml:space="preserve">The PBAC recommended that the restriction for lumacaftor with ivacaftor granules be extended to include patients with cystic fibrosis (CF), homozygous for the F580del mutation in the cystic fibrosis transmembrane conductance regulator (CFTR) gene, to include patients aged 1 to less than 2 years. The PBAC also recommended that an additional strength of granules (lumacaftor 75 mg/ivacaftor 94 mg) should be available under Section 100 (Highly Specialised Drugs Program) for use in this population. The PBAC considered that the supporting evidence was limited but acknowledged the difficulties in obtaining efficacy data from paediatric patients. Overall, the PBAC considered that the claim of superior efficacy over best supportive care (BSC) in patients aged from 1 to less than 2 years was biologically plausible and likely to be beneficial. </w:t>
      </w:r>
      <w:r w:rsidRPr="00D907DA">
        <w:t xml:space="preserve">The PBAC considered </w:t>
      </w:r>
      <w:r w:rsidR="00DC3372">
        <w:t>lumacaftor with ivacaftor</w:t>
      </w:r>
      <w:r w:rsidRPr="00D907DA">
        <w:t xml:space="preserve"> was likely to be </w:t>
      </w:r>
      <w:r w:rsidR="00DC3372">
        <w:t>cost-effective</w:t>
      </w:r>
      <w:r w:rsidRPr="00D907DA">
        <w:t xml:space="preserve"> at a unit price </w:t>
      </w:r>
      <w:r w:rsidR="00DC3372">
        <w:t>no higher than that of</w:t>
      </w:r>
      <w:r w:rsidRPr="00D907DA">
        <w:t xml:space="preserve"> the current PBS listing (for patients </w:t>
      </w:r>
      <w:r w:rsidRPr="00D907DA">
        <w:rPr>
          <w:rFonts w:cs="Calibri"/>
        </w:rPr>
        <w:t>≥</w:t>
      </w:r>
      <w:r w:rsidRPr="00D907DA">
        <w:t xml:space="preserve"> 2 years of age).</w:t>
      </w:r>
      <w:r>
        <w:t xml:space="preserve"> The PBAC advised that the current risk sharing arrangement (RSA) financial caps for lumacaftor/ivacaftor should be increased to accommodate </w:t>
      </w:r>
      <w:r w:rsidR="00CF7E5E">
        <w:t>patients commencing treatment earlier</w:t>
      </w:r>
      <w:r>
        <w:t xml:space="preserve">. </w:t>
      </w:r>
    </w:p>
    <w:p w14:paraId="3F4D1806" w14:textId="3F2DBE34" w:rsidR="00D907DA" w:rsidRPr="00D907DA" w:rsidRDefault="00D907DA" w:rsidP="00051171">
      <w:pPr>
        <w:widowControl w:val="0"/>
        <w:numPr>
          <w:ilvl w:val="1"/>
          <w:numId w:val="1"/>
        </w:numPr>
        <w:spacing w:after="120"/>
        <w:ind w:left="720"/>
        <w:rPr>
          <w:rFonts w:asciiTheme="minorHAnsi" w:hAnsiTheme="minorHAnsi"/>
          <w:snapToGrid w:val="0"/>
          <w:lang w:val="en-GB"/>
        </w:rPr>
      </w:pPr>
      <w:r>
        <w:t>The PBAC acknowledged the consumer comments that strongly supported the expansion of the restriction to allow children aged 1 year and older to access lumacaftor/ivacaftor and described the potential benefits of treatment in terms of lung function and nutritional status.</w:t>
      </w:r>
    </w:p>
    <w:p w14:paraId="58E6B358" w14:textId="4FFC8926" w:rsidR="00D907DA" w:rsidRDefault="00D907DA" w:rsidP="00051171">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that the nomination of BSC as the comparator was </w:t>
      </w:r>
      <w:r w:rsidR="00CF7E5E">
        <w:rPr>
          <w:rFonts w:asciiTheme="minorHAnsi" w:hAnsiTheme="minorHAnsi"/>
          <w:snapToGrid w:val="0"/>
          <w:lang w:val="en-GB"/>
        </w:rPr>
        <w:t>reasonable</w:t>
      </w:r>
      <w:r>
        <w:rPr>
          <w:rFonts w:asciiTheme="minorHAnsi" w:hAnsiTheme="minorHAnsi"/>
          <w:snapToGrid w:val="0"/>
          <w:lang w:val="en-GB"/>
        </w:rPr>
        <w:t xml:space="preserve"> for patients aged from 1 to less than 2 years.</w:t>
      </w:r>
    </w:p>
    <w:p w14:paraId="215426E0" w14:textId="562BBA91" w:rsidR="00D907DA" w:rsidRDefault="00D907DA" w:rsidP="00051171">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lastRenderedPageBreak/>
        <w:t xml:space="preserve">The PBAC noted that the submission was based on one </w:t>
      </w:r>
      <w:proofErr w:type="gramStart"/>
      <w:r>
        <w:rPr>
          <w:rFonts w:asciiTheme="minorHAnsi" w:hAnsiTheme="minorHAnsi"/>
          <w:snapToGrid w:val="0"/>
          <w:lang w:val="en-GB"/>
        </w:rPr>
        <w:t>24 week</w:t>
      </w:r>
      <w:proofErr w:type="gramEnd"/>
      <w:r>
        <w:rPr>
          <w:rFonts w:asciiTheme="minorHAnsi" w:hAnsiTheme="minorHAnsi"/>
          <w:snapToGrid w:val="0"/>
          <w:lang w:val="en-GB"/>
        </w:rPr>
        <w:t>, single arm, open-label study (Study 122) that evaluated the safety and efficacy of lumacaftor/ivacaftor granules in patients aged 1 to less than 2 years. The PBAC noted that data comparing lumacaftor/ivacaftor to BSC</w:t>
      </w:r>
      <w:r w:rsidR="00CF7E5E">
        <w:rPr>
          <w:rFonts w:asciiTheme="minorHAnsi" w:hAnsiTheme="minorHAnsi"/>
          <w:snapToGrid w:val="0"/>
          <w:lang w:val="en-GB"/>
        </w:rPr>
        <w:t xml:space="preserve"> was not available</w:t>
      </w:r>
      <w:r>
        <w:rPr>
          <w:rFonts w:asciiTheme="minorHAnsi" w:hAnsiTheme="minorHAnsi"/>
          <w:snapToGrid w:val="0"/>
          <w:lang w:val="en-GB"/>
        </w:rPr>
        <w:t xml:space="preserve">. The PBAC noted that, due to the difficulty in conducting spirometry in the population, Study 122 did not </w:t>
      </w:r>
      <w:r w:rsidR="00CF7E5E">
        <w:rPr>
          <w:rFonts w:asciiTheme="minorHAnsi" w:hAnsiTheme="minorHAnsi"/>
          <w:snapToGrid w:val="0"/>
          <w:lang w:val="en-GB"/>
        </w:rPr>
        <w:t>collect</w:t>
      </w:r>
      <w:r>
        <w:rPr>
          <w:rFonts w:asciiTheme="minorHAnsi" w:hAnsiTheme="minorHAnsi"/>
          <w:snapToGrid w:val="0"/>
          <w:lang w:val="en-GB"/>
        </w:rPr>
        <w:t xml:space="preserve"> predicted forced expiratory volume in one second (ppFEV</w:t>
      </w:r>
      <w:r w:rsidRPr="00D907DA">
        <w:rPr>
          <w:rFonts w:asciiTheme="minorHAnsi" w:hAnsiTheme="minorHAnsi"/>
          <w:snapToGrid w:val="0"/>
          <w:vertAlign w:val="subscript"/>
          <w:lang w:val="en-GB"/>
        </w:rPr>
        <w:t>1</w:t>
      </w:r>
      <w:r>
        <w:rPr>
          <w:rFonts w:asciiTheme="minorHAnsi" w:hAnsiTheme="minorHAnsi"/>
          <w:snapToGrid w:val="0"/>
          <w:lang w:val="en-GB"/>
        </w:rPr>
        <w:t xml:space="preserve">), instead </w:t>
      </w:r>
      <w:r w:rsidR="00CF7E5E">
        <w:rPr>
          <w:rFonts w:asciiTheme="minorHAnsi" w:hAnsiTheme="minorHAnsi"/>
          <w:snapToGrid w:val="0"/>
          <w:lang w:val="en-GB"/>
        </w:rPr>
        <w:t>collecting</w:t>
      </w:r>
      <w:r>
        <w:rPr>
          <w:rFonts w:asciiTheme="minorHAnsi" w:hAnsiTheme="minorHAnsi"/>
          <w:snapToGrid w:val="0"/>
          <w:lang w:val="en-GB"/>
        </w:rPr>
        <w:t xml:space="preserve"> data on the surrogate outcome of reduction in sweat chloride (SwCl). Study 122 demonstrated an overall reduction in SwCl from baseline at Week 24 which was comparable with results from similar studies in older patients. Overall, the PBAC considered that the reduction in SwCl was an indicator of treatment </w:t>
      </w:r>
      <w:proofErr w:type="gramStart"/>
      <w:r>
        <w:rPr>
          <w:rFonts w:asciiTheme="minorHAnsi" w:hAnsiTheme="minorHAnsi"/>
          <w:snapToGrid w:val="0"/>
          <w:lang w:val="en-GB"/>
        </w:rPr>
        <w:t>effect</w:t>
      </w:r>
      <w:proofErr w:type="gramEnd"/>
      <w:r>
        <w:rPr>
          <w:rFonts w:asciiTheme="minorHAnsi" w:hAnsiTheme="minorHAnsi"/>
          <w:snapToGrid w:val="0"/>
          <w:lang w:val="en-GB"/>
        </w:rPr>
        <w:t xml:space="preserve"> and it was biologically plausible that lumacaftor/ivacaftor would have a positive effect on lung function in children aged 1 to less than 2 years of age. </w:t>
      </w:r>
      <w:r>
        <w:rPr>
          <w:rFonts w:asciiTheme="minorHAnsi" w:hAnsiTheme="minorHAnsi"/>
          <w:bCs/>
          <w:lang w:val="en-GB"/>
        </w:rPr>
        <w:t xml:space="preserve">However, the PBAC noted that the </w:t>
      </w:r>
      <w:r w:rsidRPr="003C1F9D">
        <w:rPr>
          <w:rFonts w:asciiTheme="minorHAnsi" w:hAnsiTheme="minorHAnsi"/>
          <w:bCs/>
          <w:lang w:val="en-GB"/>
        </w:rPr>
        <w:t xml:space="preserve">magnitude of benefit </w:t>
      </w:r>
      <w:r>
        <w:rPr>
          <w:rFonts w:asciiTheme="minorHAnsi" w:hAnsiTheme="minorHAnsi"/>
          <w:bCs/>
          <w:lang w:val="en-GB"/>
        </w:rPr>
        <w:t xml:space="preserve">in terms of reducing the rate of lung function deterioration </w:t>
      </w:r>
      <w:r w:rsidRPr="003C1F9D">
        <w:rPr>
          <w:rFonts w:asciiTheme="minorHAnsi" w:hAnsiTheme="minorHAnsi"/>
          <w:bCs/>
          <w:lang w:val="en-GB"/>
        </w:rPr>
        <w:t>over both the short-</w:t>
      </w:r>
      <w:r>
        <w:rPr>
          <w:rFonts w:asciiTheme="minorHAnsi" w:hAnsiTheme="minorHAnsi"/>
          <w:bCs/>
          <w:lang w:val="en-GB"/>
        </w:rPr>
        <w:t xml:space="preserve"> and long-term as a result of commencing treatment from 1 year of age, compared with </w:t>
      </w:r>
      <w:r>
        <w:t>receiving</w:t>
      </w:r>
      <w:r w:rsidRPr="00D30E86">
        <w:t xml:space="preserve"> </w:t>
      </w:r>
      <w:r>
        <w:t xml:space="preserve">BSC from 1 </w:t>
      </w:r>
      <w:r w:rsidRPr="00D30E86">
        <w:t>year</w:t>
      </w:r>
      <w:r>
        <w:t xml:space="preserve"> of age and</w:t>
      </w:r>
      <w:r w:rsidRPr="00D30E86">
        <w:t xml:space="preserve"> followed by lumacaftor/ivacaftor treatment starting at </w:t>
      </w:r>
      <w:r>
        <w:t>2</w:t>
      </w:r>
      <w:r w:rsidRPr="00D30E86">
        <w:t xml:space="preserve"> years of age</w:t>
      </w:r>
      <w:r>
        <w:t xml:space="preserve"> and the possibility of elexacaftor/tezacaftor/ivacaftor from 6 years of age</w:t>
      </w:r>
      <w:r>
        <w:rPr>
          <w:rFonts w:asciiTheme="minorHAnsi" w:hAnsiTheme="minorHAnsi"/>
          <w:bCs/>
          <w:lang w:val="en-GB"/>
        </w:rPr>
        <w:t>, was unknown</w:t>
      </w:r>
      <w:r>
        <w:t>.</w:t>
      </w:r>
    </w:p>
    <w:p w14:paraId="416468AA" w14:textId="03BF9747" w:rsidR="00D907DA" w:rsidRDefault="00D907DA" w:rsidP="00051171">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considered that the claim that lumacaftor/ivacaftor had comparable safety to BSC was reasonable, noting that the incidence and type of adverse events were similar in older patients.</w:t>
      </w:r>
    </w:p>
    <w:p w14:paraId="5B90E7F0" w14:textId="6B9826B1" w:rsidR="00D907DA" w:rsidRPr="00A44BB5" w:rsidRDefault="00D907DA" w:rsidP="00821D42">
      <w:pPr>
        <w:widowControl w:val="0"/>
        <w:numPr>
          <w:ilvl w:val="1"/>
          <w:numId w:val="1"/>
        </w:numPr>
        <w:spacing w:after="120"/>
        <w:ind w:left="720"/>
        <w:rPr>
          <w:rFonts w:asciiTheme="minorHAnsi" w:hAnsiTheme="minorHAnsi"/>
          <w:snapToGrid w:val="0"/>
          <w:lang w:val="en-GB"/>
        </w:rPr>
      </w:pPr>
      <w:r w:rsidRPr="00A44BB5">
        <w:rPr>
          <w:rFonts w:asciiTheme="minorHAnsi" w:hAnsiTheme="minorHAnsi"/>
          <w:bCs/>
          <w:lang w:val="en-GB"/>
        </w:rPr>
        <w:t xml:space="preserve">The PBAC noted the submission presented an estimate of the cost effectiveness of lumacaftor/ivacaftor in eligible patients who initiate treatment between the ages of 1 to 2 years, compared with BSC over a lifetime. While the PBAC considered this was not the comparison of interest for decision making for the current submission, it noted that the model was similar in structure to previous PBAC submissions for lumacaftor/ivacaftor and that the evidence required to inform the preferred comparison was not available. The PBAC noted that </w:t>
      </w:r>
      <w:proofErr w:type="gramStart"/>
      <w:r w:rsidRPr="00A44BB5">
        <w:rPr>
          <w:rFonts w:asciiTheme="minorHAnsi" w:hAnsiTheme="minorHAnsi"/>
          <w:bCs/>
          <w:lang w:val="en-GB"/>
        </w:rPr>
        <w:t>the majority of</w:t>
      </w:r>
      <w:proofErr w:type="gramEnd"/>
      <w:r w:rsidRPr="00A44BB5">
        <w:rPr>
          <w:rFonts w:asciiTheme="minorHAnsi" w:hAnsiTheme="minorHAnsi"/>
          <w:bCs/>
          <w:lang w:val="en-GB"/>
        </w:rPr>
        <w:t xml:space="preserve"> the efficacy and safety parameters used to inform the model were not based on the clinical evidence presented in the submission (Study 122), with d</w:t>
      </w:r>
      <w:r w:rsidRPr="0035170C">
        <w:t xml:space="preserve">ata from older age cohorts </w:t>
      </w:r>
      <w:r>
        <w:t xml:space="preserve">instead </w:t>
      </w:r>
      <w:r w:rsidRPr="0035170C">
        <w:t xml:space="preserve">used to populate the model and infer the comparative clinical benefit for lumacaftor/ivacaftor in the proposed age group (children aged </w:t>
      </w:r>
      <w:r>
        <w:t>1</w:t>
      </w:r>
      <w:r w:rsidRPr="0035170C">
        <w:t xml:space="preserve"> to </w:t>
      </w:r>
      <w:r>
        <w:t>less than 2</w:t>
      </w:r>
      <w:r w:rsidRPr="0035170C">
        <w:t xml:space="preserve"> years).</w:t>
      </w:r>
      <w:r w:rsidR="00A44BB5">
        <w:t xml:space="preserve"> As a result, </w:t>
      </w:r>
      <w:r w:rsidR="00A44BB5">
        <w:rPr>
          <w:rFonts w:asciiTheme="minorHAnsi" w:hAnsiTheme="minorHAnsi"/>
          <w:bCs/>
          <w:lang w:val="en-GB"/>
        </w:rPr>
        <w:t>t</w:t>
      </w:r>
      <w:r w:rsidRPr="00A44BB5">
        <w:rPr>
          <w:rFonts w:asciiTheme="minorHAnsi" w:hAnsiTheme="minorHAnsi"/>
          <w:bCs/>
          <w:lang w:val="en-GB"/>
        </w:rPr>
        <w:t xml:space="preserve">he PBAC considered that the base case incremental cost effectiveness ratio (ICER) was uncertain. However, based on the available evidence, the PBAC considered that it was plausible that lumacaftor/ivacaftor would be cost effective in this population </w:t>
      </w:r>
      <w:r w:rsidR="00A44BB5">
        <w:rPr>
          <w:rFonts w:asciiTheme="minorHAnsi" w:hAnsiTheme="minorHAnsi"/>
          <w:bCs/>
          <w:lang w:val="en-GB"/>
        </w:rPr>
        <w:t>at a</w:t>
      </w:r>
      <w:r w:rsidRPr="00A44BB5">
        <w:rPr>
          <w:rFonts w:asciiTheme="minorHAnsi" w:hAnsiTheme="minorHAnsi"/>
          <w:bCs/>
          <w:lang w:val="en-GB"/>
        </w:rPr>
        <w:t xml:space="preserve"> unit price </w:t>
      </w:r>
      <w:r w:rsidR="00A44BB5">
        <w:rPr>
          <w:rFonts w:asciiTheme="minorHAnsi" w:hAnsiTheme="minorHAnsi"/>
          <w:bCs/>
          <w:lang w:val="en-GB"/>
        </w:rPr>
        <w:t>no higher than</w:t>
      </w:r>
      <w:r w:rsidRPr="00A44BB5">
        <w:rPr>
          <w:rFonts w:asciiTheme="minorHAnsi" w:hAnsiTheme="minorHAnsi"/>
          <w:bCs/>
          <w:lang w:val="en-GB"/>
        </w:rPr>
        <w:t xml:space="preserve"> that for the </w:t>
      </w:r>
      <w:r w:rsidRPr="00A44BB5">
        <w:rPr>
          <w:rFonts w:asciiTheme="minorHAnsi" w:hAnsiTheme="minorHAnsi" w:cstheme="minorHAnsi"/>
          <w:bCs/>
          <w:lang w:val="en-GB"/>
        </w:rPr>
        <w:t>≥</w:t>
      </w:r>
      <w:r w:rsidRPr="00A44BB5">
        <w:rPr>
          <w:rFonts w:asciiTheme="minorHAnsi" w:hAnsiTheme="minorHAnsi"/>
          <w:bCs/>
          <w:lang w:val="en-GB"/>
        </w:rPr>
        <w:t xml:space="preserve"> </w:t>
      </w:r>
      <w:proofErr w:type="gramStart"/>
      <w:r w:rsidRPr="00A44BB5">
        <w:rPr>
          <w:rFonts w:asciiTheme="minorHAnsi" w:hAnsiTheme="minorHAnsi"/>
          <w:bCs/>
          <w:lang w:val="en-GB"/>
        </w:rPr>
        <w:t>2 year old</w:t>
      </w:r>
      <w:proofErr w:type="gramEnd"/>
      <w:r w:rsidRPr="00A44BB5">
        <w:rPr>
          <w:rFonts w:asciiTheme="minorHAnsi" w:hAnsiTheme="minorHAnsi"/>
          <w:bCs/>
          <w:lang w:val="en-GB"/>
        </w:rPr>
        <w:t xml:space="preserve"> population.</w:t>
      </w:r>
    </w:p>
    <w:p w14:paraId="23C949E1" w14:textId="77777777" w:rsidR="00D907DA" w:rsidRPr="00D907DA" w:rsidRDefault="00D907DA" w:rsidP="00051171">
      <w:pPr>
        <w:widowControl w:val="0"/>
        <w:numPr>
          <w:ilvl w:val="1"/>
          <w:numId w:val="1"/>
        </w:numPr>
        <w:spacing w:after="120"/>
        <w:ind w:left="720"/>
        <w:rPr>
          <w:rFonts w:asciiTheme="minorHAnsi" w:hAnsiTheme="minorHAnsi"/>
          <w:snapToGrid w:val="0"/>
          <w:lang w:val="en-GB"/>
        </w:rPr>
      </w:pPr>
      <w:r>
        <w:rPr>
          <w:rFonts w:asciiTheme="minorHAnsi" w:hAnsiTheme="minorHAnsi"/>
          <w:bCs/>
          <w:lang w:val="en-GB"/>
        </w:rPr>
        <w:t>The PBAC considered that the methodology for estimating the number of patients aged from 1 to less than 2 years treated with lumacaftor/ivacaftor and the estimated financial impact was reasonable.</w:t>
      </w:r>
    </w:p>
    <w:p w14:paraId="6723789A" w14:textId="21055839" w:rsidR="00D907DA" w:rsidRDefault="00D907DA" w:rsidP="00D907DA">
      <w:pPr>
        <w:widowControl w:val="0"/>
        <w:numPr>
          <w:ilvl w:val="1"/>
          <w:numId w:val="1"/>
        </w:numPr>
        <w:spacing w:after="120"/>
        <w:ind w:left="720"/>
        <w:rPr>
          <w:rFonts w:asciiTheme="minorHAnsi" w:hAnsiTheme="minorHAnsi"/>
          <w:snapToGrid w:val="0"/>
          <w:lang w:val="en-GB"/>
        </w:rPr>
      </w:pPr>
      <w:r>
        <w:rPr>
          <w:rFonts w:asciiTheme="minorHAnsi" w:hAnsiTheme="minorHAnsi"/>
          <w:bCs/>
          <w:lang w:val="en-GB"/>
        </w:rPr>
        <w:t>The PBAC advised that the extended population should be in included in the existing RSA for lumacaftor/ivacaftor</w:t>
      </w:r>
      <w:r w:rsidR="00A44BB5">
        <w:rPr>
          <w:rFonts w:asciiTheme="minorHAnsi" w:hAnsiTheme="minorHAnsi"/>
          <w:bCs/>
          <w:lang w:val="en-GB"/>
        </w:rPr>
        <w:t xml:space="preserve"> with the financial caps increased to account for patients commencing treatment earlier</w:t>
      </w:r>
      <w:r>
        <w:rPr>
          <w:rFonts w:asciiTheme="minorHAnsi" w:hAnsiTheme="minorHAnsi"/>
          <w:bCs/>
          <w:lang w:val="en-GB"/>
        </w:rPr>
        <w:t xml:space="preserve">. </w:t>
      </w:r>
      <w:bookmarkEnd w:id="62"/>
    </w:p>
    <w:p w14:paraId="644262CC" w14:textId="559877DA" w:rsidR="00051171" w:rsidRPr="00D907DA" w:rsidRDefault="00051171" w:rsidP="00D907DA">
      <w:pPr>
        <w:widowControl w:val="0"/>
        <w:numPr>
          <w:ilvl w:val="1"/>
          <w:numId w:val="1"/>
        </w:numPr>
        <w:spacing w:after="120"/>
        <w:ind w:left="720"/>
        <w:rPr>
          <w:rFonts w:asciiTheme="minorHAnsi" w:hAnsiTheme="minorHAnsi"/>
          <w:snapToGrid w:val="0"/>
          <w:lang w:val="en-GB"/>
        </w:rPr>
      </w:pPr>
      <w:r w:rsidRPr="00D907DA">
        <w:rPr>
          <w:rFonts w:asciiTheme="minorHAnsi" w:hAnsiTheme="minorHAnsi" w:cstheme="minorHAnsi"/>
          <w:lang w:val="en-GB"/>
        </w:rPr>
        <w:lastRenderedPageBreak/>
        <w:t xml:space="preserve">The PBAC found that the criteria prescribed by the </w:t>
      </w:r>
      <w:r w:rsidRPr="00D907DA">
        <w:rPr>
          <w:rFonts w:asciiTheme="minorHAnsi" w:hAnsiTheme="minorHAnsi" w:cstheme="minorHAnsi"/>
          <w:i/>
          <w:lang w:val="en-GB"/>
        </w:rPr>
        <w:t>National Health (Pharmaceuticals and Vaccines – Cost Recovery) Regulations 2022</w:t>
      </w:r>
      <w:r w:rsidRPr="00D907DA">
        <w:rPr>
          <w:rFonts w:asciiTheme="minorHAnsi" w:hAnsiTheme="minorHAnsi" w:cstheme="minorHAnsi"/>
          <w:lang w:val="en-GB"/>
        </w:rPr>
        <w:t xml:space="preserve"> for Pricing Pathway A were not met. Specifically</w:t>
      </w:r>
      <w:r w:rsidR="00D907DA">
        <w:rPr>
          <w:rFonts w:asciiTheme="minorHAnsi" w:hAnsiTheme="minorHAnsi" w:cstheme="minorHAnsi"/>
          <w:lang w:val="en-GB"/>
        </w:rPr>
        <w:t>,</w:t>
      </w:r>
      <w:r w:rsidRPr="00D907DA">
        <w:rPr>
          <w:rFonts w:asciiTheme="minorHAnsi" w:hAnsiTheme="minorHAnsi" w:cstheme="minorHAnsi"/>
          <w:lang w:val="en-GB"/>
        </w:rPr>
        <w:t xml:space="preserve"> the PBAC found that in the circumstances of its recommendation for </w:t>
      </w:r>
      <w:r w:rsidR="00D907DA" w:rsidRPr="00D907DA">
        <w:rPr>
          <w:rFonts w:asciiTheme="minorHAnsi" w:hAnsiTheme="minorHAnsi" w:cstheme="minorHAnsi"/>
          <w:lang w:val="en-GB"/>
        </w:rPr>
        <w:t>lumacaftor/ivacaftor</w:t>
      </w:r>
      <w:r w:rsidRPr="00D907DA">
        <w:rPr>
          <w:rFonts w:asciiTheme="minorHAnsi" w:hAnsiTheme="minorHAnsi" w:cstheme="minorHAnsi"/>
          <w:lang w:val="en-GB"/>
        </w:rPr>
        <w:t>:</w:t>
      </w:r>
    </w:p>
    <w:p w14:paraId="61D51070" w14:textId="2F4B31E5" w:rsidR="00051171" w:rsidRPr="00763DFB" w:rsidRDefault="00D907DA" w:rsidP="00D907DA">
      <w:pPr>
        <w:widowControl w:val="0"/>
        <w:numPr>
          <w:ilvl w:val="1"/>
          <w:numId w:val="22"/>
        </w:numPr>
        <w:spacing w:after="120"/>
        <w:ind w:left="1080"/>
        <w:rPr>
          <w:rFonts w:asciiTheme="minorHAnsi" w:hAnsiTheme="minorHAnsi" w:cstheme="minorHAnsi"/>
          <w:lang w:val="en-GB"/>
        </w:rPr>
      </w:pPr>
      <w:r>
        <w:rPr>
          <w:rFonts w:asciiTheme="minorHAnsi" w:hAnsiTheme="minorHAnsi" w:cstheme="minorHAnsi"/>
          <w:lang w:val="en-GB"/>
        </w:rPr>
        <w:t>Based on the available evidence the magnitude of benefit of initiating treatment with lumacaftor/ivacaftor at a younger age was not able to be quantified, and therefore the criteria of having a substantial and clinically</w:t>
      </w:r>
      <w:r w:rsidR="00051171" w:rsidRPr="00763DFB">
        <w:rPr>
          <w:rFonts w:asciiTheme="minorHAnsi" w:hAnsiTheme="minorHAnsi" w:cstheme="minorHAnsi"/>
          <w:lang w:val="en-GB"/>
        </w:rPr>
        <w:t xml:space="preserve"> relevant improvement in efficacy</w:t>
      </w:r>
      <w:r>
        <w:rPr>
          <w:rFonts w:asciiTheme="minorHAnsi" w:hAnsiTheme="minorHAnsi" w:cstheme="minorHAnsi"/>
          <w:lang w:val="en-GB"/>
        </w:rPr>
        <w:t xml:space="preserve"> compared to initiating at an older age was not </w:t>
      </w:r>
      <w:proofErr w:type="gramStart"/>
      <w:r>
        <w:rPr>
          <w:rFonts w:asciiTheme="minorHAnsi" w:hAnsiTheme="minorHAnsi" w:cstheme="minorHAnsi"/>
          <w:lang w:val="en-GB"/>
        </w:rPr>
        <w:t>met</w:t>
      </w:r>
      <w:r w:rsidR="00051171" w:rsidRPr="00763DFB">
        <w:rPr>
          <w:rFonts w:asciiTheme="minorHAnsi" w:hAnsiTheme="minorHAnsi" w:cstheme="minorHAnsi"/>
          <w:lang w:val="en-GB"/>
        </w:rPr>
        <w:t>;</w:t>
      </w:r>
      <w:proofErr w:type="gramEnd"/>
      <w:r w:rsidR="00051171" w:rsidRPr="00763DFB">
        <w:rPr>
          <w:rFonts w:asciiTheme="minorHAnsi" w:hAnsiTheme="minorHAnsi" w:cstheme="minorHAnsi"/>
          <w:lang w:val="en-GB"/>
        </w:rPr>
        <w:t xml:space="preserve"> </w:t>
      </w:r>
    </w:p>
    <w:p w14:paraId="5121BFA2" w14:textId="609B810F" w:rsidR="00D907DA" w:rsidRDefault="00185E28" w:rsidP="00D907DA">
      <w:pPr>
        <w:widowControl w:val="0"/>
        <w:numPr>
          <w:ilvl w:val="1"/>
          <w:numId w:val="22"/>
        </w:numPr>
        <w:spacing w:after="120"/>
        <w:ind w:left="1080"/>
        <w:rPr>
          <w:rFonts w:asciiTheme="minorHAnsi" w:hAnsiTheme="minorHAnsi" w:cstheme="minorHAnsi"/>
          <w:lang w:val="en-GB"/>
        </w:rPr>
      </w:pPr>
      <w:r>
        <w:rPr>
          <w:rFonts w:asciiTheme="minorHAnsi" w:hAnsiTheme="minorHAnsi" w:cstheme="minorHAnsi"/>
          <w:lang w:val="en-GB"/>
        </w:rPr>
        <w:t xml:space="preserve">The treatment is </w:t>
      </w:r>
      <w:r w:rsidR="00051171" w:rsidRPr="00763DFB">
        <w:rPr>
          <w:rFonts w:asciiTheme="minorHAnsi" w:hAnsiTheme="minorHAnsi" w:cstheme="minorHAnsi"/>
          <w:lang w:val="en-GB"/>
        </w:rPr>
        <w:t>expected to address a high and urgent unmet clinical need</w:t>
      </w:r>
      <w:r>
        <w:rPr>
          <w:rFonts w:asciiTheme="minorHAnsi" w:hAnsiTheme="minorHAnsi" w:cstheme="minorHAnsi"/>
          <w:lang w:val="en-GB"/>
        </w:rPr>
        <w:t xml:space="preserve"> as the population currently has no alternative treatment option until they are at least 2 years of </w:t>
      </w:r>
      <w:proofErr w:type="gramStart"/>
      <w:r>
        <w:rPr>
          <w:rFonts w:asciiTheme="minorHAnsi" w:hAnsiTheme="minorHAnsi" w:cstheme="minorHAnsi"/>
          <w:lang w:val="en-GB"/>
        </w:rPr>
        <w:t>age</w:t>
      </w:r>
      <w:r w:rsidR="00D907DA">
        <w:rPr>
          <w:rFonts w:asciiTheme="minorHAnsi" w:hAnsiTheme="minorHAnsi" w:cstheme="minorHAnsi"/>
          <w:lang w:val="en-GB"/>
        </w:rPr>
        <w:t>;</w:t>
      </w:r>
      <w:proofErr w:type="gramEnd"/>
      <w:r w:rsidR="00051171" w:rsidRPr="00763DFB">
        <w:rPr>
          <w:rFonts w:asciiTheme="minorHAnsi" w:hAnsiTheme="minorHAnsi" w:cstheme="minorHAnsi"/>
          <w:lang w:val="en-GB"/>
        </w:rPr>
        <w:t xml:space="preserve"> </w:t>
      </w:r>
    </w:p>
    <w:p w14:paraId="1A1D00B5" w14:textId="2B1EA161" w:rsidR="00D907DA" w:rsidRPr="00D907DA" w:rsidRDefault="00051171" w:rsidP="00D907DA">
      <w:pPr>
        <w:widowControl w:val="0"/>
        <w:numPr>
          <w:ilvl w:val="1"/>
          <w:numId w:val="22"/>
        </w:numPr>
        <w:spacing w:after="120"/>
        <w:ind w:left="1080"/>
        <w:rPr>
          <w:rFonts w:asciiTheme="minorHAnsi" w:hAnsiTheme="minorHAnsi" w:cstheme="minorHAnsi"/>
          <w:lang w:val="en-GB"/>
        </w:rPr>
      </w:pPr>
      <w:r w:rsidRPr="00D907DA">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D907DA" w:rsidRPr="00D907DA">
        <w:rPr>
          <w:rFonts w:asciiTheme="minorHAnsi" w:hAnsiTheme="minorHAnsi" w:cstheme="minorHAnsi"/>
          <w:lang w:val="en-GB"/>
        </w:rPr>
        <w:t>.</w:t>
      </w:r>
      <w:r w:rsidRPr="00D907DA">
        <w:rPr>
          <w:rFonts w:asciiTheme="minorHAnsi" w:hAnsiTheme="minorHAnsi" w:cstheme="minorHAnsi"/>
          <w:lang w:val="en-GB"/>
        </w:rPr>
        <w:t xml:space="preserve"> </w:t>
      </w:r>
    </w:p>
    <w:p w14:paraId="604C2409" w14:textId="48B305F3" w:rsidR="00051171" w:rsidRPr="007D4707" w:rsidRDefault="00051171" w:rsidP="00D907DA">
      <w:pPr>
        <w:widowControl w:val="0"/>
        <w:numPr>
          <w:ilvl w:val="1"/>
          <w:numId w:val="1"/>
        </w:numPr>
        <w:spacing w:after="120"/>
        <w:ind w:left="7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sidR="00D907DA">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640F5E2F" w14:textId="77777777" w:rsidR="00051171" w:rsidRPr="00525B39" w:rsidRDefault="00051171" w:rsidP="0005117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4DF0220" w14:textId="65242183" w:rsidR="00185E28" w:rsidRPr="0091384D" w:rsidRDefault="00051171" w:rsidP="0091384D">
      <w:pPr>
        <w:rPr>
          <w:rFonts w:asciiTheme="minorHAnsi" w:hAnsiTheme="minorHAnsi"/>
          <w:bCs/>
          <w:snapToGrid w:val="0"/>
          <w:lang w:val="en-GB"/>
        </w:rPr>
      </w:pPr>
      <w:r w:rsidRPr="00525B39">
        <w:rPr>
          <w:rFonts w:asciiTheme="minorHAnsi" w:hAnsiTheme="minorHAnsi"/>
          <w:bCs/>
          <w:snapToGrid w:val="0"/>
          <w:lang w:val="en-GB"/>
        </w:rPr>
        <w:t>Recommended</w:t>
      </w:r>
      <w:bookmarkEnd w:id="59"/>
      <w:r w:rsidR="00185E28">
        <w:t xml:space="preserve"> </w:t>
      </w:r>
    </w:p>
    <w:p w14:paraId="46EDDCB2" w14:textId="77777777" w:rsidR="00051171" w:rsidRPr="00F237A4" w:rsidRDefault="00051171" w:rsidP="00051171">
      <w:pPr>
        <w:pStyle w:val="2-SectionHeading"/>
        <w:rPr>
          <w:iCs/>
          <w:lang w:val="en-GB"/>
        </w:rPr>
      </w:pPr>
      <w:r w:rsidRPr="00525B39">
        <w:rPr>
          <w:lang w:val="en-GB"/>
        </w:rPr>
        <w:t xml:space="preserve">Recommended </w:t>
      </w:r>
      <w:proofErr w:type="gramStart"/>
      <w:r w:rsidRPr="00525B39">
        <w:rPr>
          <w:lang w:val="en-GB"/>
        </w:rPr>
        <w:t>listing</w:t>
      </w:r>
      <w:proofErr w:type="gramEnd"/>
    </w:p>
    <w:p w14:paraId="263C337A" w14:textId="72BAC2CB" w:rsidR="00051171" w:rsidRPr="00D907DA" w:rsidRDefault="00051171" w:rsidP="00D907DA">
      <w:pPr>
        <w:widowControl w:val="0"/>
        <w:numPr>
          <w:ilvl w:val="1"/>
          <w:numId w:val="1"/>
        </w:numPr>
        <w:spacing w:after="120"/>
        <w:ind w:left="720"/>
        <w:contextualSpacing/>
        <w:rPr>
          <w:rFonts w:asciiTheme="minorHAnsi" w:hAnsiTheme="minorHAnsi"/>
          <w:bCs/>
          <w:snapToGrid w:val="0"/>
        </w:rPr>
      </w:pPr>
      <w:r w:rsidRPr="00D907DA">
        <w:rPr>
          <w:rFonts w:asciiTheme="minorHAnsi" w:hAnsiTheme="minorHAnsi"/>
          <w:bCs/>
          <w:snapToGrid w:val="0"/>
        </w:rPr>
        <w:t>Add new item</w:t>
      </w:r>
      <w:r w:rsidR="00D907DA">
        <w:rPr>
          <w:rFonts w:asciiTheme="minorHAnsi" w:hAnsiTheme="minorHAnsi"/>
          <w:bCs/>
          <w:snapToGrid w:val="0"/>
        </w:rPr>
        <w:t xml:space="preserve">, </w:t>
      </w:r>
      <w:r w:rsidR="00D907DA" w:rsidRPr="00D907DA">
        <w:rPr>
          <w:rFonts w:asciiTheme="minorHAnsi" w:hAnsiTheme="minorHAnsi"/>
          <w:bCs/>
          <w:snapToGrid w:val="0"/>
        </w:rPr>
        <w:t>lumacaftor 75 mg/ivacaftor 94 mg sachets</w:t>
      </w:r>
      <w:r w:rsidR="00D907DA">
        <w:rPr>
          <w:rFonts w:asciiTheme="minorHAnsi" w:hAnsiTheme="minorHAnsi"/>
          <w:bCs/>
          <w:snapToGrid w:val="0"/>
        </w:rPr>
        <w:t xml:space="preserve">, </w:t>
      </w:r>
      <w:r w:rsidR="00D907DA" w:rsidRPr="00D907DA">
        <w:rPr>
          <w:rFonts w:asciiTheme="minorHAnsi" w:hAnsiTheme="minorHAnsi"/>
          <w:bCs/>
          <w:snapToGrid w:val="0"/>
        </w:rPr>
        <w:t xml:space="preserve">and </w:t>
      </w:r>
      <w:r w:rsidR="00D907DA">
        <w:rPr>
          <w:rFonts w:asciiTheme="minorHAnsi" w:hAnsiTheme="minorHAnsi"/>
          <w:bCs/>
          <w:snapToGrid w:val="0"/>
        </w:rPr>
        <w:t>a</w:t>
      </w:r>
      <w:r w:rsidR="00D907DA" w:rsidRPr="00D907DA">
        <w:rPr>
          <w:rFonts w:asciiTheme="minorHAnsi" w:hAnsiTheme="minorHAnsi"/>
          <w:bCs/>
          <w:snapToGrid w:val="0"/>
        </w:rPr>
        <w:t xml:space="preserve">mend </w:t>
      </w:r>
      <w:r w:rsidR="00D907DA">
        <w:rPr>
          <w:rFonts w:asciiTheme="minorHAnsi" w:hAnsiTheme="minorHAnsi"/>
          <w:bCs/>
          <w:snapToGrid w:val="0"/>
        </w:rPr>
        <w:t xml:space="preserve">the </w:t>
      </w:r>
      <w:r w:rsidRPr="00D907DA">
        <w:rPr>
          <w:rFonts w:asciiTheme="minorHAnsi" w:hAnsiTheme="minorHAnsi"/>
          <w:bCs/>
          <w:snapToGrid w:val="0"/>
        </w:rPr>
        <w:t>existing listing</w:t>
      </w:r>
      <w:r w:rsidR="00D907DA">
        <w:rPr>
          <w:rFonts w:asciiTheme="minorHAnsi" w:hAnsiTheme="minorHAnsi"/>
          <w:bCs/>
          <w:snapToGrid w:val="0"/>
        </w:rPr>
        <w:t xml:space="preserve"> for lumacaftor 100 mg/ivacaftor 125 mg and lumacaftor 150 mg/ivacaftor 188 mg sachets </w:t>
      </w:r>
      <w:r w:rsidRPr="00D907DA">
        <w:rPr>
          <w:rFonts w:asciiTheme="minorHAnsi" w:hAnsiTheme="minorHAnsi"/>
          <w:bCs/>
          <w:snapToGrid w:val="0"/>
        </w:rPr>
        <w:t>as follows:</w:t>
      </w:r>
    </w:p>
    <w:p w14:paraId="042B9D3F" w14:textId="52D87500" w:rsidR="00051171" w:rsidRPr="00525B39" w:rsidRDefault="00051171" w:rsidP="00051171">
      <w:pPr>
        <w:widowControl w:val="0"/>
        <w:ind w:firstLine="709"/>
        <w:rPr>
          <w:rFonts w:asciiTheme="minorHAnsi" w:hAnsiTheme="minorHAnsi"/>
          <w:bCs/>
          <w:snapToGrid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36"/>
        <w:gridCol w:w="1087"/>
        <w:gridCol w:w="1434"/>
        <w:gridCol w:w="1407"/>
        <w:gridCol w:w="1264"/>
        <w:gridCol w:w="889"/>
        <w:gridCol w:w="1500"/>
      </w:tblGrid>
      <w:tr w:rsidR="00D907DA" w:rsidRPr="005B339F" w14:paraId="276104FD" w14:textId="77777777" w:rsidTr="006E22B4">
        <w:trPr>
          <w:trHeight w:val="493"/>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66CA6D3" w14:textId="77777777" w:rsidR="00D907DA" w:rsidRPr="005B339F" w:rsidRDefault="00D907DA" w:rsidP="006E22B4">
            <w:pPr>
              <w:pStyle w:val="TableHeadingleft"/>
              <w:spacing w:before="0" w:after="0"/>
              <w:rPr>
                <w:rFonts w:ascii="Arial Narrow" w:hAnsi="Arial Narrow" w:cstheme="minorHAnsi"/>
                <w:sz w:val="20"/>
                <w:szCs w:val="20"/>
              </w:rPr>
            </w:pPr>
            <w:r w:rsidRPr="005B339F">
              <w:rPr>
                <w:rFonts w:ascii="Arial Narrow" w:hAnsi="Arial Narrow" w:cstheme="minorHAnsi"/>
                <w:sz w:val="20"/>
                <w:szCs w:val="20"/>
              </w:rPr>
              <w:t>MEDICINAL PRODUCT</w:t>
            </w:r>
          </w:p>
          <w:p w14:paraId="7148CCC8" w14:textId="77777777" w:rsidR="00D907DA" w:rsidRPr="005B339F" w:rsidRDefault="00D907DA" w:rsidP="006E22B4">
            <w:pPr>
              <w:pStyle w:val="TableHeadingleft"/>
              <w:spacing w:before="0" w:after="0"/>
              <w:rPr>
                <w:rFonts w:ascii="Arial Narrow" w:hAnsi="Arial Narrow" w:cstheme="minorHAnsi"/>
                <w:sz w:val="20"/>
                <w:szCs w:val="20"/>
              </w:rPr>
            </w:pPr>
            <w:r w:rsidRPr="005B339F">
              <w:rPr>
                <w:rFonts w:ascii="Arial Narrow" w:hAnsi="Arial Narrow" w:cstheme="minorHAnsi"/>
                <w:sz w:val="20"/>
                <w:szCs w:val="20"/>
              </w:rPr>
              <w:t>medicinal product pack</w:t>
            </w:r>
          </w:p>
        </w:tc>
        <w:tc>
          <w:tcPr>
            <w:tcW w:w="795" w:type="pct"/>
            <w:tcBorders>
              <w:top w:val="single" w:sz="4" w:space="0" w:color="000000"/>
              <w:left w:val="single" w:sz="4" w:space="0" w:color="000000"/>
              <w:bottom w:val="single" w:sz="4" w:space="0" w:color="000000"/>
              <w:right w:val="single" w:sz="4" w:space="0" w:color="000000"/>
            </w:tcBorders>
            <w:shd w:val="clear" w:color="auto" w:fill="D9D9D9"/>
            <w:hideMark/>
          </w:tcPr>
          <w:p w14:paraId="10E51696" w14:textId="77777777" w:rsidR="00D907DA" w:rsidRPr="005B339F" w:rsidRDefault="00D907DA" w:rsidP="006E22B4">
            <w:pPr>
              <w:pStyle w:val="TableHeadingleft"/>
              <w:spacing w:before="0" w:after="0"/>
              <w:rPr>
                <w:rFonts w:ascii="Arial Narrow" w:hAnsi="Arial Narrow" w:cstheme="minorHAnsi"/>
                <w:sz w:val="20"/>
                <w:szCs w:val="20"/>
              </w:rPr>
            </w:pPr>
            <w:r w:rsidRPr="005B339F">
              <w:rPr>
                <w:rFonts w:ascii="Arial Narrow" w:hAnsi="Arial Narrow" w:cstheme="minorHAnsi"/>
                <w:sz w:val="20"/>
                <w:szCs w:val="20"/>
              </w:rPr>
              <w:t>PBS item code</w:t>
            </w:r>
          </w:p>
        </w:tc>
        <w:tc>
          <w:tcPr>
            <w:tcW w:w="780" w:type="pct"/>
            <w:tcBorders>
              <w:top w:val="single" w:sz="4" w:space="0" w:color="000000"/>
              <w:left w:val="single" w:sz="4" w:space="0" w:color="000000"/>
              <w:bottom w:val="single" w:sz="4" w:space="0" w:color="000000"/>
              <w:right w:val="single" w:sz="4" w:space="0" w:color="000000"/>
            </w:tcBorders>
            <w:shd w:val="clear" w:color="auto" w:fill="D9D9D9"/>
            <w:hideMark/>
          </w:tcPr>
          <w:p w14:paraId="3FA02AC5" w14:textId="77777777" w:rsidR="00D907DA" w:rsidRPr="005B339F" w:rsidRDefault="00D907DA" w:rsidP="006E22B4">
            <w:pPr>
              <w:pStyle w:val="TableHeadingleft"/>
              <w:spacing w:before="0" w:after="0"/>
              <w:rPr>
                <w:rFonts w:ascii="Arial Narrow" w:hAnsi="Arial Narrow" w:cstheme="minorHAnsi"/>
                <w:sz w:val="20"/>
                <w:szCs w:val="20"/>
              </w:rPr>
            </w:pPr>
            <w:r w:rsidRPr="005B339F">
              <w:rPr>
                <w:rFonts w:ascii="Arial Narrow" w:hAnsi="Arial Narrow" w:cstheme="minorHAnsi"/>
                <w:sz w:val="20"/>
                <w:szCs w:val="20"/>
              </w:rPr>
              <w:t>Max. qty packs</w:t>
            </w:r>
          </w:p>
        </w:tc>
        <w:tc>
          <w:tcPr>
            <w:tcW w:w="701" w:type="pct"/>
            <w:tcBorders>
              <w:top w:val="single" w:sz="4" w:space="0" w:color="000000"/>
              <w:left w:val="single" w:sz="4" w:space="0" w:color="000000"/>
              <w:bottom w:val="single" w:sz="4" w:space="0" w:color="000000"/>
              <w:right w:val="single" w:sz="4" w:space="0" w:color="000000"/>
            </w:tcBorders>
            <w:shd w:val="clear" w:color="auto" w:fill="D9D9D9"/>
            <w:hideMark/>
          </w:tcPr>
          <w:p w14:paraId="7E959CD5" w14:textId="77777777" w:rsidR="00D907DA" w:rsidRPr="005B339F" w:rsidRDefault="00D907DA" w:rsidP="006E22B4">
            <w:pPr>
              <w:pStyle w:val="TableHeadingleft"/>
              <w:spacing w:before="0" w:after="0"/>
              <w:rPr>
                <w:rFonts w:ascii="Arial Narrow" w:hAnsi="Arial Narrow" w:cstheme="minorHAnsi"/>
                <w:sz w:val="20"/>
                <w:szCs w:val="20"/>
              </w:rPr>
            </w:pPr>
            <w:r w:rsidRPr="005B339F">
              <w:rPr>
                <w:rFonts w:ascii="Arial Narrow" w:hAnsi="Arial Narrow" w:cstheme="minorHAnsi"/>
                <w:sz w:val="20"/>
                <w:szCs w:val="20"/>
              </w:rPr>
              <w:t>Max. qty units</w:t>
            </w:r>
          </w:p>
        </w:tc>
        <w:tc>
          <w:tcPr>
            <w:tcW w:w="493" w:type="pct"/>
            <w:tcBorders>
              <w:top w:val="single" w:sz="4" w:space="0" w:color="000000"/>
              <w:left w:val="single" w:sz="4" w:space="0" w:color="000000"/>
              <w:bottom w:val="single" w:sz="4" w:space="0" w:color="000000"/>
              <w:right w:val="single" w:sz="4" w:space="0" w:color="000000"/>
            </w:tcBorders>
            <w:shd w:val="clear" w:color="auto" w:fill="D9D9D9"/>
            <w:hideMark/>
          </w:tcPr>
          <w:p w14:paraId="4CAE8C57" w14:textId="77777777" w:rsidR="00D907DA" w:rsidRPr="005B339F" w:rsidRDefault="00D907DA" w:rsidP="006E22B4">
            <w:pPr>
              <w:pStyle w:val="TableHeadingleft"/>
              <w:spacing w:before="0" w:after="0"/>
              <w:rPr>
                <w:rFonts w:ascii="Arial Narrow" w:hAnsi="Arial Narrow" w:cstheme="minorHAnsi"/>
                <w:sz w:val="20"/>
                <w:szCs w:val="20"/>
              </w:rPr>
            </w:pPr>
            <w:r w:rsidRPr="005B339F">
              <w:rPr>
                <w:rFonts w:ascii="Arial Narrow" w:hAnsi="Arial Narrow" w:cstheme="minorHAnsi"/>
                <w:sz w:val="20"/>
                <w:szCs w:val="20"/>
              </w:rPr>
              <w:t>№.of</w:t>
            </w:r>
          </w:p>
          <w:p w14:paraId="5F4AD446" w14:textId="77777777" w:rsidR="00D907DA" w:rsidRPr="005B339F" w:rsidRDefault="00D907DA" w:rsidP="006E22B4">
            <w:pPr>
              <w:pStyle w:val="TableHeadingleft"/>
              <w:spacing w:before="0" w:after="0"/>
              <w:rPr>
                <w:rFonts w:ascii="Arial Narrow" w:hAnsi="Arial Narrow" w:cstheme="minorHAnsi"/>
                <w:sz w:val="20"/>
                <w:szCs w:val="20"/>
              </w:rPr>
            </w:pPr>
            <w:r w:rsidRPr="005B339F">
              <w:rPr>
                <w:rFonts w:ascii="Arial Narrow" w:hAnsi="Arial Narrow" w:cstheme="minorHAnsi"/>
                <w:sz w:val="20"/>
                <w:szCs w:val="20"/>
              </w:rPr>
              <w:t>Rpts</w:t>
            </w:r>
          </w:p>
        </w:tc>
        <w:tc>
          <w:tcPr>
            <w:tcW w:w="832" w:type="pct"/>
            <w:tcBorders>
              <w:top w:val="single" w:sz="4" w:space="0" w:color="000000"/>
              <w:left w:val="single" w:sz="4" w:space="0" w:color="000000"/>
              <w:bottom w:val="single" w:sz="4" w:space="0" w:color="000000"/>
              <w:right w:val="single" w:sz="4" w:space="0" w:color="000000"/>
            </w:tcBorders>
            <w:shd w:val="clear" w:color="auto" w:fill="D9D9D9"/>
            <w:hideMark/>
          </w:tcPr>
          <w:p w14:paraId="54BE6622" w14:textId="77777777" w:rsidR="00D907DA" w:rsidRPr="005B339F" w:rsidRDefault="00D907DA" w:rsidP="006E22B4">
            <w:pPr>
              <w:pStyle w:val="TableHeadingleft"/>
              <w:spacing w:before="0" w:after="0"/>
              <w:rPr>
                <w:rFonts w:ascii="Arial Narrow" w:hAnsi="Arial Narrow" w:cstheme="minorHAnsi"/>
                <w:sz w:val="20"/>
                <w:szCs w:val="20"/>
              </w:rPr>
            </w:pPr>
            <w:r w:rsidRPr="005B339F">
              <w:rPr>
                <w:rFonts w:ascii="Arial Narrow" w:hAnsi="Arial Narrow" w:cstheme="minorHAnsi"/>
                <w:sz w:val="20"/>
                <w:szCs w:val="20"/>
              </w:rPr>
              <w:t>Available brands</w:t>
            </w:r>
          </w:p>
        </w:tc>
      </w:tr>
      <w:tr w:rsidR="00D907DA" w:rsidRPr="00975D7B" w14:paraId="094B595A" w14:textId="77777777" w:rsidTr="006E22B4">
        <w:trPr>
          <w:trHeight w:val="266"/>
        </w:trPr>
        <w:tc>
          <w:tcPr>
            <w:tcW w:w="5000" w:type="pct"/>
            <w:gridSpan w:val="7"/>
            <w:tcBorders>
              <w:top w:val="single" w:sz="4" w:space="0" w:color="000000"/>
              <w:left w:val="single" w:sz="4" w:space="0" w:color="000000"/>
              <w:bottom w:val="single" w:sz="4" w:space="0" w:color="000000"/>
              <w:right w:val="single" w:sz="4" w:space="0" w:color="000000"/>
            </w:tcBorders>
            <w:hideMark/>
          </w:tcPr>
          <w:p w14:paraId="50092132" w14:textId="77777777" w:rsidR="00D907DA" w:rsidRPr="00975D7B" w:rsidRDefault="00D907DA" w:rsidP="006E22B4">
            <w:pPr>
              <w:pStyle w:val="Tabletextleft"/>
              <w:spacing w:before="0" w:after="0"/>
              <w:rPr>
                <w:rFonts w:ascii="Arial Narrow" w:hAnsi="Arial Narrow" w:cstheme="minorHAnsi"/>
                <w:b/>
                <w:bCs/>
                <w:sz w:val="20"/>
                <w:lang w:eastAsia="en-US"/>
              </w:rPr>
            </w:pPr>
            <w:r w:rsidRPr="00975D7B">
              <w:rPr>
                <w:rFonts w:ascii="Arial Narrow" w:hAnsi="Arial Narrow" w:cstheme="minorHAnsi"/>
                <w:b/>
                <w:bCs/>
                <w:sz w:val="20"/>
                <w:lang w:eastAsia="en-US"/>
              </w:rPr>
              <w:t>Lumacaftor + ivacaftor</w:t>
            </w:r>
          </w:p>
        </w:tc>
      </w:tr>
      <w:tr w:rsidR="00D907DA" w:rsidRPr="005B339F" w14:paraId="32F6C1BD" w14:textId="77777777" w:rsidTr="006E22B4">
        <w:trPr>
          <w:trHeight w:val="302"/>
        </w:trPr>
        <w:tc>
          <w:tcPr>
            <w:tcW w:w="1399" w:type="pct"/>
            <w:gridSpan w:val="2"/>
            <w:tcBorders>
              <w:top w:val="single" w:sz="4" w:space="0" w:color="000000"/>
              <w:left w:val="single" w:sz="4" w:space="0" w:color="000000"/>
              <w:bottom w:val="single" w:sz="4" w:space="0" w:color="000000"/>
              <w:right w:val="single" w:sz="4" w:space="0" w:color="000000"/>
            </w:tcBorders>
            <w:hideMark/>
          </w:tcPr>
          <w:p w14:paraId="2AAF9189" w14:textId="77777777" w:rsidR="00D907DA" w:rsidRPr="005B339F" w:rsidRDefault="00D907DA" w:rsidP="006E22B4">
            <w:pPr>
              <w:pStyle w:val="Tabletextleft"/>
              <w:spacing w:before="0" w:after="0"/>
              <w:rPr>
                <w:rFonts w:ascii="Arial Narrow" w:hAnsi="Arial Narrow" w:cstheme="minorHAnsi"/>
                <w:sz w:val="20"/>
                <w:lang w:eastAsia="en-US"/>
              </w:rPr>
            </w:pPr>
            <w:r>
              <w:rPr>
                <w:rFonts w:ascii="Arial Narrow" w:hAnsi="Arial Narrow" w:cstheme="minorHAnsi"/>
                <w:sz w:val="20"/>
                <w:lang w:eastAsia="en-US"/>
              </w:rPr>
              <w:t>l</w:t>
            </w:r>
            <w:r w:rsidRPr="005B339F">
              <w:rPr>
                <w:rFonts w:ascii="Arial Narrow" w:hAnsi="Arial Narrow" w:cstheme="minorHAnsi"/>
                <w:sz w:val="20"/>
                <w:lang w:eastAsia="en-US"/>
              </w:rPr>
              <w:t>umacaftor</w:t>
            </w:r>
            <w:r>
              <w:rPr>
                <w:rFonts w:ascii="Arial Narrow" w:hAnsi="Arial Narrow" w:cstheme="minorHAnsi"/>
                <w:sz w:val="20"/>
                <w:lang w:eastAsia="en-US"/>
              </w:rPr>
              <w:t xml:space="preserve"> </w:t>
            </w:r>
            <w:r w:rsidRPr="005B339F">
              <w:rPr>
                <w:rFonts w:ascii="Arial Narrow" w:hAnsi="Arial Narrow" w:cstheme="minorHAnsi"/>
                <w:sz w:val="20"/>
                <w:lang w:eastAsia="en-US"/>
              </w:rPr>
              <w:t>75 mg/ivacaftor</w:t>
            </w:r>
          </w:p>
          <w:p w14:paraId="2C6F0552"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94 mg [28], 56</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3A2BD861" w14:textId="77777777" w:rsidR="00D907DA" w:rsidRPr="005B339F" w:rsidRDefault="00D907DA" w:rsidP="006E22B4">
            <w:pPr>
              <w:pStyle w:val="Tabletextleft"/>
              <w:spacing w:before="0" w:after="0"/>
              <w:jc w:val="center"/>
              <w:rPr>
                <w:rFonts w:ascii="Arial Narrow" w:hAnsi="Arial Narrow" w:cstheme="minorHAnsi"/>
                <w:sz w:val="20"/>
                <w:lang w:eastAsia="en-US"/>
              </w:rPr>
            </w:pPr>
            <w:r w:rsidRPr="005B339F">
              <w:rPr>
                <w:rFonts w:ascii="Arial Narrow" w:hAnsi="Arial Narrow" w:cstheme="minorHAnsi"/>
                <w:sz w:val="20"/>
                <w:lang w:eastAsia="en-US"/>
              </w:rPr>
              <w:t xml:space="preserve">NEW (Public) </w:t>
            </w:r>
          </w:p>
          <w:p w14:paraId="3F18E6EB" w14:textId="77777777" w:rsidR="00D907DA" w:rsidRPr="005B339F" w:rsidRDefault="00D907DA" w:rsidP="006E22B4">
            <w:pPr>
              <w:pStyle w:val="Tabletextleft"/>
              <w:spacing w:before="0" w:after="0"/>
              <w:jc w:val="center"/>
              <w:rPr>
                <w:rFonts w:ascii="Arial Narrow" w:hAnsi="Arial Narrow" w:cstheme="minorHAnsi"/>
                <w:sz w:val="20"/>
                <w:lang w:eastAsia="en-US"/>
              </w:rPr>
            </w:pPr>
            <w:r w:rsidRPr="005B339F">
              <w:rPr>
                <w:rFonts w:ascii="Arial Narrow" w:hAnsi="Arial Narrow" w:cstheme="minorHAnsi"/>
                <w:sz w:val="20"/>
                <w:lang w:eastAsia="en-US"/>
              </w:rPr>
              <w:t>NEW (Private)</w:t>
            </w:r>
          </w:p>
        </w:tc>
        <w:tc>
          <w:tcPr>
            <w:tcW w:w="780" w:type="pct"/>
            <w:vMerge w:val="restart"/>
            <w:tcBorders>
              <w:top w:val="single" w:sz="4" w:space="0" w:color="000000"/>
              <w:left w:val="single" w:sz="4" w:space="0" w:color="000000"/>
              <w:bottom w:val="single" w:sz="4" w:space="0" w:color="000000"/>
              <w:right w:val="single" w:sz="4" w:space="0" w:color="000000"/>
            </w:tcBorders>
            <w:vAlign w:val="center"/>
            <w:hideMark/>
          </w:tcPr>
          <w:p w14:paraId="395F8B81" w14:textId="77777777" w:rsidR="00D907DA" w:rsidRPr="005B339F" w:rsidRDefault="00D907DA" w:rsidP="006E22B4">
            <w:pPr>
              <w:pStyle w:val="Tabletextleft"/>
              <w:spacing w:before="0" w:after="0"/>
              <w:jc w:val="center"/>
              <w:rPr>
                <w:rFonts w:ascii="Arial Narrow" w:hAnsi="Arial Narrow" w:cstheme="minorHAnsi"/>
                <w:sz w:val="20"/>
                <w:lang w:eastAsia="en-US"/>
              </w:rPr>
            </w:pPr>
            <w:r w:rsidRPr="005B339F">
              <w:rPr>
                <w:rFonts w:ascii="Arial Narrow" w:hAnsi="Arial Narrow" w:cstheme="minorHAnsi"/>
                <w:sz w:val="20"/>
                <w:lang w:eastAsia="en-US"/>
              </w:rPr>
              <w:t>1</w:t>
            </w:r>
          </w:p>
        </w:tc>
        <w:tc>
          <w:tcPr>
            <w:tcW w:w="701" w:type="pct"/>
            <w:vMerge w:val="restart"/>
            <w:tcBorders>
              <w:top w:val="single" w:sz="4" w:space="0" w:color="000000"/>
              <w:left w:val="single" w:sz="4" w:space="0" w:color="000000"/>
              <w:bottom w:val="single" w:sz="4" w:space="0" w:color="000000"/>
              <w:right w:val="single" w:sz="4" w:space="0" w:color="000000"/>
            </w:tcBorders>
            <w:vAlign w:val="center"/>
            <w:hideMark/>
          </w:tcPr>
          <w:p w14:paraId="2177AE4E" w14:textId="2491B6AD" w:rsidR="00D907DA" w:rsidRPr="005B339F" w:rsidRDefault="000E292F" w:rsidP="006E22B4">
            <w:pPr>
              <w:pStyle w:val="Tabletextleft"/>
              <w:spacing w:before="0" w:after="0"/>
              <w:jc w:val="center"/>
              <w:rPr>
                <w:rFonts w:ascii="Arial Narrow" w:hAnsi="Arial Narrow" w:cstheme="minorHAnsi"/>
                <w:sz w:val="20"/>
                <w:lang w:eastAsia="en-US"/>
              </w:rPr>
            </w:pPr>
            <w:r>
              <w:rPr>
                <w:rFonts w:ascii="Arial Narrow" w:hAnsi="Arial Narrow" w:cstheme="minorHAnsi"/>
                <w:sz w:val="20"/>
                <w:lang w:eastAsia="en-US"/>
              </w:rPr>
              <w:t>56</w:t>
            </w:r>
          </w:p>
        </w:tc>
        <w:tc>
          <w:tcPr>
            <w:tcW w:w="493" w:type="pct"/>
            <w:vMerge w:val="restart"/>
            <w:tcBorders>
              <w:top w:val="single" w:sz="4" w:space="0" w:color="000000"/>
              <w:left w:val="single" w:sz="4" w:space="0" w:color="000000"/>
              <w:bottom w:val="single" w:sz="4" w:space="0" w:color="000000"/>
              <w:right w:val="single" w:sz="4" w:space="0" w:color="000000"/>
            </w:tcBorders>
            <w:vAlign w:val="center"/>
            <w:hideMark/>
          </w:tcPr>
          <w:p w14:paraId="0766A308" w14:textId="77777777" w:rsidR="00D907DA" w:rsidRPr="005B339F" w:rsidRDefault="00D907DA" w:rsidP="006E22B4">
            <w:pPr>
              <w:pStyle w:val="Tabletextleft"/>
              <w:spacing w:before="0" w:after="0"/>
              <w:jc w:val="center"/>
              <w:rPr>
                <w:rFonts w:ascii="Arial Narrow" w:hAnsi="Arial Narrow" w:cstheme="minorHAnsi"/>
                <w:sz w:val="20"/>
                <w:lang w:eastAsia="en-US"/>
              </w:rPr>
            </w:pPr>
            <w:r w:rsidRPr="005B339F">
              <w:rPr>
                <w:rFonts w:ascii="Arial Narrow" w:hAnsi="Arial Narrow" w:cstheme="minorHAnsi"/>
                <w:sz w:val="20"/>
                <w:lang w:eastAsia="en-US"/>
              </w:rPr>
              <w:t>5</w:t>
            </w:r>
          </w:p>
        </w:tc>
        <w:tc>
          <w:tcPr>
            <w:tcW w:w="832" w:type="pct"/>
            <w:vMerge w:val="restart"/>
            <w:tcBorders>
              <w:top w:val="single" w:sz="4" w:space="0" w:color="000000"/>
              <w:left w:val="single" w:sz="4" w:space="0" w:color="000000"/>
              <w:bottom w:val="single" w:sz="4" w:space="0" w:color="000000"/>
              <w:right w:val="single" w:sz="4" w:space="0" w:color="000000"/>
            </w:tcBorders>
            <w:vAlign w:val="center"/>
            <w:hideMark/>
          </w:tcPr>
          <w:p w14:paraId="07892255" w14:textId="77777777" w:rsidR="00D907DA" w:rsidRPr="005B339F" w:rsidRDefault="00D907DA" w:rsidP="006E22B4">
            <w:pPr>
              <w:pStyle w:val="Tabletextleft"/>
              <w:spacing w:before="0" w:after="0"/>
              <w:jc w:val="center"/>
              <w:rPr>
                <w:rFonts w:ascii="Arial Narrow" w:hAnsi="Arial Narrow" w:cstheme="minorHAnsi"/>
                <w:sz w:val="20"/>
                <w:lang w:eastAsia="en-US"/>
              </w:rPr>
            </w:pPr>
            <w:r w:rsidRPr="005B339F">
              <w:rPr>
                <w:rFonts w:ascii="Arial Narrow" w:hAnsi="Arial Narrow" w:cstheme="minorHAnsi"/>
                <w:sz w:val="20"/>
                <w:lang w:eastAsia="en-US"/>
              </w:rPr>
              <w:t>Orkambi</w:t>
            </w:r>
          </w:p>
        </w:tc>
      </w:tr>
      <w:tr w:rsidR="00D907DA" w:rsidRPr="005B339F" w14:paraId="36315070" w14:textId="77777777" w:rsidTr="006E22B4">
        <w:trPr>
          <w:trHeight w:val="314"/>
        </w:trPr>
        <w:tc>
          <w:tcPr>
            <w:tcW w:w="1399" w:type="pct"/>
            <w:gridSpan w:val="2"/>
            <w:tcBorders>
              <w:top w:val="single" w:sz="4" w:space="0" w:color="000000"/>
              <w:left w:val="single" w:sz="4" w:space="0" w:color="000000"/>
              <w:bottom w:val="single" w:sz="4" w:space="0" w:color="000000"/>
              <w:right w:val="single" w:sz="4" w:space="0" w:color="000000"/>
            </w:tcBorders>
            <w:hideMark/>
          </w:tcPr>
          <w:p w14:paraId="3F73459A" w14:textId="77777777" w:rsidR="00D907DA" w:rsidRPr="005B339F" w:rsidRDefault="00D907DA" w:rsidP="006E22B4">
            <w:pPr>
              <w:pStyle w:val="Tabletextleft"/>
              <w:spacing w:before="0" w:after="0"/>
              <w:rPr>
                <w:rFonts w:ascii="Arial Narrow" w:hAnsi="Arial Narrow" w:cstheme="minorHAnsi"/>
                <w:sz w:val="20"/>
                <w:lang w:eastAsia="en-US"/>
              </w:rPr>
            </w:pPr>
            <w:r>
              <w:rPr>
                <w:rFonts w:ascii="Arial Narrow" w:hAnsi="Arial Narrow" w:cstheme="minorHAnsi"/>
                <w:sz w:val="20"/>
                <w:lang w:eastAsia="en-US"/>
              </w:rPr>
              <w:t>l</w:t>
            </w:r>
            <w:r w:rsidRPr="005B339F">
              <w:rPr>
                <w:rFonts w:ascii="Arial Narrow" w:hAnsi="Arial Narrow" w:cstheme="minorHAnsi"/>
                <w:sz w:val="20"/>
                <w:lang w:eastAsia="en-US"/>
              </w:rPr>
              <w:t>umacaftor</w:t>
            </w:r>
            <w:r>
              <w:rPr>
                <w:rFonts w:ascii="Arial Narrow" w:hAnsi="Arial Narrow" w:cstheme="minorHAnsi"/>
                <w:sz w:val="20"/>
                <w:lang w:eastAsia="en-US"/>
              </w:rPr>
              <w:t xml:space="preserve"> </w:t>
            </w:r>
            <w:r w:rsidRPr="005B339F">
              <w:rPr>
                <w:rFonts w:ascii="Arial Narrow" w:hAnsi="Arial Narrow" w:cstheme="minorHAnsi"/>
                <w:sz w:val="20"/>
                <w:lang w:eastAsia="en-US"/>
              </w:rPr>
              <w:t>100 mg/ivacaftor</w:t>
            </w:r>
          </w:p>
          <w:p w14:paraId="44420BE6"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125 mg [28], 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CF400F" w14:textId="77777777" w:rsidR="00D907DA" w:rsidRPr="005B339F" w:rsidRDefault="00D907DA" w:rsidP="006E22B4">
            <w:pPr>
              <w:jc w:val="center"/>
              <w:rPr>
                <w:rFonts w:ascii="Arial Narrow" w:hAnsi="Arial Narrow" w:cstheme="minorHAnsi"/>
                <w:sz w:val="20"/>
                <w:szCs w:val="20"/>
              </w:rPr>
            </w:pPr>
            <w:r w:rsidRPr="005B339F">
              <w:rPr>
                <w:rFonts w:ascii="Arial Narrow" w:hAnsi="Arial Narrow" w:cstheme="minorHAnsi"/>
                <w:sz w:val="20"/>
                <w:szCs w:val="20"/>
              </w:rPr>
              <w:t>11866M (public)</w:t>
            </w:r>
          </w:p>
          <w:p w14:paraId="0DD9608F" w14:textId="77777777" w:rsidR="00D907DA" w:rsidRPr="005B339F" w:rsidRDefault="00D907DA" w:rsidP="006E22B4">
            <w:pPr>
              <w:jc w:val="center"/>
              <w:rPr>
                <w:rFonts w:ascii="Arial Narrow" w:hAnsi="Arial Narrow" w:cstheme="minorHAnsi"/>
                <w:sz w:val="20"/>
                <w:szCs w:val="20"/>
              </w:rPr>
            </w:pPr>
            <w:r w:rsidRPr="005B339F">
              <w:rPr>
                <w:rFonts w:ascii="Arial Narrow" w:hAnsi="Arial Narrow" w:cstheme="minorHAnsi"/>
                <w:sz w:val="20"/>
                <w:szCs w:val="20"/>
              </w:rPr>
              <w:t>11841F (private)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5A1102" w14:textId="77777777" w:rsidR="00D907DA" w:rsidRPr="005B339F"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4B6960" w14:textId="77777777" w:rsidR="00D907DA" w:rsidRPr="005B339F"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162DB7" w14:textId="77777777" w:rsidR="00D907DA" w:rsidRPr="005B339F"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E494E8" w14:textId="77777777" w:rsidR="00D907DA" w:rsidRPr="005B339F" w:rsidRDefault="00D907DA" w:rsidP="006E22B4">
            <w:pPr>
              <w:rPr>
                <w:rFonts w:ascii="Arial Narrow" w:hAnsi="Arial Narrow" w:cstheme="minorHAnsi"/>
                <w:sz w:val="20"/>
                <w:szCs w:val="20"/>
              </w:rPr>
            </w:pPr>
          </w:p>
        </w:tc>
      </w:tr>
      <w:tr w:rsidR="00D907DA" w:rsidRPr="005B339F" w14:paraId="1D72259E" w14:textId="77777777" w:rsidTr="006E22B4">
        <w:trPr>
          <w:trHeight w:val="206"/>
        </w:trPr>
        <w:tc>
          <w:tcPr>
            <w:tcW w:w="1399" w:type="pct"/>
            <w:gridSpan w:val="2"/>
            <w:tcBorders>
              <w:top w:val="single" w:sz="4" w:space="0" w:color="000000"/>
              <w:left w:val="single" w:sz="4" w:space="0" w:color="000000"/>
              <w:bottom w:val="single" w:sz="4" w:space="0" w:color="000000"/>
              <w:right w:val="single" w:sz="4" w:space="0" w:color="000000"/>
            </w:tcBorders>
            <w:hideMark/>
          </w:tcPr>
          <w:p w14:paraId="1CE7AF75" w14:textId="77777777" w:rsidR="00D907DA" w:rsidRPr="005B339F" w:rsidRDefault="00D907DA" w:rsidP="006E22B4">
            <w:pPr>
              <w:pStyle w:val="Tabletextleft"/>
              <w:spacing w:before="0" w:after="0"/>
              <w:rPr>
                <w:rFonts w:ascii="Arial Narrow" w:hAnsi="Arial Narrow" w:cstheme="minorHAnsi"/>
                <w:sz w:val="20"/>
                <w:lang w:eastAsia="en-US"/>
              </w:rPr>
            </w:pPr>
            <w:r>
              <w:rPr>
                <w:rFonts w:ascii="Arial Narrow" w:hAnsi="Arial Narrow" w:cstheme="minorHAnsi"/>
                <w:sz w:val="20"/>
                <w:lang w:eastAsia="en-US"/>
              </w:rPr>
              <w:t>l</w:t>
            </w:r>
            <w:r w:rsidRPr="005B339F">
              <w:rPr>
                <w:rFonts w:ascii="Arial Narrow" w:hAnsi="Arial Narrow" w:cstheme="minorHAnsi"/>
                <w:sz w:val="20"/>
                <w:lang w:eastAsia="en-US"/>
              </w:rPr>
              <w:t>umacaftor</w:t>
            </w:r>
            <w:r>
              <w:rPr>
                <w:rFonts w:ascii="Arial Narrow" w:hAnsi="Arial Narrow" w:cstheme="minorHAnsi"/>
                <w:sz w:val="20"/>
                <w:lang w:eastAsia="en-US"/>
              </w:rPr>
              <w:t xml:space="preserve"> </w:t>
            </w:r>
            <w:r w:rsidRPr="005B339F">
              <w:rPr>
                <w:rFonts w:ascii="Arial Narrow" w:hAnsi="Arial Narrow" w:cstheme="minorHAnsi"/>
                <w:sz w:val="20"/>
                <w:lang w:eastAsia="en-US"/>
              </w:rPr>
              <w:t>150 mg/ivacaftor</w:t>
            </w:r>
          </w:p>
          <w:p w14:paraId="7F42DC03"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188 mg [28], 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FF6E5A" w14:textId="77777777" w:rsidR="00D907DA" w:rsidRPr="005B339F" w:rsidRDefault="00D907DA" w:rsidP="006E22B4">
            <w:pPr>
              <w:jc w:val="center"/>
              <w:rPr>
                <w:rFonts w:ascii="Arial Narrow" w:hAnsi="Arial Narrow" w:cstheme="minorHAnsi"/>
                <w:sz w:val="20"/>
                <w:szCs w:val="20"/>
              </w:rPr>
            </w:pPr>
            <w:r w:rsidRPr="005B339F">
              <w:rPr>
                <w:rFonts w:ascii="Arial Narrow" w:hAnsi="Arial Narrow" w:cstheme="minorHAnsi"/>
                <w:sz w:val="20"/>
                <w:szCs w:val="20"/>
              </w:rPr>
              <w:t>11851R (public)</w:t>
            </w:r>
          </w:p>
          <w:p w14:paraId="5C3957EC" w14:textId="77777777" w:rsidR="00D907DA" w:rsidRPr="005B339F" w:rsidRDefault="00D907DA" w:rsidP="006E22B4">
            <w:pPr>
              <w:jc w:val="center"/>
              <w:rPr>
                <w:rFonts w:ascii="Arial Narrow" w:hAnsi="Arial Narrow" w:cstheme="minorHAnsi"/>
                <w:sz w:val="20"/>
                <w:szCs w:val="20"/>
              </w:rPr>
            </w:pPr>
            <w:r w:rsidRPr="005B339F">
              <w:rPr>
                <w:rFonts w:ascii="Arial Narrow" w:hAnsi="Arial Narrow" w:cstheme="minorHAnsi"/>
                <w:sz w:val="20"/>
                <w:szCs w:val="20"/>
              </w:rPr>
              <w:t>11848N (private)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EEE1C9" w14:textId="77777777" w:rsidR="00D907DA" w:rsidRPr="005B339F"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8A8D2" w14:textId="77777777" w:rsidR="00D907DA" w:rsidRPr="005B339F"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516118" w14:textId="77777777" w:rsidR="00D907DA" w:rsidRPr="005B339F"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06C9A3" w14:textId="77777777" w:rsidR="00D907DA" w:rsidRPr="005B339F" w:rsidRDefault="00D907DA" w:rsidP="006E22B4">
            <w:pPr>
              <w:rPr>
                <w:rFonts w:ascii="Arial Narrow" w:hAnsi="Arial Narrow" w:cstheme="minorHAnsi"/>
                <w:sz w:val="20"/>
                <w:szCs w:val="20"/>
              </w:rPr>
            </w:pPr>
          </w:p>
        </w:tc>
      </w:tr>
      <w:tr w:rsidR="00D907DA" w:rsidRPr="00975D7B" w14:paraId="601067F4" w14:textId="77777777" w:rsidTr="006E22B4">
        <w:trPr>
          <w:trHeight w:val="246"/>
        </w:trPr>
        <w:tc>
          <w:tcPr>
            <w:tcW w:w="5000" w:type="pct"/>
            <w:gridSpan w:val="7"/>
            <w:tcBorders>
              <w:top w:val="single" w:sz="4" w:space="0" w:color="000000"/>
              <w:left w:val="single" w:sz="4" w:space="0" w:color="000000"/>
              <w:bottom w:val="single" w:sz="4" w:space="0" w:color="000000"/>
              <w:right w:val="single" w:sz="4" w:space="0" w:color="000000"/>
            </w:tcBorders>
          </w:tcPr>
          <w:p w14:paraId="3F19E91A" w14:textId="77777777" w:rsidR="00D907DA" w:rsidRPr="00975D7B" w:rsidRDefault="00D907DA" w:rsidP="006E22B4">
            <w:pPr>
              <w:pStyle w:val="Tabletextleft"/>
              <w:spacing w:before="0" w:after="0"/>
              <w:rPr>
                <w:rFonts w:ascii="Arial Narrow" w:hAnsi="Arial Narrow" w:cstheme="minorHAnsi"/>
                <w:b/>
                <w:bCs/>
                <w:sz w:val="20"/>
                <w:lang w:eastAsia="en-US"/>
              </w:rPr>
            </w:pPr>
          </w:p>
        </w:tc>
      </w:tr>
      <w:tr w:rsidR="00D907DA" w:rsidRPr="00975D7B" w14:paraId="37AE73D5" w14:textId="77777777" w:rsidTr="006E22B4">
        <w:trPr>
          <w:trHeight w:val="246"/>
        </w:trPr>
        <w:tc>
          <w:tcPr>
            <w:tcW w:w="5000" w:type="pct"/>
            <w:gridSpan w:val="7"/>
            <w:tcBorders>
              <w:top w:val="single" w:sz="4" w:space="0" w:color="000000"/>
              <w:left w:val="single" w:sz="4" w:space="0" w:color="000000"/>
              <w:bottom w:val="single" w:sz="4" w:space="0" w:color="000000"/>
              <w:right w:val="single" w:sz="4" w:space="0" w:color="000000"/>
            </w:tcBorders>
            <w:hideMark/>
          </w:tcPr>
          <w:p w14:paraId="7070EFDA" w14:textId="05396068" w:rsidR="00D907DA" w:rsidRPr="00975D7B" w:rsidRDefault="00D907DA" w:rsidP="006E22B4">
            <w:pPr>
              <w:pStyle w:val="Tabletextleft"/>
              <w:spacing w:before="0" w:after="0"/>
              <w:rPr>
                <w:rFonts w:ascii="Arial Narrow" w:hAnsi="Arial Narrow" w:cstheme="minorHAnsi"/>
                <w:b/>
                <w:bCs/>
                <w:sz w:val="20"/>
                <w:lang w:eastAsia="en-US"/>
              </w:rPr>
            </w:pPr>
            <w:r w:rsidRPr="00975D7B">
              <w:rPr>
                <w:rFonts w:ascii="Arial Narrow" w:hAnsi="Arial Narrow" w:cstheme="minorHAnsi"/>
                <w:b/>
                <w:bCs/>
                <w:sz w:val="20"/>
                <w:lang w:eastAsia="en-US"/>
              </w:rPr>
              <w:t xml:space="preserve">Restriction Summary variation / ToC variation </w:t>
            </w:r>
          </w:p>
        </w:tc>
      </w:tr>
      <w:tr w:rsidR="00D907DA" w:rsidRPr="005B339F" w14:paraId="0AFF963D" w14:textId="77777777" w:rsidTr="00E66237">
        <w:trPr>
          <w:trHeight w:val="244"/>
        </w:trPr>
        <w:tc>
          <w:tcPr>
            <w:tcW w:w="796" w:type="pct"/>
            <w:vMerge w:val="restart"/>
            <w:tcBorders>
              <w:top w:val="single" w:sz="4" w:space="0" w:color="000000"/>
              <w:left w:val="single" w:sz="4" w:space="0" w:color="000000"/>
              <w:bottom w:val="single" w:sz="4" w:space="0" w:color="000000"/>
              <w:right w:val="single" w:sz="4" w:space="0" w:color="000000"/>
            </w:tcBorders>
          </w:tcPr>
          <w:p w14:paraId="40EC0AC9" w14:textId="12939921"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3A668B6D"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b/>
                <w:bCs/>
                <w:sz w:val="20"/>
                <w:lang w:eastAsia="en-US"/>
              </w:rPr>
              <w:t>Category / Program:</w:t>
            </w:r>
            <w:r w:rsidRPr="005B339F">
              <w:rPr>
                <w:rFonts w:ascii="Arial Narrow" w:hAnsi="Arial Narrow" w:cstheme="minorHAnsi"/>
                <w:sz w:val="20"/>
                <w:lang w:eastAsia="en-US"/>
              </w:rPr>
              <w:t xml:space="preserve"> Section 100 – Highly Specialised Drugs Program [Public and Private Hospitals]</w:t>
            </w:r>
          </w:p>
        </w:tc>
      </w:tr>
      <w:tr w:rsidR="00D907DA" w:rsidRPr="005B339F" w14:paraId="2A79F24C" w14:textId="77777777" w:rsidTr="00E66237">
        <w:trPr>
          <w:trHeight w:val="246"/>
        </w:trPr>
        <w:tc>
          <w:tcPr>
            <w:tcW w:w="796" w:type="pct"/>
            <w:vMerge/>
            <w:tcBorders>
              <w:top w:val="single" w:sz="4" w:space="0" w:color="000000"/>
              <w:left w:val="single" w:sz="4" w:space="0" w:color="000000"/>
              <w:bottom w:val="single" w:sz="4" w:space="0" w:color="000000"/>
              <w:right w:val="single" w:sz="4" w:space="0" w:color="000000"/>
            </w:tcBorders>
            <w:vAlign w:val="center"/>
          </w:tcPr>
          <w:p w14:paraId="0A335A23" w14:textId="77777777" w:rsidR="00D907DA" w:rsidRPr="005B339F"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6F159820"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b/>
                <w:bCs/>
                <w:sz w:val="20"/>
                <w:lang w:eastAsia="en-US"/>
              </w:rPr>
              <w:t>Prescriber type:</w:t>
            </w:r>
            <w:r w:rsidRPr="005B339F">
              <w:rPr>
                <w:rFonts w:ascii="Arial Narrow" w:hAnsi="Arial Narrow" w:cstheme="minorHAnsi"/>
                <w:sz w:val="20"/>
                <w:lang w:eastAsia="en-US"/>
              </w:rPr>
              <w:t xml:space="preserve"> </w:t>
            </w:r>
            <w:r w:rsidRPr="005B339F">
              <w:rPr>
                <w:rFonts w:ascii="Arial Narrow" w:hAnsi="Arial Narrow" w:cstheme="minorHAnsi"/>
                <w:noProof/>
                <w:sz w:val="20"/>
                <w:lang w:eastAsia="en-US"/>
              </w:rPr>
              <w:drawing>
                <wp:inline distT="0" distB="0" distL="0" distR="0" wp14:anchorId="40E8F885" wp14:editId="4492DBA9">
                  <wp:extent cx="111125" cy="11112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5B339F">
              <w:rPr>
                <w:rFonts w:ascii="Arial Narrow" w:hAnsi="Arial Narrow" w:cstheme="minorHAnsi"/>
                <w:sz w:val="20"/>
                <w:lang w:eastAsia="en-US"/>
              </w:rPr>
              <w:t>Medical Practitioners</w:t>
            </w:r>
          </w:p>
        </w:tc>
      </w:tr>
      <w:tr w:rsidR="00D907DA" w:rsidRPr="005B339F" w14:paraId="7FCE092E" w14:textId="77777777" w:rsidTr="00E66237">
        <w:trPr>
          <w:trHeight w:val="434"/>
        </w:trPr>
        <w:tc>
          <w:tcPr>
            <w:tcW w:w="796" w:type="pct"/>
            <w:vMerge/>
            <w:tcBorders>
              <w:top w:val="single" w:sz="4" w:space="0" w:color="000000"/>
              <w:left w:val="single" w:sz="4" w:space="0" w:color="000000"/>
              <w:bottom w:val="single" w:sz="4" w:space="0" w:color="000000"/>
              <w:right w:val="single" w:sz="4" w:space="0" w:color="000000"/>
            </w:tcBorders>
            <w:vAlign w:val="center"/>
          </w:tcPr>
          <w:p w14:paraId="23510C07" w14:textId="77777777" w:rsidR="00D907DA" w:rsidRPr="005B339F"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774727C8"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b/>
                <w:bCs/>
                <w:sz w:val="20"/>
                <w:lang w:eastAsia="en-US"/>
              </w:rPr>
              <w:t>Restriction type:</w:t>
            </w:r>
            <w:r w:rsidRPr="005B339F">
              <w:rPr>
                <w:rFonts w:ascii="Arial Narrow" w:hAnsi="Arial Narrow" w:cstheme="minorHAnsi"/>
                <w:sz w:val="20"/>
                <w:lang w:eastAsia="en-US"/>
              </w:rPr>
              <w:t xml:space="preserve"> </w:t>
            </w:r>
            <w:r w:rsidRPr="005B339F">
              <w:rPr>
                <w:rFonts w:ascii="Arial Narrow" w:hAnsi="Arial Narrow" w:cstheme="minorHAnsi"/>
                <w:noProof/>
                <w:sz w:val="20"/>
                <w:lang w:eastAsia="en-US"/>
              </w:rPr>
              <w:drawing>
                <wp:inline distT="0" distB="0" distL="0" distR="0" wp14:anchorId="5101B7F6" wp14:editId="49FB42D7">
                  <wp:extent cx="111125" cy="11112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5B339F">
              <w:rPr>
                <w:rFonts w:ascii="Arial Narrow" w:hAnsi="Arial Narrow" w:cstheme="minorHAnsi"/>
                <w:sz w:val="20"/>
                <w:lang w:eastAsia="en-US"/>
              </w:rPr>
              <w:t>Authority Required – written non-immediate/delayed assessment by Services Australia</w:t>
            </w:r>
          </w:p>
        </w:tc>
      </w:tr>
      <w:tr w:rsidR="00D907DA" w:rsidRPr="005B339F" w14:paraId="7E988CE3" w14:textId="77777777" w:rsidTr="00D907DA">
        <w:trPr>
          <w:trHeight w:val="122"/>
        </w:trPr>
        <w:tc>
          <w:tcPr>
            <w:tcW w:w="796" w:type="pct"/>
            <w:tcBorders>
              <w:top w:val="single" w:sz="4" w:space="0" w:color="000000"/>
              <w:left w:val="single" w:sz="4" w:space="0" w:color="000000"/>
              <w:bottom w:val="single" w:sz="4" w:space="0" w:color="000000"/>
              <w:right w:val="single" w:sz="4" w:space="0" w:color="000000"/>
            </w:tcBorders>
          </w:tcPr>
          <w:p w14:paraId="2B74540A" w14:textId="43663226"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3B8F2C05" w14:textId="3A0427E9" w:rsidR="00D907DA" w:rsidRPr="005B339F" w:rsidRDefault="00D907DA" w:rsidP="00D907DA">
            <w:pPr>
              <w:pStyle w:val="Tabletextleft"/>
              <w:spacing w:before="0" w:after="0"/>
              <w:rPr>
                <w:rFonts w:ascii="Arial Narrow" w:hAnsi="Arial Narrow" w:cstheme="minorHAnsi"/>
                <w:sz w:val="20"/>
                <w:lang w:eastAsia="en-US"/>
              </w:rPr>
            </w:pPr>
            <w:r w:rsidRPr="005B339F">
              <w:rPr>
                <w:rFonts w:ascii="Arial Narrow" w:hAnsi="Arial Narrow" w:cstheme="minorHAnsi"/>
                <w:b/>
                <w:bCs/>
                <w:sz w:val="20"/>
                <w:lang w:eastAsia="en-US"/>
              </w:rPr>
              <w:t>Indication:</w:t>
            </w:r>
            <w:r w:rsidRPr="005B339F">
              <w:rPr>
                <w:rFonts w:ascii="Arial Narrow" w:hAnsi="Arial Narrow" w:cstheme="minorHAnsi"/>
                <w:sz w:val="20"/>
                <w:lang w:eastAsia="en-US"/>
              </w:rPr>
              <w:t xml:space="preserve"> cystic fibrosis </w:t>
            </w:r>
          </w:p>
        </w:tc>
      </w:tr>
      <w:tr w:rsidR="00D907DA" w:rsidRPr="005B339F" w14:paraId="3BADA007"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tcPr>
          <w:p w14:paraId="3D61CED6" w14:textId="77777777"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6C48B0A5"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b/>
                <w:bCs/>
                <w:sz w:val="20"/>
                <w:lang w:eastAsia="en-US"/>
              </w:rPr>
              <w:t>Treatment Phase:</w:t>
            </w:r>
            <w:r w:rsidRPr="005B339F">
              <w:rPr>
                <w:rFonts w:ascii="Arial Narrow" w:hAnsi="Arial Narrow" w:cstheme="minorHAnsi"/>
                <w:sz w:val="20"/>
                <w:lang w:eastAsia="en-US"/>
              </w:rPr>
              <w:t xml:space="preserve"> Initial treatment</w:t>
            </w:r>
          </w:p>
        </w:tc>
      </w:tr>
      <w:tr w:rsidR="00D907DA" w:rsidRPr="005B339F" w14:paraId="68BF2AF2" w14:textId="77777777" w:rsidTr="00D907DA">
        <w:trPr>
          <w:trHeight w:val="60"/>
        </w:trPr>
        <w:tc>
          <w:tcPr>
            <w:tcW w:w="796" w:type="pct"/>
            <w:tcBorders>
              <w:top w:val="single" w:sz="4" w:space="0" w:color="000000"/>
              <w:left w:val="single" w:sz="4" w:space="0" w:color="000000"/>
              <w:bottom w:val="single" w:sz="4" w:space="0" w:color="000000"/>
              <w:right w:val="single" w:sz="4" w:space="0" w:color="000000"/>
            </w:tcBorders>
          </w:tcPr>
          <w:p w14:paraId="0EE11093" w14:textId="77777777"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6B459DAF" w14:textId="77777777" w:rsidR="00D907DA" w:rsidRPr="005B339F" w:rsidRDefault="00D907DA" w:rsidP="006E22B4">
            <w:pPr>
              <w:pStyle w:val="Tabletextleft"/>
              <w:spacing w:before="0" w:after="0"/>
              <w:rPr>
                <w:rFonts w:ascii="Arial Narrow" w:hAnsi="Arial Narrow" w:cstheme="minorHAnsi"/>
                <w:b/>
                <w:bCs/>
                <w:sz w:val="20"/>
                <w:lang w:eastAsia="en-US"/>
              </w:rPr>
            </w:pPr>
          </w:p>
        </w:tc>
      </w:tr>
      <w:tr w:rsidR="00D907DA" w:rsidRPr="005B339F" w14:paraId="0194CAE7" w14:textId="77777777" w:rsidTr="00E66237">
        <w:trPr>
          <w:trHeight w:val="60"/>
        </w:trPr>
        <w:tc>
          <w:tcPr>
            <w:tcW w:w="796" w:type="pct"/>
            <w:tcBorders>
              <w:top w:val="single" w:sz="4" w:space="0" w:color="000000"/>
              <w:left w:val="single" w:sz="4" w:space="0" w:color="000000"/>
              <w:bottom w:val="single" w:sz="4" w:space="0" w:color="000000"/>
              <w:right w:val="single" w:sz="4" w:space="0" w:color="000000"/>
            </w:tcBorders>
          </w:tcPr>
          <w:p w14:paraId="08DF872B" w14:textId="429EA742"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02513CC4"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Treatment criteria:</w:t>
            </w:r>
          </w:p>
        </w:tc>
      </w:tr>
      <w:tr w:rsidR="00D907DA" w:rsidRPr="005B339F" w14:paraId="7A370E4B" w14:textId="77777777" w:rsidTr="00E66237">
        <w:trPr>
          <w:trHeight w:val="659"/>
        </w:trPr>
        <w:tc>
          <w:tcPr>
            <w:tcW w:w="796" w:type="pct"/>
            <w:tcBorders>
              <w:top w:val="single" w:sz="4" w:space="0" w:color="000000"/>
              <w:left w:val="single" w:sz="4" w:space="0" w:color="000000"/>
              <w:bottom w:val="single" w:sz="4" w:space="0" w:color="000000"/>
              <w:right w:val="single" w:sz="4" w:space="0" w:color="000000"/>
            </w:tcBorders>
          </w:tcPr>
          <w:p w14:paraId="4438AD07" w14:textId="5B836571"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4D52BD5A"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Must be treated by a specialist respiratory physician with expertise in cystic fibrosis or in consultation with a specialist respiratory physician with expertise in cystic fibrosis if attendance is not possible due to geographic isolation</w:t>
            </w:r>
          </w:p>
        </w:tc>
      </w:tr>
      <w:tr w:rsidR="00D907DA" w:rsidRPr="005B339F" w14:paraId="448AD917"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tcPr>
          <w:p w14:paraId="2D2C42F7" w14:textId="77777777"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1611D0FB"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AND</w:t>
            </w:r>
          </w:p>
        </w:tc>
      </w:tr>
      <w:tr w:rsidR="00D907DA" w:rsidRPr="005B339F" w14:paraId="7697026B"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tcPr>
          <w:p w14:paraId="1DB73221" w14:textId="5AD7916A"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180AEF9C"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Treatment criteria:</w:t>
            </w:r>
          </w:p>
        </w:tc>
      </w:tr>
      <w:tr w:rsidR="00D907DA" w:rsidRPr="005B339F" w14:paraId="088F38E5" w14:textId="77777777" w:rsidTr="00E66237">
        <w:trPr>
          <w:trHeight w:val="453"/>
        </w:trPr>
        <w:tc>
          <w:tcPr>
            <w:tcW w:w="796" w:type="pct"/>
            <w:tcBorders>
              <w:top w:val="single" w:sz="4" w:space="0" w:color="000000"/>
              <w:left w:val="single" w:sz="4" w:space="0" w:color="000000"/>
              <w:bottom w:val="single" w:sz="4" w:space="0" w:color="000000"/>
              <w:right w:val="single" w:sz="4" w:space="0" w:color="000000"/>
            </w:tcBorders>
          </w:tcPr>
          <w:p w14:paraId="1A44BF68" w14:textId="1AF288E5"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5A6FA80F"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Must be treated in a centre with expertise in cystic fibrosis or in consultation with a centre with expertise in cystic fibrosis if attendance is not possible due to geographic isolation</w:t>
            </w:r>
          </w:p>
        </w:tc>
      </w:tr>
      <w:tr w:rsidR="00D907DA" w:rsidRPr="005B339F" w14:paraId="19BC4359"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tcPr>
          <w:p w14:paraId="32A39D89" w14:textId="26B9780B" w:rsidR="00D907DA" w:rsidRPr="005B339F" w:rsidRDefault="00D907DA" w:rsidP="000E292F">
            <w:pPr>
              <w:pStyle w:val="Tabletextleft"/>
              <w:spacing w:before="0" w:after="0"/>
              <w:rPr>
                <w:rFonts w:ascii="Arial Narrow" w:hAnsi="Arial Narrow" w:cstheme="minorHAnsi"/>
                <w:b/>
                <w:bCs/>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49DF61EB"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AND</w:t>
            </w:r>
          </w:p>
        </w:tc>
      </w:tr>
      <w:tr w:rsidR="00D907DA" w:rsidRPr="005B339F" w14:paraId="143D8542"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vAlign w:val="center"/>
          </w:tcPr>
          <w:p w14:paraId="6670720A" w14:textId="657A768E" w:rsidR="00D907DA" w:rsidRPr="005B339F" w:rsidRDefault="00D907DA" w:rsidP="000E292F">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02D3D921"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Clinical criteria:</w:t>
            </w:r>
          </w:p>
        </w:tc>
      </w:tr>
      <w:tr w:rsidR="00D907DA" w:rsidRPr="005B339F" w14:paraId="25822D6C" w14:textId="77777777" w:rsidTr="00E66237">
        <w:trPr>
          <w:trHeight w:val="453"/>
        </w:trPr>
        <w:tc>
          <w:tcPr>
            <w:tcW w:w="796" w:type="pct"/>
            <w:tcBorders>
              <w:top w:val="single" w:sz="4" w:space="0" w:color="000000"/>
              <w:left w:val="single" w:sz="4" w:space="0" w:color="000000"/>
              <w:bottom w:val="single" w:sz="4" w:space="0" w:color="000000"/>
              <w:right w:val="single" w:sz="4" w:space="0" w:color="000000"/>
            </w:tcBorders>
            <w:vAlign w:val="center"/>
          </w:tcPr>
          <w:p w14:paraId="172DE649" w14:textId="26231CB9" w:rsidR="00D907DA" w:rsidRPr="005B339F"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56E83691"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Patient must be homozygous for the F508del mutation in the cystic fibrosis transmembrane conductance regulator (CFTR) gene</w:t>
            </w:r>
          </w:p>
        </w:tc>
      </w:tr>
      <w:tr w:rsidR="00D907DA" w:rsidRPr="005B339F" w14:paraId="3BB60A64"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vAlign w:val="center"/>
          </w:tcPr>
          <w:p w14:paraId="0E154C6C" w14:textId="77777777" w:rsidR="00D907DA" w:rsidRPr="005B339F"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622189F3"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AND</w:t>
            </w:r>
          </w:p>
        </w:tc>
      </w:tr>
      <w:tr w:rsidR="00D907DA" w:rsidRPr="005B339F" w14:paraId="5BA62CA2"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tcPr>
          <w:p w14:paraId="51B9735F" w14:textId="2C11B7B4"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528BE392"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Clinical criteria:</w:t>
            </w:r>
          </w:p>
        </w:tc>
      </w:tr>
      <w:tr w:rsidR="00D907DA" w:rsidRPr="005B339F" w14:paraId="38F90ECD"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tcPr>
          <w:p w14:paraId="110B1F77" w14:textId="3EC14DB5"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72C2DF2F"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The treatment must be given concomitantly with standard therapy for this condition.</w:t>
            </w:r>
          </w:p>
        </w:tc>
      </w:tr>
      <w:tr w:rsidR="00D907DA" w:rsidRPr="005B339F" w14:paraId="125A0031" w14:textId="77777777" w:rsidTr="00D907DA">
        <w:trPr>
          <w:trHeight w:val="244"/>
        </w:trPr>
        <w:tc>
          <w:tcPr>
            <w:tcW w:w="796" w:type="pct"/>
            <w:tcBorders>
              <w:top w:val="single" w:sz="4" w:space="0" w:color="000000"/>
              <w:left w:val="single" w:sz="4" w:space="0" w:color="000000"/>
              <w:bottom w:val="single" w:sz="4" w:space="0" w:color="000000"/>
              <w:right w:val="single" w:sz="4" w:space="0" w:color="000000"/>
            </w:tcBorders>
          </w:tcPr>
          <w:p w14:paraId="45B9AAB6" w14:textId="77777777"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7ED6D298"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AND</w:t>
            </w:r>
          </w:p>
        </w:tc>
      </w:tr>
      <w:tr w:rsidR="00D907DA" w:rsidRPr="005B339F" w14:paraId="73464DF6" w14:textId="77777777" w:rsidTr="00D907DA">
        <w:trPr>
          <w:trHeight w:val="244"/>
        </w:trPr>
        <w:tc>
          <w:tcPr>
            <w:tcW w:w="796" w:type="pct"/>
            <w:tcBorders>
              <w:top w:val="single" w:sz="4" w:space="0" w:color="000000"/>
              <w:left w:val="single" w:sz="4" w:space="0" w:color="000000"/>
              <w:bottom w:val="single" w:sz="4" w:space="0" w:color="000000"/>
              <w:right w:val="single" w:sz="4" w:space="0" w:color="000000"/>
            </w:tcBorders>
          </w:tcPr>
          <w:p w14:paraId="21C60BBA" w14:textId="18CEE003"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45BCB3B0"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Clinical criteria:</w:t>
            </w:r>
          </w:p>
        </w:tc>
      </w:tr>
      <w:tr w:rsidR="00D907DA" w:rsidRPr="005B339F" w14:paraId="75A9DAFD" w14:textId="77777777" w:rsidTr="00D907DA">
        <w:trPr>
          <w:trHeight w:val="244"/>
        </w:trPr>
        <w:tc>
          <w:tcPr>
            <w:tcW w:w="796" w:type="pct"/>
            <w:tcBorders>
              <w:top w:val="single" w:sz="4" w:space="0" w:color="000000"/>
              <w:left w:val="single" w:sz="4" w:space="0" w:color="000000"/>
              <w:bottom w:val="single" w:sz="4" w:space="0" w:color="000000"/>
              <w:right w:val="single" w:sz="4" w:space="0" w:color="000000"/>
            </w:tcBorders>
          </w:tcPr>
          <w:p w14:paraId="6B29CD33" w14:textId="5374A2F6"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3DB22107" w14:textId="77777777" w:rsidR="00D907DA" w:rsidRPr="005B339F" w:rsidRDefault="00D907DA" w:rsidP="006E22B4">
            <w:pPr>
              <w:pStyle w:val="Tabletextleft"/>
              <w:spacing w:before="0" w:after="0"/>
              <w:rPr>
                <w:rFonts w:ascii="Arial Narrow" w:hAnsi="Arial Narrow" w:cstheme="minorHAnsi"/>
                <w:i/>
                <w:iCs/>
                <w:sz w:val="20"/>
                <w:lang w:eastAsia="en-US"/>
              </w:rPr>
            </w:pPr>
            <w:r w:rsidRPr="00D907DA">
              <w:rPr>
                <w:rFonts w:ascii="Arial Narrow" w:hAnsi="Arial Narrow" w:cstheme="minorHAnsi"/>
                <w:sz w:val="20"/>
                <w:lang w:eastAsia="en-US"/>
              </w:rPr>
              <w:t>The treatment must be the sole PBS-subsidised cystic fibrosis transmembrane conductance regulator (CFTR) modulator therapy for this condition.</w:t>
            </w:r>
          </w:p>
        </w:tc>
      </w:tr>
      <w:tr w:rsidR="00D907DA" w:rsidRPr="005B339F" w14:paraId="6C8BE58B" w14:textId="77777777" w:rsidTr="00D907DA">
        <w:trPr>
          <w:trHeight w:val="244"/>
        </w:trPr>
        <w:tc>
          <w:tcPr>
            <w:tcW w:w="796" w:type="pct"/>
            <w:tcBorders>
              <w:top w:val="single" w:sz="4" w:space="0" w:color="000000"/>
              <w:left w:val="single" w:sz="4" w:space="0" w:color="000000"/>
              <w:bottom w:val="single" w:sz="4" w:space="0" w:color="000000"/>
              <w:right w:val="single" w:sz="4" w:space="0" w:color="000000"/>
            </w:tcBorders>
          </w:tcPr>
          <w:p w14:paraId="104306C3" w14:textId="77777777"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76671B36"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AND</w:t>
            </w:r>
          </w:p>
        </w:tc>
      </w:tr>
      <w:tr w:rsidR="00D907DA" w:rsidRPr="005B339F" w14:paraId="7CD12DE7"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tcPr>
          <w:p w14:paraId="4DF1FA4F" w14:textId="0519C4FF" w:rsidR="00D907DA" w:rsidRPr="005B339F" w:rsidRDefault="00D907DA" w:rsidP="006E22B4">
            <w:pPr>
              <w:pStyle w:val="Tabletextleft"/>
              <w:spacing w:before="0" w:after="0"/>
              <w:rPr>
                <w:rFonts w:ascii="Arial Narrow" w:hAnsi="Arial Narrow" w:cstheme="minorHAnsi"/>
                <w:strike/>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571C896E" w14:textId="77777777" w:rsidR="00D907DA" w:rsidRPr="005B339F" w:rsidRDefault="00D907DA" w:rsidP="006E22B4">
            <w:pPr>
              <w:pStyle w:val="Tabletextleft"/>
              <w:spacing w:before="0" w:after="0"/>
              <w:rPr>
                <w:rFonts w:ascii="Arial Narrow" w:hAnsi="Arial Narrow" w:cstheme="minorHAnsi"/>
                <w:b/>
                <w:bCs/>
                <w:sz w:val="20"/>
                <w:lang w:eastAsia="en-US"/>
              </w:rPr>
            </w:pPr>
            <w:r w:rsidRPr="005B339F">
              <w:rPr>
                <w:rFonts w:ascii="Arial Narrow" w:hAnsi="Arial Narrow" w:cstheme="minorHAnsi"/>
                <w:b/>
                <w:bCs/>
                <w:sz w:val="20"/>
                <w:lang w:eastAsia="en-US"/>
              </w:rPr>
              <w:t>Population criteria:</w:t>
            </w:r>
          </w:p>
        </w:tc>
      </w:tr>
      <w:tr w:rsidR="00D907DA" w:rsidRPr="005B339F" w14:paraId="1F30AD42"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tcPr>
          <w:p w14:paraId="7FDAFB2A" w14:textId="3C9CA955" w:rsidR="00D907DA" w:rsidRPr="005B339F" w:rsidRDefault="00D907DA" w:rsidP="006E22B4">
            <w:pPr>
              <w:pStyle w:val="Tabletextleft"/>
              <w:spacing w:before="0" w:after="0"/>
              <w:rPr>
                <w:rFonts w:ascii="Arial Narrow" w:hAnsi="Arial Narrow" w:cstheme="minorHAnsi"/>
                <w:strike/>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0EE26B07" w14:textId="1E21361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 xml:space="preserve">Patient must be </w:t>
            </w:r>
            <w:r w:rsidRPr="00D907DA">
              <w:rPr>
                <w:rFonts w:ascii="Arial Narrow" w:hAnsi="Arial Narrow" w:cstheme="minorHAnsi"/>
                <w:sz w:val="20"/>
                <w:lang w:eastAsia="en-US"/>
              </w:rPr>
              <w:t xml:space="preserve">1 </w:t>
            </w:r>
            <w:r w:rsidRPr="005B339F">
              <w:rPr>
                <w:rFonts w:ascii="Arial Narrow" w:hAnsi="Arial Narrow" w:cstheme="minorHAnsi"/>
                <w:sz w:val="20"/>
                <w:lang w:eastAsia="en-US"/>
              </w:rPr>
              <w:t>year of age or older</w:t>
            </w:r>
          </w:p>
        </w:tc>
      </w:tr>
      <w:tr w:rsidR="00D907DA" w:rsidRPr="005B339F" w14:paraId="2E1EC53A"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tcPr>
          <w:p w14:paraId="29737BEB" w14:textId="77777777"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4E65B006" w14:textId="77777777" w:rsidR="00D907DA" w:rsidRPr="005B339F" w:rsidRDefault="00D907DA" w:rsidP="006E22B4">
            <w:pPr>
              <w:pStyle w:val="Tabletextleft"/>
              <w:spacing w:before="0" w:after="0"/>
              <w:rPr>
                <w:rFonts w:ascii="Arial Narrow" w:hAnsi="Arial Narrow" w:cstheme="minorHAnsi"/>
                <w:sz w:val="20"/>
                <w:lang w:eastAsia="en-US"/>
              </w:rPr>
            </w:pPr>
          </w:p>
        </w:tc>
      </w:tr>
      <w:tr w:rsidR="00D907DA" w:rsidRPr="005B339F" w14:paraId="2BC63D15" w14:textId="77777777" w:rsidTr="00E66237">
        <w:trPr>
          <w:trHeight w:val="453"/>
        </w:trPr>
        <w:tc>
          <w:tcPr>
            <w:tcW w:w="796" w:type="pct"/>
            <w:tcBorders>
              <w:top w:val="single" w:sz="4" w:space="0" w:color="000000"/>
              <w:left w:val="single" w:sz="4" w:space="0" w:color="000000"/>
              <w:bottom w:val="single" w:sz="4" w:space="0" w:color="000000"/>
              <w:right w:val="single" w:sz="4" w:space="0" w:color="000000"/>
            </w:tcBorders>
          </w:tcPr>
          <w:p w14:paraId="6D80FCE3" w14:textId="61190648"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087280DC"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b/>
                <w:bCs/>
                <w:sz w:val="20"/>
                <w:lang w:eastAsia="en-US"/>
              </w:rPr>
              <w:t>Prescribing Instruction:</w:t>
            </w:r>
            <w:r w:rsidRPr="005B339F">
              <w:rPr>
                <w:rFonts w:ascii="Arial Narrow" w:hAnsi="Arial Narrow" w:cstheme="minorHAnsi"/>
                <w:sz w:val="20"/>
                <w:lang w:eastAsia="en-US"/>
              </w:rPr>
              <w:t xml:space="preserve"> This pharmaceutical benefit is not PBS-subsidised for this condition in a patient who is currently receiving one of the strong CYP3A4 inducers outlined in the Product Information.</w:t>
            </w:r>
          </w:p>
        </w:tc>
      </w:tr>
      <w:tr w:rsidR="00D907DA" w:rsidRPr="005B339F" w14:paraId="3DCA299D" w14:textId="77777777" w:rsidTr="00D907DA">
        <w:trPr>
          <w:trHeight w:val="110"/>
        </w:trPr>
        <w:tc>
          <w:tcPr>
            <w:tcW w:w="796" w:type="pct"/>
            <w:tcBorders>
              <w:top w:val="single" w:sz="4" w:space="0" w:color="000000"/>
              <w:left w:val="single" w:sz="4" w:space="0" w:color="000000"/>
              <w:bottom w:val="single" w:sz="4" w:space="0" w:color="000000"/>
              <w:right w:val="single" w:sz="4" w:space="0" w:color="000000"/>
            </w:tcBorders>
          </w:tcPr>
          <w:p w14:paraId="0A7A8C29" w14:textId="2A0212C9"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1A5FB486" w14:textId="7B24CED8"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b/>
                <w:bCs/>
                <w:sz w:val="20"/>
                <w:lang w:eastAsia="en-US"/>
              </w:rPr>
              <w:t xml:space="preserve">Prescribing Instruction: </w:t>
            </w:r>
          </w:p>
          <w:p w14:paraId="649D31EC"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The authority application must be in writing and must include:</w:t>
            </w:r>
          </w:p>
          <w:p w14:paraId="7D91223E"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(1) a completed authority prescription; and</w:t>
            </w:r>
          </w:p>
          <w:p w14:paraId="43DB99DC"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 xml:space="preserve">(2) a completed Cystic Fibrosis Authority Application Supporting Information </w:t>
            </w:r>
            <w:proofErr w:type="gramStart"/>
            <w:r w:rsidRPr="005B339F">
              <w:rPr>
                <w:rFonts w:ascii="Arial Narrow" w:hAnsi="Arial Narrow" w:cstheme="minorHAnsi"/>
                <w:sz w:val="20"/>
                <w:lang w:eastAsia="en-US"/>
              </w:rPr>
              <w:t>Form;</w:t>
            </w:r>
            <w:proofErr w:type="gramEnd"/>
          </w:p>
          <w:p w14:paraId="5AAA7825"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(3) details of the pathology report substantiating the patient being homozygous for the F508del mutation on the CFTR gene - quote each of the: (i) name of the pathology report provider, (ii) date of pathology report, (iii) unique identifying number/code that links the pathology result to the individual patient; and</w:t>
            </w:r>
          </w:p>
          <w:p w14:paraId="58CFFA82" w14:textId="77777777" w:rsidR="00D907DA" w:rsidRPr="005B339F" w:rsidRDefault="00D907DA" w:rsidP="006E22B4">
            <w:pPr>
              <w:pStyle w:val="Tabletextleft"/>
              <w:spacing w:before="0" w:after="0"/>
              <w:rPr>
                <w:rFonts w:ascii="Arial Narrow" w:hAnsi="Arial Narrow" w:cstheme="minorHAnsi"/>
                <w:sz w:val="20"/>
                <w:lang w:eastAsia="en-US"/>
              </w:rPr>
            </w:pPr>
            <w:r w:rsidRPr="005B339F">
              <w:rPr>
                <w:rFonts w:ascii="Arial Narrow" w:hAnsi="Arial Narrow" w:cstheme="minorHAnsi"/>
                <w:sz w:val="20"/>
                <w:lang w:eastAsia="en-US"/>
              </w:rPr>
              <w:t>(4) current CYP3A4 inhibitors, CYP3A4 inducers and IV antibiotics.</w:t>
            </w:r>
          </w:p>
        </w:tc>
      </w:tr>
      <w:tr w:rsidR="00D907DA" w:rsidRPr="005B339F" w14:paraId="68CAEDD3" w14:textId="77777777" w:rsidTr="00D907DA">
        <w:trPr>
          <w:trHeight w:val="206"/>
        </w:trPr>
        <w:tc>
          <w:tcPr>
            <w:tcW w:w="796" w:type="pct"/>
            <w:tcBorders>
              <w:top w:val="single" w:sz="4" w:space="0" w:color="000000"/>
              <w:left w:val="single" w:sz="4" w:space="0" w:color="000000"/>
              <w:bottom w:val="single" w:sz="4" w:space="0" w:color="000000"/>
              <w:right w:val="single" w:sz="4" w:space="0" w:color="000000"/>
            </w:tcBorders>
          </w:tcPr>
          <w:p w14:paraId="0FAB4474" w14:textId="77777777"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386DD681" w14:textId="77777777" w:rsidR="00D907DA" w:rsidRPr="005B339F" w:rsidRDefault="00D907DA" w:rsidP="006E22B4">
            <w:pPr>
              <w:pStyle w:val="Tabletextleft"/>
              <w:spacing w:before="0" w:after="0"/>
              <w:rPr>
                <w:rFonts w:ascii="Arial Narrow" w:hAnsi="Arial Narrow" w:cstheme="minorHAnsi"/>
                <w:b/>
                <w:bCs/>
                <w:sz w:val="20"/>
                <w:lang w:eastAsia="en-US"/>
              </w:rPr>
            </w:pPr>
          </w:p>
        </w:tc>
      </w:tr>
      <w:tr w:rsidR="00D907DA" w:rsidRPr="005B339F" w14:paraId="24E52E29" w14:textId="77777777" w:rsidTr="00D907DA">
        <w:trPr>
          <w:trHeight w:val="206"/>
        </w:trPr>
        <w:tc>
          <w:tcPr>
            <w:tcW w:w="796" w:type="pct"/>
            <w:tcBorders>
              <w:top w:val="single" w:sz="4" w:space="0" w:color="000000"/>
              <w:left w:val="single" w:sz="4" w:space="0" w:color="000000"/>
              <w:bottom w:val="single" w:sz="4" w:space="0" w:color="000000"/>
              <w:right w:val="single" w:sz="4" w:space="0" w:color="000000"/>
            </w:tcBorders>
          </w:tcPr>
          <w:p w14:paraId="4C12A51F" w14:textId="2C9776F2"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02557E91"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 xml:space="preserve">Administrative Advice: </w:t>
            </w:r>
            <w:r w:rsidRPr="00D907DA">
              <w:rPr>
                <w:rFonts w:ascii="Arial Narrow" w:hAnsi="Arial Narrow" w:cstheme="minorHAnsi"/>
                <w:sz w:val="20"/>
                <w:lang w:eastAsia="en-US"/>
              </w:rPr>
              <w:t>No increase in the maximum quantity or number of units may be authorised</w:t>
            </w:r>
          </w:p>
        </w:tc>
      </w:tr>
      <w:tr w:rsidR="00D907DA" w:rsidRPr="005B339F" w14:paraId="6B24206F" w14:textId="77777777" w:rsidTr="00D907DA">
        <w:trPr>
          <w:trHeight w:val="86"/>
        </w:trPr>
        <w:tc>
          <w:tcPr>
            <w:tcW w:w="796" w:type="pct"/>
            <w:tcBorders>
              <w:top w:val="single" w:sz="4" w:space="0" w:color="000000"/>
              <w:left w:val="single" w:sz="4" w:space="0" w:color="000000"/>
              <w:bottom w:val="single" w:sz="4" w:space="0" w:color="000000"/>
              <w:right w:val="single" w:sz="4" w:space="0" w:color="000000"/>
            </w:tcBorders>
          </w:tcPr>
          <w:p w14:paraId="07289831" w14:textId="49BAF828"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3B634A3F"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Administrative Advice:</w:t>
            </w:r>
            <w:r w:rsidRPr="00D907DA">
              <w:rPr>
                <w:rFonts w:ascii="Arial Narrow" w:hAnsi="Arial Narrow" w:cstheme="minorHAnsi"/>
                <w:sz w:val="20"/>
                <w:lang w:eastAsia="en-US"/>
              </w:rPr>
              <w:t xml:space="preserve"> No increase in the maximum number of repeats may be authorised. </w:t>
            </w:r>
          </w:p>
        </w:tc>
      </w:tr>
      <w:tr w:rsidR="00D907DA" w:rsidRPr="005B339F" w14:paraId="559C630B" w14:textId="77777777" w:rsidTr="00D907DA">
        <w:trPr>
          <w:trHeight w:val="454"/>
        </w:trPr>
        <w:tc>
          <w:tcPr>
            <w:tcW w:w="796" w:type="pct"/>
            <w:tcBorders>
              <w:top w:val="single" w:sz="4" w:space="0" w:color="000000"/>
              <w:left w:val="single" w:sz="4" w:space="0" w:color="000000"/>
              <w:bottom w:val="single" w:sz="4" w:space="0" w:color="000000"/>
              <w:right w:val="single" w:sz="4" w:space="0" w:color="000000"/>
            </w:tcBorders>
          </w:tcPr>
          <w:p w14:paraId="63FD4273" w14:textId="324CD9A9" w:rsidR="000E292F" w:rsidRPr="005B339F" w:rsidRDefault="000E292F"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05EB26FF"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b/>
                <w:bCs/>
                <w:sz w:val="20"/>
                <w:lang w:eastAsia="en-US"/>
              </w:rPr>
              <w:t>Administrative Advice:</w:t>
            </w:r>
            <w:r w:rsidRPr="000E292F">
              <w:rPr>
                <w:rFonts w:ascii="Arial Narrow" w:hAnsi="Arial Narrow" w:cstheme="minorHAnsi"/>
                <w:sz w:val="20"/>
                <w:lang w:eastAsia="en-US"/>
              </w:rPr>
              <w:t xml:space="preserve"> </w:t>
            </w:r>
          </w:p>
          <w:p w14:paraId="2943C9B9"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Any queries concerning the arrangements to prescribe may be directed to Services Australia on 1800 700 270 (hours of operation 8 a.m. to 5 p.m. Monday to Friday).</w:t>
            </w:r>
          </w:p>
          <w:p w14:paraId="289E83D1"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Prescribing information (including Authority Application forms and other relevant documentation as applicable) is available on the Services Australia website at </w:t>
            </w:r>
            <w:hyperlink r:id="rId12" w:history="1">
              <w:r w:rsidRPr="000E292F">
                <w:rPr>
                  <w:rStyle w:val="Hyperlink"/>
                  <w:rFonts w:ascii="Arial Narrow" w:hAnsi="Arial Narrow" w:cstheme="minorHAnsi"/>
                  <w:sz w:val="20"/>
                  <w:lang w:eastAsia="en-US"/>
                </w:rPr>
                <w:t>www.servicesaustralia.gov.au</w:t>
              </w:r>
            </w:hyperlink>
            <w:r w:rsidRPr="000E292F">
              <w:rPr>
                <w:rFonts w:ascii="Arial Narrow" w:hAnsi="Arial Narrow" w:cstheme="minorHAnsi"/>
                <w:sz w:val="20"/>
                <w:lang w:eastAsia="en-US"/>
              </w:rPr>
              <w:t xml:space="preserve"> </w:t>
            </w:r>
          </w:p>
          <w:p w14:paraId="6433B8F3"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Applications for authority to prescribe should be submitted online using the form upload facility in Health Professional Online Services (HPOS) at </w:t>
            </w:r>
            <w:hyperlink r:id="rId13" w:history="1">
              <w:r w:rsidRPr="000E292F">
                <w:rPr>
                  <w:rStyle w:val="Hyperlink"/>
                  <w:rFonts w:ascii="Arial Narrow" w:hAnsi="Arial Narrow" w:cstheme="minorHAnsi"/>
                  <w:sz w:val="20"/>
                  <w:lang w:eastAsia="en-US"/>
                </w:rPr>
                <w:t>www.servicesautralia.gov.au/hpos</w:t>
              </w:r>
            </w:hyperlink>
          </w:p>
          <w:p w14:paraId="2F4B1BD1"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Or mailed to:</w:t>
            </w:r>
          </w:p>
          <w:p w14:paraId="6F76FD16"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Services Australia </w:t>
            </w:r>
          </w:p>
          <w:p w14:paraId="42D81EDE"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Complex Drugs </w:t>
            </w:r>
          </w:p>
          <w:p w14:paraId="7824F772"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Reply Paid 9826 </w:t>
            </w:r>
          </w:p>
          <w:p w14:paraId="3D35D796"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Hobart TAS 7001</w:t>
            </w:r>
          </w:p>
        </w:tc>
      </w:tr>
      <w:tr w:rsidR="00D907DA" w:rsidRPr="005B339F" w14:paraId="5B616F15" w14:textId="77777777" w:rsidTr="00D907DA">
        <w:trPr>
          <w:trHeight w:val="454"/>
        </w:trPr>
        <w:tc>
          <w:tcPr>
            <w:tcW w:w="796" w:type="pct"/>
            <w:tcBorders>
              <w:top w:val="single" w:sz="4" w:space="0" w:color="000000"/>
              <w:left w:val="single" w:sz="4" w:space="0" w:color="000000"/>
              <w:bottom w:val="single" w:sz="4" w:space="0" w:color="000000"/>
              <w:right w:val="single" w:sz="4" w:space="0" w:color="000000"/>
            </w:tcBorders>
          </w:tcPr>
          <w:p w14:paraId="6B9076C2" w14:textId="4946E4A3"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2028E18C"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Administrative Advice:</w:t>
            </w:r>
            <w:r w:rsidRPr="00D907DA">
              <w:rPr>
                <w:rFonts w:ascii="Arial Narrow" w:hAnsi="Arial Narrow" w:cstheme="minorHAnsi"/>
                <w:sz w:val="20"/>
                <w:lang w:eastAsia="en-US"/>
              </w:rPr>
              <w:t xml:space="preserve"> For the purposes of this restriction, CFTR modulators, </w:t>
            </w:r>
            <w:proofErr w:type="gramStart"/>
            <w:r w:rsidRPr="00D907DA">
              <w:rPr>
                <w:rFonts w:ascii="Arial Narrow" w:hAnsi="Arial Narrow" w:cstheme="minorHAnsi"/>
                <w:sz w:val="20"/>
                <w:lang w:eastAsia="en-US"/>
              </w:rPr>
              <w:t>regardless</w:t>
            </w:r>
            <w:proofErr w:type="gramEnd"/>
            <w:r w:rsidRPr="00D907DA">
              <w:rPr>
                <w:rFonts w:ascii="Arial Narrow" w:hAnsi="Arial Narrow" w:cstheme="minorHAnsi"/>
                <w:sz w:val="20"/>
                <w:lang w:eastAsia="en-US"/>
              </w:rPr>
              <w:t xml:space="preserve"> if they are available as a single drug or in combination, are currently: elexacaftor, ivacaftor, lumacaftor, tezacaftor. </w:t>
            </w:r>
          </w:p>
        </w:tc>
      </w:tr>
      <w:tr w:rsidR="00D907DA" w:rsidRPr="005B339F" w14:paraId="5FB92E6B" w14:textId="77777777" w:rsidTr="00D907DA">
        <w:trPr>
          <w:trHeight w:val="86"/>
        </w:trPr>
        <w:tc>
          <w:tcPr>
            <w:tcW w:w="796" w:type="pct"/>
            <w:tcBorders>
              <w:top w:val="single" w:sz="4" w:space="0" w:color="000000"/>
              <w:left w:val="single" w:sz="4" w:space="0" w:color="000000"/>
              <w:bottom w:val="single" w:sz="4" w:space="0" w:color="000000"/>
              <w:right w:val="single" w:sz="4" w:space="0" w:color="000000"/>
            </w:tcBorders>
          </w:tcPr>
          <w:p w14:paraId="43EF4D73" w14:textId="3FBE1C8E" w:rsidR="00D907DA" w:rsidRPr="005B339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4E7AFFEE"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Administrative Advice:</w:t>
            </w:r>
            <w:r w:rsidRPr="00D907DA">
              <w:rPr>
                <w:rFonts w:ascii="Arial Narrow" w:hAnsi="Arial Narrow" w:cstheme="minorHAnsi"/>
                <w:sz w:val="20"/>
                <w:lang w:eastAsia="en-US"/>
              </w:rPr>
              <w:t xml:space="preserve"> Special Pricing Arrangements apply</w:t>
            </w:r>
          </w:p>
        </w:tc>
      </w:tr>
    </w:tbl>
    <w:p w14:paraId="031D4BB2" w14:textId="77777777" w:rsidR="00D907DA" w:rsidRDefault="00D907DA" w:rsidP="00D907DA">
      <w:pPr>
        <w:pStyle w:val="BodyText"/>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36"/>
        <w:gridCol w:w="1096"/>
        <w:gridCol w:w="1410"/>
        <w:gridCol w:w="1410"/>
        <w:gridCol w:w="1268"/>
        <w:gridCol w:w="893"/>
        <w:gridCol w:w="1504"/>
      </w:tblGrid>
      <w:tr w:rsidR="00D907DA" w:rsidRPr="00D907DA" w14:paraId="73A122CD" w14:textId="77777777" w:rsidTr="006E22B4">
        <w:trPr>
          <w:trHeight w:val="493"/>
        </w:trPr>
        <w:tc>
          <w:tcPr>
            <w:tcW w:w="1404"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5ED9746" w14:textId="77777777" w:rsidR="00D907DA" w:rsidRPr="00D907DA" w:rsidRDefault="00D907DA" w:rsidP="006E22B4">
            <w:pPr>
              <w:pStyle w:val="TableHeadingleft"/>
              <w:spacing w:before="0" w:after="0"/>
              <w:rPr>
                <w:rFonts w:ascii="Arial Narrow" w:hAnsi="Arial Narrow" w:cstheme="minorHAnsi"/>
                <w:sz w:val="20"/>
                <w:szCs w:val="20"/>
              </w:rPr>
            </w:pPr>
            <w:r w:rsidRPr="00D907DA">
              <w:rPr>
                <w:rFonts w:ascii="Arial Narrow" w:hAnsi="Arial Narrow" w:cstheme="minorHAnsi"/>
                <w:sz w:val="20"/>
                <w:szCs w:val="20"/>
              </w:rPr>
              <w:lastRenderedPageBreak/>
              <w:t>MEDICINAL PRODUCT</w:t>
            </w:r>
          </w:p>
          <w:p w14:paraId="56D12755" w14:textId="77777777" w:rsidR="00D907DA" w:rsidRPr="00D907DA" w:rsidRDefault="00D907DA" w:rsidP="006E22B4">
            <w:pPr>
              <w:pStyle w:val="TableHeadingleft"/>
              <w:spacing w:before="0" w:after="0"/>
              <w:rPr>
                <w:rFonts w:ascii="Arial Narrow" w:hAnsi="Arial Narrow" w:cstheme="minorHAnsi"/>
                <w:sz w:val="20"/>
                <w:szCs w:val="20"/>
              </w:rPr>
            </w:pPr>
            <w:r w:rsidRPr="00D907DA">
              <w:rPr>
                <w:rFonts w:ascii="Arial Narrow" w:hAnsi="Arial Narrow" w:cstheme="minorHAnsi"/>
                <w:sz w:val="20"/>
                <w:szCs w:val="20"/>
              </w:rPr>
              <w:t>medicinal product pack</w:t>
            </w:r>
          </w:p>
        </w:tc>
        <w:tc>
          <w:tcPr>
            <w:tcW w:w="782" w:type="pct"/>
            <w:tcBorders>
              <w:top w:val="single" w:sz="4" w:space="0" w:color="000000"/>
              <w:left w:val="single" w:sz="4" w:space="0" w:color="000000"/>
              <w:bottom w:val="single" w:sz="4" w:space="0" w:color="000000"/>
              <w:right w:val="single" w:sz="4" w:space="0" w:color="000000"/>
            </w:tcBorders>
            <w:shd w:val="clear" w:color="auto" w:fill="D9D9D9"/>
            <w:hideMark/>
          </w:tcPr>
          <w:p w14:paraId="30DEBCA0" w14:textId="77777777" w:rsidR="00D907DA" w:rsidRPr="00D907DA" w:rsidRDefault="00D907DA" w:rsidP="006E22B4">
            <w:pPr>
              <w:pStyle w:val="TableHeadingleft"/>
              <w:spacing w:before="0" w:after="0"/>
              <w:rPr>
                <w:rFonts w:ascii="Arial Narrow" w:hAnsi="Arial Narrow" w:cstheme="minorHAnsi"/>
                <w:sz w:val="20"/>
                <w:szCs w:val="20"/>
              </w:rPr>
            </w:pPr>
            <w:r w:rsidRPr="00D907DA">
              <w:rPr>
                <w:rFonts w:ascii="Arial Narrow" w:hAnsi="Arial Narrow" w:cstheme="minorHAnsi"/>
                <w:sz w:val="20"/>
                <w:szCs w:val="20"/>
              </w:rPr>
              <w:t>PBS item code</w:t>
            </w:r>
          </w:p>
        </w:tc>
        <w:tc>
          <w:tcPr>
            <w:tcW w:w="782" w:type="pct"/>
            <w:tcBorders>
              <w:top w:val="single" w:sz="4" w:space="0" w:color="000000"/>
              <w:left w:val="single" w:sz="4" w:space="0" w:color="000000"/>
              <w:bottom w:val="single" w:sz="4" w:space="0" w:color="000000"/>
              <w:right w:val="single" w:sz="4" w:space="0" w:color="000000"/>
            </w:tcBorders>
            <w:shd w:val="clear" w:color="auto" w:fill="D9D9D9"/>
            <w:hideMark/>
          </w:tcPr>
          <w:p w14:paraId="6BF70A4F" w14:textId="77777777" w:rsidR="00D907DA" w:rsidRPr="00D907DA" w:rsidRDefault="00D907DA" w:rsidP="006E22B4">
            <w:pPr>
              <w:pStyle w:val="TableHeadingleft"/>
              <w:spacing w:before="0" w:after="0"/>
              <w:rPr>
                <w:rFonts w:ascii="Arial Narrow" w:hAnsi="Arial Narrow" w:cstheme="minorHAnsi"/>
                <w:sz w:val="20"/>
                <w:szCs w:val="20"/>
              </w:rPr>
            </w:pPr>
            <w:r w:rsidRPr="00D907DA">
              <w:rPr>
                <w:rFonts w:ascii="Arial Narrow" w:hAnsi="Arial Narrow" w:cstheme="minorHAnsi"/>
                <w:sz w:val="20"/>
                <w:szCs w:val="20"/>
              </w:rPr>
              <w:t>Max. qty packs</w:t>
            </w:r>
          </w:p>
        </w:tc>
        <w:tc>
          <w:tcPr>
            <w:tcW w:w="703" w:type="pct"/>
            <w:tcBorders>
              <w:top w:val="single" w:sz="4" w:space="0" w:color="000000"/>
              <w:left w:val="single" w:sz="4" w:space="0" w:color="000000"/>
              <w:bottom w:val="single" w:sz="4" w:space="0" w:color="000000"/>
              <w:right w:val="single" w:sz="4" w:space="0" w:color="000000"/>
            </w:tcBorders>
            <w:shd w:val="clear" w:color="auto" w:fill="D9D9D9"/>
            <w:hideMark/>
          </w:tcPr>
          <w:p w14:paraId="7F535DC6" w14:textId="77777777" w:rsidR="00D907DA" w:rsidRPr="00D907DA" w:rsidRDefault="00D907DA" w:rsidP="006E22B4">
            <w:pPr>
              <w:pStyle w:val="TableHeadingleft"/>
              <w:spacing w:before="0" w:after="0"/>
              <w:rPr>
                <w:rFonts w:ascii="Arial Narrow" w:hAnsi="Arial Narrow" w:cstheme="minorHAnsi"/>
                <w:sz w:val="20"/>
                <w:szCs w:val="20"/>
              </w:rPr>
            </w:pPr>
            <w:r w:rsidRPr="00D907DA">
              <w:rPr>
                <w:rFonts w:ascii="Arial Narrow" w:hAnsi="Arial Narrow" w:cstheme="minorHAnsi"/>
                <w:sz w:val="20"/>
                <w:szCs w:val="20"/>
              </w:rPr>
              <w:t>Max. qty units</w:t>
            </w:r>
          </w:p>
        </w:tc>
        <w:tc>
          <w:tcPr>
            <w:tcW w:w="495" w:type="pct"/>
            <w:tcBorders>
              <w:top w:val="single" w:sz="4" w:space="0" w:color="000000"/>
              <w:left w:val="single" w:sz="4" w:space="0" w:color="000000"/>
              <w:bottom w:val="single" w:sz="4" w:space="0" w:color="000000"/>
              <w:right w:val="single" w:sz="4" w:space="0" w:color="000000"/>
            </w:tcBorders>
            <w:shd w:val="clear" w:color="auto" w:fill="D9D9D9"/>
            <w:hideMark/>
          </w:tcPr>
          <w:p w14:paraId="3C41767B" w14:textId="77777777" w:rsidR="00D907DA" w:rsidRPr="00D907DA" w:rsidRDefault="00D907DA" w:rsidP="006E22B4">
            <w:pPr>
              <w:pStyle w:val="TableHeadingleft"/>
              <w:spacing w:before="0" w:after="0"/>
              <w:rPr>
                <w:rFonts w:ascii="Arial Narrow" w:hAnsi="Arial Narrow" w:cstheme="minorHAnsi"/>
                <w:sz w:val="20"/>
                <w:szCs w:val="20"/>
              </w:rPr>
            </w:pPr>
            <w:r w:rsidRPr="00D907DA">
              <w:rPr>
                <w:rFonts w:ascii="Arial Narrow" w:hAnsi="Arial Narrow" w:cstheme="minorHAnsi"/>
                <w:sz w:val="20"/>
                <w:szCs w:val="20"/>
              </w:rPr>
              <w:t>№.of</w:t>
            </w:r>
          </w:p>
          <w:p w14:paraId="366B28C5" w14:textId="77777777" w:rsidR="00D907DA" w:rsidRPr="00D907DA" w:rsidRDefault="00D907DA" w:rsidP="006E22B4">
            <w:pPr>
              <w:pStyle w:val="TableHeadingleft"/>
              <w:spacing w:before="0" w:after="0"/>
              <w:rPr>
                <w:rFonts w:ascii="Arial Narrow" w:hAnsi="Arial Narrow" w:cstheme="minorHAnsi"/>
                <w:sz w:val="20"/>
                <w:szCs w:val="20"/>
              </w:rPr>
            </w:pPr>
            <w:r w:rsidRPr="00D907DA">
              <w:rPr>
                <w:rFonts w:ascii="Arial Narrow" w:hAnsi="Arial Narrow" w:cstheme="minorHAnsi"/>
                <w:sz w:val="20"/>
                <w:szCs w:val="20"/>
              </w:rPr>
              <w:t>Rpts</w:t>
            </w:r>
          </w:p>
        </w:tc>
        <w:tc>
          <w:tcPr>
            <w:tcW w:w="834" w:type="pct"/>
            <w:tcBorders>
              <w:top w:val="single" w:sz="4" w:space="0" w:color="000000"/>
              <w:left w:val="single" w:sz="4" w:space="0" w:color="000000"/>
              <w:bottom w:val="single" w:sz="4" w:space="0" w:color="000000"/>
              <w:right w:val="single" w:sz="4" w:space="0" w:color="000000"/>
            </w:tcBorders>
            <w:shd w:val="clear" w:color="auto" w:fill="D9D9D9"/>
            <w:hideMark/>
          </w:tcPr>
          <w:p w14:paraId="4807F079" w14:textId="77777777" w:rsidR="00D907DA" w:rsidRPr="00D907DA" w:rsidRDefault="00D907DA" w:rsidP="006E22B4">
            <w:pPr>
              <w:pStyle w:val="TableHeadingleft"/>
              <w:spacing w:before="0" w:after="0"/>
              <w:rPr>
                <w:rFonts w:ascii="Arial Narrow" w:hAnsi="Arial Narrow" w:cstheme="minorHAnsi"/>
                <w:sz w:val="20"/>
                <w:szCs w:val="20"/>
              </w:rPr>
            </w:pPr>
            <w:r w:rsidRPr="00D907DA">
              <w:rPr>
                <w:rFonts w:ascii="Arial Narrow" w:hAnsi="Arial Narrow" w:cstheme="minorHAnsi"/>
                <w:sz w:val="20"/>
                <w:szCs w:val="20"/>
              </w:rPr>
              <w:t>Available brands</w:t>
            </w:r>
          </w:p>
        </w:tc>
      </w:tr>
      <w:tr w:rsidR="00D907DA" w:rsidRPr="00D907DA" w14:paraId="14E7E952" w14:textId="77777777" w:rsidTr="006E22B4">
        <w:trPr>
          <w:trHeight w:val="266"/>
        </w:trPr>
        <w:tc>
          <w:tcPr>
            <w:tcW w:w="5000" w:type="pct"/>
            <w:gridSpan w:val="7"/>
            <w:tcBorders>
              <w:top w:val="single" w:sz="4" w:space="0" w:color="000000"/>
              <w:left w:val="single" w:sz="4" w:space="0" w:color="000000"/>
              <w:bottom w:val="single" w:sz="4" w:space="0" w:color="000000"/>
              <w:right w:val="single" w:sz="4" w:space="0" w:color="000000"/>
            </w:tcBorders>
            <w:hideMark/>
          </w:tcPr>
          <w:p w14:paraId="07C1124E"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Lumacaftor + ivacaftor</w:t>
            </w:r>
          </w:p>
        </w:tc>
      </w:tr>
      <w:tr w:rsidR="00D907DA" w:rsidRPr="00D907DA" w14:paraId="1B9DDE16" w14:textId="77777777" w:rsidTr="006E22B4">
        <w:trPr>
          <w:trHeight w:val="278"/>
        </w:trPr>
        <w:tc>
          <w:tcPr>
            <w:tcW w:w="1404" w:type="pct"/>
            <w:gridSpan w:val="2"/>
            <w:tcBorders>
              <w:top w:val="single" w:sz="4" w:space="0" w:color="000000"/>
              <w:left w:val="single" w:sz="4" w:space="0" w:color="000000"/>
              <w:bottom w:val="single" w:sz="4" w:space="0" w:color="000000"/>
              <w:right w:val="single" w:sz="4" w:space="0" w:color="000000"/>
            </w:tcBorders>
            <w:hideMark/>
          </w:tcPr>
          <w:p w14:paraId="1FEE9DFF"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lumacaftor 75 mg/ivacaftor</w:t>
            </w:r>
          </w:p>
          <w:p w14:paraId="203003C0"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94 mg [28], 56</w:t>
            </w:r>
          </w:p>
        </w:tc>
        <w:tc>
          <w:tcPr>
            <w:tcW w:w="782" w:type="pct"/>
            <w:tcBorders>
              <w:top w:val="single" w:sz="4" w:space="0" w:color="000000"/>
              <w:left w:val="single" w:sz="4" w:space="0" w:color="000000"/>
              <w:bottom w:val="single" w:sz="4" w:space="0" w:color="000000"/>
              <w:right w:val="single" w:sz="4" w:space="0" w:color="000000"/>
            </w:tcBorders>
            <w:vAlign w:val="center"/>
            <w:hideMark/>
          </w:tcPr>
          <w:p w14:paraId="6D0C947F" w14:textId="77777777" w:rsidR="00D907DA" w:rsidRPr="00D907DA" w:rsidRDefault="00D907DA" w:rsidP="006E22B4">
            <w:pPr>
              <w:pStyle w:val="Tabletextleft"/>
              <w:spacing w:before="0" w:after="0"/>
              <w:jc w:val="center"/>
              <w:rPr>
                <w:rFonts w:ascii="Arial Narrow" w:hAnsi="Arial Narrow" w:cstheme="minorHAnsi"/>
                <w:sz w:val="20"/>
                <w:lang w:eastAsia="en-US"/>
              </w:rPr>
            </w:pPr>
            <w:r w:rsidRPr="00D907DA">
              <w:rPr>
                <w:rFonts w:ascii="Arial Narrow" w:hAnsi="Arial Narrow" w:cstheme="minorHAnsi"/>
                <w:sz w:val="20"/>
                <w:lang w:eastAsia="en-US"/>
              </w:rPr>
              <w:t xml:space="preserve">NEW (Public) </w:t>
            </w:r>
          </w:p>
          <w:p w14:paraId="16A9AB60" w14:textId="77777777" w:rsidR="00D907DA" w:rsidRPr="00D907DA" w:rsidRDefault="00D907DA" w:rsidP="006E22B4">
            <w:pPr>
              <w:pStyle w:val="Tabletextleft"/>
              <w:spacing w:before="0" w:after="0"/>
              <w:jc w:val="center"/>
              <w:rPr>
                <w:rFonts w:ascii="Arial Narrow" w:hAnsi="Arial Narrow" w:cstheme="minorHAnsi"/>
                <w:sz w:val="20"/>
                <w:lang w:eastAsia="en-US"/>
              </w:rPr>
            </w:pPr>
            <w:r w:rsidRPr="00D907DA">
              <w:rPr>
                <w:rFonts w:ascii="Arial Narrow" w:hAnsi="Arial Narrow" w:cstheme="minorHAnsi"/>
                <w:sz w:val="20"/>
                <w:lang w:eastAsia="en-US"/>
              </w:rPr>
              <w:t>NEW (Private)</w:t>
            </w:r>
          </w:p>
        </w:tc>
        <w:tc>
          <w:tcPr>
            <w:tcW w:w="782" w:type="pct"/>
            <w:vMerge w:val="restart"/>
            <w:tcBorders>
              <w:top w:val="single" w:sz="4" w:space="0" w:color="000000"/>
              <w:left w:val="single" w:sz="4" w:space="0" w:color="000000"/>
              <w:bottom w:val="single" w:sz="4" w:space="0" w:color="000000"/>
              <w:right w:val="single" w:sz="4" w:space="0" w:color="000000"/>
            </w:tcBorders>
            <w:vAlign w:val="center"/>
            <w:hideMark/>
          </w:tcPr>
          <w:p w14:paraId="06203042" w14:textId="77777777" w:rsidR="00D907DA" w:rsidRPr="00D907DA" w:rsidRDefault="00D907DA" w:rsidP="006E22B4">
            <w:pPr>
              <w:pStyle w:val="Tabletextleft"/>
              <w:spacing w:before="0" w:after="0"/>
              <w:jc w:val="center"/>
              <w:rPr>
                <w:rFonts w:ascii="Arial Narrow" w:hAnsi="Arial Narrow" w:cstheme="minorHAnsi"/>
                <w:sz w:val="20"/>
                <w:lang w:eastAsia="en-US"/>
              </w:rPr>
            </w:pPr>
            <w:r w:rsidRPr="00D907DA">
              <w:rPr>
                <w:rFonts w:ascii="Arial Narrow" w:hAnsi="Arial Narrow" w:cstheme="minorHAnsi"/>
                <w:sz w:val="20"/>
                <w:lang w:eastAsia="en-US"/>
              </w:rPr>
              <w:t>1</w:t>
            </w:r>
          </w:p>
        </w:tc>
        <w:tc>
          <w:tcPr>
            <w:tcW w:w="703" w:type="pct"/>
            <w:vMerge w:val="restart"/>
            <w:tcBorders>
              <w:top w:val="single" w:sz="4" w:space="0" w:color="000000"/>
              <w:left w:val="single" w:sz="4" w:space="0" w:color="000000"/>
              <w:bottom w:val="single" w:sz="4" w:space="0" w:color="000000"/>
              <w:right w:val="single" w:sz="4" w:space="0" w:color="000000"/>
            </w:tcBorders>
            <w:vAlign w:val="center"/>
            <w:hideMark/>
          </w:tcPr>
          <w:p w14:paraId="1BE8182A" w14:textId="2FB6F54D" w:rsidR="00D907DA" w:rsidRPr="00D907DA" w:rsidRDefault="000E292F" w:rsidP="006E22B4">
            <w:pPr>
              <w:pStyle w:val="Tabletextleft"/>
              <w:spacing w:before="0" w:after="0"/>
              <w:jc w:val="center"/>
              <w:rPr>
                <w:rFonts w:ascii="Arial Narrow" w:hAnsi="Arial Narrow" w:cstheme="minorHAnsi"/>
                <w:sz w:val="20"/>
                <w:lang w:eastAsia="en-US"/>
              </w:rPr>
            </w:pPr>
            <w:r>
              <w:rPr>
                <w:rFonts w:ascii="Arial Narrow" w:hAnsi="Arial Narrow" w:cstheme="minorHAnsi"/>
                <w:sz w:val="20"/>
                <w:lang w:eastAsia="en-US"/>
              </w:rPr>
              <w:t>56</w:t>
            </w:r>
          </w:p>
        </w:tc>
        <w:tc>
          <w:tcPr>
            <w:tcW w:w="495" w:type="pct"/>
            <w:vMerge w:val="restart"/>
            <w:tcBorders>
              <w:top w:val="single" w:sz="4" w:space="0" w:color="000000"/>
              <w:left w:val="single" w:sz="4" w:space="0" w:color="000000"/>
              <w:bottom w:val="single" w:sz="4" w:space="0" w:color="000000"/>
              <w:right w:val="single" w:sz="4" w:space="0" w:color="000000"/>
            </w:tcBorders>
            <w:vAlign w:val="center"/>
            <w:hideMark/>
          </w:tcPr>
          <w:p w14:paraId="31F3C1F9" w14:textId="77777777" w:rsidR="00D907DA" w:rsidRPr="00D907DA" w:rsidRDefault="00D907DA" w:rsidP="006E22B4">
            <w:pPr>
              <w:pStyle w:val="Tabletextleft"/>
              <w:spacing w:before="0" w:after="0"/>
              <w:jc w:val="center"/>
              <w:rPr>
                <w:rFonts w:ascii="Arial Narrow" w:hAnsi="Arial Narrow" w:cstheme="minorHAnsi"/>
                <w:sz w:val="20"/>
                <w:lang w:eastAsia="en-US"/>
              </w:rPr>
            </w:pPr>
            <w:r w:rsidRPr="00D907DA">
              <w:rPr>
                <w:rFonts w:ascii="Arial Narrow" w:hAnsi="Arial Narrow" w:cstheme="minorHAnsi"/>
                <w:sz w:val="20"/>
                <w:lang w:eastAsia="en-US"/>
              </w:rPr>
              <w:t>5</w:t>
            </w:r>
          </w:p>
        </w:tc>
        <w:tc>
          <w:tcPr>
            <w:tcW w:w="834" w:type="pct"/>
            <w:vMerge w:val="restart"/>
            <w:tcBorders>
              <w:top w:val="single" w:sz="4" w:space="0" w:color="000000"/>
              <w:left w:val="single" w:sz="4" w:space="0" w:color="000000"/>
              <w:bottom w:val="single" w:sz="4" w:space="0" w:color="000000"/>
              <w:right w:val="single" w:sz="4" w:space="0" w:color="000000"/>
            </w:tcBorders>
            <w:vAlign w:val="center"/>
            <w:hideMark/>
          </w:tcPr>
          <w:p w14:paraId="6F654891" w14:textId="77777777" w:rsidR="00D907DA" w:rsidRPr="00D907DA" w:rsidRDefault="00D907DA" w:rsidP="006E22B4">
            <w:pPr>
              <w:pStyle w:val="Tabletextleft"/>
              <w:spacing w:before="0" w:after="0"/>
              <w:jc w:val="center"/>
              <w:rPr>
                <w:rFonts w:ascii="Arial Narrow" w:hAnsi="Arial Narrow" w:cstheme="minorHAnsi"/>
                <w:sz w:val="20"/>
                <w:lang w:eastAsia="en-US"/>
              </w:rPr>
            </w:pPr>
            <w:r w:rsidRPr="00D907DA">
              <w:rPr>
                <w:rFonts w:ascii="Arial Narrow" w:hAnsi="Arial Narrow" w:cstheme="minorHAnsi"/>
                <w:sz w:val="20"/>
                <w:lang w:eastAsia="en-US"/>
              </w:rPr>
              <w:t>Orkambi</w:t>
            </w:r>
          </w:p>
        </w:tc>
      </w:tr>
      <w:tr w:rsidR="00D907DA" w:rsidRPr="00D907DA" w14:paraId="0F0CCC1E" w14:textId="77777777" w:rsidTr="006E22B4">
        <w:trPr>
          <w:trHeight w:val="158"/>
        </w:trPr>
        <w:tc>
          <w:tcPr>
            <w:tcW w:w="1404" w:type="pct"/>
            <w:gridSpan w:val="2"/>
            <w:tcBorders>
              <w:top w:val="single" w:sz="4" w:space="0" w:color="000000"/>
              <w:left w:val="single" w:sz="4" w:space="0" w:color="000000"/>
              <w:bottom w:val="single" w:sz="4" w:space="0" w:color="000000"/>
              <w:right w:val="single" w:sz="4" w:space="0" w:color="000000"/>
            </w:tcBorders>
            <w:hideMark/>
          </w:tcPr>
          <w:p w14:paraId="125DABC4"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lumacaftor 100 mg/ivacaftor</w:t>
            </w:r>
          </w:p>
          <w:p w14:paraId="2E933367"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125 mg [28], 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27CEE8" w14:textId="77777777" w:rsidR="00D907DA" w:rsidRPr="00D907DA" w:rsidRDefault="00D907DA" w:rsidP="006E22B4">
            <w:pPr>
              <w:jc w:val="center"/>
              <w:rPr>
                <w:rFonts w:ascii="Arial Narrow" w:hAnsi="Arial Narrow" w:cstheme="minorHAnsi"/>
                <w:sz w:val="20"/>
                <w:szCs w:val="20"/>
              </w:rPr>
            </w:pPr>
            <w:r w:rsidRPr="00D907DA">
              <w:rPr>
                <w:rFonts w:ascii="Arial Narrow" w:hAnsi="Arial Narrow" w:cstheme="minorHAnsi"/>
                <w:sz w:val="20"/>
                <w:szCs w:val="20"/>
              </w:rPr>
              <w:t>11866M (public)</w:t>
            </w:r>
          </w:p>
          <w:p w14:paraId="723987F9" w14:textId="77777777" w:rsidR="00D907DA" w:rsidRPr="00D907DA" w:rsidRDefault="00D907DA" w:rsidP="006E22B4">
            <w:pPr>
              <w:rPr>
                <w:rFonts w:ascii="Arial Narrow" w:hAnsi="Arial Narrow" w:cstheme="minorHAnsi"/>
                <w:sz w:val="20"/>
                <w:szCs w:val="20"/>
              </w:rPr>
            </w:pPr>
            <w:r w:rsidRPr="00D907DA">
              <w:rPr>
                <w:rFonts w:ascii="Arial Narrow" w:hAnsi="Arial Narrow" w:cstheme="minorHAnsi"/>
                <w:sz w:val="20"/>
                <w:szCs w:val="20"/>
              </w:rPr>
              <w:t>11841F (private)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2258AA" w14:textId="77777777" w:rsidR="00D907DA" w:rsidRPr="00D907DA"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B03950" w14:textId="77777777" w:rsidR="00D907DA" w:rsidRPr="00D907DA"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939DD0" w14:textId="77777777" w:rsidR="00D907DA" w:rsidRPr="00D907DA"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19EFAE" w14:textId="77777777" w:rsidR="00D907DA" w:rsidRPr="00D907DA" w:rsidRDefault="00D907DA" w:rsidP="006E22B4">
            <w:pPr>
              <w:rPr>
                <w:rFonts w:ascii="Arial Narrow" w:hAnsi="Arial Narrow" w:cstheme="minorHAnsi"/>
                <w:sz w:val="20"/>
                <w:szCs w:val="20"/>
              </w:rPr>
            </w:pPr>
          </w:p>
        </w:tc>
      </w:tr>
      <w:tr w:rsidR="00D907DA" w:rsidRPr="00D907DA" w14:paraId="1B188EEE" w14:textId="77777777" w:rsidTr="006E22B4">
        <w:trPr>
          <w:trHeight w:val="302"/>
        </w:trPr>
        <w:tc>
          <w:tcPr>
            <w:tcW w:w="1404" w:type="pct"/>
            <w:gridSpan w:val="2"/>
            <w:tcBorders>
              <w:top w:val="single" w:sz="4" w:space="0" w:color="000000"/>
              <w:left w:val="single" w:sz="4" w:space="0" w:color="000000"/>
              <w:bottom w:val="single" w:sz="4" w:space="0" w:color="000000"/>
              <w:right w:val="single" w:sz="4" w:space="0" w:color="000000"/>
            </w:tcBorders>
            <w:hideMark/>
          </w:tcPr>
          <w:p w14:paraId="78FF4F92"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lumacaftor 150 mg/ivacaftor</w:t>
            </w:r>
          </w:p>
          <w:p w14:paraId="759C887A"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188 mg [28], 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2C94A7" w14:textId="77777777" w:rsidR="00D907DA" w:rsidRPr="00D907DA" w:rsidRDefault="00D907DA" w:rsidP="006E22B4">
            <w:pPr>
              <w:jc w:val="center"/>
              <w:rPr>
                <w:rFonts w:ascii="Arial Narrow" w:hAnsi="Arial Narrow" w:cstheme="minorHAnsi"/>
                <w:sz w:val="20"/>
                <w:szCs w:val="20"/>
              </w:rPr>
            </w:pPr>
            <w:r w:rsidRPr="00D907DA">
              <w:rPr>
                <w:rFonts w:ascii="Arial Narrow" w:hAnsi="Arial Narrow" w:cstheme="minorHAnsi"/>
                <w:sz w:val="20"/>
                <w:szCs w:val="20"/>
              </w:rPr>
              <w:t>11851R (public)</w:t>
            </w:r>
          </w:p>
          <w:p w14:paraId="764F8688" w14:textId="77777777" w:rsidR="00D907DA" w:rsidRPr="00D907DA" w:rsidRDefault="00D907DA" w:rsidP="006E22B4">
            <w:pPr>
              <w:rPr>
                <w:rFonts w:ascii="Arial Narrow" w:hAnsi="Arial Narrow" w:cstheme="minorHAnsi"/>
                <w:sz w:val="20"/>
                <w:szCs w:val="20"/>
              </w:rPr>
            </w:pPr>
            <w:r w:rsidRPr="00D907DA">
              <w:rPr>
                <w:rFonts w:ascii="Arial Narrow" w:hAnsi="Arial Narrow" w:cstheme="minorHAnsi"/>
                <w:sz w:val="20"/>
                <w:szCs w:val="20"/>
              </w:rPr>
              <w:t>11848N (private)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E914A0" w14:textId="77777777" w:rsidR="00D907DA" w:rsidRPr="00D907DA"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C93CD3" w14:textId="77777777" w:rsidR="00D907DA" w:rsidRPr="00D907DA"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2F70C6" w14:textId="77777777" w:rsidR="00D907DA" w:rsidRPr="00D907DA" w:rsidRDefault="00D907DA" w:rsidP="006E22B4">
            <w:pPr>
              <w:rPr>
                <w:rFonts w:ascii="Arial Narrow" w:hAnsi="Arial Narrow" w:cstheme="minorHAns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063B2A" w14:textId="77777777" w:rsidR="00D907DA" w:rsidRPr="00D907DA" w:rsidRDefault="00D907DA" w:rsidP="006E22B4">
            <w:pPr>
              <w:rPr>
                <w:rFonts w:ascii="Arial Narrow" w:hAnsi="Arial Narrow" w:cstheme="minorHAnsi"/>
                <w:sz w:val="20"/>
                <w:szCs w:val="20"/>
              </w:rPr>
            </w:pPr>
          </w:p>
        </w:tc>
      </w:tr>
      <w:tr w:rsidR="00D907DA" w:rsidRPr="00D907DA" w14:paraId="0423BF0D" w14:textId="77777777" w:rsidTr="006E22B4">
        <w:trPr>
          <w:trHeight w:val="246"/>
        </w:trPr>
        <w:tc>
          <w:tcPr>
            <w:tcW w:w="5000" w:type="pct"/>
            <w:gridSpan w:val="7"/>
            <w:tcBorders>
              <w:top w:val="single" w:sz="4" w:space="0" w:color="000000"/>
              <w:left w:val="single" w:sz="4" w:space="0" w:color="000000"/>
              <w:bottom w:val="single" w:sz="4" w:space="0" w:color="000000"/>
              <w:right w:val="single" w:sz="4" w:space="0" w:color="000000"/>
            </w:tcBorders>
          </w:tcPr>
          <w:p w14:paraId="182FFDAE" w14:textId="77777777" w:rsidR="00D907DA" w:rsidRPr="00D907DA" w:rsidRDefault="00D907DA" w:rsidP="006E22B4">
            <w:pPr>
              <w:pStyle w:val="Tabletextleft"/>
              <w:spacing w:before="0" w:after="0"/>
              <w:rPr>
                <w:rFonts w:ascii="Arial Narrow" w:hAnsi="Arial Narrow" w:cstheme="minorHAnsi"/>
                <w:b/>
                <w:bCs/>
                <w:sz w:val="20"/>
                <w:lang w:eastAsia="en-US"/>
              </w:rPr>
            </w:pPr>
          </w:p>
        </w:tc>
      </w:tr>
      <w:tr w:rsidR="00D907DA" w:rsidRPr="00D907DA" w14:paraId="414139A6" w14:textId="77777777" w:rsidTr="006E22B4">
        <w:trPr>
          <w:trHeight w:val="246"/>
        </w:trPr>
        <w:tc>
          <w:tcPr>
            <w:tcW w:w="5000" w:type="pct"/>
            <w:gridSpan w:val="7"/>
            <w:tcBorders>
              <w:top w:val="single" w:sz="4" w:space="0" w:color="000000"/>
              <w:left w:val="single" w:sz="4" w:space="0" w:color="000000"/>
              <w:bottom w:val="single" w:sz="4" w:space="0" w:color="000000"/>
              <w:right w:val="single" w:sz="4" w:space="0" w:color="000000"/>
            </w:tcBorders>
            <w:hideMark/>
          </w:tcPr>
          <w:p w14:paraId="6A650A18" w14:textId="4F0366AE"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Restriction Summary variation/ ToC variation</w:t>
            </w:r>
          </w:p>
        </w:tc>
      </w:tr>
      <w:tr w:rsidR="00D907DA" w:rsidRPr="00D907DA" w14:paraId="57A54006" w14:textId="77777777" w:rsidTr="00E66237">
        <w:trPr>
          <w:trHeight w:val="244"/>
        </w:trPr>
        <w:tc>
          <w:tcPr>
            <w:tcW w:w="796" w:type="pct"/>
            <w:vMerge w:val="restart"/>
            <w:tcBorders>
              <w:top w:val="single" w:sz="4" w:space="0" w:color="000000"/>
              <w:left w:val="single" w:sz="4" w:space="0" w:color="000000"/>
              <w:bottom w:val="single" w:sz="4" w:space="0" w:color="000000"/>
              <w:right w:val="single" w:sz="4" w:space="0" w:color="000000"/>
            </w:tcBorders>
          </w:tcPr>
          <w:p w14:paraId="7AEE6EC2" w14:textId="0400ECFD"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281C102C"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Category / Program:</w:t>
            </w:r>
            <w:r w:rsidRPr="00D907DA">
              <w:rPr>
                <w:rFonts w:ascii="Arial Narrow" w:hAnsi="Arial Narrow" w:cstheme="minorHAnsi"/>
                <w:sz w:val="20"/>
                <w:lang w:eastAsia="en-US"/>
              </w:rPr>
              <w:t xml:space="preserve"> Section 100 – Highly Specialised Drugs Program [Public and Private Hospitals]</w:t>
            </w:r>
          </w:p>
        </w:tc>
      </w:tr>
      <w:tr w:rsidR="00D907DA" w:rsidRPr="00D907DA" w14:paraId="7D95D7ED" w14:textId="77777777" w:rsidTr="00E66237">
        <w:trPr>
          <w:trHeight w:val="246"/>
        </w:trPr>
        <w:tc>
          <w:tcPr>
            <w:tcW w:w="796" w:type="pct"/>
            <w:vMerge/>
            <w:tcBorders>
              <w:top w:val="single" w:sz="4" w:space="0" w:color="000000"/>
              <w:left w:val="single" w:sz="4" w:space="0" w:color="000000"/>
              <w:bottom w:val="single" w:sz="4" w:space="0" w:color="000000"/>
              <w:right w:val="single" w:sz="4" w:space="0" w:color="000000"/>
            </w:tcBorders>
            <w:vAlign w:val="center"/>
          </w:tcPr>
          <w:p w14:paraId="7996106D" w14:textId="77777777" w:rsidR="00D907DA" w:rsidRPr="00D907DA"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0D01152B"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Prescriber type:</w:t>
            </w:r>
            <w:r w:rsidRPr="00D907DA">
              <w:rPr>
                <w:rFonts w:ascii="Arial Narrow" w:hAnsi="Arial Narrow" w:cstheme="minorHAnsi"/>
                <w:sz w:val="20"/>
                <w:lang w:eastAsia="en-US"/>
              </w:rPr>
              <w:t xml:space="preserve"> </w:t>
            </w:r>
            <w:r w:rsidRPr="00D907DA">
              <w:rPr>
                <w:rFonts w:ascii="Arial Narrow" w:hAnsi="Arial Narrow" w:cstheme="minorHAnsi"/>
                <w:noProof/>
                <w:sz w:val="20"/>
                <w:lang w:eastAsia="en-US"/>
              </w:rPr>
              <w:drawing>
                <wp:inline distT="0" distB="0" distL="0" distR="0" wp14:anchorId="47401037" wp14:editId="7FBAED36">
                  <wp:extent cx="111125" cy="1111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D907DA">
              <w:rPr>
                <w:rFonts w:ascii="Arial Narrow" w:hAnsi="Arial Narrow" w:cstheme="minorHAnsi"/>
                <w:sz w:val="20"/>
                <w:lang w:eastAsia="en-US"/>
              </w:rPr>
              <w:t>Medical Practitioners</w:t>
            </w:r>
          </w:p>
        </w:tc>
      </w:tr>
      <w:tr w:rsidR="00D907DA" w:rsidRPr="00D907DA" w14:paraId="506B326C" w14:textId="77777777" w:rsidTr="00E66237">
        <w:trPr>
          <w:trHeight w:val="434"/>
        </w:trPr>
        <w:tc>
          <w:tcPr>
            <w:tcW w:w="796" w:type="pct"/>
            <w:vMerge/>
            <w:tcBorders>
              <w:top w:val="single" w:sz="4" w:space="0" w:color="000000"/>
              <w:left w:val="single" w:sz="4" w:space="0" w:color="000000"/>
              <w:bottom w:val="single" w:sz="4" w:space="0" w:color="000000"/>
              <w:right w:val="single" w:sz="4" w:space="0" w:color="000000"/>
            </w:tcBorders>
            <w:vAlign w:val="center"/>
          </w:tcPr>
          <w:p w14:paraId="78899FF9" w14:textId="77777777" w:rsidR="00D907DA" w:rsidRPr="00D907DA"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52CAFD7B"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Restriction type:</w:t>
            </w:r>
            <w:r w:rsidRPr="00D907DA">
              <w:rPr>
                <w:rFonts w:ascii="Arial Narrow" w:hAnsi="Arial Narrow" w:cstheme="minorHAnsi"/>
                <w:sz w:val="20"/>
                <w:lang w:eastAsia="en-US"/>
              </w:rPr>
              <w:t xml:space="preserve"> </w:t>
            </w:r>
            <w:r w:rsidRPr="00D907DA">
              <w:rPr>
                <w:rFonts w:ascii="Arial Narrow" w:hAnsi="Arial Narrow" w:cstheme="minorHAnsi"/>
                <w:noProof/>
                <w:sz w:val="20"/>
                <w:lang w:eastAsia="en-US"/>
              </w:rPr>
              <w:drawing>
                <wp:inline distT="0" distB="0" distL="0" distR="0" wp14:anchorId="412B2BA6" wp14:editId="30366309">
                  <wp:extent cx="111125" cy="111125"/>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D907DA">
              <w:rPr>
                <w:rFonts w:ascii="Arial Narrow" w:hAnsi="Arial Narrow" w:cstheme="minorHAnsi"/>
                <w:sz w:val="20"/>
                <w:lang w:eastAsia="en-US"/>
              </w:rPr>
              <w:t>Authority Required – written non-immediate/delayed assessment by Services Australia</w:t>
            </w:r>
          </w:p>
        </w:tc>
      </w:tr>
      <w:tr w:rsidR="00D907DA" w:rsidRPr="00D907DA" w14:paraId="67FBA5A6" w14:textId="77777777" w:rsidTr="00D907DA">
        <w:trPr>
          <w:trHeight w:val="134"/>
        </w:trPr>
        <w:tc>
          <w:tcPr>
            <w:tcW w:w="796" w:type="pct"/>
            <w:tcBorders>
              <w:top w:val="single" w:sz="4" w:space="0" w:color="000000"/>
              <w:left w:val="single" w:sz="4" w:space="0" w:color="000000"/>
              <w:bottom w:val="single" w:sz="4" w:space="0" w:color="000000"/>
              <w:right w:val="single" w:sz="4" w:space="0" w:color="000000"/>
            </w:tcBorders>
          </w:tcPr>
          <w:p w14:paraId="3B7A31CD" w14:textId="77777777"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59D553C5"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Indication:</w:t>
            </w:r>
            <w:r w:rsidRPr="00D907DA">
              <w:rPr>
                <w:rFonts w:ascii="Arial Narrow" w:hAnsi="Arial Narrow" w:cstheme="minorHAnsi"/>
                <w:sz w:val="20"/>
                <w:lang w:eastAsia="en-US"/>
              </w:rPr>
              <w:t xml:space="preserve"> cystic fibrosis </w:t>
            </w:r>
          </w:p>
        </w:tc>
      </w:tr>
      <w:tr w:rsidR="00D907DA" w:rsidRPr="00D907DA" w14:paraId="661EC02F"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tcPr>
          <w:p w14:paraId="3C0EBF86" w14:textId="77777777"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1CD658F0"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Treatment Phase:</w:t>
            </w:r>
            <w:r w:rsidRPr="00D907DA">
              <w:rPr>
                <w:rFonts w:ascii="Arial Narrow" w:hAnsi="Arial Narrow" w:cstheme="minorHAnsi"/>
                <w:sz w:val="20"/>
                <w:lang w:eastAsia="en-US"/>
              </w:rPr>
              <w:t xml:space="preserve"> Continuing treatment</w:t>
            </w:r>
          </w:p>
        </w:tc>
      </w:tr>
      <w:tr w:rsidR="00D907DA" w:rsidRPr="00D907DA" w14:paraId="616CA8CF" w14:textId="77777777" w:rsidTr="00D907DA">
        <w:trPr>
          <w:trHeight w:val="122"/>
        </w:trPr>
        <w:tc>
          <w:tcPr>
            <w:tcW w:w="796" w:type="pct"/>
            <w:tcBorders>
              <w:top w:val="single" w:sz="4" w:space="0" w:color="000000"/>
              <w:left w:val="single" w:sz="4" w:space="0" w:color="000000"/>
              <w:bottom w:val="single" w:sz="4" w:space="0" w:color="000000"/>
              <w:right w:val="single" w:sz="4" w:space="0" w:color="000000"/>
            </w:tcBorders>
          </w:tcPr>
          <w:p w14:paraId="44BFB27A" w14:textId="77777777"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092EBF46" w14:textId="77777777" w:rsidR="00D907DA" w:rsidRPr="00D907DA" w:rsidRDefault="00D907DA" w:rsidP="006E22B4">
            <w:pPr>
              <w:pStyle w:val="Tabletextleft"/>
              <w:spacing w:before="0" w:after="0"/>
              <w:rPr>
                <w:rFonts w:ascii="Arial Narrow" w:hAnsi="Arial Narrow" w:cstheme="minorHAnsi"/>
                <w:b/>
                <w:bCs/>
                <w:sz w:val="20"/>
                <w:lang w:eastAsia="en-US"/>
              </w:rPr>
            </w:pPr>
          </w:p>
        </w:tc>
      </w:tr>
      <w:tr w:rsidR="00D907DA" w:rsidRPr="00D907DA" w14:paraId="713CC7B3" w14:textId="77777777" w:rsidTr="00E66237">
        <w:trPr>
          <w:trHeight w:val="122"/>
        </w:trPr>
        <w:tc>
          <w:tcPr>
            <w:tcW w:w="796" w:type="pct"/>
            <w:tcBorders>
              <w:top w:val="single" w:sz="4" w:space="0" w:color="000000"/>
              <w:left w:val="single" w:sz="4" w:space="0" w:color="000000"/>
              <w:bottom w:val="single" w:sz="4" w:space="0" w:color="000000"/>
              <w:right w:val="single" w:sz="4" w:space="0" w:color="000000"/>
            </w:tcBorders>
          </w:tcPr>
          <w:p w14:paraId="2094F8E0" w14:textId="32905FE8"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0E1C5D87"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Treatment criteria:</w:t>
            </w:r>
          </w:p>
        </w:tc>
      </w:tr>
      <w:tr w:rsidR="00D907DA" w:rsidRPr="00D907DA" w14:paraId="42C524BD" w14:textId="77777777" w:rsidTr="00E66237">
        <w:trPr>
          <w:trHeight w:val="659"/>
        </w:trPr>
        <w:tc>
          <w:tcPr>
            <w:tcW w:w="796" w:type="pct"/>
            <w:tcBorders>
              <w:top w:val="single" w:sz="4" w:space="0" w:color="000000"/>
              <w:left w:val="single" w:sz="4" w:space="0" w:color="000000"/>
              <w:bottom w:val="single" w:sz="4" w:space="0" w:color="000000"/>
              <w:right w:val="single" w:sz="4" w:space="0" w:color="000000"/>
            </w:tcBorders>
          </w:tcPr>
          <w:p w14:paraId="43C61F0E" w14:textId="67BC1162"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22A22DD6"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Must be treated by a specialist respiratory physician with expertise in cystic fibrosis or in consultation with a specialist respiratory physician with expertise in cystic fibrosis if attendance is not possible due to geographic isolation</w:t>
            </w:r>
          </w:p>
        </w:tc>
      </w:tr>
      <w:tr w:rsidR="00D907DA" w:rsidRPr="00D907DA" w14:paraId="4AB9D456"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tcPr>
          <w:p w14:paraId="201F30C4" w14:textId="77777777"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679E9B54"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AND</w:t>
            </w:r>
          </w:p>
        </w:tc>
      </w:tr>
      <w:tr w:rsidR="00D907DA" w:rsidRPr="00D907DA" w14:paraId="00C5C928"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tcPr>
          <w:p w14:paraId="5613B385" w14:textId="34F3CF18"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4CDACBB5"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Treatment criteria:</w:t>
            </w:r>
          </w:p>
        </w:tc>
      </w:tr>
      <w:tr w:rsidR="00D907DA" w:rsidRPr="00D907DA" w14:paraId="7069DED7" w14:textId="77777777" w:rsidTr="00E66237">
        <w:trPr>
          <w:trHeight w:val="453"/>
        </w:trPr>
        <w:tc>
          <w:tcPr>
            <w:tcW w:w="796" w:type="pct"/>
            <w:tcBorders>
              <w:top w:val="single" w:sz="4" w:space="0" w:color="000000"/>
              <w:left w:val="single" w:sz="4" w:space="0" w:color="000000"/>
              <w:bottom w:val="single" w:sz="4" w:space="0" w:color="000000"/>
              <w:right w:val="single" w:sz="4" w:space="0" w:color="000000"/>
            </w:tcBorders>
          </w:tcPr>
          <w:p w14:paraId="3EC2B44F" w14:textId="085C942E"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4E8C1E0E"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Must be treated in a centre with expertise in cystic fibrosis or in consultation with a centre with expertise in cystic fibrosis if attendance is not possible due to geographic isolation</w:t>
            </w:r>
          </w:p>
        </w:tc>
      </w:tr>
      <w:tr w:rsidR="00D907DA" w:rsidRPr="00D907DA" w14:paraId="259E401F" w14:textId="77777777" w:rsidTr="00D907DA">
        <w:trPr>
          <w:trHeight w:val="235"/>
        </w:trPr>
        <w:tc>
          <w:tcPr>
            <w:tcW w:w="796" w:type="pct"/>
            <w:tcBorders>
              <w:top w:val="single" w:sz="4" w:space="0" w:color="000000"/>
              <w:left w:val="single" w:sz="4" w:space="0" w:color="000000"/>
              <w:bottom w:val="single" w:sz="4" w:space="0" w:color="000000"/>
              <w:right w:val="single" w:sz="4" w:space="0" w:color="000000"/>
            </w:tcBorders>
            <w:vAlign w:val="center"/>
          </w:tcPr>
          <w:p w14:paraId="2896E38E" w14:textId="77777777" w:rsidR="00D907DA" w:rsidRPr="00D907DA"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tcPr>
          <w:p w14:paraId="3FA48565"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AND</w:t>
            </w:r>
          </w:p>
        </w:tc>
      </w:tr>
      <w:tr w:rsidR="00D907DA" w:rsidRPr="00D907DA" w14:paraId="3792EAF6" w14:textId="77777777" w:rsidTr="00D907DA">
        <w:trPr>
          <w:trHeight w:val="235"/>
        </w:trPr>
        <w:tc>
          <w:tcPr>
            <w:tcW w:w="796" w:type="pct"/>
            <w:tcBorders>
              <w:top w:val="single" w:sz="4" w:space="0" w:color="000000"/>
              <w:left w:val="single" w:sz="4" w:space="0" w:color="000000"/>
              <w:bottom w:val="single" w:sz="4" w:space="0" w:color="000000"/>
              <w:right w:val="single" w:sz="4" w:space="0" w:color="000000"/>
            </w:tcBorders>
            <w:vAlign w:val="center"/>
          </w:tcPr>
          <w:p w14:paraId="430EA33A" w14:textId="62AD4E9F" w:rsidR="00D907DA" w:rsidRPr="00D907DA"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tcPr>
          <w:p w14:paraId="2398CA3A"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Clinical criteria:</w:t>
            </w:r>
          </w:p>
        </w:tc>
      </w:tr>
      <w:tr w:rsidR="00D907DA" w:rsidRPr="00D907DA" w14:paraId="0F6CBEE2" w14:textId="77777777" w:rsidTr="00E66237">
        <w:trPr>
          <w:trHeight w:val="218"/>
        </w:trPr>
        <w:tc>
          <w:tcPr>
            <w:tcW w:w="796" w:type="pct"/>
            <w:tcBorders>
              <w:top w:val="single" w:sz="4" w:space="0" w:color="000000"/>
              <w:left w:val="single" w:sz="4" w:space="0" w:color="000000"/>
              <w:bottom w:val="single" w:sz="4" w:space="0" w:color="000000"/>
              <w:right w:val="single" w:sz="4" w:space="0" w:color="000000"/>
            </w:tcBorders>
            <w:vAlign w:val="center"/>
          </w:tcPr>
          <w:p w14:paraId="1A4CBBAE" w14:textId="2DAE2685" w:rsidR="00D907DA" w:rsidRPr="00D907DA"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0CC8D3A9"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Patient must have previously received PBS-subsidised treatment with this drug for this condition</w:t>
            </w:r>
          </w:p>
        </w:tc>
      </w:tr>
      <w:tr w:rsidR="00D907DA" w:rsidRPr="00D907DA" w14:paraId="3A9AF6FC"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vAlign w:val="center"/>
          </w:tcPr>
          <w:p w14:paraId="59E39853" w14:textId="77777777" w:rsidR="00D907DA" w:rsidRPr="00D907DA"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tcPr>
          <w:p w14:paraId="0B579926"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AND</w:t>
            </w:r>
          </w:p>
        </w:tc>
      </w:tr>
      <w:tr w:rsidR="00D907DA" w:rsidRPr="00D907DA" w14:paraId="26F69616"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vAlign w:val="center"/>
          </w:tcPr>
          <w:p w14:paraId="6601F384" w14:textId="0D08805B" w:rsidR="00D907DA" w:rsidRPr="00D907DA"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tcPr>
          <w:p w14:paraId="73E80437"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Clinical criteria:</w:t>
            </w:r>
          </w:p>
        </w:tc>
      </w:tr>
      <w:tr w:rsidR="00D907DA" w:rsidRPr="00D907DA" w14:paraId="1026F27C"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vAlign w:val="center"/>
          </w:tcPr>
          <w:p w14:paraId="5CE8973E" w14:textId="1A30D3D7" w:rsidR="00D907DA" w:rsidRPr="00D907DA"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tcPr>
          <w:p w14:paraId="61FF09C7"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The treatment must be the sole PBS-subsidised cystic fibrosis transmembrane conductance regulator (CFTR) modulator therapy condition</w:t>
            </w:r>
          </w:p>
        </w:tc>
      </w:tr>
      <w:tr w:rsidR="00D907DA" w:rsidRPr="00D907DA" w14:paraId="25B624EA"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vAlign w:val="center"/>
          </w:tcPr>
          <w:p w14:paraId="413134B2" w14:textId="77777777" w:rsidR="00D907DA" w:rsidRPr="00D907DA" w:rsidRDefault="00D907DA" w:rsidP="006E22B4">
            <w:pPr>
              <w:rPr>
                <w:rFonts w:ascii="Arial Narrow" w:hAnsi="Arial Narrow" w:cstheme="minorHAnsi"/>
                <w:sz w:val="20"/>
                <w:szCs w:val="20"/>
              </w:rPr>
            </w:pPr>
          </w:p>
        </w:tc>
        <w:tc>
          <w:tcPr>
            <w:tcW w:w="4204" w:type="pct"/>
            <w:gridSpan w:val="6"/>
            <w:tcBorders>
              <w:top w:val="single" w:sz="4" w:space="0" w:color="000000"/>
              <w:left w:val="single" w:sz="4" w:space="0" w:color="000000"/>
              <w:bottom w:val="single" w:sz="4" w:space="0" w:color="000000"/>
              <w:right w:val="single" w:sz="4" w:space="0" w:color="000000"/>
            </w:tcBorders>
          </w:tcPr>
          <w:p w14:paraId="17BF6C9B"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AND</w:t>
            </w:r>
          </w:p>
        </w:tc>
      </w:tr>
      <w:tr w:rsidR="00D907DA" w:rsidRPr="00D907DA" w14:paraId="69ABB758"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tcPr>
          <w:p w14:paraId="57B2FE19" w14:textId="5E3B9C18"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08CADDCD"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Clinical criteria:</w:t>
            </w:r>
          </w:p>
        </w:tc>
      </w:tr>
      <w:tr w:rsidR="00D907DA" w:rsidRPr="00D907DA" w14:paraId="7DB8A2E8"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tcPr>
          <w:p w14:paraId="7BA59BCF" w14:textId="2FE03F61"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1B57432C"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The treatment must be given concomitantly with standard therapy for this condition.</w:t>
            </w:r>
          </w:p>
        </w:tc>
      </w:tr>
      <w:tr w:rsidR="00D907DA" w:rsidRPr="00D907DA" w14:paraId="0CC07920" w14:textId="77777777" w:rsidTr="00D907DA">
        <w:trPr>
          <w:trHeight w:val="244"/>
        </w:trPr>
        <w:tc>
          <w:tcPr>
            <w:tcW w:w="796" w:type="pct"/>
            <w:tcBorders>
              <w:top w:val="single" w:sz="4" w:space="0" w:color="000000"/>
              <w:left w:val="single" w:sz="4" w:space="0" w:color="000000"/>
              <w:bottom w:val="single" w:sz="4" w:space="0" w:color="000000"/>
              <w:right w:val="single" w:sz="4" w:space="0" w:color="000000"/>
            </w:tcBorders>
          </w:tcPr>
          <w:p w14:paraId="2F4E99C4" w14:textId="77777777"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756DB4DD"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AND</w:t>
            </w:r>
          </w:p>
        </w:tc>
      </w:tr>
      <w:tr w:rsidR="00D907DA" w:rsidRPr="00D907DA" w14:paraId="25321A7B"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tcPr>
          <w:p w14:paraId="4EF37766" w14:textId="654FDC19" w:rsidR="00D907DA" w:rsidRPr="00D907DA" w:rsidRDefault="00D907DA" w:rsidP="006E22B4">
            <w:pPr>
              <w:pStyle w:val="Tabletextleft"/>
              <w:spacing w:before="0" w:after="0"/>
              <w:rPr>
                <w:rFonts w:ascii="Arial Narrow" w:hAnsi="Arial Narrow" w:cstheme="minorHAnsi"/>
                <w:strike/>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6D38556D" w14:textId="77777777" w:rsidR="00D907DA" w:rsidRPr="00D907DA" w:rsidRDefault="00D907DA" w:rsidP="006E22B4">
            <w:pPr>
              <w:pStyle w:val="Tabletextleft"/>
              <w:spacing w:before="0" w:after="0"/>
              <w:rPr>
                <w:rFonts w:ascii="Arial Narrow" w:hAnsi="Arial Narrow" w:cstheme="minorHAnsi"/>
                <w:b/>
                <w:bCs/>
                <w:sz w:val="20"/>
                <w:lang w:eastAsia="en-US"/>
              </w:rPr>
            </w:pPr>
            <w:r w:rsidRPr="00D907DA">
              <w:rPr>
                <w:rFonts w:ascii="Arial Narrow" w:hAnsi="Arial Narrow" w:cstheme="minorHAnsi"/>
                <w:b/>
                <w:bCs/>
                <w:sz w:val="20"/>
                <w:lang w:eastAsia="en-US"/>
              </w:rPr>
              <w:t>Population criteria:</w:t>
            </w:r>
          </w:p>
        </w:tc>
      </w:tr>
      <w:tr w:rsidR="00D907DA" w:rsidRPr="00D907DA" w14:paraId="218772DA" w14:textId="77777777" w:rsidTr="00E66237">
        <w:trPr>
          <w:trHeight w:val="246"/>
        </w:trPr>
        <w:tc>
          <w:tcPr>
            <w:tcW w:w="796" w:type="pct"/>
            <w:tcBorders>
              <w:top w:val="single" w:sz="4" w:space="0" w:color="000000"/>
              <w:left w:val="single" w:sz="4" w:space="0" w:color="000000"/>
              <w:bottom w:val="single" w:sz="4" w:space="0" w:color="000000"/>
              <w:right w:val="single" w:sz="4" w:space="0" w:color="000000"/>
            </w:tcBorders>
          </w:tcPr>
          <w:p w14:paraId="0E2E991C" w14:textId="48EC2CFA" w:rsidR="00D907DA" w:rsidRPr="000E292F"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2CB47208"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Patient must be 1 year of age or older</w:t>
            </w:r>
          </w:p>
        </w:tc>
      </w:tr>
      <w:tr w:rsidR="00D907DA" w:rsidRPr="00D907DA" w14:paraId="7A847AC9" w14:textId="77777777" w:rsidTr="00D907DA">
        <w:trPr>
          <w:trHeight w:val="246"/>
        </w:trPr>
        <w:tc>
          <w:tcPr>
            <w:tcW w:w="796" w:type="pct"/>
            <w:tcBorders>
              <w:top w:val="single" w:sz="4" w:space="0" w:color="000000"/>
              <w:left w:val="single" w:sz="4" w:space="0" w:color="000000"/>
              <w:bottom w:val="single" w:sz="4" w:space="0" w:color="000000"/>
              <w:right w:val="single" w:sz="4" w:space="0" w:color="000000"/>
            </w:tcBorders>
          </w:tcPr>
          <w:p w14:paraId="644DD5C8" w14:textId="77777777"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190F4987" w14:textId="77777777" w:rsidR="00D907DA" w:rsidRPr="00D907DA" w:rsidRDefault="00D907DA" w:rsidP="006E22B4">
            <w:pPr>
              <w:pStyle w:val="Tabletextleft"/>
              <w:spacing w:before="0" w:after="0"/>
              <w:rPr>
                <w:rFonts w:ascii="Arial Narrow" w:hAnsi="Arial Narrow" w:cstheme="minorHAnsi"/>
                <w:sz w:val="20"/>
                <w:lang w:eastAsia="en-US"/>
              </w:rPr>
            </w:pPr>
          </w:p>
        </w:tc>
      </w:tr>
      <w:tr w:rsidR="00D907DA" w:rsidRPr="00D907DA" w14:paraId="678FA8BC" w14:textId="77777777" w:rsidTr="00E66237">
        <w:trPr>
          <w:trHeight w:val="453"/>
        </w:trPr>
        <w:tc>
          <w:tcPr>
            <w:tcW w:w="796" w:type="pct"/>
            <w:tcBorders>
              <w:top w:val="single" w:sz="4" w:space="0" w:color="000000"/>
              <w:left w:val="single" w:sz="4" w:space="0" w:color="000000"/>
              <w:bottom w:val="single" w:sz="4" w:space="0" w:color="000000"/>
              <w:right w:val="single" w:sz="4" w:space="0" w:color="000000"/>
            </w:tcBorders>
          </w:tcPr>
          <w:p w14:paraId="47675A72" w14:textId="27864A43"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630590C4"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Prescribing Instructions:</w:t>
            </w:r>
            <w:r w:rsidRPr="00D907DA">
              <w:rPr>
                <w:rFonts w:ascii="Arial Narrow" w:hAnsi="Arial Narrow" w:cstheme="minorHAnsi"/>
                <w:sz w:val="20"/>
                <w:lang w:eastAsia="en-US"/>
              </w:rPr>
              <w:t xml:space="preserve"> This pharmaceutical benefit is not PBS-subsidised for this condition in a patient who is currently receiving one of the strong CYP3A4 inducers outlined in the Product Information.</w:t>
            </w:r>
          </w:p>
        </w:tc>
      </w:tr>
      <w:tr w:rsidR="00D907DA" w:rsidRPr="00D907DA" w14:paraId="73678AC7" w14:textId="77777777" w:rsidTr="00D907DA">
        <w:trPr>
          <w:trHeight w:val="950"/>
        </w:trPr>
        <w:tc>
          <w:tcPr>
            <w:tcW w:w="796" w:type="pct"/>
            <w:tcBorders>
              <w:top w:val="single" w:sz="4" w:space="0" w:color="000000"/>
              <w:left w:val="single" w:sz="4" w:space="0" w:color="000000"/>
              <w:bottom w:val="single" w:sz="4" w:space="0" w:color="000000"/>
              <w:right w:val="single" w:sz="4" w:space="0" w:color="000000"/>
            </w:tcBorders>
          </w:tcPr>
          <w:p w14:paraId="0D4925F7" w14:textId="3971BC6A"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hideMark/>
          </w:tcPr>
          <w:p w14:paraId="4A423D43"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Prescribing Instructions:</w:t>
            </w:r>
            <w:r w:rsidRPr="00D907DA">
              <w:rPr>
                <w:rFonts w:ascii="Arial Narrow" w:hAnsi="Arial Narrow" w:cstheme="minorHAnsi"/>
                <w:sz w:val="20"/>
                <w:lang w:eastAsia="en-US"/>
              </w:rPr>
              <w:t xml:space="preserve"> </w:t>
            </w:r>
          </w:p>
          <w:p w14:paraId="6A350695"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The authority application must be in writing and must include:</w:t>
            </w:r>
          </w:p>
          <w:p w14:paraId="0F4A7AC4"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(1) a completed authority prescription; and</w:t>
            </w:r>
          </w:p>
          <w:p w14:paraId="3754759D"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 xml:space="preserve">(2) a completed Cystic Fibrosis Authority Application Supporting Information </w:t>
            </w:r>
            <w:proofErr w:type="gramStart"/>
            <w:r w:rsidRPr="00D907DA">
              <w:rPr>
                <w:rFonts w:ascii="Arial Narrow" w:hAnsi="Arial Narrow" w:cstheme="minorHAnsi"/>
                <w:sz w:val="20"/>
                <w:lang w:eastAsia="en-US"/>
              </w:rPr>
              <w:t>Form;</w:t>
            </w:r>
            <w:proofErr w:type="gramEnd"/>
          </w:p>
          <w:p w14:paraId="3E30DBA8"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sz w:val="20"/>
                <w:lang w:eastAsia="en-US"/>
              </w:rPr>
              <w:t>(3) current CYP3A4 inhibitors, CYP3A4 inducers and IV antibiotics.</w:t>
            </w:r>
          </w:p>
        </w:tc>
      </w:tr>
      <w:tr w:rsidR="00D907DA" w:rsidRPr="00D907DA" w14:paraId="16FDC2B1" w14:textId="77777777" w:rsidTr="00D907DA">
        <w:trPr>
          <w:trHeight w:val="146"/>
        </w:trPr>
        <w:tc>
          <w:tcPr>
            <w:tcW w:w="796" w:type="pct"/>
            <w:tcBorders>
              <w:top w:val="single" w:sz="4" w:space="0" w:color="000000"/>
              <w:left w:val="single" w:sz="4" w:space="0" w:color="000000"/>
              <w:bottom w:val="single" w:sz="4" w:space="0" w:color="000000"/>
              <w:right w:val="single" w:sz="4" w:space="0" w:color="000000"/>
            </w:tcBorders>
          </w:tcPr>
          <w:p w14:paraId="6643F0D2" w14:textId="77777777"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577AA44B" w14:textId="77777777" w:rsidR="00D907DA" w:rsidRPr="00D907DA" w:rsidRDefault="00D907DA" w:rsidP="006E22B4">
            <w:pPr>
              <w:pStyle w:val="Tabletextleft"/>
              <w:spacing w:before="0" w:after="0"/>
              <w:rPr>
                <w:rFonts w:ascii="Arial Narrow" w:hAnsi="Arial Narrow" w:cstheme="minorHAnsi"/>
                <w:b/>
                <w:bCs/>
                <w:sz w:val="20"/>
                <w:lang w:eastAsia="en-US"/>
              </w:rPr>
            </w:pPr>
          </w:p>
        </w:tc>
      </w:tr>
      <w:tr w:rsidR="00D907DA" w:rsidRPr="00D907DA" w14:paraId="10D372E8" w14:textId="77777777" w:rsidTr="00D907DA">
        <w:trPr>
          <w:trHeight w:val="146"/>
        </w:trPr>
        <w:tc>
          <w:tcPr>
            <w:tcW w:w="796" w:type="pct"/>
            <w:tcBorders>
              <w:top w:val="single" w:sz="4" w:space="0" w:color="000000"/>
              <w:left w:val="single" w:sz="4" w:space="0" w:color="000000"/>
              <w:bottom w:val="single" w:sz="4" w:space="0" w:color="000000"/>
              <w:right w:val="single" w:sz="4" w:space="0" w:color="000000"/>
            </w:tcBorders>
          </w:tcPr>
          <w:p w14:paraId="2022B3EE" w14:textId="5B55F7DC"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6E5D6AB4"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 xml:space="preserve">Administrative Advice: </w:t>
            </w:r>
            <w:r w:rsidRPr="00D907DA">
              <w:rPr>
                <w:rFonts w:ascii="Arial Narrow" w:hAnsi="Arial Narrow" w:cstheme="minorHAnsi"/>
                <w:sz w:val="20"/>
                <w:lang w:eastAsia="en-US"/>
              </w:rPr>
              <w:t>No increase in the maximum quantity or number of units may be authorised</w:t>
            </w:r>
          </w:p>
        </w:tc>
      </w:tr>
      <w:tr w:rsidR="00D907DA" w:rsidRPr="00D907DA" w14:paraId="50D777F0" w14:textId="77777777" w:rsidTr="00D907DA">
        <w:trPr>
          <w:trHeight w:val="60"/>
        </w:trPr>
        <w:tc>
          <w:tcPr>
            <w:tcW w:w="796" w:type="pct"/>
            <w:tcBorders>
              <w:top w:val="single" w:sz="4" w:space="0" w:color="000000"/>
              <w:left w:val="single" w:sz="4" w:space="0" w:color="000000"/>
              <w:bottom w:val="single" w:sz="4" w:space="0" w:color="000000"/>
              <w:right w:val="single" w:sz="4" w:space="0" w:color="000000"/>
            </w:tcBorders>
          </w:tcPr>
          <w:p w14:paraId="1AEBD6F8" w14:textId="0C12AC76"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64A2B3C5"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Administrative Advice:</w:t>
            </w:r>
            <w:r w:rsidRPr="00D907DA">
              <w:rPr>
                <w:rFonts w:ascii="Arial Narrow" w:hAnsi="Arial Narrow" w:cstheme="minorHAnsi"/>
                <w:sz w:val="20"/>
                <w:lang w:eastAsia="en-US"/>
              </w:rPr>
              <w:t xml:space="preserve"> No increase in the maximum number of repeats may be authorised. </w:t>
            </w:r>
          </w:p>
        </w:tc>
      </w:tr>
      <w:tr w:rsidR="00D907DA" w:rsidRPr="00D907DA" w14:paraId="3EB140FB" w14:textId="77777777" w:rsidTr="00D907DA">
        <w:trPr>
          <w:trHeight w:val="554"/>
        </w:trPr>
        <w:tc>
          <w:tcPr>
            <w:tcW w:w="796" w:type="pct"/>
            <w:tcBorders>
              <w:top w:val="single" w:sz="4" w:space="0" w:color="000000"/>
              <w:left w:val="single" w:sz="4" w:space="0" w:color="000000"/>
              <w:bottom w:val="single" w:sz="4" w:space="0" w:color="000000"/>
              <w:right w:val="single" w:sz="4" w:space="0" w:color="000000"/>
            </w:tcBorders>
          </w:tcPr>
          <w:p w14:paraId="75211730" w14:textId="0D2700BC" w:rsidR="000E292F" w:rsidRPr="00D907DA" w:rsidRDefault="000E292F"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118386F3"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b/>
                <w:bCs/>
                <w:sz w:val="20"/>
                <w:lang w:eastAsia="en-US"/>
              </w:rPr>
              <w:t>Administrative Advice:</w:t>
            </w:r>
            <w:r w:rsidRPr="000E292F">
              <w:rPr>
                <w:rFonts w:ascii="Arial Narrow" w:hAnsi="Arial Narrow" w:cstheme="minorHAnsi"/>
                <w:sz w:val="20"/>
                <w:lang w:eastAsia="en-US"/>
              </w:rPr>
              <w:t xml:space="preserve"> </w:t>
            </w:r>
          </w:p>
          <w:p w14:paraId="7DDCCB26"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Any queries concerning the arrangements to prescribe may be directed to Services Australia on 1800 700 270 (hours of operation 8 a.m. to 5 p.m. Monday to Friday).</w:t>
            </w:r>
          </w:p>
          <w:p w14:paraId="1A6A7DD3"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Prescribing information (including Authority Application forms and other relevant documentation as applicable) is available on the Services Australia website at </w:t>
            </w:r>
            <w:hyperlink r:id="rId14" w:history="1">
              <w:r w:rsidRPr="000E292F">
                <w:rPr>
                  <w:rStyle w:val="Hyperlink"/>
                  <w:rFonts w:ascii="Arial Narrow" w:hAnsi="Arial Narrow" w:cstheme="minorHAnsi"/>
                  <w:sz w:val="20"/>
                  <w:lang w:eastAsia="en-US"/>
                </w:rPr>
                <w:t>www.servicesaustralia.gov.au</w:t>
              </w:r>
            </w:hyperlink>
            <w:r w:rsidRPr="000E292F">
              <w:rPr>
                <w:rFonts w:ascii="Arial Narrow" w:hAnsi="Arial Narrow" w:cstheme="minorHAnsi"/>
                <w:sz w:val="20"/>
                <w:lang w:eastAsia="en-US"/>
              </w:rPr>
              <w:t xml:space="preserve"> </w:t>
            </w:r>
          </w:p>
          <w:p w14:paraId="0269B570"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Applications for authority to prescribe should be submitted online using the form upload facility in Health Professional Online Services (HPOS) at </w:t>
            </w:r>
            <w:hyperlink r:id="rId15" w:history="1">
              <w:r w:rsidRPr="000E292F">
                <w:rPr>
                  <w:rStyle w:val="Hyperlink"/>
                  <w:rFonts w:ascii="Arial Narrow" w:hAnsi="Arial Narrow" w:cstheme="minorHAnsi"/>
                  <w:sz w:val="20"/>
                  <w:lang w:eastAsia="en-US"/>
                </w:rPr>
                <w:t>www.servicesautralia.gov.au/hpos</w:t>
              </w:r>
            </w:hyperlink>
          </w:p>
          <w:p w14:paraId="2C623C7E"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Or mailed to:</w:t>
            </w:r>
          </w:p>
          <w:p w14:paraId="4FB76718"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Services Australia </w:t>
            </w:r>
          </w:p>
          <w:p w14:paraId="49FAF2D6"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Complex Drugs </w:t>
            </w:r>
          </w:p>
          <w:p w14:paraId="3B42E3E5" w14:textId="77777777" w:rsidR="00D907DA" w:rsidRPr="000E292F"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 xml:space="preserve">Reply Paid 9826 </w:t>
            </w:r>
          </w:p>
          <w:p w14:paraId="102D8E1A" w14:textId="77777777" w:rsidR="00D907DA" w:rsidRPr="00D907DA" w:rsidRDefault="00D907DA" w:rsidP="006E22B4">
            <w:pPr>
              <w:pStyle w:val="Tabletextleft"/>
              <w:spacing w:before="0" w:after="0"/>
              <w:rPr>
                <w:rFonts w:ascii="Arial Narrow" w:hAnsi="Arial Narrow" w:cstheme="minorHAnsi"/>
                <w:sz w:val="20"/>
                <w:lang w:eastAsia="en-US"/>
              </w:rPr>
            </w:pPr>
            <w:r w:rsidRPr="000E292F">
              <w:rPr>
                <w:rFonts w:ascii="Arial Narrow" w:hAnsi="Arial Narrow" w:cstheme="minorHAnsi"/>
                <w:sz w:val="20"/>
                <w:lang w:eastAsia="en-US"/>
              </w:rPr>
              <w:t>Hobart TAS 7001</w:t>
            </w:r>
          </w:p>
        </w:tc>
      </w:tr>
      <w:tr w:rsidR="00D907DA" w:rsidRPr="00D907DA" w14:paraId="53A70713" w14:textId="77777777" w:rsidTr="00D907DA">
        <w:trPr>
          <w:trHeight w:val="266"/>
        </w:trPr>
        <w:tc>
          <w:tcPr>
            <w:tcW w:w="796" w:type="pct"/>
            <w:tcBorders>
              <w:top w:val="single" w:sz="4" w:space="0" w:color="000000"/>
              <w:left w:val="single" w:sz="4" w:space="0" w:color="000000"/>
              <w:bottom w:val="single" w:sz="4" w:space="0" w:color="000000"/>
              <w:right w:val="single" w:sz="4" w:space="0" w:color="000000"/>
            </w:tcBorders>
          </w:tcPr>
          <w:p w14:paraId="3116A63D" w14:textId="2C53D92E"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4CF44FD2"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Administrative Advice:</w:t>
            </w:r>
            <w:r w:rsidRPr="00D907DA">
              <w:rPr>
                <w:rFonts w:ascii="Arial Narrow" w:hAnsi="Arial Narrow" w:cstheme="minorHAnsi"/>
                <w:sz w:val="20"/>
                <w:lang w:eastAsia="en-US"/>
              </w:rPr>
              <w:t xml:space="preserve"> For the purposes of this restriction, CFTR modulators, </w:t>
            </w:r>
            <w:proofErr w:type="gramStart"/>
            <w:r w:rsidRPr="00D907DA">
              <w:rPr>
                <w:rFonts w:ascii="Arial Narrow" w:hAnsi="Arial Narrow" w:cstheme="minorHAnsi"/>
                <w:sz w:val="20"/>
                <w:lang w:eastAsia="en-US"/>
              </w:rPr>
              <w:t>regardless</w:t>
            </w:r>
            <w:proofErr w:type="gramEnd"/>
            <w:r w:rsidRPr="00D907DA">
              <w:rPr>
                <w:rFonts w:ascii="Arial Narrow" w:hAnsi="Arial Narrow" w:cstheme="minorHAnsi"/>
                <w:sz w:val="20"/>
                <w:lang w:eastAsia="en-US"/>
              </w:rPr>
              <w:t xml:space="preserve"> if they are available as a single drug or in combination, are currently: elexacaftor, ivacaftor, lumacaftor, tezacaftor. </w:t>
            </w:r>
          </w:p>
        </w:tc>
      </w:tr>
      <w:tr w:rsidR="00D907DA" w:rsidRPr="00D907DA" w14:paraId="10654285" w14:textId="77777777" w:rsidTr="00D907DA">
        <w:trPr>
          <w:trHeight w:val="60"/>
        </w:trPr>
        <w:tc>
          <w:tcPr>
            <w:tcW w:w="796" w:type="pct"/>
            <w:tcBorders>
              <w:top w:val="single" w:sz="4" w:space="0" w:color="000000"/>
              <w:left w:val="single" w:sz="4" w:space="0" w:color="000000"/>
              <w:bottom w:val="single" w:sz="4" w:space="0" w:color="000000"/>
              <w:right w:val="single" w:sz="4" w:space="0" w:color="000000"/>
            </w:tcBorders>
          </w:tcPr>
          <w:p w14:paraId="49C7514C" w14:textId="27BF8BFC" w:rsidR="00D907DA" w:rsidRPr="00D907DA" w:rsidRDefault="00D907DA" w:rsidP="006E22B4">
            <w:pPr>
              <w:pStyle w:val="Tabletextleft"/>
              <w:spacing w:before="0" w:after="0"/>
              <w:rPr>
                <w:rFonts w:ascii="Arial Narrow" w:hAnsi="Arial Narrow" w:cstheme="minorHAnsi"/>
                <w:sz w:val="20"/>
                <w:lang w:eastAsia="en-US"/>
              </w:rPr>
            </w:pPr>
          </w:p>
        </w:tc>
        <w:tc>
          <w:tcPr>
            <w:tcW w:w="4204" w:type="pct"/>
            <w:gridSpan w:val="6"/>
            <w:tcBorders>
              <w:top w:val="single" w:sz="4" w:space="0" w:color="000000"/>
              <w:left w:val="single" w:sz="4" w:space="0" w:color="000000"/>
              <w:bottom w:val="single" w:sz="4" w:space="0" w:color="000000"/>
              <w:right w:val="single" w:sz="4" w:space="0" w:color="000000"/>
            </w:tcBorders>
          </w:tcPr>
          <w:p w14:paraId="7E86B1F0" w14:textId="77777777" w:rsidR="00D907DA" w:rsidRPr="00D907DA" w:rsidRDefault="00D907DA" w:rsidP="006E22B4">
            <w:pPr>
              <w:pStyle w:val="Tabletextleft"/>
              <w:spacing w:before="0" w:after="0"/>
              <w:rPr>
                <w:rFonts w:ascii="Arial Narrow" w:hAnsi="Arial Narrow" w:cstheme="minorHAnsi"/>
                <w:sz w:val="20"/>
                <w:lang w:eastAsia="en-US"/>
              </w:rPr>
            </w:pPr>
            <w:r w:rsidRPr="00D907DA">
              <w:rPr>
                <w:rFonts w:ascii="Arial Narrow" w:hAnsi="Arial Narrow" w:cstheme="minorHAnsi"/>
                <w:b/>
                <w:bCs/>
                <w:sz w:val="20"/>
                <w:lang w:eastAsia="en-US"/>
              </w:rPr>
              <w:t>Administrative Advice:</w:t>
            </w:r>
            <w:r w:rsidRPr="00D907DA">
              <w:rPr>
                <w:rFonts w:ascii="Arial Narrow" w:hAnsi="Arial Narrow" w:cstheme="minorHAnsi"/>
                <w:sz w:val="20"/>
                <w:lang w:eastAsia="en-US"/>
              </w:rPr>
              <w:t xml:space="preserve"> Special Pricing Arrangements apply</w:t>
            </w:r>
          </w:p>
        </w:tc>
      </w:tr>
    </w:tbl>
    <w:p w14:paraId="70328042" w14:textId="77777777" w:rsidR="00D907DA" w:rsidRDefault="00D907DA" w:rsidP="00051171">
      <w:pPr>
        <w:widowControl w:val="0"/>
        <w:rPr>
          <w:rFonts w:asciiTheme="minorHAnsi" w:hAnsiTheme="minorHAnsi"/>
          <w:bCs/>
          <w:snapToGrid w:val="0"/>
        </w:rPr>
      </w:pPr>
    </w:p>
    <w:bookmarkEnd w:id="60"/>
    <w:p w14:paraId="75F936A0" w14:textId="2910B350" w:rsidR="00A670F9" w:rsidRPr="009A0AFA" w:rsidRDefault="009A0AFA" w:rsidP="00916C11">
      <w:pPr>
        <w:pStyle w:val="TableFooter"/>
        <w:rPr>
          <w:sz w:val="24"/>
        </w:rPr>
      </w:pPr>
      <w:r w:rsidRPr="009A0AFA">
        <w:rPr>
          <w:rFonts w:asciiTheme="minorHAnsi" w:hAnsiTheme="minorHAnsi"/>
          <w:b/>
          <w:bCs/>
          <w:i/>
          <w:sz w:val="24"/>
        </w:rPr>
        <w:t>This restriction may be subject to further review. Should there be any changes made to the restriction the sponsor will be informed.</w:t>
      </w:r>
    </w:p>
    <w:p w14:paraId="09CAA5DD" w14:textId="7F2B451C" w:rsidR="00E66237" w:rsidRPr="00E66237" w:rsidRDefault="00E66237" w:rsidP="00E66237">
      <w:pPr>
        <w:pStyle w:val="2-SectionHeading"/>
        <w:rPr>
          <w:lang w:val="en-GB"/>
        </w:rPr>
      </w:pPr>
      <w:bookmarkStart w:id="63" w:name="_Toc107902078"/>
      <w:bookmarkEnd w:id="61"/>
      <w:bookmarkEnd w:id="63"/>
      <w:r w:rsidRPr="00E66237">
        <w:rPr>
          <w:lang w:val="en-GB"/>
        </w:rPr>
        <w:t>Context for Decision</w:t>
      </w:r>
    </w:p>
    <w:p w14:paraId="3E49CADB" w14:textId="77777777" w:rsidR="00E66237" w:rsidRPr="007129F2" w:rsidRDefault="00E66237" w:rsidP="00E66237">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FF7F68C" w14:textId="143F0ADA" w:rsidR="00E66237" w:rsidRPr="00E66237" w:rsidRDefault="00E66237" w:rsidP="00E66237">
      <w:pPr>
        <w:pStyle w:val="2-SectionHeading"/>
        <w:rPr>
          <w:lang w:val="en-GB"/>
        </w:rPr>
      </w:pPr>
      <w:r w:rsidRPr="00E66237">
        <w:rPr>
          <w:lang w:val="en-GB"/>
        </w:rPr>
        <w:t>Sponsor’s Comment</w:t>
      </w:r>
    </w:p>
    <w:p w14:paraId="6EE6599F" w14:textId="10F86C79" w:rsidR="009C4D98" w:rsidRPr="00281C4E" w:rsidRDefault="009C4D98" w:rsidP="009C4D98">
      <w:pPr>
        <w:spacing w:after="120"/>
        <w:ind w:left="720"/>
        <w:rPr>
          <w:rFonts w:asciiTheme="minorHAnsi" w:hAnsiTheme="minorHAnsi"/>
          <w:bCs/>
          <w:lang w:val="en-GB"/>
        </w:rPr>
      </w:pPr>
      <w:r w:rsidRPr="00281C4E">
        <w:rPr>
          <w:rFonts w:asciiTheme="minorHAnsi" w:hAnsiTheme="minorHAnsi"/>
          <w:bCs/>
          <w:lang w:val="en-GB"/>
        </w:rPr>
        <w:t>Vertex welcomes the positive recommendation by the Pharmaceutical Benefits Advisory Committee (PBAC), to extend the listing of Orkambi® (lumacaftor/ivacaftor) to include children with cystic fibrosis ages 1 - &lt;</w:t>
      </w:r>
      <w:r w:rsidR="006029EA">
        <w:rPr>
          <w:rFonts w:asciiTheme="minorHAnsi" w:hAnsiTheme="minorHAnsi"/>
          <w:bCs/>
          <w:lang w:val="en-GB"/>
        </w:rPr>
        <w:t xml:space="preserve"> </w:t>
      </w:r>
      <w:r w:rsidRPr="00281C4E">
        <w:rPr>
          <w:rFonts w:asciiTheme="minorHAnsi" w:hAnsiTheme="minorHAnsi"/>
          <w:bCs/>
          <w:lang w:val="en-GB"/>
        </w:rPr>
        <w:t>2 years who have two F508del mutations in the cystic fibrosis transmembrane conductance regulator (CFTR) gene.</w:t>
      </w:r>
    </w:p>
    <w:p w14:paraId="5D6AE232" w14:textId="03771A33" w:rsidR="004E6318" w:rsidRPr="002F74FC" w:rsidRDefault="009C4D98" w:rsidP="002F74FC">
      <w:pPr>
        <w:spacing w:after="120"/>
        <w:ind w:left="720"/>
        <w:rPr>
          <w:rFonts w:asciiTheme="minorHAnsi" w:hAnsiTheme="minorHAnsi"/>
          <w:bCs/>
          <w:lang w:val="en-GB"/>
        </w:rPr>
      </w:pPr>
      <w:r w:rsidRPr="002F74FC">
        <w:rPr>
          <w:rFonts w:asciiTheme="minorHAnsi" w:hAnsiTheme="minorHAnsi"/>
          <w:bCs/>
          <w:lang w:val="en-GB"/>
        </w:rPr>
        <w:t xml:space="preserve">With this recommendation, approximately 35 children in Australia with two copies of the F508del mutation will have access to a medicine to treat the underlying cause of their disease. </w:t>
      </w:r>
    </w:p>
    <w:sectPr w:rsidR="004E6318" w:rsidRPr="002F74FC" w:rsidSect="001C5BDE">
      <w:headerReference w:type="default" r:id="rId16"/>
      <w:footerReference w:type="defaul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659D" w14:textId="77777777" w:rsidR="007C4C01" w:rsidRDefault="007C4C01" w:rsidP="00124A51">
      <w:r>
        <w:separator/>
      </w:r>
    </w:p>
    <w:p w14:paraId="40902C8D" w14:textId="77777777" w:rsidR="007C4C01" w:rsidRDefault="007C4C01"/>
  </w:endnote>
  <w:endnote w:type="continuationSeparator" w:id="0">
    <w:p w14:paraId="743036D2" w14:textId="77777777" w:rsidR="007C4C01" w:rsidRDefault="007C4C01" w:rsidP="00124A51">
      <w:r>
        <w:continuationSeparator/>
      </w:r>
    </w:p>
    <w:p w14:paraId="78B41D3B" w14:textId="77777777" w:rsidR="007C4C01" w:rsidRDefault="007C4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CB1103" w:rsidRDefault="00CB1103" w:rsidP="00753B29">
    <w:pPr>
      <w:pStyle w:val="Footer"/>
      <w:jc w:val="center"/>
    </w:pPr>
  </w:p>
  <w:p w14:paraId="37484CD3" w14:textId="59495A46" w:rsidR="00CB1103" w:rsidRPr="007C1CD9" w:rsidRDefault="00025B72" w:rsidP="00753B29">
    <w:pPr>
      <w:pStyle w:val="Footer"/>
      <w:jc w:val="center"/>
    </w:pPr>
    <w:sdt>
      <w:sdtPr>
        <w:id w:val="1036156457"/>
        <w:docPartObj>
          <w:docPartGallery w:val="Page Numbers (Bottom of Page)"/>
          <w:docPartUnique/>
        </w:docPartObj>
      </w:sdtPr>
      <w:sdtEndPr>
        <w:rPr>
          <w:noProof/>
        </w:rPr>
      </w:sdtEndPr>
      <w:sdtContent>
        <w:r w:rsidR="00CB1103" w:rsidRPr="009D33B2">
          <w:rPr>
            <w:b/>
            <w:bCs/>
          </w:rPr>
          <w:fldChar w:fldCharType="begin"/>
        </w:r>
        <w:r w:rsidR="00CB1103" w:rsidRPr="009D33B2">
          <w:rPr>
            <w:b/>
            <w:bCs/>
          </w:rPr>
          <w:instrText xml:space="preserve"> PAGE   \* MERGEFORMAT </w:instrText>
        </w:r>
        <w:r w:rsidR="00CB1103" w:rsidRPr="009D33B2">
          <w:rPr>
            <w:b/>
            <w:bCs/>
          </w:rPr>
          <w:fldChar w:fldCharType="separate"/>
        </w:r>
        <w:r w:rsidR="00CB1103" w:rsidRPr="009D33B2">
          <w:rPr>
            <w:b/>
            <w:bCs/>
            <w:noProof/>
          </w:rPr>
          <w:t>2</w:t>
        </w:r>
        <w:r w:rsidR="00CB1103" w:rsidRPr="009D33B2">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04AD" w14:textId="77777777" w:rsidR="007C4C01" w:rsidRDefault="007C4C01" w:rsidP="00124A51">
      <w:r>
        <w:separator/>
      </w:r>
    </w:p>
    <w:p w14:paraId="13731081" w14:textId="77777777" w:rsidR="007C4C01" w:rsidRDefault="007C4C01"/>
  </w:footnote>
  <w:footnote w:type="continuationSeparator" w:id="0">
    <w:p w14:paraId="6216B09E" w14:textId="77777777" w:rsidR="007C4C01" w:rsidRDefault="007C4C01" w:rsidP="00124A51">
      <w:r>
        <w:continuationSeparator/>
      </w:r>
    </w:p>
    <w:p w14:paraId="1B827EE2" w14:textId="77777777" w:rsidR="007C4C01" w:rsidRDefault="007C4C01"/>
  </w:footnote>
  <w:footnote w:id="1">
    <w:p w14:paraId="30A34336" w14:textId="77777777" w:rsidR="00CB1103" w:rsidRDefault="00CB1103" w:rsidP="00F86069">
      <w:pPr>
        <w:pStyle w:val="FootnoteText"/>
      </w:pPr>
      <w:r>
        <w:rPr>
          <w:rStyle w:val="FootnoteReference"/>
        </w:rPr>
        <w:footnoteRef/>
      </w:r>
      <w:r>
        <w:t xml:space="preserve"> </w:t>
      </w:r>
      <w:r w:rsidRPr="00A32E1B">
        <w:rPr>
          <w:rFonts w:ascii="Calibri" w:hAnsi="Calibri" w:cs="Calibri"/>
        </w:rPr>
        <w:t>NHS England, 2015, Clinical Commissioning Policy: Ivacaftor for Cystic Fibrosis (named mutations)</w:t>
      </w:r>
    </w:p>
  </w:footnote>
  <w:footnote w:id="2">
    <w:p w14:paraId="72EBB8E9" w14:textId="579A8013" w:rsidR="00CB1103" w:rsidRPr="00A32E1B" w:rsidRDefault="00CB1103">
      <w:pPr>
        <w:pStyle w:val="FootnoteText"/>
        <w:rPr>
          <w:rFonts w:ascii="Calibri" w:hAnsi="Calibri" w:cs="Calibri"/>
          <w:i/>
          <w:iCs/>
        </w:rPr>
      </w:pPr>
      <w:r>
        <w:rPr>
          <w:rStyle w:val="FootnoteReference"/>
        </w:rPr>
        <w:footnoteRef/>
      </w:r>
      <w:r>
        <w:t xml:space="preserve"> </w:t>
      </w:r>
      <w:r w:rsidRPr="00963A05">
        <w:rPr>
          <w:rFonts w:ascii="Calibri" w:hAnsi="Calibri" w:cs="Calibri"/>
        </w:rPr>
        <w:t xml:space="preserve">SwCl was not collected in the </w:t>
      </w:r>
      <w:r w:rsidRPr="00963A05">
        <w:rPr>
          <w:rFonts w:ascii="Calibri" w:hAnsi="Calibri" w:cs="Calibri"/>
          <w:bCs/>
          <w:color w:val="000000"/>
        </w:rPr>
        <w:t xml:space="preserve">≥ 12 years lumacaftor/ivacaftor </w:t>
      </w:r>
      <w:proofErr w:type="gramStart"/>
      <w:r w:rsidRPr="00963A05">
        <w:rPr>
          <w:rFonts w:ascii="Calibri" w:hAnsi="Calibri" w:cs="Calibri"/>
          <w:bCs/>
          <w:color w:val="000000"/>
        </w:rPr>
        <w:t>trial</w:t>
      </w:r>
      <w:proofErr w:type="gramEnd"/>
    </w:p>
  </w:footnote>
  <w:footnote w:id="3">
    <w:p w14:paraId="2CFECA7A" w14:textId="6B921242" w:rsidR="0052675E" w:rsidRPr="00D907DA" w:rsidRDefault="0052675E">
      <w:pPr>
        <w:pStyle w:val="FootnoteText"/>
      </w:pPr>
      <w:r w:rsidRPr="00D907DA">
        <w:rPr>
          <w:rStyle w:val="FootnoteReference"/>
        </w:rPr>
        <w:footnoteRef/>
      </w:r>
      <w:r w:rsidRPr="00D907DA">
        <w:t xml:space="preserve"> </w:t>
      </w:r>
      <w:r w:rsidRPr="00D907DA">
        <w:rPr>
          <w:rFonts w:ascii="Calibri" w:hAnsi="Calibri" w:cs="Calibri"/>
        </w:rPr>
        <w:t>33 prevalent patients x 90% uptake = 29.7 patients, rounded to 30 patients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45E9EDFD" w:rsidR="00CB1103" w:rsidRPr="00195452" w:rsidRDefault="00E66237" w:rsidP="00D822E2">
    <w:pPr>
      <w:pStyle w:val="Header"/>
      <w:rPr>
        <w:rFonts w:asciiTheme="minorHAnsi" w:hAnsiTheme="minorHAnsi"/>
        <w:i/>
        <w:color w:val="808080"/>
      </w:rPr>
    </w:pPr>
    <w:r>
      <w:rPr>
        <w:rFonts w:asciiTheme="minorHAnsi" w:hAnsiTheme="minorHAnsi"/>
        <w:i/>
        <w:color w:val="808080"/>
      </w:rPr>
      <w:t>Public Summary Document</w:t>
    </w:r>
    <w:r w:rsidR="00051171">
      <w:rPr>
        <w:rFonts w:asciiTheme="minorHAnsi" w:hAnsiTheme="minorHAnsi"/>
        <w:i/>
        <w:color w:val="808080"/>
      </w:rPr>
      <w:t xml:space="preserve"> - </w:t>
    </w:r>
    <w:r w:rsidR="00CB1103">
      <w:rPr>
        <w:rFonts w:asciiTheme="minorHAnsi" w:hAnsiTheme="minorHAnsi"/>
        <w:i/>
        <w:color w:val="808080"/>
      </w:rPr>
      <w:t xml:space="preserve">July 2023 </w:t>
    </w:r>
    <w:r w:rsidR="00CB1103" w:rsidRPr="00195452">
      <w:rPr>
        <w:rFonts w:asciiTheme="minorHAnsi" w:hAnsiTheme="minorHAnsi"/>
        <w:i/>
        <w:color w:val="808080"/>
      </w:rPr>
      <w:t>PBAC Meeting</w:t>
    </w:r>
  </w:p>
  <w:p w14:paraId="03AF943B" w14:textId="77777777" w:rsidR="00CB1103" w:rsidRPr="008C7ECB" w:rsidRDefault="00CB1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CA3B0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1C1140"/>
    <w:multiLevelType w:val="hybridMultilevel"/>
    <w:tmpl w:val="E73C7B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64E6478"/>
    <w:multiLevelType w:val="hybridMultilevel"/>
    <w:tmpl w:val="1952CAB2"/>
    <w:lvl w:ilvl="0" w:tplc="C39E16E6">
      <w:start w:val="1"/>
      <w:numFmt w:val="bullet"/>
      <w:pStyle w:val="Bullet0"/>
      <w:lvlText w:val=""/>
      <w:lvlJc w:val="left"/>
      <w:pPr>
        <w:ind w:left="720" w:hanging="360"/>
      </w:pPr>
      <w:rPr>
        <w:rFonts w:ascii="Symbol" w:hAnsi="Symbol" w:hint="default"/>
        <w:spacing w:val="0"/>
        <w:w w:val="100"/>
        <w:position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8414E8"/>
    <w:multiLevelType w:val="hybridMultilevel"/>
    <w:tmpl w:val="8850FBC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7D0667"/>
    <w:multiLevelType w:val="hybridMultilevel"/>
    <w:tmpl w:val="C4D6D546"/>
    <w:lvl w:ilvl="0" w:tplc="A7E47610">
      <w:start w:val="1"/>
      <w:numFmt w:val="bullet"/>
      <w:pStyle w:val="TableListParagraph"/>
      <w:lvlText w:val=""/>
      <w:lvlJc w:val="left"/>
      <w:pPr>
        <w:ind w:left="144" w:hanging="144"/>
      </w:pPr>
      <w:rPr>
        <w:rFonts w:ascii="Symbol" w:hAnsi="Symbol" w:hint="default"/>
        <w:color w:val="auto"/>
        <w:sz w:val="18"/>
      </w:rPr>
    </w:lvl>
    <w:lvl w:ilvl="1" w:tplc="9FCA93FA">
      <w:start w:val="1"/>
      <w:numFmt w:val="bullet"/>
      <w:lvlText w:val="–"/>
      <w:lvlJc w:val="left"/>
      <w:pPr>
        <w:ind w:left="504" w:hanging="144"/>
      </w:pPr>
      <w:rPr>
        <w:rFonts w:ascii="Times New Roman" w:hAnsi="Times New Roman" w:cs="Times New Roman" w:hint="default"/>
        <w:color w:val="auto"/>
        <w:sz w:val="18"/>
      </w:rPr>
    </w:lvl>
    <w:lvl w:ilvl="2" w:tplc="48CE6B76">
      <w:start w:val="1"/>
      <w:numFmt w:val="bullet"/>
      <w:lvlText w:val="–"/>
      <w:lvlJc w:val="left"/>
      <w:pPr>
        <w:ind w:left="864" w:hanging="144"/>
      </w:pPr>
      <w:rPr>
        <w:rFonts w:ascii="Times New Roman" w:hAnsi="Times New Roman" w:cs="Times New Roman" w:hint="default"/>
        <w:color w:val="auto"/>
        <w:sz w:val="18"/>
      </w:rPr>
    </w:lvl>
    <w:lvl w:ilvl="3" w:tplc="F80C9834">
      <w:start w:val="1"/>
      <w:numFmt w:val="bullet"/>
      <w:lvlText w:val="–"/>
      <w:lvlJc w:val="left"/>
      <w:pPr>
        <w:ind w:left="1224" w:hanging="144"/>
      </w:pPr>
      <w:rPr>
        <w:rFonts w:asciiTheme="minorHAnsi" w:hAnsiTheme="minorHAnsi" w:hint="default"/>
        <w:color w:val="auto"/>
        <w:sz w:val="18"/>
      </w:rPr>
    </w:lvl>
    <w:lvl w:ilvl="4" w:tplc="A642DBF4">
      <w:start w:val="1"/>
      <w:numFmt w:val="bullet"/>
      <w:lvlText w:val="–"/>
      <w:lvlJc w:val="left"/>
      <w:pPr>
        <w:ind w:left="1584" w:hanging="144"/>
      </w:pPr>
      <w:rPr>
        <w:rFonts w:asciiTheme="minorHAnsi" w:hAnsiTheme="minorHAnsi" w:cs="Times New Roman" w:hint="default"/>
        <w:color w:val="auto"/>
        <w:sz w:val="18"/>
      </w:rPr>
    </w:lvl>
    <w:lvl w:ilvl="5" w:tplc="A15A9566">
      <w:start w:val="1"/>
      <w:numFmt w:val="bullet"/>
      <w:lvlText w:val="–"/>
      <w:lvlJc w:val="left"/>
      <w:pPr>
        <w:ind w:left="1944" w:hanging="144"/>
      </w:pPr>
      <w:rPr>
        <w:rFonts w:asciiTheme="minorHAnsi" w:hAnsiTheme="minorHAnsi" w:cs="Times New Roman" w:hint="default"/>
        <w:color w:val="auto"/>
        <w:sz w:val="18"/>
      </w:rPr>
    </w:lvl>
    <w:lvl w:ilvl="6" w:tplc="D1A064A4">
      <w:start w:val="1"/>
      <w:numFmt w:val="bullet"/>
      <w:lvlText w:val="–"/>
      <w:lvlJc w:val="left"/>
      <w:pPr>
        <w:ind w:left="2304" w:hanging="144"/>
      </w:pPr>
      <w:rPr>
        <w:rFonts w:asciiTheme="minorHAnsi" w:hAnsiTheme="minorHAnsi" w:cs="Times New Roman" w:hint="default"/>
        <w:color w:val="auto"/>
        <w:sz w:val="18"/>
      </w:rPr>
    </w:lvl>
    <w:lvl w:ilvl="7" w:tplc="4DEE22C4">
      <w:start w:val="1"/>
      <w:numFmt w:val="bullet"/>
      <w:lvlText w:val="–"/>
      <w:lvlJc w:val="left"/>
      <w:pPr>
        <w:ind w:left="2664" w:hanging="144"/>
      </w:pPr>
      <w:rPr>
        <w:rFonts w:asciiTheme="minorHAnsi" w:hAnsiTheme="minorHAnsi" w:cs="Times New Roman" w:hint="default"/>
        <w:color w:val="auto"/>
        <w:sz w:val="18"/>
      </w:rPr>
    </w:lvl>
    <w:lvl w:ilvl="8" w:tplc="1CE01ABA">
      <w:start w:val="1"/>
      <w:numFmt w:val="bullet"/>
      <w:lvlText w:val="–"/>
      <w:lvlJc w:val="left"/>
      <w:pPr>
        <w:ind w:left="3024" w:hanging="144"/>
      </w:pPr>
      <w:rPr>
        <w:rFonts w:asciiTheme="minorHAnsi" w:hAnsiTheme="minorHAnsi" w:cs="Times New Roman" w:hint="default"/>
        <w:color w:val="auto"/>
        <w:sz w:val="18"/>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F0EDC"/>
    <w:multiLevelType w:val="hybridMultilevel"/>
    <w:tmpl w:val="42948244"/>
    <w:lvl w:ilvl="0" w:tplc="62805CDA">
      <w:start w:val="1"/>
      <w:numFmt w:val="bullet"/>
      <w:pStyle w:val="Tablebulletlist"/>
      <w:lvlText w:val="•"/>
      <w:lvlJc w:val="left"/>
      <w:pPr>
        <w:ind w:left="360" w:hanging="360"/>
      </w:pPr>
      <w:rPr>
        <w:rFonts w:hint="default"/>
        <w:sz w:val="20"/>
        <w:szCs w:val="20"/>
      </w:rPr>
    </w:lvl>
    <w:lvl w:ilvl="1" w:tplc="E432D124">
      <w:start w:val="9"/>
      <w:numFmt w:val="bullet"/>
      <w:lvlText w:val="-"/>
      <w:lvlJc w:val="left"/>
      <w:pPr>
        <w:ind w:left="957" w:hanging="360"/>
      </w:pPr>
      <w:rPr>
        <w:rFonts w:ascii="Times New Roman" w:eastAsia="Times New Roman" w:hAnsi="Times New Roman" w:cs="Times New Roman" w:hint="default"/>
      </w:rPr>
    </w:lvl>
    <w:lvl w:ilvl="2" w:tplc="E0BC4358">
      <w:start w:val="1"/>
      <w:numFmt w:val="bullet"/>
      <w:lvlText w:val="•"/>
      <w:lvlJc w:val="left"/>
      <w:pPr>
        <w:ind w:left="1551" w:hanging="356"/>
      </w:pPr>
      <w:rPr>
        <w:rFonts w:hint="default"/>
      </w:rPr>
    </w:lvl>
    <w:lvl w:ilvl="3" w:tplc="EB8CDDD0">
      <w:start w:val="1"/>
      <w:numFmt w:val="bullet"/>
      <w:lvlText w:val="•"/>
      <w:lvlJc w:val="left"/>
      <w:pPr>
        <w:ind w:left="2149" w:hanging="356"/>
      </w:pPr>
      <w:rPr>
        <w:rFonts w:hint="default"/>
      </w:rPr>
    </w:lvl>
    <w:lvl w:ilvl="4" w:tplc="173E1550">
      <w:start w:val="1"/>
      <w:numFmt w:val="bullet"/>
      <w:lvlText w:val="•"/>
      <w:lvlJc w:val="left"/>
      <w:pPr>
        <w:ind w:left="2746" w:hanging="356"/>
      </w:pPr>
      <w:rPr>
        <w:rFonts w:hint="default"/>
      </w:rPr>
    </w:lvl>
    <w:lvl w:ilvl="5" w:tplc="08865432">
      <w:start w:val="1"/>
      <w:numFmt w:val="bullet"/>
      <w:lvlText w:val="•"/>
      <w:lvlJc w:val="left"/>
      <w:pPr>
        <w:ind w:left="3344" w:hanging="356"/>
      </w:pPr>
      <w:rPr>
        <w:rFonts w:hint="default"/>
      </w:rPr>
    </w:lvl>
    <w:lvl w:ilvl="6" w:tplc="677C8074">
      <w:start w:val="1"/>
      <w:numFmt w:val="bullet"/>
      <w:lvlText w:val="•"/>
      <w:lvlJc w:val="left"/>
      <w:pPr>
        <w:ind w:left="3942" w:hanging="356"/>
      </w:pPr>
      <w:rPr>
        <w:rFonts w:hint="default"/>
      </w:rPr>
    </w:lvl>
    <w:lvl w:ilvl="7" w:tplc="7082A91C">
      <w:start w:val="1"/>
      <w:numFmt w:val="bullet"/>
      <w:lvlText w:val="•"/>
      <w:lvlJc w:val="left"/>
      <w:pPr>
        <w:ind w:left="4540" w:hanging="356"/>
      </w:pPr>
      <w:rPr>
        <w:rFonts w:hint="default"/>
      </w:rPr>
    </w:lvl>
    <w:lvl w:ilvl="8" w:tplc="46545CBA">
      <w:start w:val="1"/>
      <w:numFmt w:val="bullet"/>
      <w:lvlText w:val="•"/>
      <w:lvlJc w:val="left"/>
      <w:pPr>
        <w:ind w:left="5137" w:hanging="356"/>
      </w:pPr>
      <w:rPr>
        <w:rFont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D033C"/>
    <w:multiLevelType w:val="multilevel"/>
    <w:tmpl w:val="20BAF05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C272B"/>
    <w:multiLevelType w:val="hybridMultilevel"/>
    <w:tmpl w:val="C11A8948"/>
    <w:lvl w:ilvl="0" w:tplc="36EC6B0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4912920">
    <w:abstractNumId w:val="20"/>
  </w:num>
  <w:num w:numId="2" w16cid:durableId="1779594999">
    <w:abstractNumId w:val="12"/>
  </w:num>
  <w:num w:numId="3" w16cid:durableId="1860654027">
    <w:abstractNumId w:val="13"/>
  </w:num>
  <w:num w:numId="4" w16cid:durableId="390160459">
    <w:abstractNumId w:val="0"/>
  </w:num>
  <w:num w:numId="5" w16cid:durableId="703679621">
    <w:abstractNumId w:val="21"/>
  </w:num>
  <w:num w:numId="6" w16cid:durableId="1246450400">
    <w:abstractNumId w:val="18"/>
  </w:num>
  <w:num w:numId="7" w16cid:durableId="2033989899">
    <w:abstractNumId w:val="6"/>
  </w:num>
  <w:num w:numId="8" w16cid:durableId="1535923090">
    <w:abstractNumId w:val="14"/>
  </w:num>
  <w:num w:numId="9" w16cid:durableId="255868164">
    <w:abstractNumId w:val="2"/>
  </w:num>
  <w:num w:numId="10" w16cid:durableId="1612394613">
    <w:abstractNumId w:val="11"/>
  </w:num>
  <w:num w:numId="11" w16cid:durableId="348261789">
    <w:abstractNumId w:val="9"/>
  </w:num>
  <w:num w:numId="12" w16cid:durableId="497114616">
    <w:abstractNumId w:val="5"/>
  </w:num>
  <w:num w:numId="13" w16cid:durableId="1330675259">
    <w:abstractNumId w:val="3"/>
  </w:num>
  <w:num w:numId="14" w16cid:durableId="1714621636">
    <w:abstractNumId w:val="15"/>
  </w:num>
  <w:num w:numId="15" w16cid:durableId="336468194">
    <w:abstractNumId w:val="16"/>
  </w:num>
  <w:num w:numId="16" w16cid:durableId="1194418570">
    <w:abstractNumId w:val="4"/>
  </w:num>
  <w:num w:numId="17" w16cid:durableId="80416482">
    <w:abstractNumId w:val="1"/>
  </w:num>
  <w:num w:numId="18" w16cid:durableId="1904483618">
    <w:abstractNumId w:val="8"/>
  </w:num>
  <w:num w:numId="19" w16cid:durableId="175853685">
    <w:abstractNumId w:val="10"/>
  </w:num>
  <w:num w:numId="20" w16cid:durableId="868226312">
    <w:abstractNumId w:val="7"/>
  </w:num>
  <w:num w:numId="21" w16cid:durableId="2892134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3624853">
    <w:abstractNumId w:val="19"/>
  </w:num>
  <w:num w:numId="23" w16cid:durableId="695084660">
    <w:abstractNumId w:val="20"/>
  </w:num>
  <w:num w:numId="24" w16cid:durableId="190868222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3MzYxMjQyMjA0szBT0lEKTi0uzszPAykwrAUAwgR2lywAAAA="/>
  </w:docVars>
  <w:rsids>
    <w:rsidRoot w:val="00E65E79"/>
    <w:rsid w:val="00000619"/>
    <w:rsid w:val="00000790"/>
    <w:rsid w:val="0000110B"/>
    <w:rsid w:val="00003499"/>
    <w:rsid w:val="000039B7"/>
    <w:rsid w:val="00003CDA"/>
    <w:rsid w:val="0000530D"/>
    <w:rsid w:val="000054F7"/>
    <w:rsid w:val="000056B9"/>
    <w:rsid w:val="0000639A"/>
    <w:rsid w:val="0001110B"/>
    <w:rsid w:val="00013247"/>
    <w:rsid w:val="0001330F"/>
    <w:rsid w:val="000134BE"/>
    <w:rsid w:val="00013B88"/>
    <w:rsid w:val="00014008"/>
    <w:rsid w:val="00014660"/>
    <w:rsid w:val="00014B88"/>
    <w:rsid w:val="00014F64"/>
    <w:rsid w:val="00015288"/>
    <w:rsid w:val="00015886"/>
    <w:rsid w:val="000162EF"/>
    <w:rsid w:val="00016359"/>
    <w:rsid w:val="00017174"/>
    <w:rsid w:val="00017A7C"/>
    <w:rsid w:val="000207C9"/>
    <w:rsid w:val="0002225F"/>
    <w:rsid w:val="000222E9"/>
    <w:rsid w:val="00023763"/>
    <w:rsid w:val="000245D0"/>
    <w:rsid w:val="00024994"/>
    <w:rsid w:val="00024EB5"/>
    <w:rsid w:val="00025B72"/>
    <w:rsid w:val="00026264"/>
    <w:rsid w:val="000274B8"/>
    <w:rsid w:val="0002753A"/>
    <w:rsid w:val="00027C68"/>
    <w:rsid w:val="0003063F"/>
    <w:rsid w:val="000306BD"/>
    <w:rsid w:val="0003166D"/>
    <w:rsid w:val="00033863"/>
    <w:rsid w:val="000347CB"/>
    <w:rsid w:val="00035975"/>
    <w:rsid w:val="00035DC0"/>
    <w:rsid w:val="00035E7A"/>
    <w:rsid w:val="00036829"/>
    <w:rsid w:val="000369D1"/>
    <w:rsid w:val="000373AF"/>
    <w:rsid w:val="000405C5"/>
    <w:rsid w:val="00040868"/>
    <w:rsid w:val="00040895"/>
    <w:rsid w:val="000410A0"/>
    <w:rsid w:val="00041117"/>
    <w:rsid w:val="00041DD9"/>
    <w:rsid w:val="0004332D"/>
    <w:rsid w:val="000435EE"/>
    <w:rsid w:val="00043BFD"/>
    <w:rsid w:val="00043C37"/>
    <w:rsid w:val="00045017"/>
    <w:rsid w:val="00045A2B"/>
    <w:rsid w:val="00045E62"/>
    <w:rsid w:val="0004698F"/>
    <w:rsid w:val="00046D64"/>
    <w:rsid w:val="000473F8"/>
    <w:rsid w:val="00050881"/>
    <w:rsid w:val="000508C2"/>
    <w:rsid w:val="000508E4"/>
    <w:rsid w:val="00051171"/>
    <w:rsid w:val="00051694"/>
    <w:rsid w:val="00051A90"/>
    <w:rsid w:val="00052799"/>
    <w:rsid w:val="000539D0"/>
    <w:rsid w:val="00054621"/>
    <w:rsid w:val="000546D7"/>
    <w:rsid w:val="00054789"/>
    <w:rsid w:val="00054A8D"/>
    <w:rsid w:val="00056ECF"/>
    <w:rsid w:val="000570CA"/>
    <w:rsid w:val="00057AFA"/>
    <w:rsid w:val="000604DF"/>
    <w:rsid w:val="00061DF6"/>
    <w:rsid w:val="00062324"/>
    <w:rsid w:val="000635BA"/>
    <w:rsid w:val="00064DD5"/>
    <w:rsid w:val="000653B5"/>
    <w:rsid w:val="00065686"/>
    <w:rsid w:val="00066360"/>
    <w:rsid w:val="00066924"/>
    <w:rsid w:val="00066AF8"/>
    <w:rsid w:val="000708B1"/>
    <w:rsid w:val="00071248"/>
    <w:rsid w:val="00071564"/>
    <w:rsid w:val="000720B9"/>
    <w:rsid w:val="00072BBE"/>
    <w:rsid w:val="00072C58"/>
    <w:rsid w:val="000737F7"/>
    <w:rsid w:val="00075336"/>
    <w:rsid w:val="0007672F"/>
    <w:rsid w:val="00076B54"/>
    <w:rsid w:val="000774F0"/>
    <w:rsid w:val="000808DA"/>
    <w:rsid w:val="00080909"/>
    <w:rsid w:val="00081087"/>
    <w:rsid w:val="000812CA"/>
    <w:rsid w:val="00081612"/>
    <w:rsid w:val="00081E63"/>
    <w:rsid w:val="0008258D"/>
    <w:rsid w:val="000839E9"/>
    <w:rsid w:val="00083E99"/>
    <w:rsid w:val="00084B7C"/>
    <w:rsid w:val="00084FA8"/>
    <w:rsid w:val="00084FB4"/>
    <w:rsid w:val="000856C5"/>
    <w:rsid w:val="000857A7"/>
    <w:rsid w:val="00085AA9"/>
    <w:rsid w:val="00085C31"/>
    <w:rsid w:val="00086270"/>
    <w:rsid w:val="000863FD"/>
    <w:rsid w:val="00086532"/>
    <w:rsid w:val="000874CC"/>
    <w:rsid w:val="00087F80"/>
    <w:rsid w:val="000902D9"/>
    <w:rsid w:val="0009037F"/>
    <w:rsid w:val="0009041B"/>
    <w:rsid w:val="00090B4A"/>
    <w:rsid w:val="00090BEC"/>
    <w:rsid w:val="00090C7E"/>
    <w:rsid w:val="000911AC"/>
    <w:rsid w:val="000911ED"/>
    <w:rsid w:val="0009162E"/>
    <w:rsid w:val="00091DB4"/>
    <w:rsid w:val="00092400"/>
    <w:rsid w:val="00092600"/>
    <w:rsid w:val="0009262B"/>
    <w:rsid w:val="0009322C"/>
    <w:rsid w:val="00093310"/>
    <w:rsid w:val="0009445C"/>
    <w:rsid w:val="0009478D"/>
    <w:rsid w:val="00094D74"/>
    <w:rsid w:val="00095200"/>
    <w:rsid w:val="00095FE5"/>
    <w:rsid w:val="0009605E"/>
    <w:rsid w:val="00096284"/>
    <w:rsid w:val="00096599"/>
    <w:rsid w:val="000971E4"/>
    <w:rsid w:val="000A0FC0"/>
    <w:rsid w:val="000A177F"/>
    <w:rsid w:val="000A1A1A"/>
    <w:rsid w:val="000A1BC0"/>
    <w:rsid w:val="000A220F"/>
    <w:rsid w:val="000A2BE0"/>
    <w:rsid w:val="000A2D50"/>
    <w:rsid w:val="000A2F9E"/>
    <w:rsid w:val="000A3319"/>
    <w:rsid w:val="000A3E47"/>
    <w:rsid w:val="000A4F91"/>
    <w:rsid w:val="000A522B"/>
    <w:rsid w:val="000A6039"/>
    <w:rsid w:val="000A62C6"/>
    <w:rsid w:val="000A6E0D"/>
    <w:rsid w:val="000A7453"/>
    <w:rsid w:val="000A7D08"/>
    <w:rsid w:val="000B0121"/>
    <w:rsid w:val="000B0670"/>
    <w:rsid w:val="000B0757"/>
    <w:rsid w:val="000B0BBD"/>
    <w:rsid w:val="000B0E75"/>
    <w:rsid w:val="000B2DCB"/>
    <w:rsid w:val="000B329F"/>
    <w:rsid w:val="000B4A32"/>
    <w:rsid w:val="000B4CA5"/>
    <w:rsid w:val="000B5CE0"/>
    <w:rsid w:val="000B63E4"/>
    <w:rsid w:val="000B6CAC"/>
    <w:rsid w:val="000B7612"/>
    <w:rsid w:val="000B78AE"/>
    <w:rsid w:val="000B7B3E"/>
    <w:rsid w:val="000C1CD2"/>
    <w:rsid w:val="000C3DF9"/>
    <w:rsid w:val="000C4CF2"/>
    <w:rsid w:val="000C5048"/>
    <w:rsid w:val="000C5226"/>
    <w:rsid w:val="000C5B18"/>
    <w:rsid w:val="000C6713"/>
    <w:rsid w:val="000C69D9"/>
    <w:rsid w:val="000C7930"/>
    <w:rsid w:val="000D1BFC"/>
    <w:rsid w:val="000D1D5D"/>
    <w:rsid w:val="000D281A"/>
    <w:rsid w:val="000D2848"/>
    <w:rsid w:val="000D326A"/>
    <w:rsid w:val="000D3E07"/>
    <w:rsid w:val="000D51FB"/>
    <w:rsid w:val="000D5E35"/>
    <w:rsid w:val="000D6BF3"/>
    <w:rsid w:val="000D7886"/>
    <w:rsid w:val="000E0640"/>
    <w:rsid w:val="000E0AAA"/>
    <w:rsid w:val="000E135D"/>
    <w:rsid w:val="000E177E"/>
    <w:rsid w:val="000E1A1D"/>
    <w:rsid w:val="000E292F"/>
    <w:rsid w:val="000E5406"/>
    <w:rsid w:val="000E7FA9"/>
    <w:rsid w:val="000F00BA"/>
    <w:rsid w:val="000F0295"/>
    <w:rsid w:val="000F16B2"/>
    <w:rsid w:val="000F316A"/>
    <w:rsid w:val="000F3C74"/>
    <w:rsid w:val="000F41FD"/>
    <w:rsid w:val="000F4AA8"/>
    <w:rsid w:val="000F4BB8"/>
    <w:rsid w:val="000F4ECA"/>
    <w:rsid w:val="000F4F32"/>
    <w:rsid w:val="000F4FA9"/>
    <w:rsid w:val="000F53C2"/>
    <w:rsid w:val="000F53FB"/>
    <w:rsid w:val="000F6E24"/>
    <w:rsid w:val="000F7127"/>
    <w:rsid w:val="000F72E8"/>
    <w:rsid w:val="000F76AB"/>
    <w:rsid w:val="000F7B54"/>
    <w:rsid w:val="001000B3"/>
    <w:rsid w:val="00100F8A"/>
    <w:rsid w:val="001013E6"/>
    <w:rsid w:val="00101F46"/>
    <w:rsid w:val="0010452E"/>
    <w:rsid w:val="00104ED0"/>
    <w:rsid w:val="00105AE2"/>
    <w:rsid w:val="00105F2A"/>
    <w:rsid w:val="001060C6"/>
    <w:rsid w:val="00106B80"/>
    <w:rsid w:val="00107E67"/>
    <w:rsid w:val="0011012C"/>
    <w:rsid w:val="0011032E"/>
    <w:rsid w:val="00110DB0"/>
    <w:rsid w:val="001114A3"/>
    <w:rsid w:val="001114FA"/>
    <w:rsid w:val="0011348B"/>
    <w:rsid w:val="00114F0F"/>
    <w:rsid w:val="00115210"/>
    <w:rsid w:val="00115982"/>
    <w:rsid w:val="0011673D"/>
    <w:rsid w:val="00116C53"/>
    <w:rsid w:val="00117C36"/>
    <w:rsid w:val="00121799"/>
    <w:rsid w:val="001222E3"/>
    <w:rsid w:val="001222FC"/>
    <w:rsid w:val="00122A2F"/>
    <w:rsid w:val="00123902"/>
    <w:rsid w:val="0012409B"/>
    <w:rsid w:val="0012425B"/>
    <w:rsid w:val="00124A51"/>
    <w:rsid w:val="00124A66"/>
    <w:rsid w:val="00124EE5"/>
    <w:rsid w:val="0012533D"/>
    <w:rsid w:val="00126455"/>
    <w:rsid w:val="00126621"/>
    <w:rsid w:val="00126B1D"/>
    <w:rsid w:val="001273F0"/>
    <w:rsid w:val="001301E9"/>
    <w:rsid w:val="00131D82"/>
    <w:rsid w:val="00132233"/>
    <w:rsid w:val="00132B22"/>
    <w:rsid w:val="00133D36"/>
    <w:rsid w:val="00133FA9"/>
    <w:rsid w:val="00134D25"/>
    <w:rsid w:val="001361F8"/>
    <w:rsid w:val="00136249"/>
    <w:rsid w:val="00137645"/>
    <w:rsid w:val="00137A1B"/>
    <w:rsid w:val="0014015A"/>
    <w:rsid w:val="00140E99"/>
    <w:rsid w:val="00140EFC"/>
    <w:rsid w:val="00141BF3"/>
    <w:rsid w:val="001435C4"/>
    <w:rsid w:val="00143F67"/>
    <w:rsid w:val="00145234"/>
    <w:rsid w:val="001454F3"/>
    <w:rsid w:val="00145540"/>
    <w:rsid w:val="001456B0"/>
    <w:rsid w:val="00145862"/>
    <w:rsid w:val="00145B8B"/>
    <w:rsid w:val="00145DA0"/>
    <w:rsid w:val="00146EE4"/>
    <w:rsid w:val="00152832"/>
    <w:rsid w:val="0015328F"/>
    <w:rsid w:val="001542E1"/>
    <w:rsid w:val="001547AB"/>
    <w:rsid w:val="00155DF7"/>
    <w:rsid w:val="00156282"/>
    <w:rsid w:val="00156F8F"/>
    <w:rsid w:val="00157130"/>
    <w:rsid w:val="001576B1"/>
    <w:rsid w:val="0016047B"/>
    <w:rsid w:val="00160A4C"/>
    <w:rsid w:val="00160B69"/>
    <w:rsid w:val="001618A7"/>
    <w:rsid w:val="00161BFB"/>
    <w:rsid w:val="00162913"/>
    <w:rsid w:val="00162FC2"/>
    <w:rsid w:val="00163EFF"/>
    <w:rsid w:val="00163F66"/>
    <w:rsid w:val="001640C6"/>
    <w:rsid w:val="0016478E"/>
    <w:rsid w:val="0016486F"/>
    <w:rsid w:val="00164AEA"/>
    <w:rsid w:val="00165106"/>
    <w:rsid w:val="00165BBA"/>
    <w:rsid w:val="00165EC4"/>
    <w:rsid w:val="001661FB"/>
    <w:rsid w:val="0016624E"/>
    <w:rsid w:val="001670C7"/>
    <w:rsid w:val="00167169"/>
    <w:rsid w:val="001671A0"/>
    <w:rsid w:val="0016767F"/>
    <w:rsid w:val="0017166C"/>
    <w:rsid w:val="00171E62"/>
    <w:rsid w:val="001721F2"/>
    <w:rsid w:val="00172EDA"/>
    <w:rsid w:val="00173565"/>
    <w:rsid w:val="00173B07"/>
    <w:rsid w:val="001751FA"/>
    <w:rsid w:val="00176493"/>
    <w:rsid w:val="0017675B"/>
    <w:rsid w:val="001769C4"/>
    <w:rsid w:val="00176C92"/>
    <w:rsid w:val="001771F6"/>
    <w:rsid w:val="00180631"/>
    <w:rsid w:val="00181C10"/>
    <w:rsid w:val="00181D9C"/>
    <w:rsid w:val="00182515"/>
    <w:rsid w:val="00183748"/>
    <w:rsid w:val="001837FF"/>
    <w:rsid w:val="001845F4"/>
    <w:rsid w:val="00184B0E"/>
    <w:rsid w:val="00185E28"/>
    <w:rsid w:val="001863C0"/>
    <w:rsid w:val="0018685B"/>
    <w:rsid w:val="00187046"/>
    <w:rsid w:val="0018724A"/>
    <w:rsid w:val="00187277"/>
    <w:rsid w:val="0018752F"/>
    <w:rsid w:val="001877B9"/>
    <w:rsid w:val="00187B2D"/>
    <w:rsid w:val="00187DA7"/>
    <w:rsid w:val="0019165F"/>
    <w:rsid w:val="001936DD"/>
    <w:rsid w:val="00193838"/>
    <w:rsid w:val="001945FE"/>
    <w:rsid w:val="00194965"/>
    <w:rsid w:val="00194AD8"/>
    <w:rsid w:val="00195222"/>
    <w:rsid w:val="00195452"/>
    <w:rsid w:val="00196054"/>
    <w:rsid w:val="001964B2"/>
    <w:rsid w:val="001975D8"/>
    <w:rsid w:val="001A0414"/>
    <w:rsid w:val="001A178E"/>
    <w:rsid w:val="001A200D"/>
    <w:rsid w:val="001A2E47"/>
    <w:rsid w:val="001A32E1"/>
    <w:rsid w:val="001A43FA"/>
    <w:rsid w:val="001A47C5"/>
    <w:rsid w:val="001A4BA4"/>
    <w:rsid w:val="001A5800"/>
    <w:rsid w:val="001A59FB"/>
    <w:rsid w:val="001A5DA9"/>
    <w:rsid w:val="001A5E9E"/>
    <w:rsid w:val="001A6354"/>
    <w:rsid w:val="001A6366"/>
    <w:rsid w:val="001A668C"/>
    <w:rsid w:val="001A7AE8"/>
    <w:rsid w:val="001B0016"/>
    <w:rsid w:val="001B1192"/>
    <w:rsid w:val="001B1E0C"/>
    <w:rsid w:val="001B204E"/>
    <w:rsid w:val="001B2372"/>
    <w:rsid w:val="001B3311"/>
    <w:rsid w:val="001B3443"/>
    <w:rsid w:val="001B38C4"/>
    <w:rsid w:val="001B44E0"/>
    <w:rsid w:val="001B4D20"/>
    <w:rsid w:val="001B52C5"/>
    <w:rsid w:val="001B5862"/>
    <w:rsid w:val="001B61F9"/>
    <w:rsid w:val="001B639C"/>
    <w:rsid w:val="001B7ED4"/>
    <w:rsid w:val="001B7F84"/>
    <w:rsid w:val="001C045C"/>
    <w:rsid w:val="001C2420"/>
    <w:rsid w:val="001C2A9B"/>
    <w:rsid w:val="001C331C"/>
    <w:rsid w:val="001C33D7"/>
    <w:rsid w:val="001C3DD6"/>
    <w:rsid w:val="001C4299"/>
    <w:rsid w:val="001C4874"/>
    <w:rsid w:val="001C4B12"/>
    <w:rsid w:val="001C5BDE"/>
    <w:rsid w:val="001C5F94"/>
    <w:rsid w:val="001C6D7F"/>
    <w:rsid w:val="001C6E66"/>
    <w:rsid w:val="001D04C3"/>
    <w:rsid w:val="001D0891"/>
    <w:rsid w:val="001D1100"/>
    <w:rsid w:val="001D12FA"/>
    <w:rsid w:val="001D1391"/>
    <w:rsid w:val="001D1A87"/>
    <w:rsid w:val="001D214A"/>
    <w:rsid w:val="001D25D7"/>
    <w:rsid w:val="001D50B2"/>
    <w:rsid w:val="001D5241"/>
    <w:rsid w:val="001D5747"/>
    <w:rsid w:val="001D6FDA"/>
    <w:rsid w:val="001D71F4"/>
    <w:rsid w:val="001D7645"/>
    <w:rsid w:val="001D7A6E"/>
    <w:rsid w:val="001E1E86"/>
    <w:rsid w:val="001E238E"/>
    <w:rsid w:val="001E2483"/>
    <w:rsid w:val="001E2B1E"/>
    <w:rsid w:val="001E2CFF"/>
    <w:rsid w:val="001E2F24"/>
    <w:rsid w:val="001E2F2D"/>
    <w:rsid w:val="001E30D4"/>
    <w:rsid w:val="001E34DF"/>
    <w:rsid w:val="001E480C"/>
    <w:rsid w:val="001E52EB"/>
    <w:rsid w:val="001E61D2"/>
    <w:rsid w:val="001E6F3C"/>
    <w:rsid w:val="001E740C"/>
    <w:rsid w:val="001F03CF"/>
    <w:rsid w:val="001F1092"/>
    <w:rsid w:val="001F1235"/>
    <w:rsid w:val="001F14DE"/>
    <w:rsid w:val="001F1CB3"/>
    <w:rsid w:val="001F38B5"/>
    <w:rsid w:val="001F3914"/>
    <w:rsid w:val="001F3A23"/>
    <w:rsid w:val="001F3E16"/>
    <w:rsid w:val="001F4081"/>
    <w:rsid w:val="001F57C4"/>
    <w:rsid w:val="001F5F59"/>
    <w:rsid w:val="001F610E"/>
    <w:rsid w:val="001F7361"/>
    <w:rsid w:val="001F7755"/>
    <w:rsid w:val="00200527"/>
    <w:rsid w:val="002011B0"/>
    <w:rsid w:val="002020C9"/>
    <w:rsid w:val="00203181"/>
    <w:rsid w:val="00203783"/>
    <w:rsid w:val="0020385F"/>
    <w:rsid w:val="002068A0"/>
    <w:rsid w:val="00207021"/>
    <w:rsid w:val="0020732F"/>
    <w:rsid w:val="00207D00"/>
    <w:rsid w:val="00210068"/>
    <w:rsid w:val="002105C1"/>
    <w:rsid w:val="002108F2"/>
    <w:rsid w:val="0021163C"/>
    <w:rsid w:val="002116FD"/>
    <w:rsid w:val="00212028"/>
    <w:rsid w:val="0021223B"/>
    <w:rsid w:val="00212EAF"/>
    <w:rsid w:val="002133E3"/>
    <w:rsid w:val="00213EF5"/>
    <w:rsid w:val="00214A68"/>
    <w:rsid w:val="00215A83"/>
    <w:rsid w:val="00215FC3"/>
    <w:rsid w:val="002162A8"/>
    <w:rsid w:val="00216A2C"/>
    <w:rsid w:val="00216BF5"/>
    <w:rsid w:val="00217092"/>
    <w:rsid w:val="002210D2"/>
    <w:rsid w:val="002229C2"/>
    <w:rsid w:val="00223063"/>
    <w:rsid w:val="00223B49"/>
    <w:rsid w:val="00223D5A"/>
    <w:rsid w:val="00223E5A"/>
    <w:rsid w:val="0022468E"/>
    <w:rsid w:val="00224DD4"/>
    <w:rsid w:val="002278A0"/>
    <w:rsid w:val="002309CC"/>
    <w:rsid w:val="002315EF"/>
    <w:rsid w:val="00231BA9"/>
    <w:rsid w:val="0023209F"/>
    <w:rsid w:val="002325C4"/>
    <w:rsid w:val="00233C01"/>
    <w:rsid w:val="0023413C"/>
    <w:rsid w:val="002346F0"/>
    <w:rsid w:val="00235D37"/>
    <w:rsid w:val="00235D40"/>
    <w:rsid w:val="00235D4C"/>
    <w:rsid w:val="0023629D"/>
    <w:rsid w:val="00236789"/>
    <w:rsid w:val="00236D37"/>
    <w:rsid w:val="00237255"/>
    <w:rsid w:val="00237655"/>
    <w:rsid w:val="00237775"/>
    <w:rsid w:val="002400F2"/>
    <w:rsid w:val="00240873"/>
    <w:rsid w:val="002424AF"/>
    <w:rsid w:val="002434B0"/>
    <w:rsid w:val="00243799"/>
    <w:rsid w:val="002439DC"/>
    <w:rsid w:val="002441D2"/>
    <w:rsid w:val="002444B3"/>
    <w:rsid w:val="00244DC8"/>
    <w:rsid w:val="002458BA"/>
    <w:rsid w:val="00245CE9"/>
    <w:rsid w:val="002462AB"/>
    <w:rsid w:val="0024636C"/>
    <w:rsid w:val="00247925"/>
    <w:rsid w:val="00251006"/>
    <w:rsid w:val="00251999"/>
    <w:rsid w:val="002524D5"/>
    <w:rsid w:val="00252D28"/>
    <w:rsid w:val="002537AE"/>
    <w:rsid w:val="00253B1D"/>
    <w:rsid w:val="00253C73"/>
    <w:rsid w:val="00254C46"/>
    <w:rsid w:val="00254DCF"/>
    <w:rsid w:val="0025534B"/>
    <w:rsid w:val="002557E3"/>
    <w:rsid w:val="00255BB7"/>
    <w:rsid w:val="00255BC5"/>
    <w:rsid w:val="00257077"/>
    <w:rsid w:val="0025734C"/>
    <w:rsid w:val="00257541"/>
    <w:rsid w:val="00257A39"/>
    <w:rsid w:val="00257AC4"/>
    <w:rsid w:val="00257BBE"/>
    <w:rsid w:val="00257C4D"/>
    <w:rsid w:val="00260C14"/>
    <w:rsid w:val="0026107C"/>
    <w:rsid w:val="00261EEF"/>
    <w:rsid w:val="00261F24"/>
    <w:rsid w:val="00262A1A"/>
    <w:rsid w:val="00262A87"/>
    <w:rsid w:val="00262C69"/>
    <w:rsid w:val="00264D26"/>
    <w:rsid w:val="002656EF"/>
    <w:rsid w:val="00266C4E"/>
    <w:rsid w:val="00267642"/>
    <w:rsid w:val="00267AEA"/>
    <w:rsid w:val="002700E6"/>
    <w:rsid w:val="002708A5"/>
    <w:rsid w:val="0027294B"/>
    <w:rsid w:val="00273011"/>
    <w:rsid w:val="00273237"/>
    <w:rsid w:val="00273EB4"/>
    <w:rsid w:val="00274682"/>
    <w:rsid w:val="00274E2F"/>
    <w:rsid w:val="00275158"/>
    <w:rsid w:val="00275238"/>
    <w:rsid w:val="00275B15"/>
    <w:rsid w:val="00275C5A"/>
    <w:rsid w:val="002763DD"/>
    <w:rsid w:val="00276EEA"/>
    <w:rsid w:val="00281014"/>
    <w:rsid w:val="002811A4"/>
    <w:rsid w:val="002812F3"/>
    <w:rsid w:val="00281D64"/>
    <w:rsid w:val="002825C0"/>
    <w:rsid w:val="00283EFB"/>
    <w:rsid w:val="0028485E"/>
    <w:rsid w:val="00285145"/>
    <w:rsid w:val="00285633"/>
    <w:rsid w:val="00285BCE"/>
    <w:rsid w:val="002862AF"/>
    <w:rsid w:val="002863BB"/>
    <w:rsid w:val="0028665D"/>
    <w:rsid w:val="002868A1"/>
    <w:rsid w:val="00286A7A"/>
    <w:rsid w:val="0029138C"/>
    <w:rsid w:val="00291E6A"/>
    <w:rsid w:val="00291F11"/>
    <w:rsid w:val="00294146"/>
    <w:rsid w:val="00294490"/>
    <w:rsid w:val="00295604"/>
    <w:rsid w:val="0029694F"/>
    <w:rsid w:val="00297BE5"/>
    <w:rsid w:val="002A14AB"/>
    <w:rsid w:val="002A17DD"/>
    <w:rsid w:val="002A2ADE"/>
    <w:rsid w:val="002A2F50"/>
    <w:rsid w:val="002A4E96"/>
    <w:rsid w:val="002A4F32"/>
    <w:rsid w:val="002A7943"/>
    <w:rsid w:val="002B0200"/>
    <w:rsid w:val="002B05A1"/>
    <w:rsid w:val="002B06D2"/>
    <w:rsid w:val="002B09A4"/>
    <w:rsid w:val="002B1C1F"/>
    <w:rsid w:val="002B2363"/>
    <w:rsid w:val="002B3467"/>
    <w:rsid w:val="002B4264"/>
    <w:rsid w:val="002B432F"/>
    <w:rsid w:val="002B4425"/>
    <w:rsid w:val="002B4786"/>
    <w:rsid w:val="002B4A37"/>
    <w:rsid w:val="002B4D1C"/>
    <w:rsid w:val="002B4D33"/>
    <w:rsid w:val="002B5A09"/>
    <w:rsid w:val="002B5B9D"/>
    <w:rsid w:val="002B62B3"/>
    <w:rsid w:val="002B6754"/>
    <w:rsid w:val="002B6CCE"/>
    <w:rsid w:val="002C2510"/>
    <w:rsid w:val="002C2775"/>
    <w:rsid w:val="002C27C1"/>
    <w:rsid w:val="002C36E3"/>
    <w:rsid w:val="002C3B03"/>
    <w:rsid w:val="002C4C78"/>
    <w:rsid w:val="002C5099"/>
    <w:rsid w:val="002C5889"/>
    <w:rsid w:val="002C59A9"/>
    <w:rsid w:val="002C5B52"/>
    <w:rsid w:val="002C6F44"/>
    <w:rsid w:val="002C71CE"/>
    <w:rsid w:val="002C7829"/>
    <w:rsid w:val="002D08F8"/>
    <w:rsid w:val="002D513B"/>
    <w:rsid w:val="002D522A"/>
    <w:rsid w:val="002D577C"/>
    <w:rsid w:val="002D6436"/>
    <w:rsid w:val="002D7832"/>
    <w:rsid w:val="002E1071"/>
    <w:rsid w:val="002E1315"/>
    <w:rsid w:val="002E15B9"/>
    <w:rsid w:val="002E1FF0"/>
    <w:rsid w:val="002E2158"/>
    <w:rsid w:val="002E3BD7"/>
    <w:rsid w:val="002E4F02"/>
    <w:rsid w:val="002E69B2"/>
    <w:rsid w:val="002E7722"/>
    <w:rsid w:val="002F00BE"/>
    <w:rsid w:val="002F07BA"/>
    <w:rsid w:val="002F0DA9"/>
    <w:rsid w:val="002F1014"/>
    <w:rsid w:val="002F1541"/>
    <w:rsid w:val="002F1E3B"/>
    <w:rsid w:val="002F3365"/>
    <w:rsid w:val="002F4AD8"/>
    <w:rsid w:val="002F4B1F"/>
    <w:rsid w:val="002F5634"/>
    <w:rsid w:val="002F5A42"/>
    <w:rsid w:val="002F643C"/>
    <w:rsid w:val="002F6D46"/>
    <w:rsid w:val="002F71C0"/>
    <w:rsid w:val="002F7498"/>
    <w:rsid w:val="002F74F1"/>
    <w:rsid w:val="002F74FC"/>
    <w:rsid w:val="002F7781"/>
    <w:rsid w:val="003001E9"/>
    <w:rsid w:val="003003C1"/>
    <w:rsid w:val="00301017"/>
    <w:rsid w:val="0030155F"/>
    <w:rsid w:val="00302D4E"/>
    <w:rsid w:val="00303FD2"/>
    <w:rsid w:val="00304AC8"/>
    <w:rsid w:val="0030587B"/>
    <w:rsid w:val="00305BEE"/>
    <w:rsid w:val="00306D98"/>
    <w:rsid w:val="0030765B"/>
    <w:rsid w:val="0030786C"/>
    <w:rsid w:val="0031031A"/>
    <w:rsid w:val="00310981"/>
    <w:rsid w:val="00310E49"/>
    <w:rsid w:val="0031162A"/>
    <w:rsid w:val="00311D9B"/>
    <w:rsid w:val="00312029"/>
    <w:rsid w:val="003124D9"/>
    <w:rsid w:val="00312594"/>
    <w:rsid w:val="00312982"/>
    <w:rsid w:val="00315498"/>
    <w:rsid w:val="00316474"/>
    <w:rsid w:val="00317831"/>
    <w:rsid w:val="0032083C"/>
    <w:rsid w:val="00322107"/>
    <w:rsid w:val="00322355"/>
    <w:rsid w:val="00322846"/>
    <w:rsid w:val="00323F82"/>
    <w:rsid w:val="00325044"/>
    <w:rsid w:val="00326DA7"/>
    <w:rsid w:val="00326FD4"/>
    <w:rsid w:val="003270E4"/>
    <w:rsid w:val="0032739F"/>
    <w:rsid w:val="003276CD"/>
    <w:rsid w:val="00327D59"/>
    <w:rsid w:val="00327E30"/>
    <w:rsid w:val="00330034"/>
    <w:rsid w:val="00330737"/>
    <w:rsid w:val="00330DAA"/>
    <w:rsid w:val="00330F5C"/>
    <w:rsid w:val="00332BE4"/>
    <w:rsid w:val="00334C75"/>
    <w:rsid w:val="00335D06"/>
    <w:rsid w:val="003366C9"/>
    <w:rsid w:val="003367F1"/>
    <w:rsid w:val="00336C94"/>
    <w:rsid w:val="00336D0C"/>
    <w:rsid w:val="003371B0"/>
    <w:rsid w:val="00340DF1"/>
    <w:rsid w:val="00343FBC"/>
    <w:rsid w:val="00345065"/>
    <w:rsid w:val="0034790C"/>
    <w:rsid w:val="003503B0"/>
    <w:rsid w:val="003517F9"/>
    <w:rsid w:val="00351BA9"/>
    <w:rsid w:val="00354DF2"/>
    <w:rsid w:val="00354F64"/>
    <w:rsid w:val="0035620E"/>
    <w:rsid w:val="003575BE"/>
    <w:rsid w:val="00360345"/>
    <w:rsid w:val="00361A05"/>
    <w:rsid w:val="003624C4"/>
    <w:rsid w:val="003624F8"/>
    <w:rsid w:val="00362911"/>
    <w:rsid w:val="0036382C"/>
    <w:rsid w:val="003639A0"/>
    <w:rsid w:val="00363AF8"/>
    <w:rsid w:val="00363B00"/>
    <w:rsid w:val="003654AC"/>
    <w:rsid w:val="00365AA1"/>
    <w:rsid w:val="00365D52"/>
    <w:rsid w:val="00365F8F"/>
    <w:rsid w:val="003670D1"/>
    <w:rsid w:val="003671A0"/>
    <w:rsid w:val="003671AE"/>
    <w:rsid w:val="003678F4"/>
    <w:rsid w:val="00367B45"/>
    <w:rsid w:val="003703ED"/>
    <w:rsid w:val="003710CF"/>
    <w:rsid w:val="00371DD7"/>
    <w:rsid w:val="00371FF0"/>
    <w:rsid w:val="0037358A"/>
    <w:rsid w:val="00373821"/>
    <w:rsid w:val="00373ECF"/>
    <w:rsid w:val="003743C7"/>
    <w:rsid w:val="003748ED"/>
    <w:rsid w:val="003750F6"/>
    <w:rsid w:val="003756A7"/>
    <w:rsid w:val="00375D86"/>
    <w:rsid w:val="003760FC"/>
    <w:rsid w:val="00377911"/>
    <w:rsid w:val="00380B5B"/>
    <w:rsid w:val="003827F5"/>
    <w:rsid w:val="003830D6"/>
    <w:rsid w:val="0038365C"/>
    <w:rsid w:val="0038369B"/>
    <w:rsid w:val="00383B78"/>
    <w:rsid w:val="00384A1E"/>
    <w:rsid w:val="00385000"/>
    <w:rsid w:val="0038547F"/>
    <w:rsid w:val="00385903"/>
    <w:rsid w:val="00385A64"/>
    <w:rsid w:val="00385A9D"/>
    <w:rsid w:val="00387121"/>
    <w:rsid w:val="003873F1"/>
    <w:rsid w:val="00387ECB"/>
    <w:rsid w:val="003902A0"/>
    <w:rsid w:val="003902B1"/>
    <w:rsid w:val="0039179C"/>
    <w:rsid w:val="00391F97"/>
    <w:rsid w:val="00394E6C"/>
    <w:rsid w:val="00396896"/>
    <w:rsid w:val="00396FD0"/>
    <w:rsid w:val="00397A8F"/>
    <w:rsid w:val="00397B30"/>
    <w:rsid w:val="003A00E4"/>
    <w:rsid w:val="003A1A7A"/>
    <w:rsid w:val="003A2392"/>
    <w:rsid w:val="003A2831"/>
    <w:rsid w:val="003A300D"/>
    <w:rsid w:val="003A3CB6"/>
    <w:rsid w:val="003A3ED1"/>
    <w:rsid w:val="003A40E0"/>
    <w:rsid w:val="003A44DB"/>
    <w:rsid w:val="003A47D4"/>
    <w:rsid w:val="003A4C14"/>
    <w:rsid w:val="003A55DF"/>
    <w:rsid w:val="003A66C3"/>
    <w:rsid w:val="003A75B9"/>
    <w:rsid w:val="003A766B"/>
    <w:rsid w:val="003A77E3"/>
    <w:rsid w:val="003B0D97"/>
    <w:rsid w:val="003B336A"/>
    <w:rsid w:val="003B3971"/>
    <w:rsid w:val="003B55D1"/>
    <w:rsid w:val="003B5B61"/>
    <w:rsid w:val="003B610B"/>
    <w:rsid w:val="003B61B5"/>
    <w:rsid w:val="003B623F"/>
    <w:rsid w:val="003C0C42"/>
    <w:rsid w:val="003C0F4C"/>
    <w:rsid w:val="003C1654"/>
    <w:rsid w:val="003C1CBD"/>
    <w:rsid w:val="003C2A2E"/>
    <w:rsid w:val="003C4139"/>
    <w:rsid w:val="003C4355"/>
    <w:rsid w:val="003C5542"/>
    <w:rsid w:val="003C595C"/>
    <w:rsid w:val="003C6DD7"/>
    <w:rsid w:val="003C702C"/>
    <w:rsid w:val="003C7C15"/>
    <w:rsid w:val="003C7D19"/>
    <w:rsid w:val="003C7D2F"/>
    <w:rsid w:val="003D0C5A"/>
    <w:rsid w:val="003D1557"/>
    <w:rsid w:val="003D1828"/>
    <w:rsid w:val="003D1DE4"/>
    <w:rsid w:val="003D1E9A"/>
    <w:rsid w:val="003D2422"/>
    <w:rsid w:val="003D39A1"/>
    <w:rsid w:val="003D3FBF"/>
    <w:rsid w:val="003D4A30"/>
    <w:rsid w:val="003D5B4C"/>
    <w:rsid w:val="003D5CB1"/>
    <w:rsid w:val="003D6C87"/>
    <w:rsid w:val="003D6FE3"/>
    <w:rsid w:val="003D7452"/>
    <w:rsid w:val="003D79BB"/>
    <w:rsid w:val="003D7C98"/>
    <w:rsid w:val="003D7D9D"/>
    <w:rsid w:val="003E0168"/>
    <w:rsid w:val="003E0543"/>
    <w:rsid w:val="003E1AC4"/>
    <w:rsid w:val="003E2658"/>
    <w:rsid w:val="003E2675"/>
    <w:rsid w:val="003E2A77"/>
    <w:rsid w:val="003E3CB0"/>
    <w:rsid w:val="003E4184"/>
    <w:rsid w:val="003E47AF"/>
    <w:rsid w:val="003E5603"/>
    <w:rsid w:val="003E5794"/>
    <w:rsid w:val="003E6806"/>
    <w:rsid w:val="003E6DD7"/>
    <w:rsid w:val="003E749E"/>
    <w:rsid w:val="003F00A9"/>
    <w:rsid w:val="003F081B"/>
    <w:rsid w:val="003F0BEE"/>
    <w:rsid w:val="003F0F9F"/>
    <w:rsid w:val="003F10BC"/>
    <w:rsid w:val="003F121C"/>
    <w:rsid w:val="003F1721"/>
    <w:rsid w:val="003F2592"/>
    <w:rsid w:val="003F282E"/>
    <w:rsid w:val="003F31FD"/>
    <w:rsid w:val="003F336D"/>
    <w:rsid w:val="003F3B21"/>
    <w:rsid w:val="003F4156"/>
    <w:rsid w:val="003F5074"/>
    <w:rsid w:val="003F50C6"/>
    <w:rsid w:val="003F57B7"/>
    <w:rsid w:val="003F5A2A"/>
    <w:rsid w:val="003F5ADF"/>
    <w:rsid w:val="003F75D5"/>
    <w:rsid w:val="0040064B"/>
    <w:rsid w:val="00400B29"/>
    <w:rsid w:val="00400D82"/>
    <w:rsid w:val="00400EDD"/>
    <w:rsid w:val="00402812"/>
    <w:rsid w:val="00402BF4"/>
    <w:rsid w:val="004033D7"/>
    <w:rsid w:val="00403B34"/>
    <w:rsid w:val="004044E0"/>
    <w:rsid w:val="0040504B"/>
    <w:rsid w:val="004059F4"/>
    <w:rsid w:val="00405BCD"/>
    <w:rsid w:val="00406297"/>
    <w:rsid w:val="00406BFF"/>
    <w:rsid w:val="00407FE5"/>
    <w:rsid w:val="004101B0"/>
    <w:rsid w:val="00410326"/>
    <w:rsid w:val="0041061A"/>
    <w:rsid w:val="00410708"/>
    <w:rsid w:val="00410EC7"/>
    <w:rsid w:val="00411B39"/>
    <w:rsid w:val="004120E0"/>
    <w:rsid w:val="004127A7"/>
    <w:rsid w:val="00413A1E"/>
    <w:rsid w:val="00414476"/>
    <w:rsid w:val="00414C2E"/>
    <w:rsid w:val="00414D4A"/>
    <w:rsid w:val="004151CF"/>
    <w:rsid w:val="00415DA0"/>
    <w:rsid w:val="00415E20"/>
    <w:rsid w:val="00416364"/>
    <w:rsid w:val="00416B8E"/>
    <w:rsid w:val="00416FB8"/>
    <w:rsid w:val="0042047F"/>
    <w:rsid w:val="00420AA6"/>
    <w:rsid w:val="00420B9F"/>
    <w:rsid w:val="0042140C"/>
    <w:rsid w:val="0042192C"/>
    <w:rsid w:val="00421E81"/>
    <w:rsid w:val="00421F91"/>
    <w:rsid w:val="00422260"/>
    <w:rsid w:val="004231BC"/>
    <w:rsid w:val="00423686"/>
    <w:rsid w:val="0042413F"/>
    <w:rsid w:val="00427834"/>
    <w:rsid w:val="00427B57"/>
    <w:rsid w:val="004307CE"/>
    <w:rsid w:val="00430BAB"/>
    <w:rsid w:val="004316BA"/>
    <w:rsid w:val="004319F8"/>
    <w:rsid w:val="00431B2B"/>
    <w:rsid w:val="00431E55"/>
    <w:rsid w:val="004321F6"/>
    <w:rsid w:val="00433044"/>
    <w:rsid w:val="00434088"/>
    <w:rsid w:val="004347EF"/>
    <w:rsid w:val="004351C5"/>
    <w:rsid w:val="004375B9"/>
    <w:rsid w:val="0043792C"/>
    <w:rsid w:val="004405B6"/>
    <w:rsid w:val="004428D0"/>
    <w:rsid w:val="00442EFE"/>
    <w:rsid w:val="00444185"/>
    <w:rsid w:val="004443A7"/>
    <w:rsid w:val="0044442C"/>
    <w:rsid w:val="004451DC"/>
    <w:rsid w:val="00445941"/>
    <w:rsid w:val="004464EB"/>
    <w:rsid w:val="0044689B"/>
    <w:rsid w:val="00447035"/>
    <w:rsid w:val="00447403"/>
    <w:rsid w:val="00447A83"/>
    <w:rsid w:val="00447D26"/>
    <w:rsid w:val="00447DFC"/>
    <w:rsid w:val="004507F7"/>
    <w:rsid w:val="00452186"/>
    <w:rsid w:val="00452C9D"/>
    <w:rsid w:val="00453C3E"/>
    <w:rsid w:val="0045460D"/>
    <w:rsid w:val="00455D45"/>
    <w:rsid w:val="00455DE0"/>
    <w:rsid w:val="0045600B"/>
    <w:rsid w:val="00456483"/>
    <w:rsid w:val="0045737A"/>
    <w:rsid w:val="00457BA2"/>
    <w:rsid w:val="00457FA3"/>
    <w:rsid w:val="004601E3"/>
    <w:rsid w:val="0046086F"/>
    <w:rsid w:val="00460F9A"/>
    <w:rsid w:val="00461628"/>
    <w:rsid w:val="00461E70"/>
    <w:rsid w:val="00464595"/>
    <w:rsid w:val="0046536E"/>
    <w:rsid w:val="004658B5"/>
    <w:rsid w:val="00465C67"/>
    <w:rsid w:val="004669B3"/>
    <w:rsid w:val="00467D44"/>
    <w:rsid w:val="00471243"/>
    <w:rsid w:val="00471EA5"/>
    <w:rsid w:val="00472A79"/>
    <w:rsid w:val="00473177"/>
    <w:rsid w:val="00473F19"/>
    <w:rsid w:val="00474989"/>
    <w:rsid w:val="00475317"/>
    <w:rsid w:val="004759C2"/>
    <w:rsid w:val="00475A11"/>
    <w:rsid w:val="00475E22"/>
    <w:rsid w:val="00476055"/>
    <w:rsid w:val="004774C3"/>
    <w:rsid w:val="00477C81"/>
    <w:rsid w:val="0048088E"/>
    <w:rsid w:val="0048098A"/>
    <w:rsid w:val="00480F2B"/>
    <w:rsid w:val="00482720"/>
    <w:rsid w:val="0048296C"/>
    <w:rsid w:val="004835E7"/>
    <w:rsid w:val="00483C7D"/>
    <w:rsid w:val="00484F29"/>
    <w:rsid w:val="0048595E"/>
    <w:rsid w:val="004859E1"/>
    <w:rsid w:val="004867E2"/>
    <w:rsid w:val="004868CD"/>
    <w:rsid w:val="00486DA3"/>
    <w:rsid w:val="0048767A"/>
    <w:rsid w:val="00490B17"/>
    <w:rsid w:val="00491B3A"/>
    <w:rsid w:val="004922CE"/>
    <w:rsid w:val="00492CFD"/>
    <w:rsid w:val="00493AD9"/>
    <w:rsid w:val="00494207"/>
    <w:rsid w:val="0049421E"/>
    <w:rsid w:val="00494B0B"/>
    <w:rsid w:val="00494DD5"/>
    <w:rsid w:val="004962D2"/>
    <w:rsid w:val="0049666F"/>
    <w:rsid w:val="004A0330"/>
    <w:rsid w:val="004A03AB"/>
    <w:rsid w:val="004A0504"/>
    <w:rsid w:val="004A07CC"/>
    <w:rsid w:val="004A0DA1"/>
    <w:rsid w:val="004A0DB6"/>
    <w:rsid w:val="004A0E32"/>
    <w:rsid w:val="004A106D"/>
    <w:rsid w:val="004A120A"/>
    <w:rsid w:val="004A13D6"/>
    <w:rsid w:val="004A158C"/>
    <w:rsid w:val="004A2221"/>
    <w:rsid w:val="004A223B"/>
    <w:rsid w:val="004A3D4F"/>
    <w:rsid w:val="004A43DA"/>
    <w:rsid w:val="004A5059"/>
    <w:rsid w:val="004A52E9"/>
    <w:rsid w:val="004A6040"/>
    <w:rsid w:val="004A6597"/>
    <w:rsid w:val="004A7848"/>
    <w:rsid w:val="004A793B"/>
    <w:rsid w:val="004B078D"/>
    <w:rsid w:val="004B09F8"/>
    <w:rsid w:val="004B1CB4"/>
    <w:rsid w:val="004B2F18"/>
    <w:rsid w:val="004B3CF9"/>
    <w:rsid w:val="004B3DDB"/>
    <w:rsid w:val="004B4244"/>
    <w:rsid w:val="004B44FD"/>
    <w:rsid w:val="004B55BE"/>
    <w:rsid w:val="004B5656"/>
    <w:rsid w:val="004B57C7"/>
    <w:rsid w:val="004B5CF1"/>
    <w:rsid w:val="004B5CFC"/>
    <w:rsid w:val="004B63F1"/>
    <w:rsid w:val="004B6F79"/>
    <w:rsid w:val="004B752D"/>
    <w:rsid w:val="004B774D"/>
    <w:rsid w:val="004B7B29"/>
    <w:rsid w:val="004B7E88"/>
    <w:rsid w:val="004C299D"/>
    <w:rsid w:val="004C2AC2"/>
    <w:rsid w:val="004C2B0F"/>
    <w:rsid w:val="004C34AF"/>
    <w:rsid w:val="004C45E4"/>
    <w:rsid w:val="004C4AED"/>
    <w:rsid w:val="004C774F"/>
    <w:rsid w:val="004C7D06"/>
    <w:rsid w:val="004C7E28"/>
    <w:rsid w:val="004D0893"/>
    <w:rsid w:val="004D0D95"/>
    <w:rsid w:val="004D0DC7"/>
    <w:rsid w:val="004D0E83"/>
    <w:rsid w:val="004D2C2D"/>
    <w:rsid w:val="004D360B"/>
    <w:rsid w:val="004D3AED"/>
    <w:rsid w:val="004D3B8B"/>
    <w:rsid w:val="004D69B5"/>
    <w:rsid w:val="004D7227"/>
    <w:rsid w:val="004D7327"/>
    <w:rsid w:val="004D7480"/>
    <w:rsid w:val="004D79FC"/>
    <w:rsid w:val="004D7AED"/>
    <w:rsid w:val="004D7B5E"/>
    <w:rsid w:val="004E074E"/>
    <w:rsid w:val="004E0E7F"/>
    <w:rsid w:val="004E0EB8"/>
    <w:rsid w:val="004E18E9"/>
    <w:rsid w:val="004E2ADC"/>
    <w:rsid w:val="004E2CCA"/>
    <w:rsid w:val="004E43B2"/>
    <w:rsid w:val="004E5281"/>
    <w:rsid w:val="004E5EC6"/>
    <w:rsid w:val="004E6318"/>
    <w:rsid w:val="004E6FE8"/>
    <w:rsid w:val="004F03D9"/>
    <w:rsid w:val="004F0404"/>
    <w:rsid w:val="004F1D02"/>
    <w:rsid w:val="004F2330"/>
    <w:rsid w:val="004F2679"/>
    <w:rsid w:val="004F2AA7"/>
    <w:rsid w:val="004F2C23"/>
    <w:rsid w:val="004F2F21"/>
    <w:rsid w:val="004F3DE5"/>
    <w:rsid w:val="004F4B29"/>
    <w:rsid w:val="004F4D4A"/>
    <w:rsid w:val="004F5151"/>
    <w:rsid w:val="004F6913"/>
    <w:rsid w:val="004F7865"/>
    <w:rsid w:val="005009EE"/>
    <w:rsid w:val="00500B4B"/>
    <w:rsid w:val="0050174E"/>
    <w:rsid w:val="00501854"/>
    <w:rsid w:val="00501F50"/>
    <w:rsid w:val="0050219B"/>
    <w:rsid w:val="00503F17"/>
    <w:rsid w:val="00503F3A"/>
    <w:rsid w:val="0050472B"/>
    <w:rsid w:val="00504AE0"/>
    <w:rsid w:val="005059B9"/>
    <w:rsid w:val="00505F17"/>
    <w:rsid w:val="00506779"/>
    <w:rsid w:val="00506928"/>
    <w:rsid w:val="00506DA4"/>
    <w:rsid w:val="005077EF"/>
    <w:rsid w:val="00510088"/>
    <w:rsid w:val="00510489"/>
    <w:rsid w:val="00510C05"/>
    <w:rsid w:val="00511AD5"/>
    <w:rsid w:val="00511DC7"/>
    <w:rsid w:val="005142C5"/>
    <w:rsid w:val="005146D8"/>
    <w:rsid w:val="0051501B"/>
    <w:rsid w:val="005152B5"/>
    <w:rsid w:val="00515886"/>
    <w:rsid w:val="00516A2C"/>
    <w:rsid w:val="0052123C"/>
    <w:rsid w:val="00521319"/>
    <w:rsid w:val="00521384"/>
    <w:rsid w:val="00521AAB"/>
    <w:rsid w:val="00522773"/>
    <w:rsid w:val="00522BC8"/>
    <w:rsid w:val="00523C28"/>
    <w:rsid w:val="00524113"/>
    <w:rsid w:val="0052464A"/>
    <w:rsid w:val="00524BFA"/>
    <w:rsid w:val="00525026"/>
    <w:rsid w:val="00525220"/>
    <w:rsid w:val="0052675E"/>
    <w:rsid w:val="0052692B"/>
    <w:rsid w:val="00526F8C"/>
    <w:rsid w:val="00527403"/>
    <w:rsid w:val="00530AD4"/>
    <w:rsid w:val="00530E60"/>
    <w:rsid w:val="00530F8D"/>
    <w:rsid w:val="0053176B"/>
    <w:rsid w:val="0053258F"/>
    <w:rsid w:val="0053345A"/>
    <w:rsid w:val="005341B3"/>
    <w:rsid w:val="005344D6"/>
    <w:rsid w:val="005348AA"/>
    <w:rsid w:val="00534A57"/>
    <w:rsid w:val="00536F42"/>
    <w:rsid w:val="00537182"/>
    <w:rsid w:val="00540548"/>
    <w:rsid w:val="00541EDD"/>
    <w:rsid w:val="00542743"/>
    <w:rsid w:val="00542C2D"/>
    <w:rsid w:val="00543804"/>
    <w:rsid w:val="005445C6"/>
    <w:rsid w:val="00544837"/>
    <w:rsid w:val="005449A9"/>
    <w:rsid w:val="005449B0"/>
    <w:rsid w:val="00544C5D"/>
    <w:rsid w:val="005450C7"/>
    <w:rsid w:val="005451BF"/>
    <w:rsid w:val="00545606"/>
    <w:rsid w:val="0054569E"/>
    <w:rsid w:val="0054702E"/>
    <w:rsid w:val="005478BD"/>
    <w:rsid w:val="005479E3"/>
    <w:rsid w:val="00551985"/>
    <w:rsid w:val="00552BD3"/>
    <w:rsid w:val="005532A0"/>
    <w:rsid w:val="00553F0E"/>
    <w:rsid w:val="005549D9"/>
    <w:rsid w:val="00555109"/>
    <w:rsid w:val="00556B35"/>
    <w:rsid w:val="00556B6B"/>
    <w:rsid w:val="0055741A"/>
    <w:rsid w:val="00560063"/>
    <w:rsid w:val="00561115"/>
    <w:rsid w:val="005611B7"/>
    <w:rsid w:val="00561308"/>
    <w:rsid w:val="00561561"/>
    <w:rsid w:val="005618D4"/>
    <w:rsid w:val="005619E0"/>
    <w:rsid w:val="00561FD3"/>
    <w:rsid w:val="0056218E"/>
    <w:rsid w:val="00563189"/>
    <w:rsid w:val="00563981"/>
    <w:rsid w:val="005644A9"/>
    <w:rsid w:val="00564867"/>
    <w:rsid w:val="00565346"/>
    <w:rsid w:val="00565C79"/>
    <w:rsid w:val="00565D39"/>
    <w:rsid w:val="00565DF0"/>
    <w:rsid w:val="00566218"/>
    <w:rsid w:val="005665AD"/>
    <w:rsid w:val="0056696F"/>
    <w:rsid w:val="00571715"/>
    <w:rsid w:val="00571B38"/>
    <w:rsid w:val="00571CD6"/>
    <w:rsid w:val="00572269"/>
    <w:rsid w:val="0057244A"/>
    <w:rsid w:val="00572F26"/>
    <w:rsid w:val="00574427"/>
    <w:rsid w:val="00574673"/>
    <w:rsid w:val="0057470A"/>
    <w:rsid w:val="00574BE7"/>
    <w:rsid w:val="005750C5"/>
    <w:rsid w:val="005752DE"/>
    <w:rsid w:val="00575D60"/>
    <w:rsid w:val="00575D8D"/>
    <w:rsid w:val="0057682D"/>
    <w:rsid w:val="00576972"/>
    <w:rsid w:val="00577248"/>
    <w:rsid w:val="00580092"/>
    <w:rsid w:val="005815B7"/>
    <w:rsid w:val="00583699"/>
    <w:rsid w:val="005843F3"/>
    <w:rsid w:val="005847B5"/>
    <w:rsid w:val="0058519B"/>
    <w:rsid w:val="00585CDD"/>
    <w:rsid w:val="005864C3"/>
    <w:rsid w:val="00587058"/>
    <w:rsid w:val="005904FB"/>
    <w:rsid w:val="00590513"/>
    <w:rsid w:val="00590A26"/>
    <w:rsid w:val="00590DDF"/>
    <w:rsid w:val="00591957"/>
    <w:rsid w:val="00591F37"/>
    <w:rsid w:val="00592FBF"/>
    <w:rsid w:val="0059426B"/>
    <w:rsid w:val="00594AF0"/>
    <w:rsid w:val="00594FC3"/>
    <w:rsid w:val="00595315"/>
    <w:rsid w:val="005966AB"/>
    <w:rsid w:val="00597BF9"/>
    <w:rsid w:val="005A0C11"/>
    <w:rsid w:val="005A0CA5"/>
    <w:rsid w:val="005A2999"/>
    <w:rsid w:val="005A2E6E"/>
    <w:rsid w:val="005A309A"/>
    <w:rsid w:val="005A373D"/>
    <w:rsid w:val="005A4608"/>
    <w:rsid w:val="005A5132"/>
    <w:rsid w:val="005A5FAD"/>
    <w:rsid w:val="005B000F"/>
    <w:rsid w:val="005B0B58"/>
    <w:rsid w:val="005B3B05"/>
    <w:rsid w:val="005B486E"/>
    <w:rsid w:val="005B4E53"/>
    <w:rsid w:val="005B5857"/>
    <w:rsid w:val="005B59F2"/>
    <w:rsid w:val="005C0258"/>
    <w:rsid w:val="005C19C4"/>
    <w:rsid w:val="005C1B83"/>
    <w:rsid w:val="005C25FF"/>
    <w:rsid w:val="005C2CE0"/>
    <w:rsid w:val="005C2D55"/>
    <w:rsid w:val="005C33C4"/>
    <w:rsid w:val="005C346B"/>
    <w:rsid w:val="005C3A43"/>
    <w:rsid w:val="005C3C60"/>
    <w:rsid w:val="005C3F59"/>
    <w:rsid w:val="005C409D"/>
    <w:rsid w:val="005C4748"/>
    <w:rsid w:val="005C4DB5"/>
    <w:rsid w:val="005C5ABC"/>
    <w:rsid w:val="005C6C96"/>
    <w:rsid w:val="005C7893"/>
    <w:rsid w:val="005C7C94"/>
    <w:rsid w:val="005D044D"/>
    <w:rsid w:val="005D0860"/>
    <w:rsid w:val="005D0ABD"/>
    <w:rsid w:val="005D14F9"/>
    <w:rsid w:val="005D18AD"/>
    <w:rsid w:val="005D24DC"/>
    <w:rsid w:val="005D26B4"/>
    <w:rsid w:val="005D2B86"/>
    <w:rsid w:val="005D3202"/>
    <w:rsid w:val="005D3FF7"/>
    <w:rsid w:val="005D44AC"/>
    <w:rsid w:val="005D4958"/>
    <w:rsid w:val="005D4DD2"/>
    <w:rsid w:val="005D52F3"/>
    <w:rsid w:val="005D6CD0"/>
    <w:rsid w:val="005D6F30"/>
    <w:rsid w:val="005D781C"/>
    <w:rsid w:val="005D7B7E"/>
    <w:rsid w:val="005D7D12"/>
    <w:rsid w:val="005E02E9"/>
    <w:rsid w:val="005E03C7"/>
    <w:rsid w:val="005E0D59"/>
    <w:rsid w:val="005E164B"/>
    <w:rsid w:val="005E1995"/>
    <w:rsid w:val="005E290A"/>
    <w:rsid w:val="005E2E66"/>
    <w:rsid w:val="005E6A8B"/>
    <w:rsid w:val="005E6CBC"/>
    <w:rsid w:val="005E6E34"/>
    <w:rsid w:val="005E72FF"/>
    <w:rsid w:val="005E73C0"/>
    <w:rsid w:val="005F013A"/>
    <w:rsid w:val="005F07ED"/>
    <w:rsid w:val="005F0FB8"/>
    <w:rsid w:val="005F1CED"/>
    <w:rsid w:val="005F2706"/>
    <w:rsid w:val="005F2AA1"/>
    <w:rsid w:val="005F2EB0"/>
    <w:rsid w:val="005F3B5C"/>
    <w:rsid w:val="005F4894"/>
    <w:rsid w:val="005F5C02"/>
    <w:rsid w:val="005F5CD1"/>
    <w:rsid w:val="005F5E2D"/>
    <w:rsid w:val="005F620A"/>
    <w:rsid w:val="005F6A8F"/>
    <w:rsid w:val="005F6BB7"/>
    <w:rsid w:val="005F7588"/>
    <w:rsid w:val="005F7D8C"/>
    <w:rsid w:val="0060171D"/>
    <w:rsid w:val="006018FF"/>
    <w:rsid w:val="0060212B"/>
    <w:rsid w:val="006029EA"/>
    <w:rsid w:val="00603DB9"/>
    <w:rsid w:val="006044BE"/>
    <w:rsid w:val="00604532"/>
    <w:rsid w:val="0060502E"/>
    <w:rsid w:val="0060572B"/>
    <w:rsid w:val="00606FB0"/>
    <w:rsid w:val="00606FBA"/>
    <w:rsid w:val="00607669"/>
    <w:rsid w:val="006076F4"/>
    <w:rsid w:val="00607AFD"/>
    <w:rsid w:val="00610BE2"/>
    <w:rsid w:val="00611061"/>
    <w:rsid w:val="00611B12"/>
    <w:rsid w:val="00611B4C"/>
    <w:rsid w:val="00612F97"/>
    <w:rsid w:val="0061345D"/>
    <w:rsid w:val="006141A8"/>
    <w:rsid w:val="006147CA"/>
    <w:rsid w:val="006148EB"/>
    <w:rsid w:val="00615460"/>
    <w:rsid w:val="0061549B"/>
    <w:rsid w:val="00616802"/>
    <w:rsid w:val="006171A2"/>
    <w:rsid w:val="006172D7"/>
    <w:rsid w:val="00617CB2"/>
    <w:rsid w:val="00617E12"/>
    <w:rsid w:val="00620C25"/>
    <w:rsid w:val="00621477"/>
    <w:rsid w:val="00621ADA"/>
    <w:rsid w:val="006220CA"/>
    <w:rsid w:val="00622777"/>
    <w:rsid w:val="0062370C"/>
    <w:rsid w:val="006238B5"/>
    <w:rsid w:val="00623F7B"/>
    <w:rsid w:val="00624605"/>
    <w:rsid w:val="00624BD4"/>
    <w:rsid w:val="0062512E"/>
    <w:rsid w:val="00625BC1"/>
    <w:rsid w:val="00631324"/>
    <w:rsid w:val="0063133A"/>
    <w:rsid w:val="0063158F"/>
    <w:rsid w:val="006319B8"/>
    <w:rsid w:val="00631AB0"/>
    <w:rsid w:val="00631D6B"/>
    <w:rsid w:val="00632183"/>
    <w:rsid w:val="006330A1"/>
    <w:rsid w:val="0063364D"/>
    <w:rsid w:val="00633B79"/>
    <w:rsid w:val="00633BEE"/>
    <w:rsid w:val="006345C3"/>
    <w:rsid w:val="0063479F"/>
    <w:rsid w:val="00634BEE"/>
    <w:rsid w:val="006353F0"/>
    <w:rsid w:val="0063568E"/>
    <w:rsid w:val="006357B5"/>
    <w:rsid w:val="006364A1"/>
    <w:rsid w:val="0063678E"/>
    <w:rsid w:val="00636A25"/>
    <w:rsid w:val="00637BFD"/>
    <w:rsid w:val="00637C5C"/>
    <w:rsid w:val="00640A5F"/>
    <w:rsid w:val="00640B24"/>
    <w:rsid w:val="00641C4E"/>
    <w:rsid w:val="00641D0F"/>
    <w:rsid w:val="00641D69"/>
    <w:rsid w:val="00641DD9"/>
    <w:rsid w:val="00641FB3"/>
    <w:rsid w:val="00642DFF"/>
    <w:rsid w:val="00642E74"/>
    <w:rsid w:val="0064434C"/>
    <w:rsid w:val="00644849"/>
    <w:rsid w:val="006460BF"/>
    <w:rsid w:val="006471CC"/>
    <w:rsid w:val="006472FE"/>
    <w:rsid w:val="0064740C"/>
    <w:rsid w:val="0064799B"/>
    <w:rsid w:val="00647A29"/>
    <w:rsid w:val="0065079F"/>
    <w:rsid w:val="0065123F"/>
    <w:rsid w:val="00652A28"/>
    <w:rsid w:val="00652C7C"/>
    <w:rsid w:val="0065379F"/>
    <w:rsid w:val="00654DEF"/>
    <w:rsid w:val="00656188"/>
    <w:rsid w:val="00656BCC"/>
    <w:rsid w:val="0065715A"/>
    <w:rsid w:val="006610F1"/>
    <w:rsid w:val="00661B35"/>
    <w:rsid w:val="00661C6B"/>
    <w:rsid w:val="00662D3E"/>
    <w:rsid w:val="00662D86"/>
    <w:rsid w:val="00664B14"/>
    <w:rsid w:val="00666348"/>
    <w:rsid w:val="006672D9"/>
    <w:rsid w:val="00667BE3"/>
    <w:rsid w:val="00670DD5"/>
    <w:rsid w:val="00671004"/>
    <w:rsid w:val="0067155E"/>
    <w:rsid w:val="00672252"/>
    <w:rsid w:val="00672646"/>
    <w:rsid w:val="00674E42"/>
    <w:rsid w:val="00674F9D"/>
    <w:rsid w:val="006757EC"/>
    <w:rsid w:val="00675976"/>
    <w:rsid w:val="00676563"/>
    <w:rsid w:val="00676FB6"/>
    <w:rsid w:val="00677E93"/>
    <w:rsid w:val="0068023F"/>
    <w:rsid w:val="0068041B"/>
    <w:rsid w:val="006813F8"/>
    <w:rsid w:val="00682112"/>
    <w:rsid w:val="00682B72"/>
    <w:rsid w:val="00682BA6"/>
    <w:rsid w:val="00684691"/>
    <w:rsid w:val="00685E8B"/>
    <w:rsid w:val="00686957"/>
    <w:rsid w:val="00686E81"/>
    <w:rsid w:val="006872BA"/>
    <w:rsid w:val="00687EAB"/>
    <w:rsid w:val="00690795"/>
    <w:rsid w:val="00691648"/>
    <w:rsid w:val="006917D7"/>
    <w:rsid w:val="00691BAF"/>
    <w:rsid w:val="00692EF1"/>
    <w:rsid w:val="006930DF"/>
    <w:rsid w:val="0069434C"/>
    <w:rsid w:val="00694F44"/>
    <w:rsid w:val="0069513B"/>
    <w:rsid w:val="006953FC"/>
    <w:rsid w:val="006955E2"/>
    <w:rsid w:val="0069566D"/>
    <w:rsid w:val="00695C40"/>
    <w:rsid w:val="00696EF9"/>
    <w:rsid w:val="00696F51"/>
    <w:rsid w:val="006979A5"/>
    <w:rsid w:val="00697F4D"/>
    <w:rsid w:val="006A016F"/>
    <w:rsid w:val="006A028E"/>
    <w:rsid w:val="006A03D4"/>
    <w:rsid w:val="006A0DF7"/>
    <w:rsid w:val="006A19B3"/>
    <w:rsid w:val="006A2D6F"/>
    <w:rsid w:val="006A32AF"/>
    <w:rsid w:val="006A4321"/>
    <w:rsid w:val="006A43D9"/>
    <w:rsid w:val="006A466C"/>
    <w:rsid w:val="006A5AFA"/>
    <w:rsid w:val="006A5ECF"/>
    <w:rsid w:val="006A6131"/>
    <w:rsid w:val="006A681A"/>
    <w:rsid w:val="006A6B49"/>
    <w:rsid w:val="006A6B99"/>
    <w:rsid w:val="006A7166"/>
    <w:rsid w:val="006A76CE"/>
    <w:rsid w:val="006A7E5F"/>
    <w:rsid w:val="006B0A1A"/>
    <w:rsid w:val="006B2383"/>
    <w:rsid w:val="006B261B"/>
    <w:rsid w:val="006B2C90"/>
    <w:rsid w:val="006B2E7C"/>
    <w:rsid w:val="006B35E6"/>
    <w:rsid w:val="006B4428"/>
    <w:rsid w:val="006B465A"/>
    <w:rsid w:val="006B5E6F"/>
    <w:rsid w:val="006B6452"/>
    <w:rsid w:val="006B6B2C"/>
    <w:rsid w:val="006B6DD0"/>
    <w:rsid w:val="006C0399"/>
    <w:rsid w:val="006C1CAA"/>
    <w:rsid w:val="006C2083"/>
    <w:rsid w:val="006C2A8E"/>
    <w:rsid w:val="006C2B51"/>
    <w:rsid w:val="006C3255"/>
    <w:rsid w:val="006C3F26"/>
    <w:rsid w:val="006C620C"/>
    <w:rsid w:val="006C6873"/>
    <w:rsid w:val="006C6C33"/>
    <w:rsid w:val="006D05A7"/>
    <w:rsid w:val="006D0D17"/>
    <w:rsid w:val="006D17C2"/>
    <w:rsid w:val="006D26ED"/>
    <w:rsid w:val="006D3C7D"/>
    <w:rsid w:val="006D4510"/>
    <w:rsid w:val="006D4659"/>
    <w:rsid w:val="006D4E82"/>
    <w:rsid w:val="006D5D5F"/>
    <w:rsid w:val="006D5DC0"/>
    <w:rsid w:val="006D6427"/>
    <w:rsid w:val="006D6622"/>
    <w:rsid w:val="006D68FB"/>
    <w:rsid w:val="006D7874"/>
    <w:rsid w:val="006D7E24"/>
    <w:rsid w:val="006D7EB6"/>
    <w:rsid w:val="006E00BE"/>
    <w:rsid w:val="006E05F5"/>
    <w:rsid w:val="006E1B48"/>
    <w:rsid w:val="006E2868"/>
    <w:rsid w:val="006E36B3"/>
    <w:rsid w:val="006E42FC"/>
    <w:rsid w:val="006E59BC"/>
    <w:rsid w:val="006E7D4E"/>
    <w:rsid w:val="006F04C9"/>
    <w:rsid w:val="006F04DA"/>
    <w:rsid w:val="006F0817"/>
    <w:rsid w:val="006F20E2"/>
    <w:rsid w:val="006F2E24"/>
    <w:rsid w:val="006F306C"/>
    <w:rsid w:val="006F3AFD"/>
    <w:rsid w:val="006F4EA4"/>
    <w:rsid w:val="006F63A5"/>
    <w:rsid w:val="006F6B0F"/>
    <w:rsid w:val="006F6E2A"/>
    <w:rsid w:val="00700FA2"/>
    <w:rsid w:val="0070142B"/>
    <w:rsid w:val="007025E3"/>
    <w:rsid w:val="0070276E"/>
    <w:rsid w:val="00702F8F"/>
    <w:rsid w:val="00703FC9"/>
    <w:rsid w:val="007046C8"/>
    <w:rsid w:val="00705F8A"/>
    <w:rsid w:val="00706512"/>
    <w:rsid w:val="00706D0C"/>
    <w:rsid w:val="0070718F"/>
    <w:rsid w:val="007079FC"/>
    <w:rsid w:val="0071049F"/>
    <w:rsid w:val="00711A36"/>
    <w:rsid w:val="007125D3"/>
    <w:rsid w:val="0071350D"/>
    <w:rsid w:val="00713CB8"/>
    <w:rsid w:val="007142DD"/>
    <w:rsid w:val="00714C26"/>
    <w:rsid w:val="00715123"/>
    <w:rsid w:val="0071529C"/>
    <w:rsid w:val="00715513"/>
    <w:rsid w:val="00716B56"/>
    <w:rsid w:val="007170DA"/>
    <w:rsid w:val="007172AD"/>
    <w:rsid w:val="00717546"/>
    <w:rsid w:val="00717AA1"/>
    <w:rsid w:val="00720801"/>
    <w:rsid w:val="00722B1B"/>
    <w:rsid w:val="00723EFF"/>
    <w:rsid w:val="0072416F"/>
    <w:rsid w:val="007241BA"/>
    <w:rsid w:val="00725B48"/>
    <w:rsid w:val="00725FF2"/>
    <w:rsid w:val="00727C94"/>
    <w:rsid w:val="00727E06"/>
    <w:rsid w:val="00730716"/>
    <w:rsid w:val="007307AC"/>
    <w:rsid w:val="00730D78"/>
    <w:rsid w:val="00730F17"/>
    <w:rsid w:val="007312F9"/>
    <w:rsid w:val="00731AE9"/>
    <w:rsid w:val="00731AFA"/>
    <w:rsid w:val="00731B0A"/>
    <w:rsid w:val="00731EAE"/>
    <w:rsid w:val="00733073"/>
    <w:rsid w:val="0073399D"/>
    <w:rsid w:val="00735033"/>
    <w:rsid w:val="00735328"/>
    <w:rsid w:val="007359F0"/>
    <w:rsid w:val="0073685B"/>
    <w:rsid w:val="007400FE"/>
    <w:rsid w:val="0074258F"/>
    <w:rsid w:val="007449BF"/>
    <w:rsid w:val="00746205"/>
    <w:rsid w:val="007463FE"/>
    <w:rsid w:val="00746BC0"/>
    <w:rsid w:val="00750312"/>
    <w:rsid w:val="007510B4"/>
    <w:rsid w:val="00752142"/>
    <w:rsid w:val="007523F9"/>
    <w:rsid w:val="007527C4"/>
    <w:rsid w:val="00753258"/>
    <w:rsid w:val="0075357E"/>
    <w:rsid w:val="00753B29"/>
    <w:rsid w:val="00754629"/>
    <w:rsid w:val="00754BD9"/>
    <w:rsid w:val="0075530A"/>
    <w:rsid w:val="00755535"/>
    <w:rsid w:val="007573E8"/>
    <w:rsid w:val="00760BA3"/>
    <w:rsid w:val="00760C4E"/>
    <w:rsid w:val="00760C5E"/>
    <w:rsid w:val="00760F9E"/>
    <w:rsid w:val="007616E6"/>
    <w:rsid w:val="00761A6D"/>
    <w:rsid w:val="00762348"/>
    <w:rsid w:val="007627BE"/>
    <w:rsid w:val="0076336B"/>
    <w:rsid w:val="00763640"/>
    <w:rsid w:val="00764F03"/>
    <w:rsid w:val="00765973"/>
    <w:rsid w:val="00765B1A"/>
    <w:rsid w:val="00765DC1"/>
    <w:rsid w:val="00767930"/>
    <w:rsid w:val="00770092"/>
    <w:rsid w:val="00770FB8"/>
    <w:rsid w:val="007710C4"/>
    <w:rsid w:val="0077223D"/>
    <w:rsid w:val="00772B53"/>
    <w:rsid w:val="00774548"/>
    <w:rsid w:val="00776F11"/>
    <w:rsid w:val="00777335"/>
    <w:rsid w:val="00777C0B"/>
    <w:rsid w:val="00777F16"/>
    <w:rsid w:val="007821B7"/>
    <w:rsid w:val="0078265A"/>
    <w:rsid w:val="00782988"/>
    <w:rsid w:val="00782BB1"/>
    <w:rsid w:val="007843F2"/>
    <w:rsid w:val="007846FA"/>
    <w:rsid w:val="00784F75"/>
    <w:rsid w:val="00785A9F"/>
    <w:rsid w:val="00786DA2"/>
    <w:rsid w:val="00786F74"/>
    <w:rsid w:val="00787A35"/>
    <w:rsid w:val="0079065B"/>
    <w:rsid w:val="00790BDF"/>
    <w:rsid w:val="0079119F"/>
    <w:rsid w:val="007916D0"/>
    <w:rsid w:val="007925DF"/>
    <w:rsid w:val="00793CCB"/>
    <w:rsid w:val="00794A83"/>
    <w:rsid w:val="007968E2"/>
    <w:rsid w:val="00796B07"/>
    <w:rsid w:val="00797092"/>
    <w:rsid w:val="007A08AA"/>
    <w:rsid w:val="007A0A12"/>
    <w:rsid w:val="007A132D"/>
    <w:rsid w:val="007A1345"/>
    <w:rsid w:val="007A2DDB"/>
    <w:rsid w:val="007A35B5"/>
    <w:rsid w:val="007A3D93"/>
    <w:rsid w:val="007A70BA"/>
    <w:rsid w:val="007A7C1B"/>
    <w:rsid w:val="007A7EDA"/>
    <w:rsid w:val="007B0868"/>
    <w:rsid w:val="007B0D68"/>
    <w:rsid w:val="007B0D8D"/>
    <w:rsid w:val="007B13A2"/>
    <w:rsid w:val="007B251D"/>
    <w:rsid w:val="007B275A"/>
    <w:rsid w:val="007B30E3"/>
    <w:rsid w:val="007B3533"/>
    <w:rsid w:val="007B3E75"/>
    <w:rsid w:val="007B4F58"/>
    <w:rsid w:val="007B516D"/>
    <w:rsid w:val="007B528D"/>
    <w:rsid w:val="007B5EFF"/>
    <w:rsid w:val="007B63CA"/>
    <w:rsid w:val="007B77D1"/>
    <w:rsid w:val="007C07C7"/>
    <w:rsid w:val="007C196F"/>
    <w:rsid w:val="007C1CD9"/>
    <w:rsid w:val="007C32EF"/>
    <w:rsid w:val="007C361D"/>
    <w:rsid w:val="007C4B84"/>
    <w:rsid w:val="007C4C01"/>
    <w:rsid w:val="007C70FF"/>
    <w:rsid w:val="007C7C25"/>
    <w:rsid w:val="007D004F"/>
    <w:rsid w:val="007D035F"/>
    <w:rsid w:val="007D06B2"/>
    <w:rsid w:val="007D0B38"/>
    <w:rsid w:val="007D0EE9"/>
    <w:rsid w:val="007D176F"/>
    <w:rsid w:val="007D21E3"/>
    <w:rsid w:val="007D3768"/>
    <w:rsid w:val="007D5440"/>
    <w:rsid w:val="007D69EB"/>
    <w:rsid w:val="007D6A05"/>
    <w:rsid w:val="007D6F40"/>
    <w:rsid w:val="007D7A61"/>
    <w:rsid w:val="007E0C75"/>
    <w:rsid w:val="007E128F"/>
    <w:rsid w:val="007E2283"/>
    <w:rsid w:val="007E3B8E"/>
    <w:rsid w:val="007E4244"/>
    <w:rsid w:val="007E5122"/>
    <w:rsid w:val="007E5132"/>
    <w:rsid w:val="007E627D"/>
    <w:rsid w:val="007F0386"/>
    <w:rsid w:val="007F080E"/>
    <w:rsid w:val="007F1017"/>
    <w:rsid w:val="007F1531"/>
    <w:rsid w:val="007F2413"/>
    <w:rsid w:val="007F3BD6"/>
    <w:rsid w:val="007F4A3F"/>
    <w:rsid w:val="007F4A61"/>
    <w:rsid w:val="007F4B42"/>
    <w:rsid w:val="007F5255"/>
    <w:rsid w:val="007F5409"/>
    <w:rsid w:val="007F5540"/>
    <w:rsid w:val="007F56CC"/>
    <w:rsid w:val="007F61C2"/>
    <w:rsid w:val="007F7D90"/>
    <w:rsid w:val="0080008A"/>
    <w:rsid w:val="00801CE2"/>
    <w:rsid w:val="00802011"/>
    <w:rsid w:val="0080280F"/>
    <w:rsid w:val="00802BD5"/>
    <w:rsid w:val="008048A0"/>
    <w:rsid w:val="00805142"/>
    <w:rsid w:val="00805FCE"/>
    <w:rsid w:val="00806607"/>
    <w:rsid w:val="00806D2F"/>
    <w:rsid w:val="00807779"/>
    <w:rsid w:val="00807A8B"/>
    <w:rsid w:val="00810FC4"/>
    <w:rsid w:val="00811383"/>
    <w:rsid w:val="00812149"/>
    <w:rsid w:val="00812911"/>
    <w:rsid w:val="00812CAC"/>
    <w:rsid w:val="008156ED"/>
    <w:rsid w:val="00815743"/>
    <w:rsid w:val="00816361"/>
    <w:rsid w:val="008166EF"/>
    <w:rsid w:val="00816B34"/>
    <w:rsid w:val="00816FEF"/>
    <w:rsid w:val="00817011"/>
    <w:rsid w:val="008179DB"/>
    <w:rsid w:val="00820A8C"/>
    <w:rsid w:val="008215FB"/>
    <w:rsid w:val="008220CC"/>
    <w:rsid w:val="008227EF"/>
    <w:rsid w:val="008229C9"/>
    <w:rsid w:val="00823174"/>
    <w:rsid w:val="0082345B"/>
    <w:rsid w:val="00824480"/>
    <w:rsid w:val="00825391"/>
    <w:rsid w:val="00825751"/>
    <w:rsid w:val="008264EB"/>
    <w:rsid w:val="008268CE"/>
    <w:rsid w:val="008269F2"/>
    <w:rsid w:val="00827920"/>
    <w:rsid w:val="00827C23"/>
    <w:rsid w:val="00830087"/>
    <w:rsid w:val="008321AE"/>
    <w:rsid w:val="0083235F"/>
    <w:rsid w:val="00833661"/>
    <w:rsid w:val="00833799"/>
    <w:rsid w:val="00833A1C"/>
    <w:rsid w:val="00833B05"/>
    <w:rsid w:val="008359A0"/>
    <w:rsid w:val="008362B4"/>
    <w:rsid w:val="00840CA2"/>
    <w:rsid w:val="008413E1"/>
    <w:rsid w:val="008422F6"/>
    <w:rsid w:val="0084374F"/>
    <w:rsid w:val="008440C3"/>
    <w:rsid w:val="00844406"/>
    <w:rsid w:val="00844A22"/>
    <w:rsid w:val="00844FB0"/>
    <w:rsid w:val="008456F8"/>
    <w:rsid w:val="00845D8F"/>
    <w:rsid w:val="00846780"/>
    <w:rsid w:val="00847703"/>
    <w:rsid w:val="00847DF5"/>
    <w:rsid w:val="0085181D"/>
    <w:rsid w:val="00852427"/>
    <w:rsid w:val="00852EAE"/>
    <w:rsid w:val="0085309D"/>
    <w:rsid w:val="00854FFB"/>
    <w:rsid w:val="008555B6"/>
    <w:rsid w:val="008559B1"/>
    <w:rsid w:val="00856897"/>
    <w:rsid w:val="00856E9A"/>
    <w:rsid w:val="008572AD"/>
    <w:rsid w:val="0086075D"/>
    <w:rsid w:val="00860D58"/>
    <w:rsid w:val="00862502"/>
    <w:rsid w:val="00862CC1"/>
    <w:rsid w:val="008642A7"/>
    <w:rsid w:val="00864F60"/>
    <w:rsid w:val="008660D4"/>
    <w:rsid w:val="008666D3"/>
    <w:rsid w:val="0086672B"/>
    <w:rsid w:val="00866C8F"/>
    <w:rsid w:val="00870D33"/>
    <w:rsid w:val="008712CD"/>
    <w:rsid w:val="00871729"/>
    <w:rsid w:val="00871FA9"/>
    <w:rsid w:val="008728E9"/>
    <w:rsid w:val="00873EA8"/>
    <w:rsid w:val="00874E99"/>
    <w:rsid w:val="00875BD5"/>
    <w:rsid w:val="00876C86"/>
    <w:rsid w:val="00877468"/>
    <w:rsid w:val="00880071"/>
    <w:rsid w:val="008807C8"/>
    <w:rsid w:val="00881127"/>
    <w:rsid w:val="0088176E"/>
    <w:rsid w:val="00881A95"/>
    <w:rsid w:val="0088265C"/>
    <w:rsid w:val="00882874"/>
    <w:rsid w:val="00882BA3"/>
    <w:rsid w:val="00882E3C"/>
    <w:rsid w:val="0088308A"/>
    <w:rsid w:val="00883787"/>
    <w:rsid w:val="00883D37"/>
    <w:rsid w:val="008855E4"/>
    <w:rsid w:val="00885E70"/>
    <w:rsid w:val="008860A6"/>
    <w:rsid w:val="00886586"/>
    <w:rsid w:val="00886889"/>
    <w:rsid w:val="00886CD2"/>
    <w:rsid w:val="00890F32"/>
    <w:rsid w:val="00891DA3"/>
    <w:rsid w:val="00891E33"/>
    <w:rsid w:val="00891E6F"/>
    <w:rsid w:val="008921C3"/>
    <w:rsid w:val="00892441"/>
    <w:rsid w:val="0089275D"/>
    <w:rsid w:val="00892A36"/>
    <w:rsid w:val="00892B6C"/>
    <w:rsid w:val="00893239"/>
    <w:rsid w:val="00894489"/>
    <w:rsid w:val="0089462F"/>
    <w:rsid w:val="008947F1"/>
    <w:rsid w:val="00894A9D"/>
    <w:rsid w:val="00894CD6"/>
    <w:rsid w:val="00894E22"/>
    <w:rsid w:val="008961E3"/>
    <w:rsid w:val="008963A5"/>
    <w:rsid w:val="00896D5D"/>
    <w:rsid w:val="008974D6"/>
    <w:rsid w:val="008A21B0"/>
    <w:rsid w:val="008A3158"/>
    <w:rsid w:val="008A3363"/>
    <w:rsid w:val="008A3371"/>
    <w:rsid w:val="008A3C3E"/>
    <w:rsid w:val="008A48D5"/>
    <w:rsid w:val="008A5ADE"/>
    <w:rsid w:val="008A6E93"/>
    <w:rsid w:val="008A6EA8"/>
    <w:rsid w:val="008A7277"/>
    <w:rsid w:val="008A79DE"/>
    <w:rsid w:val="008B152E"/>
    <w:rsid w:val="008B1757"/>
    <w:rsid w:val="008B1C33"/>
    <w:rsid w:val="008B1C69"/>
    <w:rsid w:val="008B2BA3"/>
    <w:rsid w:val="008B4720"/>
    <w:rsid w:val="008B4B6F"/>
    <w:rsid w:val="008B5032"/>
    <w:rsid w:val="008B5905"/>
    <w:rsid w:val="008B6B8F"/>
    <w:rsid w:val="008B6E1A"/>
    <w:rsid w:val="008B7992"/>
    <w:rsid w:val="008B7D7E"/>
    <w:rsid w:val="008C0AC1"/>
    <w:rsid w:val="008C3F22"/>
    <w:rsid w:val="008C5610"/>
    <w:rsid w:val="008C5739"/>
    <w:rsid w:val="008C685B"/>
    <w:rsid w:val="008C6C8F"/>
    <w:rsid w:val="008C7282"/>
    <w:rsid w:val="008C7ECB"/>
    <w:rsid w:val="008D072A"/>
    <w:rsid w:val="008D0BE9"/>
    <w:rsid w:val="008D1108"/>
    <w:rsid w:val="008D263F"/>
    <w:rsid w:val="008D267A"/>
    <w:rsid w:val="008D2AB0"/>
    <w:rsid w:val="008D2D5A"/>
    <w:rsid w:val="008D3B86"/>
    <w:rsid w:val="008D3C65"/>
    <w:rsid w:val="008D43FD"/>
    <w:rsid w:val="008D4755"/>
    <w:rsid w:val="008D4C3D"/>
    <w:rsid w:val="008D5229"/>
    <w:rsid w:val="008D5BA7"/>
    <w:rsid w:val="008D67DB"/>
    <w:rsid w:val="008D743C"/>
    <w:rsid w:val="008D76D9"/>
    <w:rsid w:val="008E0D3C"/>
    <w:rsid w:val="008E1050"/>
    <w:rsid w:val="008E13DF"/>
    <w:rsid w:val="008E1856"/>
    <w:rsid w:val="008E1B9E"/>
    <w:rsid w:val="008E3C28"/>
    <w:rsid w:val="008E3F78"/>
    <w:rsid w:val="008E5486"/>
    <w:rsid w:val="008E55AB"/>
    <w:rsid w:val="008E55C8"/>
    <w:rsid w:val="008E5E09"/>
    <w:rsid w:val="008E6CD4"/>
    <w:rsid w:val="008E7D8D"/>
    <w:rsid w:val="008F120A"/>
    <w:rsid w:val="008F25F4"/>
    <w:rsid w:val="008F27E0"/>
    <w:rsid w:val="008F290F"/>
    <w:rsid w:val="008F42CB"/>
    <w:rsid w:val="008F4653"/>
    <w:rsid w:val="008F48EB"/>
    <w:rsid w:val="008F4C4C"/>
    <w:rsid w:val="008F4F0B"/>
    <w:rsid w:val="008F5160"/>
    <w:rsid w:val="008F5DC6"/>
    <w:rsid w:val="008F6C9B"/>
    <w:rsid w:val="008F7574"/>
    <w:rsid w:val="00900C46"/>
    <w:rsid w:val="00900E7E"/>
    <w:rsid w:val="0090111A"/>
    <w:rsid w:val="00901A2E"/>
    <w:rsid w:val="00902379"/>
    <w:rsid w:val="00902EEA"/>
    <w:rsid w:val="0090308A"/>
    <w:rsid w:val="0090316E"/>
    <w:rsid w:val="009046C4"/>
    <w:rsid w:val="00905300"/>
    <w:rsid w:val="00905868"/>
    <w:rsid w:val="00906284"/>
    <w:rsid w:val="009062A5"/>
    <w:rsid w:val="00907699"/>
    <w:rsid w:val="0090795D"/>
    <w:rsid w:val="0091050E"/>
    <w:rsid w:val="00910FA7"/>
    <w:rsid w:val="00911272"/>
    <w:rsid w:val="00911339"/>
    <w:rsid w:val="00912500"/>
    <w:rsid w:val="009135D6"/>
    <w:rsid w:val="0091384D"/>
    <w:rsid w:val="00914BEC"/>
    <w:rsid w:val="00914C70"/>
    <w:rsid w:val="00914C77"/>
    <w:rsid w:val="00915101"/>
    <w:rsid w:val="009160D9"/>
    <w:rsid w:val="009168F2"/>
    <w:rsid w:val="00916AB9"/>
    <w:rsid w:val="00916C11"/>
    <w:rsid w:val="00917C7C"/>
    <w:rsid w:val="00920C26"/>
    <w:rsid w:val="00920E05"/>
    <w:rsid w:val="00921ACB"/>
    <w:rsid w:val="00921ED7"/>
    <w:rsid w:val="0092369B"/>
    <w:rsid w:val="0092399E"/>
    <w:rsid w:val="009251E5"/>
    <w:rsid w:val="00925800"/>
    <w:rsid w:val="00926A64"/>
    <w:rsid w:val="0093018A"/>
    <w:rsid w:val="00930C57"/>
    <w:rsid w:val="009314ED"/>
    <w:rsid w:val="00933B08"/>
    <w:rsid w:val="0093423B"/>
    <w:rsid w:val="00934988"/>
    <w:rsid w:val="00937089"/>
    <w:rsid w:val="009371AC"/>
    <w:rsid w:val="009373CC"/>
    <w:rsid w:val="00937920"/>
    <w:rsid w:val="009410D2"/>
    <w:rsid w:val="0094233D"/>
    <w:rsid w:val="0094246F"/>
    <w:rsid w:val="00942B81"/>
    <w:rsid w:val="009438F8"/>
    <w:rsid w:val="009442ED"/>
    <w:rsid w:val="00944F8A"/>
    <w:rsid w:val="009460B5"/>
    <w:rsid w:val="00946A2F"/>
    <w:rsid w:val="0095039F"/>
    <w:rsid w:val="009510A2"/>
    <w:rsid w:val="00953257"/>
    <w:rsid w:val="00953328"/>
    <w:rsid w:val="00954021"/>
    <w:rsid w:val="0095474C"/>
    <w:rsid w:val="00955284"/>
    <w:rsid w:val="009567FD"/>
    <w:rsid w:val="009570DC"/>
    <w:rsid w:val="009576A4"/>
    <w:rsid w:val="00957D92"/>
    <w:rsid w:val="009602F1"/>
    <w:rsid w:val="009603E4"/>
    <w:rsid w:val="00961D32"/>
    <w:rsid w:val="00962CB9"/>
    <w:rsid w:val="009631CD"/>
    <w:rsid w:val="00963A05"/>
    <w:rsid w:val="00964312"/>
    <w:rsid w:val="00965B8A"/>
    <w:rsid w:val="00967957"/>
    <w:rsid w:val="00967E99"/>
    <w:rsid w:val="009704A7"/>
    <w:rsid w:val="0097071F"/>
    <w:rsid w:val="00970D0F"/>
    <w:rsid w:val="00970FD9"/>
    <w:rsid w:val="009711C0"/>
    <w:rsid w:val="009717AC"/>
    <w:rsid w:val="00972274"/>
    <w:rsid w:val="0097434E"/>
    <w:rsid w:val="009751C1"/>
    <w:rsid w:val="009765CE"/>
    <w:rsid w:val="00976D58"/>
    <w:rsid w:val="009811F1"/>
    <w:rsid w:val="009818B5"/>
    <w:rsid w:val="00981FF4"/>
    <w:rsid w:val="00983E57"/>
    <w:rsid w:val="00984362"/>
    <w:rsid w:val="0098466B"/>
    <w:rsid w:val="00984DAE"/>
    <w:rsid w:val="00985CE4"/>
    <w:rsid w:val="00985DE2"/>
    <w:rsid w:val="0098675D"/>
    <w:rsid w:val="00986CEE"/>
    <w:rsid w:val="009873B8"/>
    <w:rsid w:val="00987BA4"/>
    <w:rsid w:val="009905E5"/>
    <w:rsid w:val="009926E0"/>
    <w:rsid w:val="00992CCF"/>
    <w:rsid w:val="00992FFA"/>
    <w:rsid w:val="0099314A"/>
    <w:rsid w:val="00993850"/>
    <w:rsid w:val="0099451E"/>
    <w:rsid w:val="00996699"/>
    <w:rsid w:val="009969ED"/>
    <w:rsid w:val="00996B1A"/>
    <w:rsid w:val="00997858"/>
    <w:rsid w:val="009A02C8"/>
    <w:rsid w:val="009A0618"/>
    <w:rsid w:val="009A08A3"/>
    <w:rsid w:val="009A0AFA"/>
    <w:rsid w:val="009A0B61"/>
    <w:rsid w:val="009A13EF"/>
    <w:rsid w:val="009A18F6"/>
    <w:rsid w:val="009A2DCC"/>
    <w:rsid w:val="009A3468"/>
    <w:rsid w:val="009A47A0"/>
    <w:rsid w:val="009A53F0"/>
    <w:rsid w:val="009A5969"/>
    <w:rsid w:val="009A5ABC"/>
    <w:rsid w:val="009A7F10"/>
    <w:rsid w:val="009B0081"/>
    <w:rsid w:val="009B1E35"/>
    <w:rsid w:val="009B23CA"/>
    <w:rsid w:val="009B3110"/>
    <w:rsid w:val="009B3257"/>
    <w:rsid w:val="009B3E26"/>
    <w:rsid w:val="009B7877"/>
    <w:rsid w:val="009C0963"/>
    <w:rsid w:val="009C1271"/>
    <w:rsid w:val="009C20DF"/>
    <w:rsid w:val="009C34D8"/>
    <w:rsid w:val="009C3706"/>
    <w:rsid w:val="009C3A3A"/>
    <w:rsid w:val="009C4D98"/>
    <w:rsid w:val="009C5734"/>
    <w:rsid w:val="009C6040"/>
    <w:rsid w:val="009C66C6"/>
    <w:rsid w:val="009C6CEA"/>
    <w:rsid w:val="009C7B85"/>
    <w:rsid w:val="009D0254"/>
    <w:rsid w:val="009D1266"/>
    <w:rsid w:val="009D161C"/>
    <w:rsid w:val="009D176E"/>
    <w:rsid w:val="009D1A64"/>
    <w:rsid w:val="009D3224"/>
    <w:rsid w:val="009D33B2"/>
    <w:rsid w:val="009D34F1"/>
    <w:rsid w:val="009D3D48"/>
    <w:rsid w:val="009D43A7"/>
    <w:rsid w:val="009D47A3"/>
    <w:rsid w:val="009D5B91"/>
    <w:rsid w:val="009D6428"/>
    <w:rsid w:val="009D77FB"/>
    <w:rsid w:val="009D792E"/>
    <w:rsid w:val="009D7A94"/>
    <w:rsid w:val="009D7F9E"/>
    <w:rsid w:val="009E0DFE"/>
    <w:rsid w:val="009E173D"/>
    <w:rsid w:val="009E1FF4"/>
    <w:rsid w:val="009E2C03"/>
    <w:rsid w:val="009E2D27"/>
    <w:rsid w:val="009E31F6"/>
    <w:rsid w:val="009E367C"/>
    <w:rsid w:val="009E4C07"/>
    <w:rsid w:val="009E4D96"/>
    <w:rsid w:val="009E544C"/>
    <w:rsid w:val="009E5C10"/>
    <w:rsid w:val="009E635B"/>
    <w:rsid w:val="009E6B30"/>
    <w:rsid w:val="009E6F91"/>
    <w:rsid w:val="009E777F"/>
    <w:rsid w:val="009E7ED6"/>
    <w:rsid w:val="009F05F5"/>
    <w:rsid w:val="009F195A"/>
    <w:rsid w:val="009F2A53"/>
    <w:rsid w:val="009F4218"/>
    <w:rsid w:val="009F4308"/>
    <w:rsid w:val="009F6120"/>
    <w:rsid w:val="009F6532"/>
    <w:rsid w:val="009F7D39"/>
    <w:rsid w:val="009F7F96"/>
    <w:rsid w:val="00A00D76"/>
    <w:rsid w:val="00A01184"/>
    <w:rsid w:val="00A013E2"/>
    <w:rsid w:val="00A01449"/>
    <w:rsid w:val="00A01452"/>
    <w:rsid w:val="00A025A2"/>
    <w:rsid w:val="00A037C2"/>
    <w:rsid w:val="00A03D43"/>
    <w:rsid w:val="00A04380"/>
    <w:rsid w:val="00A04786"/>
    <w:rsid w:val="00A04F9A"/>
    <w:rsid w:val="00A05472"/>
    <w:rsid w:val="00A05C32"/>
    <w:rsid w:val="00A0653F"/>
    <w:rsid w:val="00A07770"/>
    <w:rsid w:val="00A11261"/>
    <w:rsid w:val="00A11862"/>
    <w:rsid w:val="00A11CD0"/>
    <w:rsid w:val="00A138A2"/>
    <w:rsid w:val="00A13948"/>
    <w:rsid w:val="00A13AF7"/>
    <w:rsid w:val="00A14E7E"/>
    <w:rsid w:val="00A1555B"/>
    <w:rsid w:val="00A155C5"/>
    <w:rsid w:val="00A157FE"/>
    <w:rsid w:val="00A15BBA"/>
    <w:rsid w:val="00A16AD8"/>
    <w:rsid w:val="00A17466"/>
    <w:rsid w:val="00A176A4"/>
    <w:rsid w:val="00A17A37"/>
    <w:rsid w:val="00A2021E"/>
    <w:rsid w:val="00A2075F"/>
    <w:rsid w:val="00A21C95"/>
    <w:rsid w:val="00A21CF3"/>
    <w:rsid w:val="00A21D22"/>
    <w:rsid w:val="00A21E70"/>
    <w:rsid w:val="00A21F50"/>
    <w:rsid w:val="00A2425D"/>
    <w:rsid w:val="00A2455C"/>
    <w:rsid w:val="00A24813"/>
    <w:rsid w:val="00A24E3F"/>
    <w:rsid w:val="00A27AEC"/>
    <w:rsid w:val="00A306F0"/>
    <w:rsid w:val="00A320DB"/>
    <w:rsid w:val="00A32E1B"/>
    <w:rsid w:val="00A3350F"/>
    <w:rsid w:val="00A33FDF"/>
    <w:rsid w:val="00A35D16"/>
    <w:rsid w:val="00A36BCC"/>
    <w:rsid w:val="00A375AB"/>
    <w:rsid w:val="00A37BCD"/>
    <w:rsid w:val="00A413C1"/>
    <w:rsid w:val="00A41689"/>
    <w:rsid w:val="00A420FD"/>
    <w:rsid w:val="00A42592"/>
    <w:rsid w:val="00A42AE3"/>
    <w:rsid w:val="00A436CF"/>
    <w:rsid w:val="00A43C59"/>
    <w:rsid w:val="00A44147"/>
    <w:rsid w:val="00A44BB5"/>
    <w:rsid w:val="00A45CD3"/>
    <w:rsid w:val="00A4643D"/>
    <w:rsid w:val="00A50ECD"/>
    <w:rsid w:val="00A5124E"/>
    <w:rsid w:val="00A518F3"/>
    <w:rsid w:val="00A51B70"/>
    <w:rsid w:val="00A52729"/>
    <w:rsid w:val="00A52E37"/>
    <w:rsid w:val="00A53675"/>
    <w:rsid w:val="00A54862"/>
    <w:rsid w:val="00A5507C"/>
    <w:rsid w:val="00A564D7"/>
    <w:rsid w:val="00A56B6A"/>
    <w:rsid w:val="00A578DC"/>
    <w:rsid w:val="00A61595"/>
    <w:rsid w:val="00A62400"/>
    <w:rsid w:val="00A62CEB"/>
    <w:rsid w:val="00A640E2"/>
    <w:rsid w:val="00A64717"/>
    <w:rsid w:val="00A64D65"/>
    <w:rsid w:val="00A6523A"/>
    <w:rsid w:val="00A670F9"/>
    <w:rsid w:val="00A6725B"/>
    <w:rsid w:val="00A679A3"/>
    <w:rsid w:val="00A67F3A"/>
    <w:rsid w:val="00A700DC"/>
    <w:rsid w:val="00A70605"/>
    <w:rsid w:val="00A711F2"/>
    <w:rsid w:val="00A73134"/>
    <w:rsid w:val="00A7365A"/>
    <w:rsid w:val="00A745D8"/>
    <w:rsid w:val="00A75C15"/>
    <w:rsid w:val="00A76001"/>
    <w:rsid w:val="00A770D7"/>
    <w:rsid w:val="00A776EC"/>
    <w:rsid w:val="00A777B2"/>
    <w:rsid w:val="00A80807"/>
    <w:rsid w:val="00A80E5B"/>
    <w:rsid w:val="00A816D2"/>
    <w:rsid w:val="00A825D4"/>
    <w:rsid w:val="00A828F6"/>
    <w:rsid w:val="00A82AED"/>
    <w:rsid w:val="00A82B73"/>
    <w:rsid w:val="00A83580"/>
    <w:rsid w:val="00A86E8B"/>
    <w:rsid w:val="00A87164"/>
    <w:rsid w:val="00A871A9"/>
    <w:rsid w:val="00A901FA"/>
    <w:rsid w:val="00A915FD"/>
    <w:rsid w:val="00A91EB5"/>
    <w:rsid w:val="00A920DD"/>
    <w:rsid w:val="00A9264D"/>
    <w:rsid w:val="00A93072"/>
    <w:rsid w:val="00A935EB"/>
    <w:rsid w:val="00A938BD"/>
    <w:rsid w:val="00A93953"/>
    <w:rsid w:val="00A93998"/>
    <w:rsid w:val="00A9454C"/>
    <w:rsid w:val="00A948EF"/>
    <w:rsid w:val="00A9539D"/>
    <w:rsid w:val="00A959D8"/>
    <w:rsid w:val="00A962D4"/>
    <w:rsid w:val="00A96FAF"/>
    <w:rsid w:val="00A9772C"/>
    <w:rsid w:val="00AA1055"/>
    <w:rsid w:val="00AA113D"/>
    <w:rsid w:val="00AA3519"/>
    <w:rsid w:val="00AA455E"/>
    <w:rsid w:val="00AA4CCD"/>
    <w:rsid w:val="00AA5D69"/>
    <w:rsid w:val="00AA64AD"/>
    <w:rsid w:val="00AA6BD5"/>
    <w:rsid w:val="00AA6BD8"/>
    <w:rsid w:val="00AA6C7D"/>
    <w:rsid w:val="00AA7DF1"/>
    <w:rsid w:val="00AA7FD6"/>
    <w:rsid w:val="00AB042A"/>
    <w:rsid w:val="00AB11AD"/>
    <w:rsid w:val="00AB1590"/>
    <w:rsid w:val="00AB19EF"/>
    <w:rsid w:val="00AB2495"/>
    <w:rsid w:val="00AB2D34"/>
    <w:rsid w:val="00AB3430"/>
    <w:rsid w:val="00AB37B9"/>
    <w:rsid w:val="00AB4AD1"/>
    <w:rsid w:val="00AB4D23"/>
    <w:rsid w:val="00AB55FD"/>
    <w:rsid w:val="00AB5A0E"/>
    <w:rsid w:val="00AB5E07"/>
    <w:rsid w:val="00AB7CFA"/>
    <w:rsid w:val="00AC0EB4"/>
    <w:rsid w:val="00AC14A9"/>
    <w:rsid w:val="00AC2AB4"/>
    <w:rsid w:val="00AC2BFA"/>
    <w:rsid w:val="00AC44D1"/>
    <w:rsid w:val="00AC5B42"/>
    <w:rsid w:val="00AC5B48"/>
    <w:rsid w:val="00AC6F48"/>
    <w:rsid w:val="00AC79AB"/>
    <w:rsid w:val="00AD0EFB"/>
    <w:rsid w:val="00AD1282"/>
    <w:rsid w:val="00AD1450"/>
    <w:rsid w:val="00AD15E8"/>
    <w:rsid w:val="00AD2BD8"/>
    <w:rsid w:val="00AD356D"/>
    <w:rsid w:val="00AD4A07"/>
    <w:rsid w:val="00AD558D"/>
    <w:rsid w:val="00AD62DE"/>
    <w:rsid w:val="00AD6502"/>
    <w:rsid w:val="00AD67AB"/>
    <w:rsid w:val="00AD7809"/>
    <w:rsid w:val="00AE049E"/>
    <w:rsid w:val="00AE04B5"/>
    <w:rsid w:val="00AE0695"/>
    <w:rsid w:val="00AE0B82"/>
    <w:rsid w:val="00AE21A4"/>
    <w:rsid w:val="00AE3E7E"/>
    <w:rsid w:val="00AE3F20"/>
    <w:rsid w:val="00AE4AC2"/>
    <w:rsid w:val="00AE5569"/>
    <w:rsid w:val="00AE6AAC"/>
    <w:rsid w:val="00AE7E53"/>
    <w:rsid w:val="00AF003F"/>
    <w:rsid w:val="00AF02AD"/>
    <w:rsid w:val="00AF1315"/>
    <w:rsid w:val="00AF19BF"/>
    <w:rsid w:val="00AF27CF"/>
    <w:rsid w:val="00AF2D5E"/>
    <w:rsid w:val="00AF2DC3"/>
    <w:rsid w:val="00AF587C"/>
    <w:rsid w:val="00AF58A4"/>
    <w:rsid w:val="00B015CB"/>
    <w:rsid w:val="00B019EB"/>
    <w:rsid w:val="00B02313"/>
    <w:rsid w:val="00B02DA2"/>
    <w:rsid w:val="00B033E5"/>
    <w:rsid w:val="00B03A63"/>
    <w:rsid w:val="00B03F47"/>
    <w:rsid w:val="00B05094"/>
    <w:rsid w:val="00B05488"/>
    <w:rsid w:val="00B0619A"/>
    <w:rsid w:val="00B06CFA"/>
    <w:rsid w:val="00B06E9E"/>
    <w:rsid w:val="00B12004"/>
    <w:rsid w:val="00B12403"/>
    <w:rsid w:val="00B129A4"/>
    <w:rsid w:val="00B13223"/>
    <w:rsid w:val="00B13383"/>
    <w:rsid w:val="00B13629"/>
    <w:rsid w:val="00B14236"/>
    <w:rsid w:val="00B15BEC"/>
    <w:rsid w:val="00B15D8F"/>
    <w:rsid w:val="00B168FB"/>
    <w:rsid w:val="00B16E7C"/>
    <w:rsid w:val="00B1702A"/>
    <w:rsid w:val="00B17863"/>
    <w:rsid w:val="00B17A0D"/>
    <w:rsid w:val="00B201A4"/>
    <w:rsid w:val="00B201D1"/>
    <w:rsid w:val="00B2079E"/>
    <w:rsid w:val="00B213A6"/>
    <w:rsid w:val="00B2151F"/>
    <w:rsid w:val="00B2228E"/>
    <w:rsid w:val="00B235B0"/>
    <w:rsid w:val="00B238D8"/>
    <w:rsid w:val="00B24DF6"/>
    <w:rsid w:val="00B251A9"/>
    <w:rsid w:val="00B264C6"/>
    <w:rsid w:val="00B2696C"/>
    <w:rsid w:val="00B2776C"/>
    <w:rsid w:val="00B27A61"/>
    <w:rsid w:val="00B329DF"/>
    <w:rsid w:val="00B32C53"/>
    <w:rsid w:val="00B332A7"/>
    <w:rsid w:val="00B333BD"/>
    <w:rsid w:val="00B3368B"/>
    <w:rsid w:val="00B336FD"/>
    <w:rsid w:val="00B3449A"/>
    <w:rsid w:val="00B34C61"/>
    <w:rsid w:val="00B34FE2"/>
    <w:rsid w:val="00B35166"/>
    <w:rsid w:val="00B357D8"/>
    <w:rsid w:val="00B35F4A"/>
    <w:rsid w:val="00B360F4"/>
    <w:rsid w:val="00B36A00"/>
    <w:rsid w:val="00B3792B"/>
    <w:rsid w:val="00B37AF2"/>
    <w:rsid w:val="00B37BFC"/>
    <w:rsid w:val="00B40358"/>
    <w:rsid w:val="00B41614"/>
    <w:rsid w:val="00B42851"/>
    <w:rsid w:val="00B42F80"/>
    <w:rsid w:val="00B435CB"/>
    <w:rsid w:val="00B4392D"/>
    <w:rsid w:val="00B43F08"/>
    <w:rsid w:val="00B44A57"/>
    <w:rsid w:val="00B465EC"/>
    <w:rsid w:val="00B505C8"/>
    <w:rsid w:val="00B5064A"/>
    <w:rsid w:val="00B50DB8"/>
    <w:rsid w:val="00B5151F"/>
    <w:rsid w:val="00B52581"/>
    <w:rsid w:val="00B52ECB"/>
    <w:rsid w:val="00B53654"/>
    <w:rsid w:val="00B53905"/>
    <w:rsid w:val="00B546DB"/>
    <w:rsid w:val="00B54B5B"/>
    <w:rsid w:val="00B5562E"/>
    <w:rsid w:val="00B55862"/>
    <w:rsid w:val="00B55D65"/>
    <w:rsid w:val="00B56305"/>
    <w:rsid w:val="00B56E5C"/>
    <w:rsid w:val="00B57000"/>
    <w:rsid w:val="00B57059"/>
    <w:rsid w:val="00B5793B"/>
    <w:rsid w:val="00B60939"/>
    <w:rsid w:val="00B60AFD"/>
    <w:rsid w:val="00B62715"/>
    <w:rsid w:val="00B64557"/>
    <w:rsid w:val="00B6503C"/>
    <w:rsid w:val="00B65441"/>
    <w:rsid w:val="00B65611"/>
    <w:rsid w:val="00B656BE"/>
    <w:rsid w:val="00B67498"/>
    <w:rsid w:val="00B70E8E"/>
    <w:rsid w:val="00B711BA"/>
    <w:rsid w:val="00B71A77"/>
    <w:rsid w:val="00B73EC2"/>
    <w:rsid w:val="00B74EEA"/>
    <w:rsid w:val="00B753E9"/>
    <w:rsid w:val="00B75DBE"/>
    <w:rsid w:val="00B75E14"/>
    <w:rsid w:val="00B76153"/>
    <w:rsid w:val="00B76B56"/>
    <w:rsid w:val="00B76C92"/>
    <w:rsid w:val="00B770CA"/>
    <w:rsid w:val="00B80E98"/>
    <w:rsid w:val="00B80EFD"/>
    <w:rsid w:val="00B818A4"/>
    <w:rsid w:val="00B822D6"/>
    <w:rsid w:val="00B823FA"/>
    <w:rsid w:val="00B83739"/>
    <w:rsid w:val="00B84117"/>
    <w:rsid w:val="00B841B3"/>
    <w:rsid w:val="00B8442B"/>
    <w:rsid w:val="00B846DD"/>
    <w:rsid w:val="00B84875"/>
    <w:rsid w:val="00B8537F"/>
    <w:rsid w:val="00B858F0"/>
    <w:rsid w:val="00B85AA2"/>
    <w:rsid w:val="00B85C96"/>
    <w:rsid w:val="00B85FEA"/>
    <w:rsid w:val="00B8649C"/>
    <w:rsid w:val="00B86520"/>
    <w:rsid w:val="00B8695D"/>
    <w:rsid w:val="00B86972"/>
    <w:rsid w:val="00B86D7B"/>
    <w:rsid w:val="00B87F0A"/>
    <w:rsid w:val="00B90B2A"/>
    <w:rsid w:val="00B910F0"/>
    <w:rsid w:val="00B92D0B"/>
    <w:rsid w:val="00B92DB5"/>
    <w:rsid w:val="00B931B3"/>
    <w:rsid w:val="00B94945"/>
    <w:rsid w:val="00B94D30"/>
    <w:rsid w:val="00B94DD6"/>
    <w:rsid w:val="00B9556F"/>
    <w:rsid w:val="00B960A5"/>
    <w:rsid w:val="00BA090B"/>
    <w:rsid w:val="00BA26DE"/>
    <w:rsid w:val="00BA322D"/>
    <w:rsid w:val="00BA34FF"/>
    <w:rsid w:val="00BA4607"/>
    <w:rsid w:val="00BA63FA"/>
    <w:rsid w:val="00BA6E06"/>
    <w:rsid w:val="00BB00B3"/>
    <w:rsid w:val="00BB0BDD"/>
    <w:rsid w:val="00BB176C"/>
    <w:rsid w:val="00BB28BF"/>
    <w:rsid w:val="00BB2A73"/>
    <w:rsid w:val="00BB33F2"/>
    <w:rsid w:val="00BB3A45"/>
    <w:rsid w:val="00BB47DE"/>
    <w:rsid w:val="00BB4ACC"/>
    <w:rsid w:val="00BB55AF"/>
    <w:rsid w:val="00BB592A"/>
    <w:rsid w:val="00BB66B3"/>
    <w:rsid w:val="00BB703E"/>
    <w:rsid w:val="00BB732D"/>
    <w:rsid w:val="00BB7405"/>
    <w:rsid w:val="00BC00CD"/>
    <w:rsid w:val="00BC010D"/>
    <w:rsid w:val="00BC106F"/>
    <w:rsid w:val="00BC12AB"/>
    <w:rsid w:val="00BC1C48"/>
    <w:rsid w:val="00BC2686"/>
    <w:rsid w:val="00BC3631"/>
    <w:rsid w:val="00BC406F"/>
    <w:rsid w:val="00BC43B6"/>
    <w:rsid w:val="00BC43D6"/>
    <w:rsid w:val="00BC4755"/>
    <w:rsid w:val="00BC545F"/>
    <w:rsid w:val="00BC591F"/>
    <w:rsid w:val="00BC6102"/>
    <w:rsid w:val="00BC794F"/>
    <w:rsid w:val="00BC7D6D"/>
    <w:rsid w:val="00BD033F"/>
    <w:rsid w:val="00BD09F5"/>
    <w:rsid w:val="00BD1F73"/>
    <w:rsid w:val="00BD2108"/>
    <w:rsid w:val="00BD27EE"/>
    <w:rsid w:val="00BD2918"/>
    <w:rsid w:val="00BD3102"/>
    <w:rsid w:val="00BD4DA0"/>
    <w:rsid w:val="00BD5095"/>
    <w:rsid w:val="00BD5487"/>
    <w:rsid w:val="00BD5D38"/>
    <w:rsid w:val="00BD5FAF"/>
    <w:rsid w:val="00BD635C"/>
    <w:rsid w:val="00BD668E"/>
    <w:rsid w:val="00BD68A3"/>
    <w:rsid w:val="00BD6938"/>
    <w:rsid w:val="00BD6CF3"/>
    <w:rsid w:val="00BD72AA"/>
    <w:rsid w:val="00BD7F72"/>
    <w:rsid w:val="00BE0ECA"/>
    <w:rsid w:val="00BE20AF"/>
    <w:rsid w:val="00BE2180"/>
    <w:rsid w:val="00BE21F2"/>
    <w:rsid w:val="00BE3855"/>
    <w:rsid w:val="00BE4275"/>
    <w:rsid w:val="00BE57ED"/>
    <w:rsid w:val="00BE5C1F"/>
    <w:rsid w:val="00BE6EB1"/>
    <w:rsid w:val="00BE7216"/>
    <w:rsid w:val="00BF06AE"/>
    <w:rsid w:val="00BF0F95"/>
    <w:rsid w:val="00BF1686"/>
    <w:rsid w:val="00BF2246"/>
    <w:rsid w:val="00BF2433"/>
    <w:rsid w:val="00BF2E6E"/>
    <w:rsid w:val="00BF3390"/>
    <w:rsid w:val="00BF3E39"/>
    <w:rsid w:val="00BF5553"/>
    <w:rsid w:val="00BF5901"/>
    <w:rsid w:val="00BF61C9"/>
    <w:rsid w:val="00BF6737"/>
    <w:rsid w:val="00BF6C94"/>
    <w:rsid w:val="00C00424"/>
    <w:rsid w:val="00C00BB0"/>
    <w:rsid w:val="00C00D93"/>
    <w:rsid w:val="00C00E8A"/>
    <w:rsid w:val="00C02312"/>
    <w:rsid w:val="00C03E83"/>
    <w:rsid w:val="00C06AE9"/>
    <w:rsid w:val="00C1179F"/>
    <w:rsid w:val="00C12648"/>
    <w:rsid w:val="00C127B9"/>
    <w:rsid w:val="00C12891"/>
    <w:rsid w:val="00C128FA"/>
    <w:rsid w:val="00C12C14"/>
    <w:rsid w:val="00C12C81"/>
    <w:rsid w:val="00C137B4"/>
    <w:rsid w:val="00C14D62"/>
    <w:rsid w:val="00C15F04"/>
    <w:rsid w:val="00C16603"/>
    <w:rsid w:val="00C16CB6"/>
    <w:rsid w:val="00C179B3"/>
    <w:rsid w:val="00C17AD0"/>
    <w:rsid w:val="00C17E3F"/>
    <w:rsid w:val="00C200AA"/>
    <w:rsid w:val="00C2033C"/>
    <w:rsid w:val="00C2059E"/>
    <w:rsid w:val="00C21FE9"/>
    <w:rsid w:val="00C23380"/>
    <w:rsid w:val="00C237ED"/>
    <w:rsid w:val="00C23854"/>
    <w:rsid w:val="00C24632"/>
    <w:rsid w:val="00C25418"/>
    <w:rsid w:val="00C25D9C"/>
    <w:rsid w:val="00C26C33"/>
    <w:rsid w:val="00C270E0"/>
    <w:rsid w:val="00C2778B"/>
    <w:rsid w:val="00C31027"/>
    <w:rsid w:val="00C31649"/>
    <w:rsid w:val="00C31686"/>
    <w:rsid w:val="00C31B84"/>
    <w:rsid w:val="00C32307"/>
    <w:rsid w:val="00C33F40"/>
    <w:rsid w:val="00C3434C"/>
    <w:rsid w:val="00C34422"/>
    <w:rsid w:val="00C347F0"/>
    <w:rsid w:val="00C34D85"/>
    <w:rsid w:val="00C358C7"/>
    <w:rsid w:val="00C3671E"/>
    <w:rsid w:val="00C37321"/>
    <w:rsid w:val="00C40385"/>
    <w:rsid w:val="00C40937"/>
    <w:rsid w:val="00C41768"/>
    <w:rsid w:val="00C42724"/>
    <w:rsid w:val="00C43B30"/>
    <w:rsid w:val="00C43C0C"/>
    <w:rsid w:val="00C444C6"/>
    <w:rsid w:val="00C44D08"/>
    <w:rsid w:val="00C462C9"/>
    <w:rsid w:val="00C46320"/>
    <w:rsid w:val="00C475AA"/>
    <w:rsid w:val="00C51F2B"/>
    <w:rsid w:val="00C527C7"/>
    <w:rsid w:val="00C53C98"/>
    <w:rsid w:val="00C55A32"/>
    <w:rsid w:val="00C55BB6"/>
    <w:rsid w:val="00C562F6"/>
    <w:rsid w:val="00C5674B"/>
    <w:rsid w:val="00C56FCF"/>
    <w:rsid w:val="00C57B6C"/>
    <w:rsid w:val="00C61A59"/>
    <w:rsid w:val="00C628A6"/>
    <w:rsid w:val="00C62A10"/>
    <w:rsid w:val="00C62DCF"/>
    <w:rsid w:val="00C6354B"/>
    <w:rsid w:val="00C64344"/>
    <w:rsid w:val="00C64452"/>
    <w:rsid w:val="00C64F91"/>
    <w:rsid w:val="00C65108"/>
    <w:rsid w:val="00C65576"/>
    <w:rsid w:val="00C66165"/>
    <w:rsid w:val="00C670FA"/>
    <w:rsid w:val="00C7060A"/>
    <w:rsid w:val="00C70B4F"/>
    <w:rsid w:val="00C7151A"/>
    <w:rsid w:val="00C717E3"/>
    <w:rsid w:val="00C71F60"/>
    <w:rsid w:val="00C72241"/>
    <w:rsid w:val="00C73BC2"/>
    <w:rsid w:val="00C7491F"/>
    <w:rsid w:val="00C74C5F"/>
    <w:rsid w:val="00C74DEE"/>
    <w:rsid w:val="00C750C8"/>
    <w:rsid w:val="00C7560F"/>
    <w:rsid w:val="00C76867"/>
    <w:rsid w:val="00C76C9F"/>
    <w:rsid w:val="00C76F3D"/>
    <w:rsid w:val="00C77FAF"/>
    <w:rsid w:val="00C80885"/>
    <w:rsid w:val="00C80A0E"/>
    <w:rsid w:val="00C80BF0"/>
    <w:rsid w:val="00C80C16"/>
    <w:rsid w:val="00C80FC4"/>
    <w:rsid w:val="00C81867"/>
    <w:rsid w:val="00C8213F"/>
    <w:rsid w:val="00C8303B"/>
    <w:rsid w:val="00C8303F"/>
    <w:rsid w:val="00C85154"/>
    <w:rsid w:val="00C8561C"/>
    <w:rsid w:val="00C85A70"/>
    <w:rsid w:val="00C86677"/>
    <w:rsid w:val="00C8797A"/>
    <w:rsid w:val="00C87BFC"/>
    <w:rsid w:val="00C900B8"/>
    <w:rsid w:val="00C90197"/>
    <w:rsid w:val="00C90C71"/>
    <w:rsid w:val="00C91FD1"/>
    <w:rsid w:val="00C92B7C"/>
    <w:rsid w:val="00C931CF"/>
    <w:rsid w:val="00C938CF"/>
    <w:rsid w:val="00C94053"/>
    <w:rsid w:val="00C950D3"/>
    <w:rsid w:val="00C9624D"/>
    <w:rsid w:val="00C969DA"/>
    <w:rsid w:val="00C97297"/>
    <w:rsid w:val="00C97B14"/>
    <w:rsid w:val="00CA131E"/>
    <w:rsid w:val="00CA22C4"/>
    <w:rsid w:val="00CA2A6C"/>
    <w:rsid w:val="00CA2C77"/>
    <w:rsid w:val="00CA342B"/>
    <w:rsid w:val="00CA35B0"/>
    <w:rsid w:val="00CA444F"/>
    <w:rsid w:val="00CA4AB7"/>
    <w:rsid w:val="00CA5245"/>
    <w:rsid w:val="00CA5E65"/>
    <w:rsid w:val="00CA65D7"/>
    <w:rsid w:val="00CA68EF"/>
    <w:rsid w:val="00CA6C53"/>
    <w:rsid w:val="00CA71F4"/>
    <w:rsid w:val="00CA7419"/>
    <w:rsid w:val="00CA7739"/>
    <w:rsid w:val="00CA7B09"/>
    <w:rsid w:val="00CA7E42"/>
    <w:rsid w:val="00CB0AE8"/>
    <w:rsid w:val="00CB1103"/>
    <w:rsid w:val="00CB1113"/>
    <w:rsid w:val="00CB12A5"/>
    <w:rsid w:val="00CB18A8"/>
    <w:rsid w:val="00CB1CAC"/>
    <w:rsid w:val="00CB263C"/>
    <w:rsid w:val="00CB2659"/>
    <w:rsid w:val="00CB2C4C"/>
    <w:rsid w:val="00CB2F2A"/>
    <w:rsid w:val="00CB305F"/>
    <w:rsid w:val="00CB5B1A"/>
    <w:rsid w:val="00CB5C25"/>
    <w:rsid w:val="00CB6B22"/>
    <w:rsid w:val="00CB6ECC"/>
    <w:rsid w:val="00CB708B"/>
    <w:rsid w:val="00CB7F5F"/>
    <w:rsid w:val="00CC0186"/>
    <w:rsid w:val="00CC1058"/>
    <w:rsid w:val="00CC1960"/>
    <w:rsid w:val="00CC1B39"/>
    <w:rsid w:val="00CC1BFA"/>
    <w:rsid w:val="00CC2E9F"/>
    <w:rsid w:val="00CC35EA"/>
    <w:rsid w:val="00CC3848"/>
    <w:rsid w:val="00CC3F29"/>
    <w:rsid w:val="00CC463F"/>
    <w:rsid w:val="00CC48BE"/>
    <w:rsid w:val="00CC57C5"/>
    <w:rsid w:val="00CC6404"/>
    <w:rsid w:val="00CC6567"/>
    <w:rsid w:val="00CC6D5E"/>
    <w:rsid w:val="00CC76E5"/>
    <w:rsid w:val="00CD0200"/>
    <w:rsid w:val="00CD0715"/>
    <w:rsid w:val="00CD3A55"/>
    <w:rsid w:val="00CD3F77"/>
    <w:rsid w:val="00CD6ADC"/>
    <w:rsid w:val="00CD7193"/>
    <w:rsid w:val="00CE116C"/>
    <w:rsid w:val="00CE1695"/>
    <w:rsid w:val="00CE1DB0"/>
    <w:rsid w:val="00CE22C7"/>
    <w:rsid w:val="00CE3384"/>
    <w:rsid w:val="00CE38C8"/>
    <w:rsid w:val="00CE524F"/>
    <w:rsid w:val="00CE58CC"/>
    <w:rsid w:val="00CE5CD7"/>
    <w:rsid w:val="00CE6274"/>
    <w:rsid w:val="00CE6367"/>
    <w:rsid w:val="00CE69BD"/>
    <w:rsid w:val="00CE77B6"/>
    <w:rsid w:val="00CF1C68"/>
    <w:rsid w:val="00CF2B8D"/>
    <w:rsid w:val="00CF2C63"/>
    <w:rsid w:val="00CF3614"/>
    <w:rsid w:val="00CF3A1B"/>
    <w:rsid w:val="00CF456B"/>
    <w:rsid w:val="00CF5A22"/>
    <w:rsid w:val="00CF6A8C"/>
    <w:rsid w:val="00CF7273"/>
    <w:rsid w:val="00CF7E5E"/>
    <w:rsid w:val="00D00F64"/>
    <w:rsid w:val="00D0146E"/>
    <w:rsid w:val="00D01E26"/>
    <w:rsid w:val="00D0262E"/>
    <w:rsid w:val="00D03679"/>
    <w:rsid w:val="00D04A6C"/>
    <w:rsid w:val="00D05214"/>
    <w:rsid w:val="00D055E0"/>
    <w:rsid w:val="00D05E3D"/>
    <w:rsid w:val="00D06139"/>
    <w:rsid w:val="00D0653F"/>
    <w:rsid w:val="00D06568"/>
    <w:rsid w:val="00D07656"/>
    <w:rsid w:val="00D10749"/>
    <w:rsid w:val="00D10963"/>
    <w:rsid w:val="00D110BD"/>
    <w:rsid w:val="00D11488"/>
    <w:rsid w:val="00D129BC"/>
    <w:rsid w:val="00D13057"/>
    <w:rsid w:val="00D13675"/>
    <w:rsid w:val="00D13AF6"/>
    <w:rsid w:val="00D13CB8"/>
    <w:rsid w:val="00D13DAB"/>
    <w:rsid w:val="00D141E1"/>
    <w:rsid w:val="00D14753"/>
    <w:rsid w:val="00D15314"/>
    <w:rsid w:val="00D15B48"/>
    <w:rsid w:val="00D16B1C"/>
    <w:rsid w:val="00D176F9"/>
    <w:rsid w:val="00D17D6C"/>
    <w:rsid w:val="00D21316"/>
    <w:rsid w:val="00D2155B"/>
    <w:rsid w:val="00D2210A"/>
    <w:rsid w:val="00D22794"/>
    <w:rsid w:val="00D23D11"/>
    <w:rsid w:val="00D23F4D"/>
    <w:rsid w:val="00D244B6"/>
    <w:rsid w:val="00D25179"/>
    <w:rsid w:val="00D2588B"/>
    <w:rsid w:val="00D2754D"/>
    <w:rsid w:val="00D27AEF"/>
    <w:rsid w:val="00D27B27"/>
    <w:rsid w:val="00D30D5B"/>
    <w:rsid w:val="00D3122B"/>
    <w:rsid w:val="00D31423"/>
    <w:rsid w:val="00D33BE9"/>
    <w:rsid w:val="00D33F93"/>
    <w:rsid w:val="00D34F7D"/>
    <w:rsid w:val="00D354C9"/>
    <w:rsid w:val="00D357FF"/>
    <w:rsid w:val="00D36A57"/>
    <w:rsid w:val="00D40151"/>
    <w:rsid w:val="00D410E5"/>
    <w:rsid w:val="00D424C7"/>
    <w:rsid w:val="00D43B2A"/>
    <w:rsid w:val="00D43CF1"/>
    <w:rsid w:val="00D43D83"/>
    <w:rsid w:val="00D43FA4"/>
    <w:rsid w:val="00D46C29"/>
    <w:rsid w:val="00D47575"/>
    <w:rsid w:val="00D47A56"/>
    <w:rsid w:val="00D47FD9"/>
    <w:rsid w:val="00D50501"/>
    <w:rsid w:val="00D51F18"/>
    <w:rsid w:val="00D5243B"/>
    <w:rsid w:val="00D533EC"/>
    <w:rsid w:val="00D53616"/>
    <w:rsid w:val="00D54C7F"/>
    <w:rsid w:val="00D55016"/>
    <w:rsid w:val="00D5536C"/>
    <w:rsid w:val="00D5692B"/>
    <w:rsid w:val="00D56A95"/>
    <w:rsid w:val="00D57748"/>
    <w:rsid w:val="00D6076E"/>
    <w:rsid w:val="00D60782"/>
    <w:rsid w:val="00D61CB1"/>
    <w:rsid w:val="00D61DE6"/>
    <w:rsid w:val="00D62AA7"/>
    <w:rsid w:val="00D62E6D"/>
    <w:rsid w:val="00D63AC1"/>
    <w:rsid w:val="00D642F9"/>
    <w:rsid w:val="00D648C6"/>
    <w:rsid w:val="00D64B47"/>
    <w:rsid w:val="00D64F8C"/>
    <w:rsid w:val="00D65225"/>
    <w:rsid w:val="00D66A98"/>
    <w:rsid w:val="00D67C67"/>
    <w:rsid w:val="00D70169"/>
    <w:rsid w:val="00D70309"/>
    <w:rsid w:val="00D709BD"/>
    <w:rsid w:val="00D70F16"/>
    <w:rsid w:val="00D71A61"/>
    <w:rsid w:val="00D7235B"/>
    <w:rsid w:val="00D72617"/>
    <w:rsid w:val="00D72F57"/>
    <w:rsid w:val="00D73303"/>
    <w:rsid w:val="00D74278"/>
    <w:rsid w:val="00D75B6F"/>
    <w:rsid w:val="00D76A44"/>
    <w:rsid w:val="00D76EF2"/>
    <w:rsid w:val="00D773D8"/>
    <w:rsid w:val="00D81588"/>
    <w:rsid w:val="00D815EF"/>
    <w:rsid w:val="00D81949"/>
    <w:rsid w:val="00D81F26"/>
    <w:rsid w:val="00D822E2"/>
    <w:rsid w:val="00D822FE"/>
    <w:rsid w:val="00D843F2"/>
    <w:rsid w:val="00D855A6"/>
    <w:rsid w:val="00D858A6"/>
    <w:rsid w:val="00D859E6"/>
    <w:rsid w:val="00D86231"/>
    <w:rsid w:val="00D86C18"/>
    <w:rsid w:val="00D86F06"/>
    <w:rsid w:val="00D87344"/>
    <w:rsid w:val="00D8742B"/>
    <w:rsid w:val="00D907DA"/>
    <w:rsid w:val="00D91213"/>
    <w:rsid w:val="00D912AB"/>
    <w:rsid w:val="00D91923"/>
    <w:rsid w:val="00D91C50"/>
    <w:rsid w:val="00D9261B"/>
    <w:rsid w:val="00D92DDD"/>
    <w:rsid w:val="00D93753"/>
    <w:rsid w:val="00D938A5"/>
    <w:rsid w:val="00D940A7"/>
    <w:rsid w:val="00D952CA"/>
    <w:rsid w:val="00D97110"/>
    <w:rsid w:val="00DA0475"/>
    <w:rsid w:val="00DA08F5"/>
    <w:rsid w:val="00DA0A67"/>
    <w:rsid w:val="00DA20C2"/>
    <w:rsid w:val="00DA3167"/>
    <w:rsid w:val="00DA4DC3"/>
    <w:rsid w:val="00DA5AFA"/>
    <w:rsid w:val="00DA5D8E"/>
    <w:rsid w:val="00DA666E"/>
    <w:rsid w:val="00DA6686"/>
    <w:rsid w:val="00DA6822"/>
    <w:rsid w:val="00DA6912"/>
    <w:rsid w:val="00DA76C7"/>
    <w:rsid w:val="00DA77A5"/>
    <w:rsid w:val="00DB0E36"/>
    <w:rsid w:val="00DB1ADC"/>
    <w:rsid w:val="00DB1EA8"/>
    <w:rsid w:val="00DB3DBF"/>
    <w:rsid w:val="00DB4042"/>
    <w:rsid w:val="00DB4297"/>
    <w:rsid w:val="00DB44B5"/>
    <w:rsid w:val="00DB484F"/>
    <w:rsid w:val="00DB4FCF"/>
    <w:rsid w:val="00DC00DD"/>
    <w:rsid w:val="00DC038E"/>
    <w:rsid w:val="00DC04F6"/>
    <w:rsid w:val="00DC0690"/>
    <w:rsid w:val="00DC1D65"/>
    <w:rsid w:val="00DC213A"/>
    <w:rsid w:val="00DC2B3F"/>
    <w:rsid w:val="00DC3372"/>
    <w:rsid w:val="00DC3C57"/>
    <w:rsid w:val="00DC5501"/>
    <w:rsid w:val="00DC56E6"/>
    <w:rsid w:val="00DC58B9"/>
    <w:rsid w:val="00DC5A08"/>
    <w:rsid w:val="00DC5DE4"/>
    <w:rsid w:val="00DC665D"/>
    <w:rsid w:val="00DC6B36"/>
    <w:rsid w:val="00DC70AA"/>
    <w:rsid w:val="00DC7154"/>
    <w:rsid w:val="00DC7A2B"/>
    <w:rsid w:val="00DC7E8A"/>
    <w:rsid w:val="00DD01FE"/>
    <w:rsid w:val="00DD0C6D"/>
    <w:rsid w:val="00DD0F78"/>
    <w:rsid w:val="00DD1FF2"/>
    <w:rsid w:val="00DD273C"/>
    <w:rsid w:val="00DD2825"/>
    <w:rsid w:val="00DD2F83"/>
    <w:rsid w:val="00DD3BEB"/>
    <w:rsid w:val="00DD3F28"/>
    <w:rsid w:val="00DD4446"/>
    <w:rsid w:val="00DD4537"/>
    <w:rsid w:val="00DD4E15"/>
    <w:rsid w:val="00DD4FF2"/>
    <w:rsid w:val="00DD776D"/>
    <w:rsid w:val="00DD7A6A"/>
    <w:rsid w:val="00DE00F4"/>
    <w:rsid w:val="00DE043B"/>
    <w:rsid w:val="00DE2304"/>
    <w:rsid w:val="00DE2403"/>
    <w:rsid w:val="00DE2B4E"/>
    <w:rsid w:val="00DE2B7B"/>
    <w:rsid w:val="00DE3138"/>
    <w:rsid w:val="00DE337D"/>
    <w:rsid w:val="00DE37F8"/>
    <w:rsid w:val="00DE4273"/>
    <w:rsid w:val="00DE4FCB"/>
    <w:rsid w:val="00DE516B"/>
    <w:rsid w:val="00DE5D07"/>
    <w:rsid w:val="00DE67DE"/>
    <w:rsid w:val="00DE6970"/>
    <w:rsid w:val="00DE72A7"/>
    <w:rsid w:val="00DE7506"/>
    <w:rsid w:val="00DE7832"/>
    <w:rsid w:val="00DF126B"/>
    <w:rsid w:val="00DF18FC"/>
    <w:rsid w:val="00DF2553"/>
    <w:rsid w:val="00DF2637"/>
    <w:rsid w:val="00DF31CC"/>
    <w:rsid w:val="00DF35B1"/>
    <w:rsid w:val="00DF3A8B"/>
    <w:rsid w:val="00DF41B9"/>
    <w:rsid w:val="00DF4C32"/>
    <w:rsid w:val="00DF5C28"/>
    <w:rsid w:val="00DF5D2B"/>
    <w:rsid w:val="00DF6341"/>
    <w:rsid w:val="00DF6647"/>
    <w:rsid w:val="00E0091F"/>
    <w:rsid w:val="00E009B0"/>
    <w:rsid w:val="00E00E8E"/>
    <w:rsid w:val="00E0104E"/>
    <w:rsid w:val="00E028BC"/>
    <w:rsid w:val="00E03F45"/>
    <w:rsid w:val="00E053B9"/>
    <w:rsid w:val="00E05630"/>
    <w:rsid w:val="00E06DBB"/>
    <w:rsid w:val="00E10149"/>
    <w:rsid w:val="00E11340"/>
    <w:rsid w:val="00E122A1"/>
    <w:rsid w:val="00E129A4"/>
    <w:rsid w:val="00E144C9"/>
    <w:rsid w:val="00E1517E"/>
    <w:rsid w:val="00E16372"/>
    <w:rsid w:val="00E16687"/>
    <w:rsid w:val="00E16AD8"/>
    <w:rsid w:val="00E17830"/>
    <w:rsid w:val="00E17FFA"/>
    <w:rsid w:val="00E20E4D"/>
    <w:rsid w:val="00E20ED6"/>
    <w:rsid w:val="00E2129A"/>
    <w:rsid w:val="00E21358"/>
    <w:rsid w:val="00E215FA"/>
    <w:rsid w:val="00E220AD"/>
    <w:rsid w:val="00E2249B"/>
    <w:rsid w:val="00E22A0D"/>
    <w:rsid w:val="00E233D4"/>
    <w:rsid w:val="00E23D9A"/>
    <w:rsid w:val="00E244F6"/>
    <w:rsid w:val="00E258DB"/>
    <w:rsid w:val="00E26970"/>
    <w:rsid w:val="00E2771E"/>
    <w:rsid w:val="00E311EF"/>
    <w:rsid w:val="00E3124D"/>
    <w:rsid w:val="00E312B3"/>
    <w:rsid w:val="00E31B67"/>
    <w:rsid w:val="00E31F3D"/>
    <w:rsid w:val="00E32180"/>
    <w:rsid w:val="00E32AC8"/>
    <w:rsid w:val="00E32E3D"/>
    <w:rsid w:val="00E33F54"/>
    <w:rsid w:val="00E34948"/>
    <w:rsid w:val="00E35003"/>
    <w:rsid w:val="00E35723"/>
    <w:rsid w:val="00E37569"/>
    <w:rsid w:val="00E401B2"/>
    <w:rsid w:val="00E40668"/>
    <w:rsid w:val="00E412DA"/>
    <w:rsid w:val="00E41E30"/>
    <w:rsid w:val="00E423A4"/>
    <w:rsid w:val="00E42F73"/>
    <w:rsid w:val="00E43D70"/>
    <w:rsid w:val="00E444D9"/>
    <w:rsid w:val="00E4523E"/>
    <w:rsid w:val="00E466F3"/>
    <w:rsid w:val="00E46973"/>
    <w:rsid w:val="00E47315"/>
    <w:rsid w:val="00E47B2C"/>
    <w:rsid w:val="00E51560"/>
    <w:rsid w:val="00E51821"/>
    <w:rsid w:val="00E51ADA"/>
    <w:rsid w:val="00E51F1E"/>
    <w:rsid w:val="00E53183"/>
    <w:rsid w:val="00E53A77"/>
    <w:rsid w:val="00E53ACA"/>
    <w:rsid w:val="00E53F1C"/>
    <w:rsid w:val="00E53FC8"/>
    <w:rsid w:val="00E54347"/>
    <w:rsid w:val="00E545A1"/>
    <w:rsid w:val="00E54AA7"/>
    <w:rsid w:val="00E55424"/>
    <w:rsid w:val="00E5564F"/>
    <w:rsid w:val="00E55915"/>
    <w:rsid w:val="00E55BB5"/>
    <w:rsid w:val="00E55CA9"/>
    <w:rsid w:val="00E569F0"/>
    <w:rsid w:val="00E56C6E"/>
    <w:rsid w:val="00E57EC6"/>
    <w:rsid w:val="00E605C4"/>
    <w:rsid w:val="00E605D0"/>
    <w:rsid w:val="00E60A25"/>
    <w:rsid w:val="00E611DF"/>
    <w:rsid w:val="00E61297"/>
    <w:rsid w:val="00E62358"/>
    <w:rsid w:val="00E63F57"/>
    <w:rsid w:val="00E6417E"/>
    <w:rsid w:val="00E65E79"/>
    <w:rsid w:val="00E66237"/>
    <w:rsid w:val="00E6658D"/>
    <w:rsid w:val="00E669DB"/>
    <w:rsid w:val="00E66BA2"/>
    <w:rsid w:val="00E67416"/>
    <w:rsid w:val="00E6764C"/>
    <w:rsid w:val="00E7064F"/>
    <w:rsid w:val="00E710DA"/>
    <w:rsid w:val="00E714B8"/>
    <w:rsid w:val="00E718B6"/>
    <w:rsid w:val="00E71C02"/>
    <w:rsid w:val="00E722A6"/>
    <w:rsid w:val="00E723BA"/>
    <w:rsid w:val="00E72522"/>
    <w:rsid w:val="00E72B82"/>
    <w:rsid w:val="00E73581"/>
    <w:rsid w:val="00E73BCB"/>
    <w:rsid w:val="00E73E37"/>
    <w:rsid w:val="00E744E9"/>
    <w:rsid w:val="00E74970"/>
    <w:rsid w:val="00E75A3F"/>
    <w:rsid w:val="00E75C95"/>
    <w:rsid w:val="00E75D40"/>
    <w:rsid w:val="00E77E23"/>
    <w:rsid w:val="00E77FD7"/>
    <w:rsid w:val="00E8134C"/>
    <w:rsid w:val="00E82C5B"/>
    <w:rsid w:val="00E833F7"/>
    <w:rsid w:val="00E83BDF"/>
    <w:rsid w:val="00E843D7"/>
    <w:rsid w:val="00E868D2"/>
    <w:rsid w:val="00E86FCC"/>
    <w:rsid w:val="00E87A1D"/>
    <w:rsid w:val="00E90060"/>
    <w:rsid w:val="00E9094A"/>
    <w:rsid w:val="00E91D35"/>
    <w:rsid w:val="00E926A5"/>
    <w:rsid w:val="00E9375F"/>
    <w:rsid w:val="00E93887"/>
    <w:rsid w:val="00E95056"/>
    <w:rsid w:val="00E95867"/>
    <w:rsid w:val="00E96004"/>
    <w:rsid w:val="00E962CC"/>
    <w:rsid w:val="00EA14C1"/>
    <w:rsid w:val="00EA17C3"/>
    <w:rsid w:val="00EA20EC"/>
    <w:rsid w:val="00EA2787"/>
    <w:rsid w:val="00EA2CAA"/>
    <w:rsid w:val="00EA2E2E"/>
    <w:rsid w:val="00EA3864"/>
    <w:rsid w:val="00EA45FB"/>
    <w:rsid w:val="00EA4BA2"/>
    <w:rsid w:val="00EA51E2"/>
    <w:rsid w:val="00EA68BB"/>
    <w:rsid w:val="00EA6912"/>
    <w:rsid w:val="00EA7C3F"/>
    <w:rsid w:val="00EA7F1C"/>
    <w:rsid w:val="00EB15B6"/>
    <w:rsid w:val="00EB2F32"/>
    <w:rsid w:val="00EB3D06"/>
    <w:rsid w:val="00EB4916"/>
    <w:rsid w:val="00EB53B3"/>
    <w:rsid w:val="00EB61BE"/>
    <w:rsid w:val="00EB638A"/>
    <w:rsid w:val="00EB6821"/>
    <w:rsid w:val="00EB68A4"/>
    <w:rsid w:val="00EB7072"/>
    <w:rsid w:val="00EC00C9"/>
    <w:rsid w:val="00EC0DD9"/>
    <w:rsid w:val="00EC170D"/>
    <w:rsid w:val="00EC1919"/>
    <w:rsid w:val="00EC241C"/>
    <w:rsid w:val="00EC2649"/>
    <w:rsid w:val="00EC31ED"/>
    <w:rsid w:val="00EC4255"/>
    <w:rsid w:val="00EC5154"/>
    <w:rsid w:val="00EC5836"/>
    <w:rsid w:val="00EC5A58"/>
    <w:rsid w:val="00EC608E"/>
    <w:rsid w:val="00EC688C"/>
    <w:rsid w:val="00EC6FA0"/>
    <w:rsid w:val="00EC7510"/>
    <w:rsid w:val="00EC75B4"/>
    <w:rsid w:val="00ED12E3"/>
    <w:rsid w:val="00ED2220"/>
    <w:rsid w:val="00ED244E"/>
    <w:rsid w:val="00ED3136"/>
    <w:rsid w:val="00ED4B04"/>
    <w:rsid w:val="00ED4C0D"/>
    <w:rsid w:val="00ED57EA"/>
    <w:rsid w:val="00ED5BD4"/>
    <w:rsid w:val="00ED65CB"/>
    <w:rsid w:val="00ED7EC8"/>
    <w:rsid w:val="00EE07D3"/>
    <w:rsid w:val="00EE1996"/>
    <w:rsid w:val="00EE1C01"/>
    <w:rsid w:val="00EE217D"/>
    <w:rsid w:val="00EE22AF"/>
    <w:rsid w:val="00EE3906"/>
    <w:rsid w:val="00EE4385"/>
    <w:rsid w:val="00EE4508"/>
    <w:rsid w:val="00EE530E"/>
    <w:rsid w:val="00EE5758"/>
    <w:rsid w:val="00EE7451"/>
    <w:rsid w:val="00EF0171"/>
    <w:rsid w:val="00EF1B25"/>
    <w:rsid w:val="00EF1DA0"/>
    <w:rsid w:val="00EF1E64"/>
    <w:rsid w:val="00EF4747"/>
    <w:rsid w:val="00EF4BF8"/>
    <w:rsid w:val="00EF639A"/>
    <w:rsid w:val="00EF7606"/>
    <w:rsid w:val="00EF7F75"/>
    <w:rsid w:val="00F0019E"/>
    <w:rsid w:val="00F00FA5"/>
    <w:rsid w:val="00F01809"/>
    <w:rsid w:val="00F02253"/>
    <w:rsid w:val="00F035BE"/>
    <w:rsid w:val="00F03C2E"/>
    <w:rsid w:val="00F041C7"/>
    <w:rsid w:val="00F04929"/>
    <w:rsid w:val="00F04A66"/>
    <w:rsid w:val="00F04B4B"/>
    <w:rsid w:val="00F0516C"/>
    <w:rsid w:val="00F05C3F"/>
    <w:rsid w:val="00F0652B"/>
    <w:rsid w:val="00F067A2"/>
    <w:rsid w:val="00F07B9E"/>
    <w:rsid w:val="00F10EA8"/>
    <w:rsid w:val="00F1116F"/>
    <w:rsid w:val="00F11920"/>
    <w:rsid w:val="00F11F8B"/>
    <w:rsid w:val="00F1263A"/>
    <w:rsid w:val="00F1264E"/>
    <w:rsid w:val="00F139C5"/>
    <w:rsid w:val="00F13BE6"/>
    <w:rsid w:val="00F13EC0"/>
    <w:rsid w:val="00F140E3"/>
    <w:rsid w:val="00F159F5"/>
    <w:rsid w:val="00F15B77"/>
    <w:rsid w:val="00F16A80"/>
    <w:rsid w:val="00F16C1E"/>
    <w:rsid w:val="00F1711F"/>
    <w:rsid w:val="00F20082"/>
    <w:rsid w:val="00F20567"/>
    <w:rsid w:val="00F20F1D"/>
    <w:rsid w:val="00F21236"/>
    <w:rsid w:val="00F219E7"/>
    <w:rsid w:val="00F22C79"/>
    <w:rsid w:val="00F22E10"/>
    <w:rsid w:val="00F2308A"/>
    <w:rsid w:val="00F23707"/>
    <w:rsid w:val="00F239DF"/>
    <w:rsid w:val="00F23AB7"/>
    <w:rsid w:val="00F241CE"/>
    <w:rsid w:val="00F24366"/>
    <w:rsid w:val="00F24837"/>
    <w:rsid w:val="00F2575F"/>
    <w:rsid w:val="00F27565"/>
    <w:rsid w:val="00F27A2E"/>
    <w:rsid w:val="00F27DF4"/>
    <w:rsid w:val="00F310D4"/>
    <w:rsid w:val="00F31833"/>
    <w:rsid w:val="00F31D5A"/>
    <w:rsid w:val="00F33725"/>
    <w:rsid w:val="00F33975"/>
    <w:rsid w:val="00F33BBA"/>
    <w:rsid w:val="00F33CE7"/>
    <w:rsid w:val="00F33DE9"/>
    <w:rsid w:val="00F34C22"/>
    <w:rsid w:val="00F34D08"/>
    <w:rsid w:val="00F35E6D"/>
    <w:rsid w:val="00F360EB"/>
    <w:rsid w:val="00F3619A"/>
    <w:rsid w:val="00F36A37"/>
    <w:rsid w:val="00F3774B"/>
    <w:rsid w:val="00F40AAA"/>
    <w:rsid w:val="00F40BA7"/>
    <w:rsid w:val="00F40F9D"/>
    <w:rsid w:val="00F418BF"/>
    <w:rsid w:val="00F41ACD"/>
    <w:rsid w:val="00F4264A"/>
    <w:rsid w:val="00F42C3D"/>
    <w:rsid w:val="00F43DA6"/>
    <w:rsid w:val="00F4434D"/>
    <w:rsid w:val="00F4548A"/>
    <w:rsid w:val="00F466A8"/>
    <w:rsid w:val="00F46CB6"/>
    <w:rsid w:val="00F4717C"/>
    <w:rsid w:val="00F4756D"/>
    <w:rsid w:val="00F47DE8"/>
    <w:rsid w:val="00F523DA"/>
    <w:rsid w:val="00F52A8A"/>
    <w:rsid w:val="00F537EE"/>
    <w:rsid w:val="00F53EEB"/>
    <w:rsid w:val="00F542C1"/>
    <w:rsid w:val="00F55028"/>
    <w:rsid w:val="00F550E3"/>
    <w:rsid w:val="00F55368"/>
    <w:rsid w:val="00F55E73"/>
    <w:rsid w:val="00F55EDA"/>
    <w:rsid w:val="00F56502"/>
    <w:rsid w:val="00F56954"/>
    <w:rsid w:val="00F56C80"/>
    <w:rsid w:val="00F57051"/>
    <w:rsid w:val="00F57BFC"/>
    <w:rsid w:val="00F57DD8"/>
    <w:rsid w:val="00F60092"/>
    <w:rsid w:val="00F6012F"/>
    <w:rsid w:val="00F61C18"/>
    <w:rsid w:val="00F63721"/>
    <w:rsid w:val="00F64AB0"/>
    <w:rsid w:val="00F65C2F"/>
    <w:rsid w:val="00F65F4B"/>
    <w:rsid w:val="00F67A69"/>
    <w:rsid w:val="00F70826"/>
    <w:rsid w:val="00F70BFF"/>
    <w:rsid w:val="00F70C9D"/>
    <w:rsid w:val="00F73E08"/>
    <w:rsid w:val="00F74753"/>
    <w:rsid w:val="00F74CD9"/>
    <w:rsid w:val="00F80A7B"/>
    <w:rsid w:val="00F80E5D"/>
    <w:rsid w:val="00F80EB0"/>
    <w:rsid w:val="00F8151D"/>
    <w:rsid w:val="00F81E78"/>
    <w:rsid w:val="00F81F6A"/>
    <w:rsid w:val="00F823E6"/>
    <w:rsid w:val="00F83916"/>
    <w:rsid w:val="00F84B46"/>
    <w:rsid w:val="00F851CE"/>
    <w:rsid w:val="00F85262"/>
    <w:rsid w:val="00F86069"/>
    <w:rsid w:val="00F862EA"/>
    <w:rsid w:val="00F87009"/>
    <w:rsid w:val="00F875F0"/>
    <w:rsid w:val="00F910AD"/>
    <w:rsid w:val="00F911D7"/>
    <w:rsid w:val="00F91219"/>
    <w:rsid w:val="00F91BB1"/>
    <w:rsid w:val="00F91F1C"/>
    <w:rsid w:val="00F92444"/>
    <w:rsid w:val="00F92634"/>
    <w:rsid w:val="00F9393E"/>
    <w:rsid w:val="00F9436E"/>
    <w:rsid w:val="00F94710"/>
    <w:rsid w:val="00F94F04"/>
    <w:rsid w:val="00F954EC"/>
    <w:rsid w:val="00F96358"/>
    <w:rsid w:val="00F96919"/>
    <w:rsid w:val="00F96B74"/>
    <w:rsid w:val="00F96FD0"/>
    <w:rsid w:val="00F97139"/>
    <w:rsid w:val="00F97A78"/>
    <w:rsid w:val="00FA0530"/>
    <w:rsid w:val="00FA0B20"/>
    <w:rsid w:val="00FA123F"/>
    <w:rsid w:val="00FA1E7E"/>
    <w:rsid w:val="00FA24E7"/>
    <w:rsid w:val="00FA4229"/>
    <w:rsid w:val="00FA4253"/>
    <w:rsid w:val="00FA4513"/>
    <w:rsid w:val="00FA56C2"/>
    <w:rsid w:val="00FA5C05"/>
    <w:rsid w:val="00FA5EE6"/>
    <w:rsid w:val="00FA6FFC"/>
    <w:rsid w:val="00FA72FF"/>
    <w:rsid w:val="00FA7835"/>
    <w:rsid w:val="00FA7956"/>
    <w:rsid w:val="00FA7D20"/>
    <w:rsid w:val="00FA7F70"/>
    <w:rsid w:val="00FB0824"/>
    <w:rsid w:val="00FB0CBA"/>
    <w:rsid w:val="00FB1D4D"/>
    <w:rsid w:val="00FB2779"/>
    <w:rsid w:val="00FB2C15"/>
    <w:rsid w:val="00FB2FCB"/>
    <w:rsid w:val="00FB32FB"/>
    <w:rsid w:val="00FB4C9C"/>
    <w:rsid w:val="00FB5EEE"/>
    <w:rsid w:val="00FB6C50"/>
    <w:rsid w:val="00FB7C55"/>
    <w:rsid w:val="00FB7D23"/>
    <w:rsid w:val="00FC0F0E"/>
    <w:rsid w:val="00FC1074"/>
    <w:rsid w:val="00FC1884"/>
    <w:rsid w:val="00FC295D"/>
    <w:rsid w:val="00FC371D"/>
    <w:rsid w:val="00FC46F1"/>
    <w:rsid w:val="00FC5456"/>
    <w:rsid w:val="00FC5F0B"/>
    <w:rsid w:val="00FC78EF"/>
    <w:rsid w:val="00FC7B6A"/>
    <w:rsid w:val="00FD0495"/>
    <w:rsid w:val="00FD09FD"/>
    <w:rsid w:val="00FD2100"/>
    <w:rsid w:val="00FD37BF"/>
    <w:rsid w:val="00FD3ABE"/>
    <w:rsid w:val="00FD3C50"/>
    <w:rsid w:val="00FD436C"/>
    <w:rsid w:val="00FD446D"/>
    <w:rsid w:val="00FD4F2C"/>
    <w:rsid w:val="00FD6166"/>
    <w:rsid w:val="00FD6394"/>
    <w:rsid w:val="00FD714B"/>
    <w:rsid w:val="00FD76DC"/>
    <w:rsid w:val="00FD7757"/>
    <w:rsid w:val="00FE08D2"/>
    <w:rsid w:val="00FE0E6C"/>
    <w:rsid w:val="00FE1680"/>
    <w:rsid w:val="00FE1CDC"/>
    <w:rsid w:val="00FE62AF"/>
    <w:rsid w:val="00FE70C3"/>
    <w:rsid w:val="00FF0915"/>
    <w:rsid w:val="00FF09A2"/>
    <w:rsid w:val="00FF0DF8"/>
    <w:rsid w:val="00FF1A8B"/>
    <w:rsid w:val="00FF1C65"/>
    <w:rsid w:val="00FF2A21"/>
    <w:rsid w:val="00FF2AD9"/>
    <w:rsid w:val="00FF359F"/>
    <w:rsid w:val="00FF3DCF"/>
    <w:rsid w:val="00FF492C"/>
    <w:rsid w:val="00FF4A21"/>
    <w:rsid w:val="00FF5AA3"/>
    <w:rsid w:val="00FF5AD8"/>
    <w:rsid w:val="00FF7105"/>
    <w:rsid w:val="00FF72FB"/>
    <w:rsid w:val="00FF7739"/>
    <w:rsid w:val="00FF7C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 3,c"/>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 3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4774C3"/>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85A6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link w:val="CommentitalicsChar"/>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CC76E5"/>
    <w:pPr>
      <w:numPr>
        <w:ilvl w:val="1"/>
        <w:numId w:val="1"/>
      </w:numPr>
    </w:pPr>
    <w:rPr>
      <w:lang w:val="en-US"/>
    </w:rPr>
  </w:style>
  <w:style w:type="character" w:customStyle="1" w:styleId="3-BodyTextChar">
    <w:name w:val="3-Body Text Char"/>
    <w:basedOn w:val="ListParagraphChar"/>
    <w:link w:val="3-BodyText"/>
    <w:rsid w:val="00CC76E5"/>
    <w:rPr>
      <w:rFonts w:asciiTheme="minorHAnsi" w:hAnsiTheme="minorHAnsi" w:cs="Arial"/>
      <w:snapToGrid w:val="0"/>
      <w:sz w:val="24"/>
      <w:szCs w:val="24"/>
      <w:lang w:val="en-US"/>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textleft">
    <w:name w:val="Table text left"/>
    <w:basedOn w:val="Normal"/>
    <w:link w:val="TabletextleftChar"/>
    <w:qFormat/>
    <w:rsid w:val="00C43C0C"/>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C43C0C"/>
    <w:rPr>
      <w:rFonts w:asciiTheme="minorHAnsi" w:hAnsiTheme="minorHAnsi"/>
      <w:sz w:val="18"/>
    </w:rPr>
  </w:style>
  <w:style w:type="character" w:customStyle="1" w:styleId="PBACTableTextChar">
    <w:name w:val="PBAC Table Text Char"/>
    <w:basedOn w:val="DefaultParagraphFont"/>
    <w:link w:val="PBACTableText"/>
    <w:locked/>
    <w:rsid w:val="00B56E5C"/>
    <w:rPr>
      <w:rFonts w:ascii="Arial Narrow" w:eastAsia="Batang" w:hAnsi="Arial Narrow"/>
      <w:b/>
    </w:rPr>
  </w:style>
  <w:style w:type="paragraph" w:customStyle="1" w:styleId="PBACTableText">
    <w:name w:val="PBAC Table Text"/>
    <w:basedOn w:val="Normal"/>
    <w:link w:val="PBACTableTextChar"/>
    <w:qFormat/>
    <w:rsid w:val="00B56E5C"/>
    <w:pPr>
      <w:jc w:val="left"/>
    </w:pPr>
    <w:rPr>
      <w:rFonts w:ascii="Arial Narrow" w:eastAsia="Batang" w:hAnsi="Arial Narrow" w:cs="Times New Roman"/>
      <w:b/>
      <w:sz w:val="20"/>
      <w:szCs w:val="20"/>
    </w:rPr>
  </w:style>
  <w:style w:type="paragraph" w:customStyle="1" w:styleId="TableHeadingleft">
    <w:name w:val="Table Heading left"/>
    <w:basedOn w:val="Normal"/>
    <w:next w:val="Tabletextleft"/>
    <w:uiPriority w:val="99"/>
    <w:qFormat/>
    <w:rsid w:val="00015288"/>
    <w:pPr>
      <w:spacing w:before="40" w:after="40"/>
      <w:jc w:val="left"/>
    </w:pPr>
    <w:rPr>
      <w:rFonts w:asciiTheme="minorHAnsi" w:eastAsiaTheme="minorHAnsi" w:hAnsiTheme="minorHAnsi" w:cs="Tahoma"/>
      <w:b/>
      <w:sz w:val="18"/>
      <w:szCs w:val="18"/>
      <w:lang w:val="de-DE" w:eastAsia="en-US"/>
    </w:rPr>
  </w:style>
  <w:style w:type="table" w:customStyle="1" w:styleId="TableHTAsimple">
    <w:name w:val="Table HTA simple"/>
    <w:basedOn w:val="TableNormal"/>
    <w:uiPriority w:val="99"/>
    <w:rsid w:val="00FF0DF8"/>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FigNotes18">
    <w:name w:val="TableFigNotes+18"/>
    <w:basedOn w:val="BodyText"/>
    <w:next w:val="BodyText"/>
    <w:link w:val="TableFigNotes18Char"/>
    <w:uiPriority w:val="4"/>
    <w:qFormat/>
    <w:rsid w:val="00FF0DF8"/>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FF0DF8"/>
    <w:rPr>
      <w:rFonts w:asciiTheme="minorHAnsi" w:eastAsiaTheme="minorHAnsi" w:hAnsiTheme="minorHAnsi" w:cs="Tahoma"/>
      <w:color w:val="000000"/>
      <w:sz w:val="16"/>
      <w:szCs w:val="18"/>
    </w:rPr>
  </w:style>
  <w:style w:type="paragraph" w:customStyle="1" w:styleId="Tableheadingcent">
    <w:name w:val="Table heading cent"/>
    <w:basedOn w:val="TableHeadingleft"/>
    <w:qFormat/>
    <w:rsid w:val="00FF0DF8"/>
    <w:pPr>
      <w:jc w:val="center"/>
    </w:pPr>
  </w:style>
  <w:style w:type="paragraph" w:customStyle="1" w:styleId="Tabletextbold">
    <w:name w:val="Table text bold"/>
    <w:basedOn w:val="Tabletextleft"/>
    <w:qFormat/>
    <w:rsid w:val="00FF0DF8"/>
    <w:pPr>
      <w:ind w:left="57" w:right="57"/>
    </w:pPr>
    <w:rPr>
      <w:rFonts w:eastAsia="Arial"/>
      <w:b/>
      <w:lang w:val="de-DE"/>
    </w:rPr>
  </w:style>
  <w:style w:type="paragraph" w:styleId="FootnoteText">
    <w:name w:val="footnote text"/>
    <w:basedOn w:val="Normal"/>
    <w:link w:val="FootnoteTextChar"/>
    <w:unhideWhenUsed/>
    <w:rsid w:val="00810FC4"/>
    <w:pPr>
      <w:widowControl w:val="0"/>
    </w:pPr>
    <w:rPr>
      <w:rFonts w:ascii="Arial" w:hAnsi="Arial"/>
      <w:snapToGrid w:val="0"/>
      <w:sz w:val="20"/>
      <w:szCs w:val="20"/>
      <w:lang w:eastAsia="en-US"/>
    </w:rPr>
  </w:style>
  <w:style w:type="character" w:customStyle="1" w:styleId="FootnoteTextChar">
    <w:name w:val="Footnote Text Char"/>
    <w:basedOn w:val="DefaultParagraphFont"/>
    <w:link w:val="FootnoteText"/>
    <w:rsid w:val="00810FC4"/>
    <w:rPr>
      <w:rFonts w:ascii="Arial" w:hAnsi="Arial" w:cs="Arial"/>
      <w:snapToGrid w:val="0"/>
      <w:lang w:eastAsia="en-US"/>
    </w:rPr>
  </w:style>
  <w:style w:type="character" w:styleId="FootnoteReference">
    <w:name w:val="footnote reference"/>
    <w:basedOn w:val="DefaultParagraphFont"/>
    <w:unhideWhenUsed/>
    <w:rsid w:val="00810FC4"/>
    <w:rPr>
      <w:vertAlign w:val="superscript"/>
    </w:rPr>
  </w:style>
  <w:style w:type="paragraph" w:customStyle="1" w:styleId="TableFigNotes0">
    <w:name w:val="TableFigNotes+0"/>
    <w:basedOn w:val="Normal"/>
    <w:uiPriority w:val="4"/>
    <w:rsid w:val="006C6873"/>
    <w:pPr>
      <w:keepNext/>
      <w:keepLines/>
      <w:jc w:val="left"/>
    </w:pPr>
    <w:rPr>
      <w:rFonts w:cs="Tahoma"/>
      <w:color w:val="000000"/>
      <w:sz w:val="16"/>
      <w:szCs w:val="18"/>
      <w:lang w:val="en-US"/>
    </w:rPr>
  </w:style>
  <w:style w:type="paragraph" w:customStyle="1" w:styleId="Tabletextcent">
    <w:name w:val="Table text cent"/>
    <w:basedOn w:val="Tabletextleft"/>
    <w:qFormat/>
    <w:rsid w:val="006C6873"/>
    <w:pPr>
      <w:jc w:val="center"/>
    </w:pPr>
    <w:rPr>
      <w:lang w:val="de-DE"/>
    </w:rPr>
  </w:style>
  <w:style w:type="table" w:customStyle="1" w:styleId="PBACtable1">
    <w:name w:val="PBAC table1"/>
    <w:basedOn w:val="TableNormal"/>
    <w:next w:val="TableGrid"/>
    <w:uiPriority w:val="59"/>
    <w:rsid w:val="006C6873"/>
    <w:pPr>
      <w:spacing w:before="20" w:after="20"/>
      <w:ind w:left="113" w:right="113"/>
      <w:jc w:val="center"/>
    </w:pPr>
    <w:rPr>
      <w:rFonts w:ascii="Calibri" w:eastAsia="Calibri" w:hAnsi="Calibri"/>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tcMar>
        <w:top w:w="0" w:type="dxa"/>
        <w:bottom w:w="0" w:type="dxa"/>
      </w:tcMar>
      <w:vAlign w:val="center"/>
    </w:tcPr>
    <w:tblStylePr w:type="firstRow">
      <w:pPr>
        <w:jc w:val="center"/>
      </w:pPr>
      <w:rPr>
        <w:b/>
      </w:rPr>
      <w:tblPr/>
      <w:tcPr>
        <w:shd w:val="clear" w:color="auto" w:fill="D9D9D9"/>
        <w:vAlign w:val="top"/>
      </w:tcPr>
    </w:tblStylePr>
    <w:tblStylePr w:type="firstCol">
      <w:pPr>
        <w:jc w:val="left"/>
      </w:pPr>
    </w:tblStylePr>
    <w:tblStylePr w:type="nwCell">
      <w:pPr>
        <w:jc w:val="left"/>
      </w:pPr>
      <w:tblPr/>
      <w:tcPr>
        <w:vAlign w:val="top"/>
      </w:tcPr>
    </w:tblStylePr>
  </w:style>
  <w:style w:type="paragraph" w:customStyle="1" w:styleId="TableH1">
    <w:name w:val="Table H1"/>
    <w:basedOn w:val="BodyText"/>
    <w:uiPriority w:val="4"/>
    <w:qFormat/>
    <w:rsid w:val="00A420FD"/>
    <w:pPr>
      <w:keepNext/>
      <w:tabs>
        <w:tab w:val="left" w:pos="416"/>
        <w:tab w:val="left" w:pos="582"/>
        <w:tab w:val="left" w:pos="1134"/>
      </w:tabs>
      <w:spacing w:before="40" w:after="40"/>
    </w:pPr>
    <w:rPr>
      <w:rFonts w:asciiTheme="minorHAnsi" w:eastAsiaTheme="minorHAnsi" w:hAnsiTheme="minorHAnsi" w:cs="Tahoma"/>
      <w:b/>
      <w:spacing w:val="-1"/>
      <w:sz w:val="18"/>
      <w:szCs w:val="18"/>
      <w:lang w:val="en-US" w:eastAsia="en-US"/>
    </w:rPr>
  </w:style>
  <w:style w:type="table" w:customStyle="1" w:styleId="HTATableshaded">
    <w:name w:val="HTA Table shaded"/>
    <w:basedOn w:val="TableNormal"/>
    <w:rsid w:val="00CB5C25"/>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2">
    <w:name w:val="Table H2"/>
    <w:basedOn w:val="TableH1"/>
    <w:next w:val="Tabletextleft"/>
    <w:uiPriority w:val="4"/>
    <w:qFormat/>
    <w:rsid w:val="00CB5C25"/>
  </w:style>
  <w:style w:type="paragraph" w:customStyle="1" w:styleId="Tablename0">
    <w:name w:val="Table name"/>
    <w:basedOn w:val="BodyText"/>
    <w:uiPriority w:val="4"/>
    <w:qFormat/>
    <w:rsid w:val="00754BD9"/>
    <w:pPr>
      <w:keepNext/>
      <w:tabs>
        <w:tab w:val="left" w:pos="1418"/>
      </w:tabs>
      <w:spacing w:before="120" w:after="120"/>
      <w:ind w:left="1418" w:hanging="1418"/>
    </w:pPr>
    <w:rPr>
      <w:rFonts w:cs="Times New Roman"/>
      <w:b/>
      <w:bCs/>
      <w:sz w:val="22"/>
      <w:szCs w:val="20"/>
      <w:lang w:val="en-US" w:eastAsia="en-US"/>
    </w:rPr>
  </w:style>
  <w:style w:type="paragraph" w:customStyle="1" w:styleId="Bullet0">
    <w:name w:val="Bullet+0"/>
    <w:basedOn w:val="BodyText"/>
    <w:link w:val="Bullet0Char"/>
    <w:uiPriority w:val="2"/>
    <w:qFormat/>
    <w:rsid w:val="0043792C"/>
    <w:pPr>
      <w:numPr>
        <w:numId w:val="7"/>
      </w:numPr>
      <w:spacing w:line="276" w:lineRule="auto"/>
    </w:pPr>
    <w:rPr>
      <w:rFonts w:asciiTheme="minorHAnsi" w:eastAsiaTheme="minorHAnsi" w:hAnsiTheme="minorHAnsi"/>
      <w:sz w:val="22"/>
      <w:szCs w:val="22"/>
      <w:lang w:eastAsia="en-US"/>
    </w:rPr>
  </w:style>
  <w:style w:type="character" w:customStyle="1" w:styleId="Bullet0Char">
    <w:name w:val="Bullet+0 Char"/>
    <w:basedOn w:val="DefaultParagraphFont"/>
    <w:link w:val="Bullet0"/>
    <w:uiPriority w:val="2"/>
    <w:rsid w:val="0043792C"/>
    <w:rPr>
      <w:rFonts w:asciiTheme="minorHAnsi" w:eastAsiaTheme="minorHAnsi" w:hAnsiTheme="minorHAnsi" w:cs="Arial"/>
      <w:sz w:val="22"/>
      <w:szCs w:val="22"/>
      <w:lang w:eastAsia="en-US"/>
    </w:rPr>
  </w:style>
  <w:style w:type="paragraph" w:customStyle="1" w:styleId="TableFigureFooter">
    <w:name w:val="Table/Figure Footer"/>
    <w:basedOn w:val="Normal"/>
    <w:link w:val="TableFigureFooterChar"/>
    <w:qFormat/>
    <w:rsid w:val="000A2BE0"/>
    <w:pPr>
      <w:spacing w:after="120"/>
      <w:contextualSpacing/>
    </w:pPr>
    <w:rPr>
      <w:rFonts w:ascii="Arial Narrow" w:eastAsiaTheme="minorEastAsia" w:hAnsi="Arial Narrow"/>
      <w:snapToGrid w:val="0"/>
      <w:sz w:val="18"/>
      <w:szCs w:val="22"/>
    </w:rPr>
  </w:style>
  <w:style w:type="character" w:customStyle="1" w:styleId="TableFigureFooterChar">
    <w:name w:val="Table/Figure Footer Char"/>
    <w:link w:val="TableFigureFooter"/>
    <w:rsid w:val="000A2BE0"/>
    <w:rPr>
      <w:rFonts w:ascii="Arial Narrow" w:eastAsiaTheme="minorEastAsia" w:hAnsi="Arial Narrow" w:cs="Arial"/>
      <w:snapToGrid w:val="0"/>
      <w:sz w:val="18"/>
      <w:szCs w:val="22"/>
    </w:rPr>
  </w:style>
  <w:style w:type="character" w:customStyle="1" w:styleId="Heading1Char">
    <w:name w:val="Heading 1 Char"/>
    <w:basedOn w:val="DefaultParagraphFont"/>
    <w:link w:val="Heading1"/>
    <w:uiPriority w:val="1"/>
    <w:rsid w:val="00900E7E"/>
    <w:rPr>
      <w:rFonts w:ascii="Calibri" w:hAnsi="Calibri" w:cs="Arial"/>
      <w:b/>
      <w:caps/>
      <w:sz w:val="32"/>
      <w:szCs w:val="24"/>
    </w:rPr>
  </w:style>
  <w:style w:type="character" w:customStyle="1" w:styleId="Heading3Char">
    <w:name w:val="Heading 3 Char"/>
    <w:basedOn w:val="DefaultParagraphFont"/>
    <w:link w:val="Heading3"/>
    <w:rsid w:val="00900E7E"/>
    <w:rPr>
      <w:rFonts w:ascii="Calibri" w:hAnsi="Calibri" w:cs="Arial"/>
      <w:sz w:val="24"/>
      <w:szCs w:val="24"/>
      <w:u w:val="single"/>
    </w:rPr>
  </w:style>
  <w:style w:type="character" w:customStyle="1" w:styleId="Heading4Char">
    <w:name w:val="Heading 4 Char"/>
    <w:basedOn w:val="DefaultParagraphFont"/>
    <w:link w:val="Heading4"/>
    <w:rsid w:val="00900E7E"/>
    <w:rPr>
      <w:rFonts w:ascii="Calibri" w:hAnsi="Calibri" w:cs="Arial"/>
      <w:b/>
      <w:bCs/>
      <w:i/>
      <w:sz w:val="26"/>
      <w:szCs w:val="28"/>
    </w:rPr>
  </w:style>
  <w:style w:type="character" w:customStyle="1" w:styleId="Heading5Char">
    <w:name w:val="Heading 5 Char"/>
    <w:basedOn w:val="DefaultParagraphFont"/>
    <w:link w:val="Heading5"/>
    <w:rsid w:val="00900E7E"/>
    <w:rPr>
      <w:rFonts w:ascii="Calibri" w:hAnsi="Calibri" w:cs="Arial"/>
      <w:b/>
      <w:bCs/>
      <w:iCs/>
      <w:sz w:val="26"/>
      <w:szCs w:val="26"/>
    </w:rPr>
  </w:style>
  <w:style w:type="character" w:customStyle="1" w:styleId="Heading6Char">
    <w:name w:val="Heading 6 Char"/>
    <w:basedOn w:val="DefaultParagraphFont"/>
    <w:link w:val="Heading6"/>
    <w:rsid w:val="00900E7E"/>
    <w:rPr>
      <w:rFonts w:ascii="Calibri" w:hAnsi="Calibri" w:cs="Arial"/>
      <w:b/>
      <w:bCs/>
      <w:i/>
      <w:sz w:val="24"/>
      <w:szCs w:val="24"/>
    </w:rPr>
  </w:style>
  <w:style w:type="character" w:customStyle="1" w:styleId="CommentitalicsChar">
    <w:name w:val="Comment (italics) Char"/>
    <w:basedOn w:val="DefaultParagraphFont"/>
    <w:link w:val="Commentitalics"/>
    <w:rsid w:val="00900E7E"/>
    <w:rPr>
      <w:rFonts w:ascii="Calibri" w:hAnsi="Calibri" w:cs="Arial"/>
      <w:i/>
      <w:sz w:val="24"/>
      <w:szCs w:val="24"/>
    </w:rPr>
  </w:style>
  <w:style w:type="paragraph" w:customStyle="1" w:styleId="Tablebulletlist">
    <w:name w:val="Table bullet list"/>
    <w:basedOn w:val="Tabletextleft"/>
    <w:link w:val="TablebulletlistChar"/>
    <w:qFormat/>
    <w:rsid w:val="00900E7E"/>
    <w:pPr>
      <w:widowControl w:val="0"/>
      <w:numPr>
        <w:numId w:val="8"/>
      </w:numPr>
      <w:tabs>
        <w:tab w:val="left" w:pos="464"/>
      </w:tabs>
      <w:spacing w:before="34" w:after="0"/>
    </w:pPr>
    <w:rPr>
      <w:rFonts w:eastAsia="Calibri"/>
      <w:szCs w:val="18"/>
      <w:lang w:val="en-US"/>
    </w:rPr>
  </w:style>
  <w:style w:type="character" w:customStyle="1" w:styleId="TablebulletlistChar">
    <w:name w:val="Table bullet list Char"/>
    <w:basedOn w:val="TabletextleftChar"/>
    <w:link w:val="Tablebulletlist"/>
    <w:rsid w:val="00900E7E"/>
    <w:rPr>
      <w:rFonts w:asciiTheme="minorHAnsi" w:eastAsia="Calibri" w:hAnsiTheme="minorHAnsi"/>
      <w:sz w:val="18"/>
      <w:szCs w:val="18"/>
      <w:lang w:val="en-US"/>
    </w:rPr>
  </w:style>
  <w:style w:type="character" w:styleId="UnresolvedMention">
    <w:name w:val="Unresolved Mention"/>
    <w:basedOn w:val="DefaultParagraphFont"/>
    <w:uiPriority w:val="99"/>
    <w:semiHidden/>
    <w:unhideWhenUsed/>
    <w:rsid w:val="00900E7E"/>
    <w:rPr>
      <w:color w:val="605E5C"/>
      <w:shd w:val="clear" w:color="auto" w:fill="E1DFDD"/>
    </w:rPr>
  </w:style>
  <w:style w:type="character" w:customStyle="1" w:styleId="TableLeftChar">
    <w:name w:val="Table Left Char"/>
    <w:basedOn w:val="DefaultParagraphFont"/>
    <w:link w:val="TableLeft"/>
    <w:uiPriority w:val="99"/>
    <w:locked/>
    <w:rsid w:val="00900E7E"/>
    <w:rPr>
      <w:rFonts w:ascii="Calibri" w:hAnsi="Calibri" w:cs="Calibri"/>
      <w:szCs w:val="22"/>
      <w:lang w:eastAsia="en-US"/>
    </w:rPr>
  </w:style>
  <w:style w:type="paragraph" w:customStyle="1" w:styleId="TableLeft">
    <w:name w:val="Table Left"/>
    <w:basedOn w:val="Normal"/>
    <w:link w:val="TableLeftChar"/>
    <w:uiPriority w:val="99"/>
    <w:qFormat/>
    <w:rsid w:val="00900E7E"/>
    <w:pPr>
      <w:jc w:val="left"/>
    </w:pPr>
    <w:rPr>
      <w:rFonts w:cs="Calibri"/>
      <w:sz w:val="20"/>
      <w:szCs w:val="22"/>
      <w:lang w:eastAsia="en-US"/>
    </w:rPr>
  </w:style>
  <w:style w:type="character" w:customStyle="1" w:styleId="FontBold">
    <w:name w:val="Font Bold"/>
    <w:basedOn w:val="DefaultParagraphFont"/>
    <w:uiPriority w:val="1"/>
    <w:qFormat/>
    <w:rsid w:val="00900E7E"/>
    <w:rPr>
      <w:rFonts w:ascii="Calibri" w:hAnsi="Calibri" w:cs="Calibri" w:hint="default"/>
      <w:b/>
      <w:bCs w:val="0"/>
      <w:i w:val="0"/>
      <w:iCs w:val="0"/>
      <w:sz w:val="24"/>
    </w:rPr>
  </w:style>
  <w:style w:type="table" w:customStyle="1" w:styleId="HTATableshaded1">
    <w:name w:val="HTA Table shaded1"/>
    <w:basedOn w:val="TableNormal"/>
    <w:rsid w:val="00900E7E"/>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Dash0">
    <w:name w:val="Dash+0"/>
    <w:basedOn w:val="Normal"/>
    <w:uiPriority w:val="2"/>
    <w:rsid w:val="00900E7E"/>
    <w:pPr>
      <w:numPr>
        <w:numId w:val="9"/>
      </w:numPr>
      <w:tabs>
        <w:tab w:val="left" w:pos="1134"/>
      </w:tabs>
      <w:spacing w:line="276" w:lineRule="auto"/>
      <w:jc w:val="left"/>
    </w:pPr>
    <w:rPr>
      <w:rFonts w:asciiTheme="minorHAnsi" w:eastAsiaTheme="minorHAnsi" w:hAnsiTheme="minorHAnsi" w:cs="Tahoma"/>
      <w:color w:val="000000"/>
      <w:sz w:val="22"/>
      <w:szCs w:val="22"/>
    </w:rPr>
  </w:style>
  <w:style w:type="paragraph" w:customStyle="1" w:styleId="TableHyerlink">
    <w:name w:val="Table Hyerlink"/>
    <w:basedOn w:val="Tabletextleft"/>
    <w:qFormat/>
    <w:rsid w:val="00900E7E"/>
  </w:style>
  <w:style w:type="character" w:customStyle="1" w:styleId="TableHeadingChar">
    <w:name w:val="TableHeading Char"/>
    <w:link w:val="TableHeading"/>
    <w:uiPriority w:val="99"/>
    <w:rsid w:val="00900E7E"/>
    <w:rPr>
      <w:rFonts w:ascii="Arial Narrow" w:hAnsi="Arial Narrow" w:cs="Arial Narrow"/>
      <w:b/>
      <w:bCs/>
      <w:snapToGrid w:val="0"/>
      <w:szCs w:val="24"/>
    </w:rPr>
  </w:style>
  <w:style w:type="paragraph" w:customStyle="1" w:styleId="HeadingA2">
    <w:name w:val="HeadingA 2"/>
    <w:basedOn w:val="Heading2"/>
    <w:qFormat/>
    <w:rsid w:val="00900E7E"/>
    <w:pPr>
      <w:keepNext/>
      <w:keepLines/>
      <w:spacing w:after="200" w:line="276" w:lineRule="auto"/>
      <w:ind w:left="1440" w:hanging="360"/>
      <w:jc w:val="left"/>
    </w:pPr>
    <w:rPr>
      <w:rFonts w:ascii="Tahoma" w:eastAsiaTheme="minorHAnsi" w:hAnsi="Tahoma" w:cs="Tahoma"/>
      <w:b w:val="0"/>
      <w:i w:val="0"/>
      <w:sz w:val="32"/>
      <w:szCs w:val="22"/>
      <w:lang w:eastAsia="en-US"/>
    </w:rPr>
  </w:style>
  <w:style w:type="paragraph" w:customStyle="1" w:styleId="HeadingA3">
    <w:name w:val="HeadingA 3"/>
    <w:basedOn w:val="Heading3"/>
    <w:qFormat/>
    <w:rsid w:val="00900E7E"/>
    <w:pPr>
      <w:keepNext/>
      <w:keepLines/>
      <w:spacing w:after="200" w:line="276" w:lineRule="auto"/>
      <w:ind w:left="2160" w:hanging="360"/>
      <w:jc w:val="left"/>
    </w:pPr>
    <w:rPr>
      <w:rFonts w:ascii="Tahoma" w:eastAsiaTheme="minorHAnsi" w:hAnsi="Tahoma" w:cs="Tahoma"/>
      <w:sz w:val="28"/>
      <w:szCs w:val="22"/>
      <w:u w:val="none"/>
      <w:lang w:eastAsia="en-US"/>
    </w:rPr>
  </w:style>
  <w:style w:type="paragraph" w:customStyle="1" w:styleId="HeadingA4">
    <w:name w:val="HeadingA 4"/>
    <w:basedOn w:val="Heading4"/>
    <w:qFormat/>
    <w:rsid w:val="00900E7E"/>
    <w:pPr>
      <w:keepLines/>
      <w:spacing w:before="0" w:after="200" w:line="276" w:lineRule="auto"/>
      <w:ind w:left="2880" w:hanging="360"/>
      <w:jc w:val="left"/>
    </w:pPr>
    <w:rPr>
      <w:rFonts w:ascii="Tahoma" w:eastAsiaTheme="minorHAnsi" w:hAnsi="Tahoma" w:cs="Tahoma"/>
      <w:b w:val="0"/>
      <w:bCs w:val="0"/>
      <w:i w:val="0"/>
      <w:szCs w:val="26"/>
      <w:lang w:eastAsia="en-US"/>
    </w:rPr>
  </w:style>
  <w:style w:type="table" w:customStyle="1" w:styleId="OPTUMTableNormal">
    <w:name w:val="OPTUM Table Normal"/>
    <w:basedOn w:val="TableNormal"/>
    <w:rsid w:val="00900E7E"/>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1">
    <w:name w:val="TableText"/>
    <w:basedOn w:val="Normal"/>
    <w:uiPriority w:val="99"/>
    <w:rsid w:val="00900E7E"/>
    <w:pPr>
      <w:keepNext/>
      <w:spacing w:before="40" w:after="40"/>
      <w:jc w:val="left"/>
    </w:pPr>
    <w:rPr>
      <w:rFonts w:ascii="Arial Narrow" w:eastAsia="SimSun" w:hAnsi="Arial Narrow" w:cs="Arial Narrow"/>
      <w:sz w:val="20"/>
      <w:szCs w:val="20"/>
      <w:lang w:eastAsia="en-US"/>
    </w:rPr>
  </w:style>
  <w:style w:type="paragraph" w:customStyle="1" w:styleId="tabletextleftjustified">
    <w:name w:val="table text left justified"/>
    <w:link w:val="tabletextleftjustifiedChar"/>
    <w:rsid w:val="00900E7E"/>
    <w:pPr>
      <w:spacing w:before="20" w:after="20"/>
    </w:pPr>
    <w:rPr>
      <w:lang w:val="en-US" w:eastAsia="en-US"/>
    </w:rPr>
  </w:style>
  <w:style w:type="character" w:customStyle="1" w:styleId="tabletextleftjustifiedChar">
    <w:name w:val="table text left justified Char"/>
    <w:link w:val="tabletextleftjustified"/>
    <w:locked/>
    <w:rsid w:val="00900E7E"/>
    <w:rPr>
      <w:lang w:val="en-US" w:eastAsia="en-US"/>
    </w:rPr>
  </w:style>
  <w:style w:type="character" w:customStyle="1" w:styleId="ui-provider">
    <w:name w:val="ui-provider"/>
    <w:basedOn w:val="DefaultParagraphFont"/>
    <w:rsid w:val="00900E7E"/>
  </w:style>
  <w:style w:type="paragraph" w:customStyle="1" w:styleId="RJWDGLevel4">
    <w:name w:val="RJW DG Level 4"/>
    <w:basedOn w:val="Normal"/>
    <w:uiPriority w:val="99"/>
    <w:qFormat/>
    <w:rsid w:val="00900E7E"/>
    <w:pPr>
      <w:spacing w:before="120" w:after="120" w:line="276" w:lineRule="auto"/>
      <w:jc w:val="left"/>
    </w:pPr>
    <w:rPr>
      <w:rFonts w:asciiTheme="minorHAnsi" w:eastAsiaTheme="minorEastAsia" w:hAnsiTheme="minorHAnsi" w:cstheme="minorBidi"/>
      <w:sz w:val="22"/>
      <w:szCs w:val="22"/>
      <w:lang w:val="en-US" w:eastAsia="en-US"/>
    </w:rPr>
  </w:style>
  <w:style w:type="paragraph" w:customStyle="1" w:styleId="TableListParagraph">
    <w:name w:val="Table List Paragraph"/>
    <w:basedOn w:val="TableText0"/>
    <w:link w:val="TableListParagraphChar"/>
    <w:uiPriority w:val="3"/>
    <w:qFormat/>
    <w:rsid w:val="00900E7E"/>
    <w:pPr>
      <w:keepNext w:val="0"/>
      <w:numPr>
        <w:numId w:val="10"/>
      </w:numPr>
    </w:pPr>
    <w:rPr>
      <w:rFonts w:ascii="Calibri Light" w:eastAsiaTheme="minorHAnsi" w:hAnsi="Calibri Light" w:cstheme="minorBidi"/>
      <w:bCs w:val="0"/>
      <w:sz w:val="18"/>
      <w:szCs w:val="22"/>
      <w:lang w:val="en-CA" w:eastAsia="en-US"/>
    </w:rPr>
  </w:style>
  <w:style w:type="character" w:customStyle="1" w:styleId="TableListParagraphChar">
    <w:name w:val="Table List Paragraph Char"/>
    <w:basedOn w:val="TableTextChar0"/>
    <w:link w:val="TableListParagraph"/>
    <w:uiPriority w:val="3"/>
    <w:rsid w:val="00900E7E"/>
    <w:rPr>
      <w:rFonts w:ascii="Calibri Light" w:eastAsiaTheme="minorHAnsi" w:hAnsi="Calibri Light" w:cstheme="minorBidi"/>
      <w:bCs w:val="0"/>
      <w:sz w:val="18"/>
      <w:szCs w:val="22"/>
      <w:lang w:val="en-CA" w:eastAsia="en-US"/>
    </w:rPr>
  </w:style>
  <w:style w:type="table" w:customStyle="1" w:styleId="GridTable1Light12">
    <w:name w:val="Grid Table 1 Light12"/>
    <w:basedOn w:val="TableNormal"/>
    <w:uiPriority w:val="46"/>
    <w:rsid w:val="00900E7E"/>
    <w:rPr>
      <w:rFonts w:asciiTheme="minorHAnsi" w:eastAsiaTheme="minorEastAsia" w:hAnsiTheme="minorHAnsi" w:cstheme="minorBidi"/>
      <w:sz w:val="22"/>
      <w:szCs w:val="22"/>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Heading0">
    <w:name w:val="Table Heading"/>
    <w:basedOn w:val="Normal"/>
    <w:qFormat/>
    <w:rsid w:val="00F86069"/>
    <w:pPr>
      <w:keepNext/>
      <w:spacing w:after="60"/>
      <w:jc w:val="left"/>
    </w:pPr>
    <w:rPr>
      <w:rFonts w:ascii="Arial Narrow" w:eastAsiaTheme="minorHAnsi" w:hAnsi="Arial Narrow" w:cstheme="minorBidi"/>
      <w:b/>
      <w:sz w:val="20"/>
      <w:szCs w:val="22"/>
      <w:lang w:eastAsia="en-US"/>
    </w:rPr>
  </w:style>
  <w:style w:type="character" w:customStyle="1" w:styleId="cf01">
    <w:name w:val="cf01"/>
    <w:basedOn w:val="DefaultParagraphFont"/>
    <w:rsid w:val="00F86069"/>
    <w:rPr>
      <w:rFonts w:ascii="Segoe UI" w:hAnsi="Segoe UI" w:cs="Segoe UI" w:hint="default"/>
      <w:i/>
      <w:iCs/>
      <w:sz w:val="18"/>
      <w:szCs w:val="18"/>
    </w:rPr>
  </w:style>
  <w:style w:type="paragraph" w:customStyle="1" w:styleId="pf0">
    <w:name w:val="pf0"/>
    <w:basedOn w:val="Normal"/>
    <w:rsid w:val="00F86069"/>
    <w:pPr>
      <w:spacing w:before="100" w:beforeAutospacing="1" w:after="100" w:afterAutospacing="1"/>
      <w:jc w:val="left"/>
    </w:pPr>
    <w:rPr>
      <w:rFonts w:ascii="Times New Roman" w:hAnsi="Times New Roman" w:cs="Times New Roman"/>
    </w:rPr>
  </w:style>
  <w:style w:type="character" w:customStyle="1" w:styleId="period">
    <w:name w:val="period"/>
    <w:basedOn w:val="DefaultParagraphFont"/>
    <w:rsid w:val="00687EAB"/>
  </w:style>
  <w:style w:type="character" w:customStyle="1" w:styleId="cit">
    <w:name w:val="cit"/>
    <w:basedOn w:val="DefaultParagraphFont"/>
    <w:rsid w:val="00687EAB"/>
  </w:style>
  <w:style w:type="paragraph" w:customStyle="1" w:styleId="xxmsonormal">
    <w:name w:val="x_xmsonormal"/>
    <w:basedOn w:val="Normal"/>
    <w:rsid w:val="00DD4FF2"/>
    <w:pPr>
      <w:spacing w:before="100" w:beforeAutospacing="1" w:after="100" w:afterAutospacing="1"/>
      <w:jc w:val="left"/>
    </w:pPr>
    <w:rPr>
      <w:rFonts w:ascii="Times New Roman" w:hAnsi="Times New Roman" w:cs="Times New Roman"/>
      <w:lang w:eastAsia="ja-JP"/>
    </w:rPr>
  </w:style>
  <w:style w:type="paragraph" w:customStyle="1" w:styleId="3-SubsectionHeading">
    <w:name w:val="3-Subsection Heading"/>
    <w:basedOn w:val="Heading2"/>
    <w:next w:val="Normal"/>
    <w:link w:val="3-SubsectionHeadingChar"/>
    <w:qFormat/>
    <w:rsid w:val="0005117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51171"/>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17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1268105">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5929822">
      <w:bodyDiv w:val="1"/>
      <w:marLeft w:val="0"/>
      <w:marRight w:val="0"/>
      <w:marTop w:val="0"/>
      <w:marBottom w:val="0"/>
      <w:divBdr>
        <w:top w:val="none" w:sz="0" w:space="0" w:color="auto"/>
        <w:left w:val="none" w:sz="0" w:space="0" w:color="auto"/>
        <w:bottom w:val="none" w:sz="0" w:space="0" w:color="auto"/>
        <w:right w:val="none" w:sz="0" w:space="0" w:color="auto"/>
      </w:divBdr>
    </w:div>
    <w:div w:id="515507673">
      <w:bodyDiv w:val="1"/>
      <w:marLeft w:val="0"/>
      <w:marRight w:val="0"/>
      <w:marTop w:val="0"/>
      <w:marBottom w:val="0"/>
      <w:divBdr>
        <w:top w:val="none" w:sz="0" w:space="0" w:color="auto"/>
        <w:left w:val="none" w:sz="0" w:space="0" w:color="auto"/>
        <w:bottom w:val="none" w:sz="0" w:space="0" w:color="auto"/>
        <w:right w:val="none" w:sz="0" w:space="0" w:color="auto"/>
      </w:divBdr>
    </w:div>
    <w:div w:id="589241354">
      <w:bodyDiv w:val="1"/>
      <w:marLeft w:val="0"/>
      <w:marRight w:val="0"/>
      <w:marTop w:val="0"/>
      <w:marBottom w:val="0"/>
      <w:divBdr>
        <w:top w:val="none" w:sz="0" w:space="0" w:color="auto"/>
        <w:left w:val="none" w:sz="0" w:space="0" w:color="auto"/>
        <w:bottom w:val="none" w:sz="0" w:space="0" w:color="auto"/>
        <w:right w:val="none" w:sz="0" w:space="0" w:color="auto"/>
      </w:divBdr>
    </w:div>
    <w:div w:id="68401286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9444197">
      <w:bodyDiv w:val="1"/>
      <w:marLeft w:val="0"/>
      <w:marRight w:val="0"/>
      <w:marTop w:val="0"/>
      <w:marBottom w:val="0"/>
      <w:divBdr>
        <w:top w:val="none" w:sz="0" w:space="0" w:color="auto"/>
        <w:left w:val="none" w:sz="0" w:space="0" w:color="auto"/>
        <w:bottom w:val="none" w:sz="0" w:space="0" w:color="auto"/>
        <w:right w:val="none" w:sz="0" w:space="0" w:color="auto"/>
      </w:divBdr>
    </w:div>
    <w:div w:id="1335692780">
      <w:bodyDiv w:val="1"/>
      <w:marLeft w:val="0"/>
      <w:marRight w:val="0"/>
      <w:marTop w:val="0"/>
      <w:marBottom w:val="0"/>
      <w:divBdr>
        <w:top w:val="none" w:sz="0" w:space="0" w:color="auto"/>
        <w:left w:val="none" w:sz="0" w:space="0" w:color="auto"/>
        <w:bottom w:val="none" w:sz="0" w:space="0" w:color="auto"/>
        <w:right w:val="none" w:sz="0" w:space="0" w:color="auto"/>
      </w:divBdr>
    </w:div>
    <w:div w:id="1529947216">
      <w:bodyDiv w:val="1"/>
      <w:marLeft w:val="0"/>
      <w:marRight w:val="0"/>
      <w:marTop w:val="0"/>
      <w:marBottom w:val="0"/>
      <w:divBdr>
        <w:top w:val="none" w:sz="0" w:space="0" w:color="auto"/>
        <w:left w:val="none" w:sz="0" w:space="0" w:color="auto"/>
        <w:bottom w:val="none" w:sz="0" w:space="0" w:color="auto"/>
        <w:right w:val="none" w:sz="0" w:space="0" w:color="auto"/>
      </w:divBdr>
      <w:divsChild>
        <w:div w:id="368189538">
          <w:marLeft w:val="360"/>
          <w:marRight w:val="0"/>
          <w:marTop w:val="200"/>
          <w:marBottom w:val="0"/>
          <w:divBdr>
            <w:top w:val="none" w:sz="0" w:space="0" w:color="auto"/>
            <w:left w:val="none" w:sz="0" w:space="0" w:color="auto"/>
            <w:bottom w:val="none" w:sz="0" w:space="0" w:color="auto"/>
            <w:right w:val="none" w:sz="0" w:space="0" w:color="auto"/>
          </w:divBdr>
        </w:div>
      </w:divsChild>
    </w:div>
    <w:div w:id="1565069989">
      <w:bodyDiv w:val="1"/>
      <w:marLeft w:val="0"/>
      <w:marRight w:val="0"/>
      <w:marTop w:val="0"/>
      <w:marBottom w:val="0"/>
      <w:divBdr>
        <w:top w:val="none" w:sz="0" w:space="0" w:color="auto"/>
        <w:left w:val="none" w:sz="0" w:space="0" w:color="auto"/>
        <w:bottom w:val="none" w:sz="0" w:space="0" w:color="auto"/>
        <w:right w:val="none" w:sz="0" w:space="0" w:color="auto"/>
      </w:divBdr>
    </w:div>
    <w:div w:id="1598253721">
      <w:bodyDiv w:val="1"/>
      <w:marLeft w:val="0"/>
      <w:marRight w:val="0"/>
      <w:marTop w:val="0"/>
      <w:marBottom w:val="0"/>
      <w:divBdr>
        <w:top w:val="none" w:sz="0" w:space="0" w:color="auto"/>
        <w:left w:val="none" w:sz="0" w:space="0" w:color="auto"/>
        <w:bottom w:val="none" w:sz="0" w:space="0" w:color="auto"/>
        <w:right w:val="none" w:sz="0" w:space="0" w:color="auto"/>
      </w:divBdr>
    </w:div>
    <w:div w:id="1599557705">
      <w:bodyDiv w:val="1"/>
      <w:marLeft w:val="0"/>
      <w:marRight w:val="0"/>
      <w:marTop w:val="0"/>
      <w:marBottom w:val="0"/>
      <w:divBdr>
        <w:top w:val="none" w:sz="0" w:space="0" w:color="auto"/>
        <w:left w:val="none" w:sz="0" w:space="0" w:color="auto"/>
        <w:bottom w:val="none" w:sz="0" w:space="0" w:color="auto"/>
        <w:right w:val="none" w:sz="0" w:space="0" w:color="auto"/>
      </w:divBdr>
      <w:divsChild>
        <w:div w:id="1978223951">
          <w:marLeft w:val="0"/>
          <w:marRight w:val="0"/>
          <w:marTop w:val="0"/>
          <w:marBottom w:val="0"/>
          <w:divBdr>
            <w:top w:val="none" w:sz="0" w:space="0" w:color="auto"/>
            <w:left w:val="none" w:sz="0" w:space="0" w:color="auto"/>
            <w:bottom w:val="none" w:sz="0" w:space="0" w:color="auto"/>
            <w:right w:val="none" w:sz="0" w:space="0" w:color="auto"/>
          </w:divBdr>
          <w:divsChild>
            <w:div w:id="1181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2194">
      <w:bodyDiv w:val="1"/>
      <w:marLeft w:val="0"/>
      <w:marRight w:val="0"/>
      <w:marTop w:val="0"/>
      <w:marBottom w:val="0"/>
      <w:divBdr>
        <w:top w:val="none" w:sz="0" w:space="0" w:color="auto"/>
        <w:left w:val="none" w:sz="0" w:space="0" w:color="auto"/>
        <w:bottom w:val="none" w:sz="0" w:space="0" w:color="auto"/>
        <w:right w:val="none" w:sz="0" w:space="0" w:color="auto"/>
      </w:divBdr>
    </w:div>
    <w:div w:id="1749109672">
      <w:bodyDiv w:val="1"/>
      <w:marLeft w:val="0"/>
      <w:marRight w:val="0"/>
      <w:marTop w:val="0"/>
      <w:marBottom w:val="0"/>
      <w:divBdr>
        <w:top w:val="none" w:sz="0" w:space="0" w:color="auto"/>
        <w:left w:val="none" w:sz="0" w:space="0" w:color="auto"/>
        <w:bottom w:val="none" w:sz="0" w:space="0" w:color="auto"/>
        <w:right w:val="none" w:sz="0" w:space="0" w:color="auto"/>
      </w:divBdr>
    </w:div>
    <w:div w:id="1762989606">
      <w:bodyDiv w:val="1"/>
      <w:marLeft w:val="0"/>
      <w:marRight w:val="0"/>
      <w:marTop w:val="0"/>
      <w:marBottom w:val="0"/>
      <w:divBdr>
        <w:top w:val="none" w:sz="0" w:space="0" w:color="auto"/>
        <w:left w:val="none" w:sz="0" w:space="0" w:color="auto"/>
        <w:bottom w:val="none" w:sz="0" w:space="0" w:color="auto"/>
        <w:right w:val="none" w:sz="0" w:space="0" w:color="auto"/>
      </w:divBdr>
    </w:div>
    <w:div w:id="1907690258">
      <w:bodyDiv w:val="1"/>
      <w:marLeft w:val="0"/>
      <w:marRight w:val="0"/>
      <w:marTop w:val="0"/>
      <w:marBottom w:val="0"/>
      <w:divBdr>
        <w:top w:val="none" w:sz="0" w:space="0" w:color="auto"/>
        <w:left w:val="none" w:sz="0" w:space="0" w:color="auto"/>
        <w:bottom w:val="none" w:sz="0" w:space="0" w:color="auto"/>
        <w:right w:val="none" w:sz="0" w:space="0" w:color="auto"/>
      </w:divBdr>
    </w:div>
    <w:div w:id="194688686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4919445">
      <w:bodyDiv w:val="1"/>
      <w:marLeft w:val="0"/>
      <w:marRight w:val="0"/>
      <w:marTop w:val="0"/>
      <w:marBottom w:val="0"/>
      <w:divBdr>
        <w:top w:val="none" w:sz="0" w:space="0" w:color="auto"/>
        <w:left w:val="none" w:sz="0" w:space="0" w:color="auto"/>
        <w:bottom w:val="none" w:sz="0" w:space="0" w:color="auto"/>
        <w:right w:val="none" w:sz="0" w:space="0" w:color="auto"/>
      </w:divBdr>
      <w:divsChild>
        <w:div w:id="427624854">
          <w:marLeft w:val="360"/>
          <w:marRight w:val="0"/>
          <w:marTop w:val="200"/>
          <w:marBottom w:val="0"/>
          <w:divBdr>
            <w:top w:val="none" w:sz="0" w:space="0" w:color="auto"/>
            <w:left w:val="none" w:sz="0" w:space="0" w:color="auto"/>
            <w:bottom w:val="none" w:sz="0" w:space="0" w:color="auto"/>
            <w:right w:val="none" w:sz="0" w:space="0" w:color="auto"/>
          </w:divBdr>
        </w:div>
        <w:div w:id="1228490590">
          <w:marLeft w:val="1080"/>
          <w:marRight w:val="0"/>
          <w:marTop w:val="100"/>
          <w:marBottom w:val="0"/>
          <w:divBdr>
            <w:top w:val="none" w:sz="0" w:space="0" w:color="auto"/>
            <w:left w:val="none" w:sz="0" w:space="0" w:color="auto"/>
            <w:bottom w:val="none" w:sz="0" w:space="0" w:color="auto"/>
            <w:right w:val="none" w:sz="0" w:space="0" w:color="auto"/>
          </w:divBdr>
        </w:div>
      </w:divsChild>
    </w:div>
    <w:div w:id="2031569885">
      <w:bodyDiv w:val="1"/>
      <w:marLeft w:val="0"/>
      <w:marRight w:val="0"/>
      <w:marTop w:val="0"/>
      <w:marBottom w:val="0"/>
      <w:divBdr>
        <w:top w:val="none" w:sz="0" w:space="0" w:color="auto"/>
        <w:left w:val="none" w:sz="0" w:space="0" w:color="auto"/>
        <w:bottom w:val="none" w:sz="0" w:space="0" w:color="auto"/>
        <w:right w:val="none" w:sz="0" w:space="0" w:color="auto"/>
      </w:divBdr>
    </w:div>
    <w:div w:id="2124762417">
      <w:bodyDiv w:val="1"/>
      <w:marLeft w:val="0"/>
      <w:marRight w:val="0"/>
      <w:marTop w:val="0"/>
      <w:marBottom w:val="0"/>
      <w:divBdr>
        <w:top w:val="none" w:sz="0" w:space="0" w:color="auto"/>
        <w:left w:val="none" w:sz="0" w:space="0" w:color="auto"/>
        <w:bottom w:val="none" w:sz="0" w:space="0" w:color="auto"/>
        <w:right w:val="none" w:sz="0" w:space="0" w:color="auto"/>
      </w:divBdr>
      <w:divsChild>
        <w:div w:id="18226227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vicesautralia.gov.au/hp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servicesautralia.gov.au/hpo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rvices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E57E3-7725-4ABF-8EB7-381EED7C3EE1}">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9536</Words>
  <Characters>52506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2023-10-25T02:29:00Z</dcterms:created>
  <dcterms:modified xsi:type="dcterms:W3CDTF">2023-10-25T02:31:00Z</dcterms:modified>
</cp:coreProperties>
</file>