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05844" w14:textId="02A844D3" w:rsidR="003165E3" w:rsidRDefault="00187A52" w:rsidP="00593DF6">
      <w:pPr>
        <w:pStyle w:val="1MainTitle"/>
        <w:jc w:val="left"/>
      </w:pPr>
      <w:r>
        <w:t>5.16</w:t>
      </w:r>
      <w:r w:rsidR="00872E8F">
        <w:tab/>
      </w:r>
      <w:r w:rsidR="00D10EEF">
        <w:t>ENOXAPARIN</w:t>
      </w:r>
      <w:r w:rsidR="70971A32">
        <w:t>,</w:t>
      </w:r>
    </w:p>
    <w:p w14:paraId="1EAE4AE2" w14:textId="560F1B44" w:rsidR="00D10EEF" w:rsidRDefault="00D10EEF" w:rsidP="00593DF6">
      <w:pPr>
        <w:pStyle w:val="1MainTitle"/>
        <w:ind w:firstLine="0"/>
        <w:jc w:val="left"/>
        <w:outlineLvl w:val="9"/>
      </w:pPr>
      <w:r>
        <w:t>Injection containing enoxaparin sodium 20</w:t>
      </w:r>
      <w:r w:rsidR="00E87762">
        <w:t> </w:t>
      </w:r>
      <w:r>
        <w:t>mg (2,000</w:t>
      </w:r>
      <w:r w:rsidR="00E87762">
        <w:t> </w:t>
      </w:r>
      <w:r>
        <w:t>I.U. anti-Xa) in 0.2 mL pre-filled syringe;</w:t>
      </w:r>
    </w:p>
    <w:p w14:paraId="1F7B9393" w14:textId="3E767C42" w:rsidR="00D10EEF" w:rsidRDefault="00D10EEF" w:rsidP="00593DF6">
      <w:pPr>
        <w:pStyle w:val="1MainTitle"/>
        <w:ind w:firstLine="0"/>
        <w:jc w:val="left"/>
        <w:outlineLvl w:val="9"/>
      </w:pPr>
      <w:r>
        <w:t>Injection containing enoxaparin sodium 40</w:t>
      </w:r>
      <w:r w:rsidR="00E87762">
        <w:t> </w:t>
      </w:r>
      <w:r>
        <w:t>mg (4,000</w:t>
      </w:r>
      <w:r w:rsidR="00E87762">
        <w:t> </w:t>
      </w:r>
      <w:r>
        <w:t>I.U. anti-Xa) in 0.4 mL pre-filled syringe;</w:t>
      </w:r>
    </w:p>
    <w:p w14:paraId="62D92F37" w14:textId="5CDEF3C6" w:rsidR="00D10EEF" w:rsidRDefault="00D10EEF" w:rsidP="00593DF6">
      <w:pPr>
        <w:pStyle w:val="1MainTitle"/>
        <w:ind w:firstLine="0"/>
        <w:jc w:val="left"/>
        <w:outlineLvl w:val="9"/>
      </w:pPr>
      <w:r>
        <w:t>Injection containing enoxaparin sodium 60</w:t>
      </w:r>
      <w:r w:rsidR="00E87762">
        <w:t> </w:t>
      </w:r>
      <w:r>
        <w:t>mg (6,000</w:t>
      </w:r>
      <w:r w:rsidR="00E87762">
        <w:t> </w:t>
      </w:r>
      <w:r>
        <w:t>I.U. anti-Xa) in 0.6 mL pre-filled syringe;</w:t>
      </w:r>
    </w:p>
    <w:p w14:paraId="40F52F64" w14:textId="1ECAE554" w:rsidR="00D10EEF" w:rsidRDefault="00D10EEF" w:rsidP="00593DF6">
      <w:pPr>
        <w:pStyle w:val="1MainTitle"/>
        <w:ind w:firstLine="0"/>
        <w:jc w:val="left"/>
        <w:outlineLvl w:val="9"/>
      </w:pPr>
      <w:r>
        <w:t>Injection containing enoxaparin sodium 80</w:t>
      </w:r>
      <w:r w:rsidR="00E87762">
        <w:t> </w:t>
      </w:r>
      <w:r>
        <w:t>mg (8,000</w:t>
      </w:r>
      <w:r w:rsidR="00E87762">
        <w:t> </w:t>
      </w:r>
      <w:r>
        <w:t>I.U. anti-Xa) in 0.8 mL pre-filled syringe;</w:t>
      </w:r>
    </w:p>
    <w:p w14:paraId="1927E413" w14:textId="0896A43A" w:rsidR="00D10EEF" w:rsidRDefault="00D10EEF" w:rsidP="00593DF6">
      <w:pPr>
        <w:pStyle w:val="1MainTitle"/>
        <w:ind w:firstLine="0"/>
        <w:jc w:val="left"/>
        <w:outlineLvl w:val="9"/>
      </w:pPr>
      <w:r>
        <w:t>Injection containing enoxaparin sodium 100</w:t>
      </w:r>
      <w:r w:rsidR="00E87762">
        <w:t> </w:t>
      </w:r>
      <w:r>
        <w:t>mg (10,000 I.U. anti-Xa) in 1 mL pre-filled syringe</w:t>
      </w:r>
      <w:r w:rsidR="006235F5">
        <w:t>,</w:t>
      </w:r>
    </w:p>
    <w:p w14:paraId="6FCF13B2" w14:textId="642C8438" w:rsidR="00E87762" w:rsidRDefault="00E87762" w:rsidP="00593DF6">
      <w:pPr>
        <w:pStyle w:val="1MainTitle"/>
        <w:ind w:firstLine="0"/>
        <w:jc w:val="left"/>
        <w:outlineLvl w:val="9"/>
      </w:pPr>
      <w:r>
        <w:t>Exarane</w:t>
      </w:r>
      <w:r w:rsidRPr="00D10EEF">
        <w:rPr>
          <w:vertAlign w:val="superscript"/>
        </w:rPr>
        <w:t>TM</w:t>
      </w:r>
      <w:r w:rsidR="006235F5">
        <w:t>,</w:t>
      </w:r>
    </w:p>
    <w:p w14:paraId="2A657117" w14:textId="0F04C7FE" w:rsidR="00D10EEF" w:rsidRDefault="00D10EEF" w:rsidP="00593DF6">
      <w:pPr>
        <w:pStyle w:val="1MainTitle"/>
        <w:ind w:firstLine="0"/>
        <w:jc w:val="left"/>
        <w:outlineLvl w:val="9"/>
      </w:pPr>
      <w:r>
        <w:t>Injection containing enoxaparin sodium 120</w:t>
      </w:r>
      <w:r w:rsidR="00E87762">
        <w:t> </w:t>
      </w:r>
      <w:r>
        <w:t>mg (12,000 I.U. anti-Xa) in 0.8 mL pre-filled syringe;</w:t>
      </w:r>
    </w:p>
    <w:p w14:paraId="181DB627" w14:textId="06E25768" w:rsidR="00872E8F" w:rsidRPr="007A5C88" w:rsidRDefault="00D10EEF" w:rsidP="00593DF6">
      <w:pPr>
        <w:pStyle w:val="1MainTitle"/>
        <w:ind w:firstLine="0"/>
        <w:jc w:val="left"/>
        <w:outlineLvl w:val="9"/>
      </w:pPr>
      <w:r>
        <w:t>Injection containing enoxaparin sodium 150</w:t>
      </w:r>
      <w:r w:rsidR="00E87762">
        <w:t> </w:t>
      </w:r>
      <w:r>
        <w:t>mg (15,000 I.U. anti-Xa) in 1 mL pre-filled syringe,</w:t>
      </w:r>
      <w:r w:rsidR="00872E8F">
        <w:br/>
      </w:r>
      <w:r>
        <w:t>Exarane Forte</w:t>
      </w:r>
      <w:r w:rsidRPr="00D10EEF">
        <w:rPr>
          <w:vertAlign w:val="superscript"/>
        </w:rPr>
        <w:t>TM</w:t>
      </w:r>
      <w:r w:rsidR="70971A32">
        <w:t>,</w:t>
      </w:r>
      <w:r w:rsidR="00872E8F">
        <w:br/>
      </w:r>
      <w:r w:rsidR="006235F5" w:rsidRPr="00D10EEF">
        <w:t>Juno Pharmaceuticals Pty Ltd</w:t>
      </w:r>
    </w:p>
    <w:p w14:paraId="5F4D54C1" w14:textId="29C95DE9" w:rsidR="00E11F44" w:rsidRPr="006233D1" w:rsidRDefault="007E490F" w:rsidP="00593DF6">
      <w:pPr>
        <w:pStyle w:val="2-SectionHeading"/>
        <w:rPr>
          <w:rFonts w:cstheme="minorHAnsi"/>
        </w:rPr>
      </w:pPr>
      <w:r w:rsidRPr="0033263D">
        <w:t xml:space="preserve">Purpose of </w:t>
      </w:r>
      <w:r w:rsidR="00FA0B04">
        <w:t>Submission</w:t>
      </w:r>
    </w:p>
    <w:p w14:paraId="5F20D5B0" w14:textId="1670E8E9" w:rsidR="00E11F44" w:rsidRDefault="006C6C10" w:rsidP="00593DF6">
      <w:pPr>
        <w:pStyle w:val="3Bodytext"/>
        <w:jc w:val="both"/>
        <w:rPr>
          <w:rFonts w:cstheme="minorHAnsi"/>
          <w:szCs w:val="24"/>
        </w:rPr>
      </w:pPr>
      <w:r w:rsidRPr="006233D1">
        <w:rPr>
          <w:rFonts w:cstheme="minorHAnsi"/>
          <w:szCs w:val="24"/>
        </w:rPr>
        <w:t xml:space="preserve">The Category </w:t>
      </w:r>
      <w:r w:rsidR="00E87762" w:rsidRPr="006233D1">
        <w:rPr>
          <w:rFonts w:cstheme="minorHAnsi"/>
          <w:szCs w:val="24"/>
        </w:rPr>
        <w:t xml:space="preserve">3 </w:t>
      </w:r>
      <w:r w:rsidRPr="006233D1">
        <w:rPr>
          <w:rFonts w:cstheme="minorHAnsi"/>
          <w:szCs w:val="24"/>
        </w:rPr>
        <w:t xml:space="preserve">submission </w:t>
      </w:r>
      <w:r w:rsidR="00414EB2">
        <w:rPr>
          <w:rFonts w:cstheme="minorHAnsi"/>
          <w:szCs w:val="24"/>
        </w:rPr>
        <w:t>requested the PBS listing of</w:t>
      </w:r>
      <w:r w:rsidR="00E11F44" w:rsidRPr="006233D1">
        <w:rPr>
          <w:rFonts w:cstheme="minorHAnsi"/>
          <w:szCs w:val="24"/>
        </w:rPr>
        <w:t xml:space="preserve"> a new biosimilar </w:t>
      </w:r>
      <w:r w:rsidR="00414EB2">
        <w:rPr>
          <w:rFonts w:cstheme="minorHAnsi"/>
          <w:szCs w:val="24"/>
        </w:rPr>
        <w:t>brand of</w:t>
      </w:r>
      <w:r w:rsidR="00414EB2" w:rsidRPr="006233D1">
        <w:rPr>
          <w:rFonts w:cstheme="minorHAnsi"/>
          <w:szCs w:val="24"/>
        </w:rPr>
        <w:t xml:space="preserve"> </w:t>
      </w:r>
      <w:r w:rsidR="006233D1" w:rsidRPr="006233D1">
        <w:rPr>
          <w:rFonts w:cstheme="minorHAnsi"/>
          <w:szCs w:val="24"/>
        </w:rPr>
        <w:t xml:space="preserve">enoxaparin </w:t>
      </w:r>
      <w:r w:rsidR="00414EB2">
        <w:rPr>
          <w:rFonts w:cstheme="minorHAnsi"/>
          <w:szCs w:val="24"/>
        </w:rPr>
        <w:t xml:space="preserve">(Exarane™) </w:t>
      </w:r>
      <w:r w:rsidR="008031DA" w:rsidRPr="008031DA">
        <w:rPr>
          <w:rFonts w:cstheme="minorHAnsi"/>
          <w:szCs w:val="24"/>
        </w:rPr>
        <w:t xml:space="preserve">on the General Schedule </w:t>
      </w:r>
      <w:r w:rsidR="00414EB2">
        <w:rPr>
          <w:rFonts w:cstheme="minorHAnsi"/>
          <w:szCs w:val="24"/>
        </w:rPr>
        <w:t>(</w:t>
      </w:r>
      <w:r w:rsidR="008031DA" w:rsidRPr="008031DA">
        <w:rPr>
          <w:rFonts w:cstheme="minorHAnsi"/>
          <w:szCs w:val="24"/>
        </w:rPr>
        <w:t>Section 85</w:t>
      </w:r>
      <w:r w:rsidR="00414EB2">
        <w:rPr>
          <w:rFonts w:cstheme="minorHAnsi"/>
          <w:szCs w:val="24"/>
        </w:rPr>
        <w:t>)</w:t>
      </w:r>
      <w:r w:rsidR="008031DA" w:rsidRPr="008031DA">
        <w:rPr>
          <w:rFonts w:cstheme="minorHAnsi"/>
          <w:szCs w:val="24"/>
        </w:rPr>
        <w:t xml:space="preserve"> </w:t>
      </w:r>
      <w:r w:rsidR="008C7DD2">
        <w:rPr>
          <w:rFonts w:cstheme="minorHAnsi"/>
          <w:szCs w:val="24"/>
        </w:rPr>
        <w:t>under the same circumstances</w:t>
      </w:r>
      <w:r w:rsidR="00C92F79" w:rsidRPr="00EF4580">
        <w:rPr>
          <w:rFonts w:cstheme="minorHAnsi"/>
          <w:szCs w:val="24"/>
        </w:rPr>
        <w:t xml:space="preserve"> </w:t>
      </w:r>
      <w:r w:rsidR="00E11F44" w:rsidRPr="00EF4580">
        <w:rPr>
          <w:rFonts w:cstheme="minorHAnsi"/>
          <w:szCs w:val="24"/>
        </w:rPr>
        <w:t xml:space="preserve">as </w:t>
      </w:r>
      <w:r w:rsidR="00C92F79">
        <w:rPr>
          <w:rFonts w:cstheme="minorHAnsi"/>
          <w:szCs w:val="24"/>
        </w:rPr>
        <w:t>the</w:t>
      </w:r>
      <w:r w:rsidR="00E11F44" w:rsidRPr="00EF4580">
        <w:rPr>
          <w:rFonts w:cstheme="minorHAnsi"/>
          <w:szCs w:val="24"/>
        </w:rPr>
        <w:t xml:space="preserve"> PBS-listed reference </w:t>
      </w:r>
      <w:r w:rsidR="00E11F44" w:rsidRPr="006233D1">
        <w:rPr>
          <w:rFonts w:cstheme="minorHAnsi"/>
          <w:szCs w:val="24"/>
        </w:rPr>
        <w:t xml:space="preserve">biologic </w:t>
      </w:r>
      <w:r w:rsidR="006233D1" w:rsidRPr="006233D1">
        <w:rPr>
          <w:rFonts w:cstheme="minorHAnsi"/>
          <w:szCs w:val="24"/>
        </w:rPr>
        <w:t xml:space="preserve">Clexane </w:t>
      </w:r>
      <w:r w:rsidR="00414EB2">
        <w:rPr>
          <w:rFonts w:cstheme="minorHAnsi"/>
          <w:szCs w:val="24"/>
        </w:rPr>
        <w:t>S</w:t>
      </w:r>
      <w:r w:rsidR="006233D1" w:rsidRPr="006233D1">
        <w:rPr>
          <w:rFonts w:cstheme="minorHAnsi"/>
          <w:szCs w:val="24"/>
        </w:rPr>
        <w:t>afety-</w:t>
      </w:r>
      <w:r w:rsidR="00414EB2">
        <w:rPr>
          <w:rFonts w:cstheme="minorHAnsi"/>
          <w:szCs w:val="24"/>
        </w:rPr>
        <w:t>L</w:t>
      </w:r>
      <w:r w:rsidR="006233D1" w:rsidRPr="006233D1">
        <w:rPr>
          <w:rFonts w:cstheme="minorHAnsi"/>
          <w:szCs w:val="24"/>
        </w:rPr>
        <w:t xml:space="preserve">ock® </w:t>
      </w:r>
      <w:r w:rsidR="00E11F44" w:rsidRPr="00EF4580">
        <w:rPr>
          <w:rFonts w:cstheme="minorHAnsi"/>
          <w:szCs w:val="24"/>
        </w:rPr>
        <w:t xml:space="preserve">for the </w:t>
      </w:r>
      <w:r w:rsidR="006233D1">
        <w:rPr>
          <w:rFonts w:cstheme="minorHAnsi"/>
          <w:szCs w:val="24"/>
        </w:rPr>
        <w:t>p</w:t>
      </w:r>
      <w:r w:rsidR="006233D1" w:rsidRPr="006233D1">
        <w:rPr>
          <w:rFonts w:cstheme="minorHAnsi"/>
          <w:szCs w:val="24"/>
        </w:rPr>
        <w:t>revention of thrombo-embolic disorders</w:t>
      </w:r>
      <w:r w:rsidR="00E11F44" w:rsidRPr="00EF4580">
        <w:rPr>
          <w:rFonts w:cstheme="minorHAnsi"/>
          <w:szCs w:val="24"/>
        </w:rPr>
        <w:t xml:space="preserve">. </w:t>
      </w:r>
    </w:p>
    <w:p w14:paraId="54D6562E" w14:textId="2D46DB2C" w:rsidR="00E11F44" w:rsidRPr="008031DA" w:rsidRDefault="00E87762" w:rsidP="00593DF6">
      <w:pPr>
        <w:pStyle w:val="3Bodytext"/>
        <w:jc w:val="both"/>
        <w:rPr>
          <w:rFonts w:cstheme="minorHAnsi"/>
          <w:szCs w:val="24"/>
        </w:rPr>
      </w:pPr>
      <w:r w:rsidRPr="008031DA">
        <w:rPr>
          <w:rFonts w:cstheme="minorHAnsi"/>
          <w:szCs w:val="24"/>
        </w:rPr>
        <w:t xml:space="preserve">The submission also requested </w:t>
      </w:r>
      <w:r w:rsidR="00414EB2">
        <w:rPr>
          <w:rFonts w:cstheme="minorHAnsi"/>
          <w:szCs w:val="24"/>
        </w:rPr>
        <w:t>listing</w:t>
      </w:r>
      <w:r w:rsidRPr="008031DA">
        <w:rPr>
          <w:rFonts w:cstheme="minorHAnsi"/>
          <w:szCs w:val="24"/>
        </w:rPr>
        <w:t xml:space="preserve"> of two new strengt</w:t>
      </w:r>
      <w:r w:rsidR="006233D1" w:rsidRPr="008031DA">
        <w:rPr>
          <w:rFonts w:cstheme="minorHAnsi"/>
          <w:szCs w:val="24"/>
        </w:rPr>
        <w:t>hs</w:t>
      </w:r>
      <w:r w:rsidR="008C7DD2">
        <w:rPr>
          <w:rFonts w:cstheme="minorHAnsi"/>
          <w:szCs w:val="24"/>
        </w:rPr>
        <w:t xml:space="preserve"> of enoxaparin</w:t>
      </w:r>
      <w:r w:rsidR="006233D1" w:rsidRPr="008031DA">
        <w:rPr>
          <w:rFonts w:cstheme="minorHAnsi"/>
          <w:szCs w:val="24"/>
        </w:rPr>
        <w:t xml:space="preserve">, </w:t>
      </w:r>
      <w:r w:rsidR="006233D1" w:rsidRPr="008031DA">
        <w:rPr>
          <w:rFonts w:cstheme="minorHAnsi"/>
          <w:bCs/>
          <w:szCs w:val="24"/>
        </w:rPr>
        <w:t>120 mg in 0.8 mL and</w:t>
      </w:r>
      <w:r w:rsidR="006233D1" w:rsidRPr="008031DA">
        <w:rPr>
          <w:rFonts w:cstheme="minorHAnsi"/>
          <w:szCs w:val="24"/>
        </w:rPr>
        <w:t xml:space="preserve"> 150 mg in 1 mL (Exarane Forte</w:t>
      </w:r>
      <w:r w:rsidR="005C1656">
        <w:rPr>
          <w:rFonts w:cstheme="minorHAnsi"/>
          <w:szCs w:val="24"/>
        </w:rPr>
        <w:t>™</w:t>
      </w:r>
      <w:r w:rsidR="006233D1" w:rsidRPr="008031DA">
        <w:rPr>
          <w:rFonts w:cstheme="minorHAnsi"/>
          <w:szCs w:val="24"/>
        </w:rPr>
        <w:t xml:space="preserve">) </w:t>
      </w:r>
      <w:r w:rsidR="00414EB2">
        <w:rPr>
          <w:rFonts w:cstheme="minorHAnsi"/>
          <w:szCs w:val="24"/>
        </w:rPr>
        <w:t>that are not currently on the PBS</w:t>
      </w:r>
      <w:r w:rsidR="005445A0">
        <w:rPr>
          <w:rFonts w:cstheme="minorHAnsi"/>
          <w:szCs w:val="24"/>
        </w:rPr>
        <w:t xml:space="preserve">, </w:t>
      </w:r>
      <w:r w:rsidR="005445A0" w:rsidRPr="00A30554">
        <w:rPr>
          <w:rFonts w:cstheme="minorHAnsi"/>
          <w:szCs w:val="24"/>
        </w:rPr>
        <w:t>under the same circumstances as the PBS-listed reference biologic Clexane Safety-Lock for the prevention of thrombo-embolic disorders.</w:t>
      </w:r>
      <w:r w:rsidR="00414EB2">
        <w:rPr>
          <w:rFonts w:cstheme="minorHAnsi"/>
          <w:szCs w:val="24"/>
        </w:rPr>
        <w:t xml:space="preserve"> </w:t>
      </w:r>
    </w:p>
    <w:p w14:paraId="3D1D4320" w14:textId="77777777" w:rsidR="007E490F" w:rsidRPr="00FD6D8E" w:rsidRDefault="007E490F" w:rsidP="00593DF6">
      <w:pPr>
        <w:pStyle w:val="2-SectionHeading"/>
        <w:numPr>
          <w:ilvl w:val="0"/>
          <w:numId w:val="2"/>
        </w:numPr>
      </w:pPr>
      <w:r w:rsidRPr="009E2E8E">
        <w:lastRenderedPageBreak/>
        <w:t>Background</w:t>
      </w:r>
      <w:r>
        <w:t xml:space="preserve"> </w:t>
      </w:r>
    </w:p>
    <w:p w14:paraId="0B9BA360" w14:textId="46464652" w:rsidR="00A30554" w:rsidRPr="00A30554" w:rsidRDefault="00EA37E4" w:rsidP="00593DF6">
      <w:pPr>
        <w:pStyle w:val="4-SubsectionHeading"/>
      </w:pPr>
      <w:r w:rsidRPr="00A30554">
        <w:t>Registration status</w:t>
      </w:r>
    </w:p>
    <w:p w14:paraId="6BA5CD13" w14:textId="2C031216" w:rsidR="0040269A" w:rsidRPr="00F626D5" w:rsidRDefault="00EB4BAE" w:rsidP="00593DF6">
      <w:pPr>
        <w:pStyle w:val="3Bodytext"/>
        <w:jc w:val="both"/>
        <w:rPr>
          <w:color w:val="000000" w:themeColor="text1"/>
          <w:szCs w:val="24"/>
        </w:rPr>
      </w:pPr>
      <w:r w:rsidRPr="00F063AE">
        <w:rPr>
          <w:rFonts w:cstheme="minorHAnsi"/>
          <w:szCs w:val="24"/>
        </w:rPr>
        <w:t xml:space="preserve">The TGA </w:t>
      </w:r>
      <w:r w:rsidR="00A3670E">
        <w:rPr>
          <w:rFonts w:cstheme="minorHAnsi"/>
          <w:szCs w:val="24"/>
        </w:rPr>
        <w:t>D</w:t>
      </w:r>
      <w:r w:rsidRPr="00F063AE">
        <w:rPr>
          <w:rFonts w:cstheme="minorHAnsi"/>
          <w:szCs w:val="24"/>
        </w:rPr>
        <w:t>elegate</w:t>
      </w:r>
      <w:r w:rsidR="00A3670E">
        <w:rPr>
          <w:rFonts w:cstheme="minorHAnsi"/>
          <w:szCs w:val="24"/>
        </w:rPr>
        <w:t>’s</w:t>
      </w:r>
      <w:r w:rsidRPr="00F063AE">
        <w:rPr>
          <w:rFonts w:cstheme="minorHAnsi"/>
          <w:szCs w:val="24"/>
        </w:rPr>
        <w:t xml:space="preserve"> </w:t>
      </w:r>
      <w:r w:rsidR="00A3670E">
        <w:rPr>
          <w:rFonts w:cstheme="minorHAnsi"/>
          <w:szCs w:val="24"/>
        </w:rPr>
        <w:t>O</w:t>
      </w:r>
      <w:r w:rsidR="008031DA" w:rsidRPr="00F063AE">
        <w:rPr>
          <w:rFonts w:cstheme="minorHAnsi"/>
          <w:szCs w:val="24"/>
        </w:rPr>
        <w:t>verview</w:t>
      </w:r>
      <w:r w:rsidR="00A3670E">
        <w:rPr>
          <w:rFonts w:cstheme="minorHAnsi"/>
          <w:szCs w:val="24"/>
        </w:rPr>
        <w:t xml:space="preserve"> (DO)</w:t>
      </w:r>
      <w:r w:rsidR="008031DA" w:rsidRPr="00F063AE">
        <w:rPr>
          <w:rFonts w:cstheme="minorHAnsi"/>
          <w:szCs w:val="24"/>
        </w:rPr>
        <w:t xml:space="preserve"> </w:t>
      </w:r>
      <w:r w:rsidR="0013188B" w:rsidRPr="00F063AE">
        <w:rPr>
          <w:rFonts w:cstheme="minorHAnsi"/>
          <w:szCs w:val="24"/>
        </w:rPr>
        <w:t xml:space="preserve">was </w:t>
      </w:r>
      <w:r w:rsidR="0040269A">
        <w:rPr>
          <w:rFonts w:cstheme="minorHAnsi"/>
          <w:szCs w:val="24"/>
        </w:rPr>
        <w:t>supportive of registering</w:t>
      </w:r>
      <w:r w:rsidR="00A3670E">
        <w:rPr>
          <w:rFonts w:cstheme="minorHAnsi"/>
          <w:szCs w:val="24"/>
        </w:rPr>
        <w:t xml:space="preserve"> Exarane and Exarane</w:t>
      </w:r>
      <w:r w:rsidR="00A37767">
        <w:rPr>
          <w:rFonts w:cstheme="minorHAnsi"/>
          <w:szCs w:val="24"/>
        </w:rPr>
        <w:t> </w:t>
      </w:r>
      <w:r w:rsidR="00A3670E">
        <w:rPr>
          <w:rFonts w:cstheme="minorHAnsi"/>
          <w:szCs w:val="24"/>
        </w:rPr>
        <w:t>Forte</w:t>
      </w:r>
      <w:r w:rsidR="0040269A">
        <w:rPr>
          <w:rFonts w:cstheme="minorHAnsi"/>
          <w:szCs w:val="24"/>
        </w:rPr>
        <w:t xml:space="preserve"> with the same indications </w:t>
      </w:r>
      <w:r w:rsidR="00B532E3">
        <w:rPr>
          <w:rFonts w:cstheme="minorHAnsi"/>
          <w:szCs w:val="24"/>
        </w:rPr>
        <w:t>as</w:t>
      </w:r>
      <w:r w:rsidR="00EA37E4">
        <w:rPr>
          <w:rFonts w:cstheme="minorHAnsi"/>
          <w:szCs w:val="24"/>
        </w:rPr>
        <w:t xml:space="preserve"> the reference brand</w:t>
      </w:r>
      <w:r w:rsidR="00B532E3">
        <w:rPr>
          <w:rFonts w:cstheme="minorHAnsi"/>
          <w:szCs w:val="24"/>
        </w:rPr>
        <w:t>,</w:t>
      </w:r>
      <w:r w:rsidR="00A37767">
        <w:rPr>
          <w:rFonts w:cstheme="minorHAnsi"/>
          <w:szCs w:val="24"/>
        </w:rPr>
        <w:t xml:space="preserve"> </w:t>
      </w:r>
      <w:r w:rsidR="0040269A">
        <w:rPr>
          <w:rFonts w:cstheme="minorHAnsi"/>
          <w:szCs w:val="24"/>
        </w:rPr>
        <w:t>Clexane</w:t>
      </w:r>
      <w:r w:rsidR="00CB57E8">
        <w:rPr>
          <w:rFonts w:cstheme="minorHAnsi"/>
          <w:szCs w:val="24"/>
        </w:rPr>
        <w:t>®</w:t>
      </w:r>
      <w:r w:rsidR="00EC6C8C">
        <w:rPr>
          <w:rFonts w:cstheme="minorHAnsi"/>
          <w:szCs w:val="24"/>
        </w:rPr>
        <w:t xml:space="preserve">. </w:t>
      </w:r>
    </w:p>
    <w:p w14:paraId="7EB72F0D" w14:textId="2CF40486" w:rsidR="0013188B" w:rsidRPr="007E4ECE" w:rsidRDefault="0040269A" w:rsidP="00593DF6">
      <w:pPr>
        <w:pStyle w:val="3Bodytext"/>
        <w:jc w:val="both"/>
        <w:rPr>
          <w:color w:val="000000" w:themeColor="text1"/>
          <w:szCs w:val="24"/>
        </w:rPr>
      </w:pPr>
      <w:r>
        <w:rPr>
          <w:rFonts w:cstheme="minorHAnsi"/>
          <w:szCs w:val="24"/>
        </w:rPr>
        <w:t>The Delegate was satisfied of the biosimilarity of Exarane and Exarane Forte with Clexane</w:t>
      </w:r>
      <w:r w:rsidR="00EC6C8C">
        <w:rPr>
          <w:rFonts w:cstheme="minorHAnsi"/>
          <w:szCs w:val="24"/>
        </w:rPr>
        <w:t>.</w:t>
      </w:r>
      <w:r w:rsidR="00CB57E8" w:rsidRPr="00CB57E8">
        <w:rPr>
          <w:rFonts w:cstheme="minorHAnsi"/>
          <w:szCs w:val="24"/>
        </w:rPr>
        <w:t xml:space="preserve"> </w:t>
      </w:r>
      <w:bookmarkStart w:id="0" w:name="_Hlk136871103"/>
      <w:r w:rsidR="00CA5403">
        <w:rPr>
          <w:rFonts w:cstheme="minorHAnsi"/>
          <w:szCs w:val="24"/>
        </w:rPr>
        <w:t>T</w:t>
      </w:r>
      <w:r w:rsidR="00CB57E8">
        <w:rPr>
          <w:rFonts w:cstheme="minorHAnsi"/>
          <w:szCs w:val="24"/>
        </w:rPr>
        <w:t>he TGA evaluation report uses the term Clexane to refer to both Clexane and Clexane Safety-Lock brands, therefore it can be inferred that the TGA DO was satisfied of the biosimilarity of Exarane and Exarane Forte with Clexane Safety-Lock.</w:t>
      </w:r>
    </w:p>
    <w:p w14:paraId="285E5A6E" w14:textId="02B0AF76" w:rsidR="00FD717D" w:rsidRPr="0074121C" w:rsidRDefault="00FD717D" w:rsidP="00593DF6">
      <w:pPr>
        <w:pStyle w:val="3Bodytext"/>
        <w:jc w:val="both"/>
        <w:rPr>
          <w:color w:val="000000" w:themeColor="text1"/>
          <w:szCs w:val="24"/>
        </w:rPr>
      </w:pPr>
      <w:r w:rsidRPr="00622870">
        <w:t>Exarane and Exarane Forte</w:t>
      </w:r>
      <w:r>
        <w:t xml:space="preserve"> were </w:t>
      </w:r>
      <w:r w:rsidR="00432DA2">
        <w:t>TGA approved</w:t>
      </w:r>
      <w:r>
        <w:t xml:space="preserve"> on 27 June 2023.</w:t>
      </w:r>
    </w:p>
    <w:bookmarkEnd w:id="0"/>
    <w:p w14:paraId="0094486E" w14:textId="6F1EA0BE" w:rsidR="007E490F" w:rsidRDefault="007E490F" w:rsidP="00593DF6">
      <w:pPr>
        <w:pStyle w:val="4-SubsectionHeading"/>
      </w:pPr>
      <w:r w:rsidRPr="0012749D">
        <w:t xml:space="preserve">Previous PBAC consideration </w:t>
      </w:r>
    </w:p>
    <w:p w14:paraId="56C938A2" w14:textId="18BB4BCF" w:rsidR="007E490F" w:rsidRPr="00622870" w:rsidRDefault="00622870" w:rsidP="00593DF6">
      <w:pPr>
        <w:pStyle w:val="3Bodytext"/>
        <w:jc w:val="both"/>
        <w:rPr>
          <w:i/>
        </w:rPr>
      </w:pPr>
      <w:r w:rsidRPr="00622870">
        <w:t xml:space="preserve">Exarane and Exarane Forte </w:t>
      </w:r>
      <w:r w:rsidR="007E490F" w:rsidRPr="00622870">
        <w:t>ha</w:t>
      </w:r>
      <w:r w:rsidR="00267978">
        <w:t>ve</w:t>
      </w:r>
      <w:r w:rsidR="007E490F" w:rsidRPr="00622870">
        <w:t xml:space="preserve"> not been </w:t>
      </w:r>
      <w:r w:rsidR="00267978">
        <w:t xml:space="preserve">previously </w:t>
      </w:r>
      <w:r w:rsidR="007E490F" w:rsidRPr="00622870">
        <w:t>considered by the PBAC</w:t>
      </w:r>
      <w:r w:rsidR="00267978">
        <w:t>.</w:t>
      </w:r>
      <w:r w:rsidR="0040269A">
        <w:t xml:space="preserve"> </w:t>
      </w:r>
    </w:p>
    <w:p w14:paraId="23C60233" w14:textId="0509861F" w:rsidR="00622870" w:rsidRDefault="000D365D" w:rsidP="00593DF6">
      <w:pPr>
        <w:pStyle w:val="3Bodytext"/>
        <w:jc w:val="both"/>
        <w:rPr>
          <w:iCs/>
        </w:rPr>
      </w:pPr>
      <w:r>
        <w:rPr>
          <w:iCs/>
        </w:rPr>
        <w:t>Clexane 20 mg/0.2 mL, 40 mg/0.4 mL, 60 mg/0.6 mL, 80 mg/0.8 mL and 100</w:t>
      </w:r>
      <w:r w:rsidR="00A30554">
        <w:rPr>
          <w:iCs/>
        </w:rPr>
        <w:t> </w:t>
      </w:r>
      <w:r>
        <w:rPr>
          <w:iCs/>
        </w:rPr>
        <w:t xml:space="preserve">mg/mL were delisted from the PBS on 1 </w:t>
      </w:r>
      <w:bookmarkStart w:id="1" w:name="_Hlk136871172"/>
      <w:r w:rsidR="009F6350">
        <w:rPr>
          <w:iCs/>
        </w:rPr>
        <w:t>October</w:t>
      </w:r>
      <w:bookmarkEnd w:id="1"/>
      <w:r w:rsidR="009F6350">
        <w:rPr>
          <w:iCs/>
        </w:rPr>
        <w:t xml:space="preserve"> </w:t>
      </w:r>
      <w:r>
        <w:rPr>
          <w:iCs/>
        </w:rPr>
        <w:t xml:space="preserve">2021. </w:t>
      </w:r>
      <w:r w:rsidR="00623750" w:rsidRPr="00623750">
        <w:rPr>
          <w:iCs/>
        </w:rPr>
        <w:t xml:space="preserve">Clexane Safety-Lock is currently the only </w:t>
      </w:r>
      <w:r w:rsidR="00267978">
        <w:rPr>
          <w:iCs/>
        </w:rPr>
        <w:t>PBS-</w:t>
      </w:r>
      <w:r w:rsidR="00623750" w:rsidRPr="00623750">
        <w:rPr>
          <w:iCs/>
        </w:rPr>
        <w:t>listed brand of enoxaparin</w:t>
      </w:r>
      <w:r w:rsidR="00267978">
        <w:rPr>
          <w:iCs/>
        </w:rPr>
        <w:t xml:space="preserve"> on the</w:t>
      </w:r>
      <w:r w:rsidR="003C1F9E">
        <w:rPr>
          <w:iCs/>
        </w:rPr>
        <w:t xml:space="preserve"> PBS. It has Unrestricted </w:t>
      </w:r>
      <w:r w:rsidR="008B2620">
        <w:rPr>
          <w:iCs/>
        </w:rPr>
        <w:t xml:space="preserve">Benefit </w:t>
      </w:r>
      <w:r w:rsidR="003C1F9E">
        <w:rPr>
          <w:iCs/>
        </w:rPr>
        <w:t>and Restricted Benefit listings on the</w:t>
      </w:r>
      <w:r w:rsidR="00267978">
        <w:rPr>
          <w:iCs/>
        </w:rPr>
        <w:t xml:space="preserve"> General Schedule </w:t>
      </w:r>
      <w:r w:rsidR="00A3670E">
        <w:rPr>
          <w:iCs/>
        </w:rPr>
        <w:t xml:space="preserve">for haemodialysis </w:t>
      </w:r>
      <w:r w:rsidR="00623750" w:rsidRPr="00623750">
        <w:rPr>
          <w:iCs/>
        </w:rPr>
        <w:t>in the</w:t>
      </w:r>
      <w:r w:rsidR="003C1F9E">
        <w:rPr>
          <w:iCs/>
        </w:rPr>
        <w:t xml:space="preserve"> following strengths:</w:t>
      </w:r>
      <w:r w:rsidR="00623750" w:rsidRPr="00623750">
        <w:rPr>
          <w:iCs/>
        </w:rPr>
        <w:t xml:space="preserve"> 20</w:t>
      </w:r>
      <w:r w:rsidR="00623750">
        <w:rPr>
          <w:iCs/>
        </w:rPr>
        <w:t> </w:t>
      </w:r>
      <w:r w:rsidR="00623750" w:rsidRPr="00623750">
        <w:rPr>
          <w:iCs/>
        </w:rPr>
        <w:t>mg/0.2</w:t>
      </w:r>
      <w:r w:rsidR="00623750">
        <w:rPr>
          <w:iCs/>
        </w:rPr>
        <w:t> </w:t>
      </w:r>
      <w:r w:rsidR="00623750" w:rsidRPr="00623750">
        <w:rPr>
          <w:iCs/>
        </w:rPr>
        <w:t>mL, 40 mg/0.4 mL, 60 mg/0.</w:t>
      </w:r>
      <w:r w:rsidR="00A30554" w:rsidRPr="00623750">
        <w:rPr>
          <w:iCs/>
        </w:rPr>
        <w:t>6</w:t>
      </w:r>
      <w:r w:rsidR="00A30554">
        <w:rPr>
          <w:iCs/>
        </w:rPr>
        <w:t> </w:t>
      </w:r>
      <w:r w:rsidR="00623750" w:rsidRPr="00623750">
        <w:rPr>
          <w:iCs/>
        </w:rPr>
        <w:t>mL, 80 mg/0.8 mL and 100 mg/mL.</w:t>
      </w:r>
      <w:r w:rsidR="00A3670E">
        <w:rPr>
          <w:iCs/>
        </w:rPr>
        <w:t xml:space="preserve"> </w:t>
      </w:r>
    </w:p>
    <w:p w14:paraId="022EFD9C" w14:textId="02EA7D34" w:rsidR="004F5B01" w:rsidRDefault="004F5B01" w:rsidP="00593DF6">
      <w:pPr>
        <w:pStyle w:val="3Bodytext"/>
        <w:jc w:val="both"/>
        <w:rPr>
          <w:iCs/>
        </w:rPr>
      </w:pPr>
      <w:r>
        <w:rPr>
          <w:iCs/>
        </w:rPr>
        <w:t>At its November 2014 meeting, the PBAC recommended that Clexane and Clexane Safety-Lock should be considered equivalent for the purposes of substitution (enoxaparin public summary document, November 2014).</w:t>
      </w:r>
    </w:p>
    <w:p w14:paraId="70309F25" w14:textId="14DDAFC4" w:rsidR="0040269A" w:rsidRPr="00A80D82" w:rsidRDefault="003C1F9E" w:rsidP="00593DF6">
      <w:pPr>
        <w:pStyle w:val="3Bodytext"/>
        <w:jc w:val="both"/>
        <w:rPr>
          <w:iCs/>
        </w:rPr>
      </w:pPr>
      <w:r>
        <w:rPr>
          <w:iCs/>
        </w:rPr>
        <w:t>At its</w:t>
      </w:r>
      <w:r w:rsidR="00267978">
        <w:rPr>
          <w:iCs/>
        </w:rPr>
        <w:t xml:space="preserve"> July 2019 meeting, the PBAC recommended the Unrestricted Benefit listing of Clexane Safety-Lock </w:t>
      </w:r>
      <w:r w:rsidR="00623750" w:rsidRPr="00623750">
        <w:rPr>
          <w:iCs/>
        </w:rPr>
        <w:t>120 mg/0.8 mL and 150 mg/mL</w:t>
      </w:r>
      <w:r w:rsidR="00267978">
        <w:rPr>
          <w:iCs/>
        </w:rPr>
        <w:t xml:space="preserve">. </w:t>
      </w:r>
      <w:r w:rsidR="008B2620">
        <w:rPr>
          <w:iCs/>
        </w:rPr>
        <w:t xml:space="preserve">At its </w:t>
      </w:r>
      <w:r w:rsidR="00267978">
        <w:rPr>
          <w:iCs/>
        </w:rPr>
        <w:t>July 2020 meeting, the PBAC recommended the Restricted Benefit and Unrestricted Benefit listing</w:t>
      </w:r>
      <w:r w:rsidR="008B2620">
        <w:rPr>
          <w:iCs/>
        </w:rPr>
        <w:t>s</w:t>
      </w:r>
      <w:r w:rsidR="00267978">
        <w:rPr>
          <w:iCs/>
        </w:rPr>
        <w:t xml:space="preserve"> of Enoxapo® 120</w:t>
      </w:r>
      <w:r w:rsidR="00A30554">
        <w:rPr>
          <w:iCs/>
        </w:rPr>
        <w:t> </w:t>
      </w:r>
      <w:r w:rsidR="00267978">
        <w:rPr>
          <w:iCs/>
        </w:rPr>
        <w:t>mg/0.8</w:t>
      </w:r>
      <w:r w:rsidR="00A30554">
        <w:rPr>
          <w:iCs/>
        </w:rPr>
        <w:t> </w:t>
      </w:r>
      <w:r w:rsidR="00267978">
        <w:rPr>
          <w:iCs/>
        </w:rPr>
        <w:t>mL and 150</w:t>
      </w:r>
      <w:r w:rsidR="00A30554">
        <w:rPr>
          <w:iCs/>
        </w:rPr>
        <w:t> </w:t>
      </w:r>
      <w:r w:rsidR="00267978">
        <w:rPr>
          <w:iCs/>
        </w:rPr>
        <w:t>mg/1</w:t>
      </w:r>
      <w:r w:rsidR="00A30554">
        <w:rPr>
          <w:iCs/>
        </w:rPr>
        <w:t> </w:t>
      </w:r>
      <w:r w:rsidR="00267978">
        <w:rPr>
          <w:iCs/>
        </w:rPr>
        <w:t xml:space="preserve">mL. </w:t>
      </w:r>
      <w:r w:rsidR="000D365D">
        <w:rPr>
          <w:iCs/>
        </w:rPr>
        <w:t xml:space="preserve">However, </w:t>
      </w:r>
      <w:r w:rsidR="008B2620">
        <w:rPr>
          <w:iCs/>
        </w:rPr>
        <w:t>neither of these recommendations has proceeded to PBS listing</w:t>
      </w:r>
      <w:r w:rsidR="00623750">
        <w:rPr>
          <w:iCs/>
        </w:rPr>
        <w:t>.</w:t>
      </w:r>
    </w:p>
    <w:p w14:paraId="1B8790B6" w14:textId="77777777" w:rsidR="00964A9F" w:rsidRDefault="00964A9F" w:rsidP="00593DF6">
      <w:pPr>
        <w:pStyle w:val="2-SectionHeading"/>
      </w:pPr>
      <w:r w:rsidRPr="009D507A">
        <w:t xml:space="preserve">Requested listing </w:t>
      </w:r>
    </w:p>
    <w:p w14:paraId="465F233B" w14:textId="507BD1BA" w:rsidR="0079778C" w:rsidRDefault="0079778C" w:rsidP="00593DF6">
      <w:pPr>
        <w:pStyle w:val="3Bodytext"/>
        <w:jc w:val="both"/>
      </w:pPr>
      <w:r w:rsidRPr="0079778C">
        <w:t>The submission requested listing E</w:t>
      </w:r>
      <w:r>
        <w:t>xarane</w:t>
      </w:r>
      <w:r w:rsidRPr="0079778C">
        <w:t xml:space="preserve"> </w:t>
      </w:r>
      <w:r w:rsidR="008C7DD2">
        <w:t>under the same circumstances</w:t>
      </w:r>
      <w:r w:rsidRPr="0079778C">
        <w:t xml:space="preserve"> as the currently </w:t>
      </w:r>
      <w:r w:rsidR="002C16DA">
        <w:t>PBS-</w:t>
      </w:r>
      <w:r w:rsidRPr="0079778C">
        <w:t>listed brand Clexane Safety-Lock</w:t>
      </w:r>
      <w:r w:rsidR="008E3A52">
        <w:t>, and also requested</w:t>
      </w:r>
      <w:r w:rsidRPr="0079778C">
        <w:t xml:space="preserve"> two new strengths </w:t>
      </w:r>
      <w:r w:rsidR="003C6B5B">
        <w:t xml:space="preserve">of </w:t>
      </w:r>
      <w:r w:rsidR="008E3A52">
        <w:t>enoxaparin (</w:t>
      </w:r>
      <w:r w:rsidR="002C16DA">
        <w:t>Exarane Forte</w:t>
      </w:r>
      <w:r w:rsidR="008E3A52">
        <w:t>):</w:t>
      </w:r>
      <w:r w:rsidR="00A80D82">
        <w:t xml:space="preserve"> </w:t>
      </w:r>
      <w:r w:rsidRPr="0079778C">
        <w:t>120 mg/0.8 mL and 150 mg/m</w:t>
      </w:r>
      <w:r w:rsidR="00435FFF">
        <w:t>L</w:t>
      </w:r>
      <w:r w:rsidR="00A37767">
        <w:t>.</w:t>
      </w:r>
    </w:p>
    <w:p w14:paraId="5F3BC7F3" w14:textId="31AF2580" w:rsidR="0079778C" w:rsidRPr="00CD75FA" w:rsidRDefault="0079778C" w:rsidP="00593DF6">
      <w:pPr>
        <w:pStyle w:val="3Bodytext"/>
        <w:jc w:val="both"/>
      </w:pPr>
      <w:r w:rsidRPr="0079778C">
        <w:t>The requested restriction is shown below. Secretariat suggested additions are in italics</w:t>
      </w:r>
      <w:r w:rsidR="00A37767">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850"/>
        <w:gridCol w:w="851"/>
        <w:gridCol w:w="850"/>
        <w:gridCol w:w="709"/>
        <w:gridCol w:w="1984"/>
      </w:tblGrid>
      <w:tr w:rsidR="0079778C" w:rsidRPr="0079778C" w14:paraId="2037AE47" w14:textId="77777777" w:rsidTr="0079778C">
        <w:trPr>
          <w:cantSplit/>
          <w:trHeight w:val="471"/>
        </w:trPr>
        <w:tc>
          <w:tcPr>
            <w:tcW w:w="3823" w:type="dxa"/>
          </w:tcPr>
          <w:p w14:paraId="13729F4E" w14:textId="77777777" w:rsidR="0079778C" w:rsidRPr="0079778C" w:rsidRDefault="0079778C" w:rsidP="00593DF6">
            <w:pPr>
              <w:keepNext/>
              <w:ind w:left="-108"/>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lastRenderedPageBreak/>
              <w:t>Name, Restriction,</w:t>
            </w:r>
          </w:p>
          <w:p w14:paraId="2F5627A3" w14:textId="77777777" w:rsidR="0079778C" w:rsidRPr="0079778C" w:rsidRDefault="0079778C" w:rsidP="00593DF6">
            <w:pPr>
              <w:keepNext/>
              <w:ind w:left="-108"/>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Manner of administration and form</w:t>
            </w:r>
          </w:p>
        </w:tc>
        <w:tc>
          <w:tcPr>
            <w:tcW w:w="850" w:type="dxa"/>
          </w:tcPr>
          <w:p w14:paraId="173B69D1" w14:textId="77777777" w:rsidR="0079778C" w:rsidRPr="0079778C" w:rsidRDefault="0079778C" w:rsidP="00593DF6">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PBS item code</w:t>
            </w:r>
          </w:p>
        </w:tc>
        <w:tc>
          <w:tcPr>
            <w:tcW w:w="851" w:type="dxa"/>
          </w:tcPr>
          <w:p w14:paraId="5D5722FB" w14:textId="77777777" w:rsidR="0079778C" w:rsidRPr="0079778C" w:rsidRDefault="0079778C" w:rsidP="00593DF6">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Max. qty packs</w:t>
            </w:r>
          </w:p>
        </w:tc>
        <w:tc>
          <w:tcPr>
            <w:tcW w:w="850" w:type="dxa"/>
          </w:tcPr>
          <w:p w14:paraId="72E5EFE4" w14:textId="77777777" w:rsidR="0079778C" w:rsidRPr="0079778C" w:rsidRDefault="0079778C" w:rsidP="00593DF6">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Max. qty units</w:t>
            </w:r>
          </w:p>
        </w:tc>
        <w:tc>
          <w:tcPr>
            <w:tcW w:w="709" w:type="dxa"/>
          </w:tcPr>
          <w:p w14:paraId="7A30EF91" w14:textId="77777777" w:rsidR="0079778C" w:rsidRPr="0079778C" w:rsidRDefault="0079778C" w:rsidP="00593DF6">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№.of</w:t>
            </w:r>
          </w:p>
          <w:p w14:paraId="426383B0" w14:textId="77777777" w:rsidR="0079778C" w:rsidRPr="0079778C" w:rsidRDefault="0079778C" w:rsidP="00593DF6">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Rpts</w:t>
            </w:r>
          </w:p>
        </w:tc>
        <w:tc>
          <w:tcPr>
            <w:tcW w:w="1984" w:type="dxa"/>
          </w:tcPr>
          <w:p w14:paraId="7EBFD412" w14:textId="77777777" w:rsidR="0079778C" w:rsidRPr="0079778C" w:rsidRDefault="0079778C" w:rsidP="00593DF6">
            <w:pPr>
              <w:keepNext/>
              <w:jc w:val="left"/>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Available brands</w:t>
            </w:r>
          </w:p>
        </w:tc>
      </w:tr>
      <w:tr w:rsidR="0079778C" w:rsidRPr="0079778C" w14:paraId="39C8A71D" w14:textId="77777777" w:rsidTr="00F626D5">
        <w:trPr>
          <w:cantSplit/>
          <w:trHeight w:val="761"/>
        </w:trPr>
        <w:tc>
          <w:tcPr>
            <w:tcW w:w="3823" w:type="dxa"/>
          </w:tcPr>
          <w:p w14:paraId="13259776" w14:textId="77777777" w:rsidR="0079778C" w:rsidRPr="0079778C" w:rsidRDefault="0079778C" w:rsidP="00593DF6">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 xml:space="preserve">ENOXAPARIN  </w:t>
            </w:r>
          </w:p>
          <w:p w14:paraId="24305027" w14:textId="77777777" w:rsidR="0079778C" w:rsidRPr="0079778C" w:rsidRDefault="0079778C" w:rsidP="00593DF6">
            <w:pPr>
              <w:keepNext/>
              <w:ind w:left="-108"/>
              <w:rPr>
                <w:rFonts w:ascii="Arial Narrow" w:eastAsia="Calibri" w:hAnsi="Arial Narrow" w:cs="Arial"/>
                <w:sz w:val="20"/>
                <w:szCs w:val="20"/>
                <w:lang w:eastAsia="en-US"/>
              </w:rPr>
            </w:pPr>
          </w:p>
          <w:p w14:paraId="6C7FAA2D" w14:textId="7C958004" w:rsidR="0079778C" w:rsidRPr="0079778C" w:rsidRDefault="0079778C" w:rsidP="00593DF6">
            <w:pPr>
              <w:keepNext/>
              <w:ind w:left="-108"/>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20 mg/0.2 mL injection, 10 x 0.2</w:t>
            </w:r>
            <w:r w:rsidR="00CD75FA">
              <w:rPr>
                <w:rFonts w:ascii="Arial Narrow" w:eastAsia="Calibri" w:hAnsi="Arial Narrow" w:cs="Arial"/>
                <w:sz w:val="20"/>
                <w:szCs w:val="20"/>
                <w:lang w:eastAsia="en-US"/>
              </w:rPr>
              <w:t> </w:t>
            </w:r>
            <w:r w:rsidRPr="0079778C">
              <w:rPr>
                <w:rFonts w:ascii="Arial Narrow" w:eastAsia="Calibri" w:hAnsi="Arial Narrow" w:cs="Arial"/>
                <w:sz w:val="20"/>
                <w:szCs w:val="20"/>
                <w:lang w:eastAsia="en-US"/>
              </w:rPr>
              <w:t>mL syringes</w:t>
            </w:r>
          </w:p>
        </w:tc>
        <w:tc>
          <w:tcPr>
            <w:tcW w:w="850" w:type="dxa"/>
          </w:tcPr>
          <w:p w14:paraId="78B08185" w14:textId="77777777" w:rsidR="0079778C" w:rsidRPr="0079778C" w:rsidRDefault="0079778C" w:rsidP="00593DF6">
            <w:pPr>
              <w:keepNext/>
              <w:jc w:val="center"/>
              <w:rPr>
                <w:rFonts w:ascii="Arial Narrow" w:eastAsia="Calibri" w:hAnsi="Arial Narrow" w:cs="Arial"/>
                <w:sz w:val="20"/>
                <w:szCs w:val="20"/>
                <w:lang w:eastAsia="en-US"/>
              </w:rPr>
            </w:pPr>
          </w:p>
          <w:p w14:paraId="2665D137" w14:textId="77777777" w:rsidR="0079778C" w:rsidRPr="0079778C" w:rsidRDefault="0079778C" w:rsidP="00593DF6">
            <w:pPr>
              <w:keepNext/>
              <w:ind w:left="-108"/>
              <w:jc w:val="center"/>
              <w:rPr>
                <w:rFonts w:ascii="Arial Narrow" w:eastAsia="Calibri" w:hAnsi="Arial Narrow" w:cs="Arial"/>
                <w:sz w:val="20"/>
                <w:szCs w:val="20"/>
                <w:lang w:eastAsia="en-US"/>
              </w:rPr>
            </w:pPr>
          </w:p>
          <w:p w14:paraId="2B17F53C" w14:textId="62884890" w:rsidR="0079778C" w:rsidRPr="0079778C" w:rsidRDefault="0079778C" w:rsidP="00593DF6">
            <w:pPr>
              <w:keepNext/>
              <w:ind w:left="-113"/>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8558K</w:t>
            </w:r>
          </w:p>
        </w:tc>
        <w:tc>
          <w:tcPr>
            <w:tcW w:w="851" w:type="dxa"/>
          </w:tcPr>
          <w:p w14:paraId="5127D8DC" w14:textId="77777777" w:rsidR="0079778C" w:rsidRPr="0079778C" w:rsidRDefault="0079778C" w:rsidP="00593DF6">
            <w:pPr>
              <w:keepNext/>
              <w:jc w:val="center"/>
              <w:rPr>
                <w:rFonts w:ascii="Arial Narrow" w:eastAsia="Calibri" w:hAnsi="Arial Narrow" w:cs="Arial"/>
                <w:sz w:val="20"/>
                <w:szCs w:val="20"/>
                <w:lang w:eastAsia="en-US"/>
              </w:rPr>
            </w:pPr>
          </w:p>
          <w:p w14:paraId="00B75681" w14:textId="77777777" w:rsidR="0079778C" w:rsidRPr="0079778C" w:rsidRDefault="0079778C" w:rsidP="00593DF6">
            <w:pPr>
              <w:keepNext/>
              <w:ind w:left="-108"/>
              <w:jc w:val="center"/>
              <w:rPr>
                <w:rFonts w:ascii="Arial Narrow" w:eastAsia="Calibri" w:hAnsi="Arial Narrow" w:cs="Arial"/>
                <w:sz w:val="20"/>
                <w:szCs w:val="20"/>
                <w:lang w:eastAsia="en-US"/>
              </w:rPr>
            </w:pPr>
          </w:p>
          <w:p w14:paraId="147E3987"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4971BF65" w14:textId="77777777" w:rsidR="0079778C" w:rsidRPr="0079778C" w:rsidRDefault="0079778C" w:rsidP="00593DF6">
            <w:pPr>
              <w:keepNext/>
              <w:ind w:left="-108"/>
              <w:jc w:val="center"/>
              <w:rPr>
                <w:rFonts w:ascii="Arial Narrow" w:eastAsia="Calibri" w:hAnsi="Arial Narrow" w:cs="Arial"/>
                <w:sz w:val="20"/>
                <w:szCs w:val="20"/>
                <w:lang w:eastAsia="en-US"/>
              </w:rPr>
            </w:pPr>
          </w:p>
          <w:p w14:paraId="61F3D6E7" w14:textId="77777777" w:rsidR="00623B3D" w:rsidRDefault="00623B3D" w:rsidP="00593DF6">
            <w:pPr>
              <w:keepNext/>
              <w:jc w:val="center"/>
              <w:rPr>
                <w:rFonts w:ascii="Arial Narrow" w:eastAsia="Calibri" w:hAnsi="Arial Narrow" w:cs="Arial"/>
                <w:sz w:val="20"/>
                <w:szCs w:val="20"/>
                <w:lang w:eastAsia="en-US"/>
              </w:rPr>
            </w:pPr>
          </w:p>
          <w:p w14:paraId="3F0D3CBD" w14:textId="5191D060"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79DFEEE8" w14:textId="77777777" w:rsidR="0079778C" w:rsidRPr="0079778C" w:rsidRDefault="0079778C" w:rsidP="00593DF6">
            <w:pPr>
              <w:keepNext/>
              <w:ind w:left="-108"/>
              <w:jc w:val="center"/>
              <w:rPr>
                <w:rFonts w:ascii="Arial Narrow" w:eastAsia="Calibri" w:hAnsi="Arial Narrow" w:cs="Arial"/>
                <w:sz w:val="20"/>
                <w:szCs w:val="20"/>
                <w:lang w:eastAsia="en-US"/>
              </w:rPr>
            </w:pPr>
          </w:p>
          <w:p w14:paraId="1EDD28BA" w14:textId="77777777" w:rsidR="0079778C" w:rsidRPr="0079778C" w:rsidRDefault="0079778C" w:rsidP="00593DF6">
            <w:pPr>
              <w:keepNext/>
              <w:ind w:left="-108"/>
              <w:jc w:val="center"/>
              <w:rPr>
                <w:rFonts w:ascii="Arial Narrow" w:eastAsia="Calibri" w:hAnsi="Arial Narrow" w:cs="Arial"/>
                <w:sz w:val="20"/>
                <w:szCs w:val="20"/>
                <w:lang w:eastAsia="en-US"/>
              </w:rPr>
            </w:pPr>
          </w:p>
          <w:p w14:paraId="5D0EBBE3" w14:textId="29F04EF6"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984" w:type="dxa"/>
            <w:vAlign w:val="center"/>
          </w:tcPr>
          <w:p w14:paraId="66AA2FE2" w14:textId="77777777" w:rsidR="0079778C" w:rsidRPr="0079778C" w:rsidRDefault="0079778C" w:rsidP="00593DF6">
            <w:pPr>
              <w:keepNext/>
              <w:jc w:val="left"/>
              <w:rPr>
                <w:rFonts w:ascii="Arial Narrow" w:eastAsia="Calibri" w:hAnsi="Arial Narrow" w:cs="Arial"/>
                <w:sz w:val="20"/>
                <w:szCs w:val="20"/>
                <w:vertAlign w:val="superscript"/>
                <w:lang w:eastAsia="en-US"/>
              </w:rPr>
            </w:pPr>
            <w:r w:rsidRPr="0079778C">
              <w:rPr>
                <w:rFonts w:ascii="Arial Narrow" w:eastAsia="Calibri" w:hAnsi="Arial Narrow" w:cs="Arial"/>
                <w:sz w:val="20"/>
                <w:szCs w:val="20"/>
                <w:lang w:eastAsia="en-US"/>
              </w:rPr>
              <w:t xml:space="preserve">Clexane Safety-Lock </w:t>
            </w:r>
            <w:r w:rsidRPr="0079778C">
              <w:rPr>
                <w:rFonts w:ascii="Arial Narrow" w:eastAsia="Calibri" w:hAnsi="Arial Narrow" w:cs="Arial"/>
                <w:sz w:val="20"/>
                <w:szCs w:val="20"/>
                <w:vertAlign w:val="superscript"/>
                <w:lang w:eastAsia="en-US"/>
              </w:rPr>
              <w:t>a</w:t>
            </w:r>
          </w:p>
          <w:p w14:paraId="3FF51F90" w14:textId="2F306206" w:rsidR="0079778C" w:rsidRPr="0079778C" w:rsidRDefault="00623B3D" w:rsidP="00593DF6">
            <w:pPr>
              <w:keepNext/>
              <w:jc w:val="left"/>
              <w:rPr>
                <w:rFonts w:ascii="Arial Narrow" w:eastAsia="Calibri" w:hAnsi="Arial Narrow" w:cs="Arial"/>
                <w:i/>
                <w:sz w:val="20"/>
                <w:szCs w:val="20"/>
                <w:vertAlign w:val="superscript"/>
                <w:lang w:eastAsia="en-US"/>
              </w:rPr>
            </w:pPr>
            <w:r w:rsidRPr="00623B3D">
              <w:rPr>
                <w:rFonts w:ascii="Arial Narrow" w:eastAsia="Calibri" w:hAnsi="Arial Narrow" w:cs="Arial"/>
                <w:sz w:val="20"/>
                <w:szCs w:val="20"/>
                <w:lang w:eastAsia="en-US"/>
              </w:rPr>
              <w:t>Exarane</w:t>
            </w:r>
            <w:r w:rsidR="0079778C" w:rsidRPr="0079778C">
              <w:rPr>
                <w:rFonts w:ascii="Arial Narrow" w:eastAsia="Calibri" w:hAnsi="Arial Narrow" w:cs="Arial"/>
                <w:sz w:val="20"/>
                <w:szCs w:val="20"/>
                <w:lang w:eastAsia="en-US"/>
              </w:rPr>
              <w:t xml:space="preserve"> </w:t>
            </w:r>
            <w:r w:rsidR="0079778C" w:rsidRPr="0079778C">
              <w:rPr>
                <w:rFonts w:ascii="Arial Narrow" w:eastAsia="Calibri" w:hAnsi="Arial Narrow" w:cs="Arial"/>
                <w:sz w:val="20"/>
                <w:szCs w:val="20"/>
                <w:vertAlign w:val="superscript"/>
                <w:lang w:eastAsia="en-US"/>
              </w:rPr>
              <w:t>a</w:t>
            </w:r>
          </w:p>
        </w:tc>
      </w:tr>
      <w:tr w:rsidR="0079778C" w:rsidRPr="0079778C" w14:paraId="4EB3D28C" w14:textId="77777777" w:rsidTr="00F626D5">
        <w:trPr>
          <w:cantSplit/>
          <w:trHeight w:val="347"/>
        </w:trPr>
        <w:tc>
          <w:tcPr>
            <w:tcW w:w="3823" w:type="dxa"/>
          </w:tcPr>
          <w:p w14:paraId="61BFC82B" w14:textId="77777777" w:rsidR="0079778C" w:rsidRPr="0079778C" w:rsidRDefault="0079778C" w:rsidP="00593DF6">
            <w:pPr>
              <w:keepNext/>
              <w:ind w:left="-115"/>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40 mg/0.4 mL injection, 10 x 0.4 mL syringes</w:t>
            </w:r>
          </w:p>
        </w:tc>
        <w:tc>
          <w:tcPr>
            <w:tcW w:w="850" w:type="dxa"/>
          </w:tcPr>
          <w:p w14:paraId="156F0226" w14:textId="77777777" w:rsidR="0079778C" w:rsidRPr="0079778C" w:rsidRDefault="0079778C" w:rsidP="00593DF6">
            <w:pPr>
              <w:keepNext/>
              <w:ind w:left="31" w:hanging="31"/>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8510X</w:t>
            </w:r>
          </w:p>
        </w:tc>
        <w:tc>
          <w:tcPr>
            <w:tcW w:w="851" w:type="dxa"/>
          </w:tcPr>
          <w:p w14:paraId="5EB22E31"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74A2E517"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10C2705C" w14:textId="2154A4B1"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984" w:type="dxa"/>
            <w:vAlign w:val="center"/>
          </w:tcPr>
          <w:p w14:paraId="289E2BD6" w14:textId="77777777" w:rsidR="00623B3D" w:rsidRPr="0079778C" w:rsidRDefault="00623B3D" w:rsidP="00593DF6">
            <w:pPr>
              <w:keepNext/>
              <w:jc w:val="left"/>
              <w:rPr>
                <w:rFonts w:ascii="Arial Narrow" w:eastAsia="Calibri" w:hAnsi="Arial Narrow" w:cs="Arial"/>
                <w:sz w:val="20"/>
                <w:szCs w:val="20"/>
                <w:vertAlign w:val="superscript"/>
                <w:lang w:eastAsia="en-US"/>
              </w:rPr>
            </w:pPr>
            <w:r w:rsidRPr="0079778C">
              <w:rPr>
                <w:rFonts w:ascii="Arial Narrow" w:eastAsia="Calibri" w:hAnsi="Arial Narrow" w:cs="Arial"/>
                <w:sz w:val="20"/>
                <w:szCs w:val="20"/>
                <w:lang w:eastAsia="en-US"/>
              </w:rPr>
              <w:t xml:space="preserve">Clexane Safety-Lock </w:t>
            </w:r>
            <w:r w:rsidRPr="0079778C">
              <w:rPr>
                <w:rFonts w:ascii="Arial Narrow" w:eastAsia="Calibri" w:hAnsi="Arial Narrow" w:cs="Arial"/>
                <w:sz w:val="20"/>
                <w:szCs w:val="20"/>
                <w:vertAlign w:val="superscript"/>
                <w:lang w:eastAsia="en-US"/>
              </w:rPr>
              <w:t>a</w:t>
            </w:r>
          </w:p>
          <w:p w14:paraId="1B636203" w14:textId="57046C4F" w:rsidR="0079778C" w:rsidRPr="0079778C" w:rsidRDefault="00623B3D" w:rsidP="00593DF6">
            <w:pPr>
              <w:keepNext/>
              <w:jc w:val="left"/>
              <w:rPr>
                <w:rFonts w:ascii="Arial Narrow" w:eastAsia="Calibri" w:hAnsi="Arial Narrow" w:cs="Arial"/>
                <w:i/>
                <w:sz w:val="20"/>
                <w:szCs w:val="20"/>
                <w:vertAlign w:val="superscript"/>
                <w:lang w:eastAsia="en-US"/>
              </w:rPr>
            </w:pPr>
            <w:r w:rsidRPr="00623B3D">
              <w:rPr>
                <w:rFonts w:ascii="Arial Narrow" w:eastAsia="Calibri" w:hAnsi="Arial Narrow" w:cs="Arial"/>
                <w:sz w:val="20"/>
                <w:szCs w:val="20"/>
                <w:lang w:eastAsia="en-US"/>
              </w:rPr>
              <w:t>Exarane</w:t>
            </w:r>
            <w:r w:rsidRPr="0079778C">
              <w:rPr>
                <w:rFonts w:ascii="Arial Narrow" w:eastAsia="Calibri" w:hAnsi="Arial Narrow" w:cs="Arial"/>
                <w:sz w:val="20"/>
                <w:szCs w:val="20"/>
                <w:lang w:eastAsia="en-US"/>
              </w:rPr>
              <w:t xml:space="preserve"> </w:t>
            </w:r>
            <w:r w:rsidRPr="0079778C">
              <w:rPr>
                <w:rFonts w:ascii="Arial Narrow" w:eastAsia="Calibri" w:hAnsi="Arial Narrow" w:cs="Arial"/>
                <w:sz w:val="20"/>
                <w:szCs w:val="20"/>
                <w:vertAlign w:val="superscript"/>
                <w:lang w:eastAsia="en-US"/>
              </w:rPr>
              <w:t>a</w:t>
            </w:r>
          </w:p>
        </w:tc>
      </w:tr>
      <w:tr w:rsidR="0079778C" w:rsidRPr="0079778C" w14:paraId="35475745" w14:textId="77777777" w:rsidTr="00F626D5">
        <w:trPr>
          <w:cantSplit/>
          <w:trHeight w:val="347"/>
        </w:trPr>
        <w:tc>
          <w:tcPr>
            <w:tcW w:w="3823" w:type="dxa"/>
          </w:tcPr>
          <w:p w14:paraId="63A12D4F" w14:textId="77777777" w:rsidR="0079778C" w:rsidRPr="0079778C" w:rsidRDefault="0079778C" w:rsidP="00593DF6">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60 mg/0.6 mL injection, 10 x 0.6 mL syringes</w:t>
            </w:r>
          </w:p>
        </w:tc>
        <w:tc>
          <w:tcPr>
            <w:tcW w:w="850" w:type="dxa"/>
          </w:tcPr>
          <w:p w14:paraId="3954117B" w14:textId="77777777" w:rsidR="0079778C" w:rsidRPr="0079778C" w:rsidRDefault="0079778C" w:rsidP="00593DF6">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8262W</w:t>
            </w:r>
          </w:p>
        </w:tc>
        <w:tc>
          <w:tcPr>
            <w:tcW w:w="851" w:type="dxa"/>
          </w:tcPr>
          <w:p w14:paraId="692F7718"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5CF8C4A2" w14:textId="77777777" w:rsidR="0079778C" w:rsidRPr="0079778C" w:rsidRDefault="0079778C" w:rsidP="00593DF6">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629FCB79" w14:textId="0AD8B4E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984" w:type="dxa"/>
            <w:vAlign w:val="center"/>
          </w:tcPr>
          <w:p w14:paraId="49C14109" w14:textId="77777777" w:rsidR="00623B3D" w:rsidRPr="0079778C" w:rsidRDefault="00623B3D" w:rsidP="00593DF6">
            <w:pPr>
              <w:keepNext/>
              <w:jc w:val="left"/>
              <w:rPr>
                <w:rFonts w:ascii="Arial Narrow" w:eastAsia="Calibri" w:hAnsi="Arial Narrow" w:cs="Arial"/>
                <w:sz w:val="20"/>
                <w:szCs w:val="20"/>
                <w:vertAlign w:val="superscript"/>
                <w:lang w:eastAsia="en-US"/>
              </w:rPr>
            </w:pPr>
            <w:r w:rsidRPr="0079778C">
              <w:rPr>
                <w:rFonts w:ascii="Arial Narrow" w:eastAsia="Calibri" w:hAnsi="Arial Narrow" w:cs="Arial"/>
                <w:sz w:val="20"/>
                <w:szCs w:val="20"/>
                <w:lang w:eastAsia="en-US"/>
              </w:rPr>
              <w:t xml:space="preserve">Clexane Safety-Lock </w:t>
            </w:r>
            <w:r w:rsidRPr="0079778C">
              <w:rPr>
                <w:rFonts w:ascii="Arial Narrow" w:eastAsia="Calibri" w:hAnsi="Arial Narrow" w:cs="Arial"/>
                <w:sz w:val="20"/>
                <w:szCs w:val="20"/>
                <w:vertAlign w:val="superscript"/>
                <w:lang w:eastAsia="en-US"/>
              </w:rPr>
              <w:t>a</w:t>
            </w:r>
          </w:p>
          <w:p w14:paraId="01625AF0" w14:textId="15E8C698" w:rsidR="0079778C" w:rsidRPr="0079778C" w:rsidRDefault="00623B3D" w:rsidP="00593DF6">
            <w:pPr>
              <w:keepNext/>
              <w:jc w:val="left"/>
              <w:rPr>
                <w:rFonts w:ascii="Arial Narrow" w:eastAsia="Calibri" w:hAnsi="Arial Narrow" w:cs="Arial"/>
                <w:i/>
                <w:sz w:val="20"/>
                <w:szCs w:val="20"/>
                <w:vertAlign w:val="superscript"/>
                <w:lang w:eastAsia="en-US"/>
              </w:rPr>
            </w:pPr>
            <w:r w:rsidRPr="00623B3D">
              <w:rPr>
                <w:rFonts w:ascii="Arial Narrow" w:eastAsia="Calibri" w:hAnsi="Arial Narrow" w:cs="Arial"/>
                <w:sz w:val="20"/>
                <w:szCs w:val="20"/>
                <w:lang w:eastAsia="en-US"/>
              </w:rPr>
              <w:t>Exarane</w:t>
            </w:r>
            <w:r w:rsidRPr="0079778C">
              <w:rPr>
                <w:rFonts w:ascii="Arial Narrow" w:eastAsia="Calibri" w:hAnsi="Arial Narrow" w:cs="Arial"/>
                <w:sz w:val="20"/>
                <w:szCs w:val="20"/>
                <w:lang w:eastAsia="en-US"/>
              </w:rPr>
              <w:t xml:space="preserve"> </w:t>
            </w:r>
            <w:r w:rsidRPr="0079778C">
              <w:rPr>
                <w:rFonts w:ascii="Arial Narrow" w:eastAsia="Calibri" w:hAnsi="Arial Narrow" w:cs="Arial"/>
                <w:sz w:val="20"/>
                <w:szCs w:val="20"/>
                <w:vertAlign w:val="superscript"/>
                <w:lang w:eastAsia="en-US"/>
              </w:rPr>
              <w:t>a</w:t>
            </w:r>
          </w:p>
        </w:tc>
      </w:tr>
      <w:tr w:rsidR="0079778C" w:rsidRPr="0079778C" w14:paraId="37EDDE93" w14:textId="77777777" w:rsidTr="00F626D5">
        <w:trPr>
          <w:cantSplit/>
          <w:trHeight w:val="327"/>
        </w:trPr>
        <w:tc>
          <w:tcPr>
            <w:tcW w:w="3823" w:type="dxa"/>
          </w:tcPr>
          <w:p w14:paraId="0CEBC0BF" w14:textId="77777777" w:rsidR="0079778C" w:rsidRPr="0079778C" w:rsidRDefault="0079778C" w:rsidP="00593DF6">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80 mg/0.8 mL injection, 10 x 0.8 mL syringes</w:t>
            </w:r>
          </w:p>
        </w:tc>
        <w:tc>
          <w:tcPr>
            <w:tcW w:w="850" w:type="dxa"/>
          </w:tcPr>
          <w:p w14:paraId="4B4E13B9"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8263X</w:t>
            </w:r>
          </w:p>
        </w:tc>
        <w:tc>
          <w:tcPr>
            <w:tcW w:w="851" w:type="dxa"/>
          </w:tcPr>
          <w:p w14:paraId="0D578879"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721B4719" w14:textId="77777777" w:rsidR="0079778C" w:rsidRPr="0079778C" w:rsidRDefault="0079778C" w:rsidP="00593DF6">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1BDF1800" w14:textId="211A5918"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984" w:type="dxa"/>
            <w:vAlign w:val="center"/>
          </w:tcPr>
          <w:p w14:paraId="073A16BF" w14:textId="77777777" w:rsidR="00623B3D" w:rsidRPr="0079778C" w:rsidRDefault="00623B3D" w:rsidP="00593DF6">
            <w:pPr>
              <w:keepNext/>
              <w:jc w:val="left"/>
              <w:rPr>
                <w:rFonts w:ascii="Arial Narrow" w:eastAsia="Calibri" w:hAnsi="Arial Narrow" w:cs="Arial"/>
                <w:sz w:val="20"/>
                <w:szCs w:val="20"/>
                <w:vertAlign w:val="superscript"/>
                <w:lang w:eastAsia="en-US"/>
              </w:rPr>
            </w:pPr>
            <w:r w:rsidRPr="0079778C">
              <w:rPr>
                <w:rFonts w:ascii="Arial Narrow" w:eastAsia="Calibri" w:hAnsi="Arial Narrow" w:cs="Arial"/>
                <w:sz w:val="20"/>
                <w:szCs w:val="20"/>
                <w:lang w:eastAsia="en-US"/>
              </w:rPr>
              <w:t xml:space="preserve">Clexane Safety-Lock </w:t>
            </w:r>
            <w:r w:rsidRPr="0079778C">
              <w:rPr>
                <w:rFonts w:ascii="Arial Narrow" w:eastAsia="Calibri" w:hAnsi="Arial Narrow" w:cs="Arial"/>
                <w:sz w:val="20"/>
                <w:szCs w:val="20"/>
                <w:vertAlign w:val="superscript"/>
                <w:lang w:eastAsia="en-US"/>
              </w:rPr>
              <w:t>a</w:t>
            </w:r>
          </w:p>
          <w:p w14:paraId="5D26E361" w14:textId="5A876265" w:rsidR="0079778C" w:rsidRPr="0079778C" w:rsidRDefault="00623B3D" w:rsidP="00593DF6">
            <w:pPr>
              <w:keepNext/>
              <w:jc w:val="left"/>
              <w:rPr>
                <w:rFonts w:ascii="Arial Narrow" w:eastAsia="Calibri" w:hAnsi="Arial Narrow" w:cs="Arial"/>
                <w:i/>
                <w:sz w:val="20"/>
                <w:szCs w:val="20"/>
                <w:vertAlign w:val="superscript"/>
                <w:lang w:eastAsia="en-US"/>
              </w:rPr>
            </w:pPr>
            <w:r w:rsidRPr="00623B3D">
              <w:rPr>
                <w:rFonts w:ascii="Arial Narrow" w:eastAsia="Calibri" w:hAnsi="Arial Narrow" w:cs="Arial"/>
                <w:sz w:val="20"/>
                <w:szCs w:val="20"/>
                <w:lang w:eastAsia="en-US"/>
              </w:rPr>
              <w:t>Exarane</w:t>
            </w:r>
            <w:r w:rsidRPr="0079778C">
              <w:rPr>
                <w:rFonts w:ascii="Arial Narrow" w:eastAsia="Calibri" w:hAnsi="Arial Narrow" w:cs="Arial"/>
                <w:sz w:val="20"/>
                <w:szCs w:val="20"/>
                <w:lang w:eastAsia="en-US"/>
              </w:rPr>
              <w:t xml:space="preserve"> </w:t>
            </w:r>
            <w:r w:rsidRPr="0079778C">
              <w:rPr>
                <w:rFonts w:ascii="Arial Narrow" w:eastAsia="Calibri" w:hAnsi="Arial Narrow" w:cs="Arial"/>
                <w:sz w:val="20"/>
                <w:szCs w:val="20"/>
                <w:vertAlign w:val="superscript"/>
                <w:lang w:eastAsia="en-US"/>
              </w:rPr>
              <w:t>a</w:t>
            </w:r>
          </w:p>
        </w:tc>
      </w:tr>
      <w:tr w:rsidR="0079778C" w:rsidRPr="0079778C" w14:paraId="3C3FA348" w14:textId="77777777" w:rsidTr="00F626D5">
        <w:trPr>
          <w:cantSplit/>
          <w:trHeight w:val="327"/>
        </w:trPr>
        <w:tc>
          <w:tcPr>
            <w:tcW w:w="3823" w:type="dxa"/>
          </w:tcPr>
          <w:p w14:paraId="3B807B2E" w14:textId="2649215C" w:rsidR="0079778C" w:rsidRPr="0079778C" w:rsidRDefault="0079778C" w:rsidP="00593DF6">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100 mg/mL injection, 10 x 1</w:t>
            </w:r>
            <w:r w:rsidR="00CD75FA">
              <w:rPr>
                <w:rFonts w:ascii="Arial Narrow" w:eastAsia="Calibri" w:hAnsi="Arial Narrow" w:cs="Arial"/>
                <w:sz w:val="20"/>
                <w:szCs w:val="20"/>
                <w:lang w:eastAsia="en-US"/>
              </w:rPr>
              <w:t> </w:t>
            </w:r>
            <w:r w:rsidRPr="0079778C">
              <w:rPr>
                <w:rFonts w:ascii="Arial Narrow" w:eastAsia="Calibri" w:hAnsi="Arial Narrow" w:cs="Arial"/>
                <w:sz w:val="20"/>
                <w:szCs w:val="20"/>
                <w:lang w:eastAsia="en-US"/>
              </w:rPr>
              <w:t>mL syringes</w:t>
            </w:r>
          </w:p>
        </w:tc>
        <w:tc>
          <w:tcPr>
            <w:tcW w:w="850" w:type="dxa"/>
          </w:tcPr>
          <w:p w14:paraId="4B025C04"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8264Y</w:t>
            </w:r>
          </w:p>
        </w:tc>
        <w:tc>
          <w:tcPr>
            <w:tcW w:w="851" w:type="dxa"/>
          </w:tcPr>
          <w:p w14:paraId="3490EA28"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3673DF2B" w14:textId="77777777" w:rsidR="0079778C" w:rsidRPr="0079778C" w:rsidRDefault="0079778C" w:rsidP="00593DF6">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787E9D77" w14:textId="36A0CAD3"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984" w:type="dxa"/>
            <w:vAlign w:val="center"/>
          </w:tcPr>
          <w:p w14:paraId="4305FDCF" w14:textId="77777777" w:rsidR="00623B3D" w:rsidRPr="0079778C" w:rsidRDefault="00623B3D" w:rsidP="00593DF6">
            <w:pPr>
              <w:keepNext/>
              <w:jc w:val="left"/>
              <w:rPr>
                <w:rFonts w:ascii="Arial Narrow" w:eastAsia="Calibri" w:hAnsi="Arial Narrow" w:cs="Arial"/>
                <w:sz w:val="20"/>
                <w:szCs w:val="20"/>
                <w:vertAlign w:val="superscript"/>
                <w:lang w:eastAsia="en-US"/>
              </w:rPr>
            </w:pPr>
            <w:r w:rsidRPr="0079778C">
              <w:rPr>
                <w:rFonts w:ascii="Arial Narrow" w:eastAsia="Calibri" w:hAnsi="Arial Narrow" w:cs="Arial"/>
                <w:sz w:val="20"/>
                <w:szCs w:val="20"/>
                <w:lang w:eastAsia="en-US"/>
              </w:rPr>
              <w:t xml:space="preserve">Clexane Safety-Lock </w:t>
            </w:r>
            <w:r w:rsidRPr="0079778C">
              <w:rPr>
                <w:rFonts w:ascii="Arial Narrow" w:eastAsia="Calibri" w:hAnsi="Arial Narrow" w:cs="Arial"/>
                <w:sz w:val="20"/>
                <w:szCs w:val="20"/>
                <w:vertAlign w:val="superscript"/>
                <w:lang w:eastAsia="en-US"/>
              </w:rPr>
              <w:t>a</w:t>
            </w:r>
          </w:p>
          <w:p w14:paraId="0B1B9569" w14:textId="57E6C75D" w:rsidR="0079778C" w:rsidRPr="0079778C" w:rsidRDefault="00623B3D" w:rsidP="00593DF6">
            <w:pPr>
              <w:keepNext/>
              <w:jc w:val="left"/>
              <w:rPr>
                <w:rFonts w:ascii="Arial Narrow" w:eastAsia="Calibri" w:hAnsi="Arial Narrow" w:cs="Arial"/>
                <w:i/>
                <w:sz w:val="20"/>
                <w:szCs w:val="20"/>
                <w:vertAlign w:val="superscript"/>
                <w:lang w:eastAsia="en-US"/>
              </w:rPr>
            </w:pPr>
            <w:r w:rsidRPr="00623B3D">
              <w:rPr>
                <w:rFonts w:ascii="Arial Narrow" w:eastAsia="Calibri" w:hAnsi="Arial Narrow" w:cs="Arial"/>
                <w:sz w:val="20"/>
                <w:szCs w:val="20"/>
                <w:lang w:eastAsia="en-US"/>
              </w:rPr>
              <w:t>Exarane</w:t>
            </w:r>
            <w:r w:rsidRPr="0079778C">
              <w:rPr>
                <w:rFonts w:ascii="Arial Narrow" w:eastAsia="Calibri" w:hAnsi="Arial Narrow" w:cs="Arial"/>
                <w:sz w:val="20"/>
                <w:szCs w:val="20"/>
                <w:lang w:eastAsia="en-US"/>
              </w:rPr>
              <w:t xml:space="preserve"> </w:t>
            </w:r>
            <w:r w:rsidRPr="0079778C">
              <w:rPr>
                <w:rFonts w:ascii="Arial Narrow" w:eastAsia="Calibri" w:hAnsi="Arial Narrow" w:cs="Arial"/>
                <w:sz w:val="20"/>
                <w:szCs w:val="20"/>
                <w:vertAlign w:val="superscript"/>
                <w:lang w:eastAsia="en-US"/>
              </w:rPr>
              <w:t>a</w:t>
            </w:r>
          </w:p>
        </w:tc>
      </w:tr>
      <w:tr w:rsidR="0079778C" w:rsidRPr="0079778C" w14:paraId="43D02896" w14:textId="77777777" w:rsidTr="00F626D5">
        <w:trPr>
          <w:cantSplit/>
          <w:trHeight w:val="327"/>
        </w:trPr>
        <w:tc>
          <w:tcPr>
            <w:tcW w:w="3823" w:type="dxa"/>
          </w:tcPr>
          <w:p w14:paraId="7067C39B" w14:textId="77777777" w:rsidR="0079778C" w:rsidRPr="0079778C" w:rsidRDefault="0079778C" w:rsidP="00593DF6">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120 mg/0.8 mL injection, 10 x 0.8 mL syringes</w:t>
            </w:r>
          </w:p>
        </w:tc>
        <w:tc>
          <w:tcPr>
            <w:tcW w:w="850" w:type="dxa"/>
          </w:tcPr>
          <w:p w14:paraId="57C806A5" w14:textId="77777777" w:rsidR="0079778C" w:rsidRPr="00F626D5" w:rsidRDefault="0079778C" w:rsidP="00593DF6">
            <w:pPr>
              <w:keepNext/>
              <w:jc w:val="center"/>
              <w:rPr>
                <w:rFonts w:ascii="Arial Narrow" w:eastAsia="Calibri" w:hAnsi="Arial Narrow" w:cs="Arial"/>
                <w:i/>
                <w:iCs/>
                <w:sz w:val="20"/>
                <w:szCs w:val="20"/>
                <w:lang w:eastAsia="en-US"/>
              </w:rPr>
            </w:pPr>
            <w:r w:rsidRPr="00F626D5">
              <w:rPr>
                <w:rFonts w:ascii="Arial Narrow" w:eastAsia="Calibri" w:hAnsi="Arial Narrow" w:cs="Arial"/>
                <w:i/>
                <w:iCs/>
                <w:sz w:val="20"/>
                <w:szCs w:val="20"/>
                <w:lang w:eastAsia="en-US"/>
              </w:rPr>
              <w:t>NEW</w:t>
            </w:r>
          </w:p>
        </w:tc>
        <w:tc>
          <w:tcPr>
            <w:tcW w:w="851" w:type="dxa"/>
          </w:tcPr>
          <w:p w14:paraId="2FB3D32A"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20B8C954" w14:textId="77777777" w:rsidR="0079778C" w:rsidRPr="0079778C" w:rsidRDefault="0079778C" w:rsidP="00593DF6">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6C105189"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984" w:type="dxa"/>
            <w:vAlign w:val="center"/>
          </w:tcPr>
          <w:p w14:paraId="4914F38C" w14:textId="0BEF8B41" w:rsidR="0079778C" w:rsidRPr="0079778C" w:rsidRDefault="00623B3D" w:rsidP="00593DF6">
            <w:pPr>
              <w:keepNext/>
              <w:jc w:val="left"/>
              <w:rPr>
                <w:rFonts w:ascii="Arial Narrow" w:eastAsia="Calibri" w:hAnsi="Arial Narrow" w:cs="Arial"/>
                <w:sz w:val="20"/>
                <w:szCs w:val="20"/>
                <w:lang w:eastAsia="en-US"/>
              </w:rPr>
            </w:pPr>
            <w:r w:rsidRPr="00623B3D">
              <w:rPr>
                <w:rFonts w:ascii="Arial Narrow" w:eastAsia="Calibri" w:hAnsi="Arial Narrow" w:cs="Arial"/>
                <w:sz w:val="20"/>
                <w:szCs w:val="20"/>
                <w:lang w:eastAsia="en-US"/>
              </w:rPr>
              <w:t>Exarane</w:t>
            </w:r>
            <w:r>
              <w:rPr>
                <w:rFonts w:ascii="Arial Narrow" w:eastAsia="Calibri" w:hAnsi="Arial Narrow" w:cs="Arial"/>
                <w:sz w:val="20"/>
                <w:szCs w:val="20"/>
                <w:lang w:eastAsia="en-US"/>
              </w:rPr>
              <w:t xml:space="preserve"> Forte</w:t>
            </w:r>
          </w:p>
        </w:tc>
      </w:tr>
      <w:tr w:rsidR="0079778C" w:rsidRPr="0079778C" w14:paraId="1596DEDE" w14:textId="77777777" w:rsidTr="00F626D5">
        <w:trPr>
          <w:cantSplit/>
          <w:trHeight w:val="327"/>
        </w:trPr>
        <w:tc>
          <w:tcPr>
            <w:tcW w:w="3823" w:type="dxa"/>
          </w:tcPr>
          <w:p w14:paraId="23B1DD75" w14:textId="13AF9CA9" w:rsidR="0079778C" w:rsidRPr="0079778C" w:rsidRDefault="0079778C" w:rsidP="00593DF6">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150 mg/mL injection, 10 x 1</w:t>
            </w:r>
            <w:r w:rsidR="00CD75FA">
              <w:rPr>
                <w:rFonts w:ascii="Arial Narrow" w:eastAsia="Calibri" w:hAnsi="Arial Narrow" w:cs="Arial"/>
                <w:sz w:val="20"/>
                <w:szCs w:val="20"/>
                <w:lang w:eastAsia="en-US"/>
              </w:rPr>
              <w:t> </w:t>
            </w:r>
            <w:r w:rsidRPr="0079778C">
              <w:rPr>
                <w:rFonts w:ascii="Arial Narrow" w:eastAsia="Calibri" w:hAnsi="Arial Narrow" w:cs="Arial"/>
                <w:sz w:val="20"/>
                <w:szCs w:val="20"/>
                <w:lang w:eastAsia="en-US"/>
              </w:rPr>
              <w:t>mL syringes</w:t>
            </w:r>
          </w:p>
        </w:tc>
        <w:tc>
          <w:tcPr>
            <w:tcW w:w="850" w:type="dxa"/>
          </w:tcPr>
          <w:p w14:paraId="7989989C" w14:textId="77777777" w:rsidR="0079778C" w:rsidRPr="00F626D5" w:rsidRDefault="0079778C" w:rsidP="00593DF6">
            <w:pPr>
              <w:keepNext/>
              <w:jc w:val="center"/>
              <w:rPr>
                <w:rFonts w:ascii="Arial Narrow" w:eastAsia="Calibri" w:hAnsi="Arial Narrow" w:cs="Arial"/>
                <w:i/>
                <w:iCs/>
                <w:sz w:val="20"/>
                <w:szCs w:val="20"/>
                <w:lang w:eastAsia="en-US"/>
              </w:rPr>
            </w:pPr>
            <w:r w:rsidRPr="00F626D5">
              <w:rPr>
                <w:rFonts w:ascii="Arial Narrow" w:eastAsia="Calibri" w:hAnsi="Arial Narrow" w:cs="Arial"/>
                <w:i/>
                <w:iCs/>
                <w:sz w:val="20"/>
                <w:szCs w:val="20"/>
                <w:lang w:eastAsia="en-US"/>
              </w:rPr>
              <w:t>NEW</w:t>
            </w:r>
          </w:p>
        </w:tc>
        <w:tc>
          <w:tcPr>
            <w:tcW w:w="851" w:type="dxa"/>
          </w:tcPr>
          <w:p w14:paraId="2EB080F9"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4450A44D" w14:textId="77777777" w:rsidR="0079778C" w:rsidRPr="0079778C" w:rsidRDefault="0079778C" w:rsidP="00593DF6">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64BC01A0"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984" w:type="dxa"/>
            <w:vAlign w:val="center"/>
          </w:tcPr>
          <w:p w14:paraId="1B97474C" w14:textId="3D1303FA" w:rsidR="0079778C" w:rsidRPr="0079778C" w:rsidRDefault="00623B3D" w:rsidP="00593DF6">
            <w:pPr>
              <w:keepNext/>
              <w:jc w:val="left"/>
              <w:rPr>
                <w:rFonts w:ascii="Arial Narrow" w:eastAsia="Calibri" w:hAnsi="Arial Narrow" w:cs="Arial"/>
                <w:sz w:val="20"/>
                <w:szCs w:val="20"/>
                <w:lang w:eastAsia="en-US"/>
              </w:rPr>
            </w:pPr>
            <w:r w:rsidRPr="00623B3D">
              <w:rPr>
                <w:rFonts w:ascii="Arial Narrow" w:eastAsia="Calibri" w:hAnsi="Arial Narrow" w:cs="Arial"/>
                <w:sz w:val="20"/>
                <w:szCs w:val="20"/>
                <w:lang w:eastAsia="en-US"/>
              </w:rPr>
              <w:t>Exarane</w:t>
            </w:r>
            <w:r>
              <w:rPr>
                <w:rFonts w:ascii="Arial Narrow" w:eastAsia="Calibri" w:hAnsi="Arial Narrow" w:cs="Arial"/>
                <w:sz w:val="20"/>
                <w:szCs w:val="20"/>
                <w:lang w:eastAsia="en-US"/>
              </w:rPr>
              <w:t xml:space="preserve"> Forte</w:t>
            </w:r>
          </w:p>
        </w:tc>
      </w:tr>
    </w:tbl>
    <w:p w14:paraId="57F09D39" w14:textId="77777777" w:rsidR="0079778C" w:rsidRPr="0079778C" w:rsidRDefault="0079778C" w:rsidP="00593DF6">
      <w:pPr>
        <w:rPr>
          <w:rFonts w:asciiTheme="minorHAnsi" w:hAnsiTheme="minorHAnsi"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1" w:type="dxa"/>
          <w:bottom w:w="28" w:type="dxa"/>
          <w:right w:w="51" w:type="dxa"/>
        </w:tblCellMar>
        <w:tblLook w:val="04A0" w:firstRow="1" w:lastRow="0" w:firstColumn="1" w:lastColumn="0" w:noHBand="0" w:noVBand="1"/>
      </w:tblPr>
      <w:tblGrid>
        <w:gridCol w:w="9016"/>
      </w:tblGrid>
      <w:tr w:rsidR="0079778C" w:rsidRPr="0079778C" w14:paraId="75115D4F" w14:textId="77777777" w:rsidTr="00623B3D">
        <w:tc>
          <w:tcPr>
            <w:tcW w:w="5000" w:type="pct"/>
            <w:tcBorders>
              <w:top w:val="single" w:sz="4" w:space="0" w:color="auto"/>
              <w:left w:val="single" w:sz="4" w:space="0" w:color="auto"/>
              <w:bottom w:val="single" w:sz="4" w:space="0" w:color="auto"/>
              <w:right w:val="single" w:sz="4" w:space="0" w:color="auto"/>
            </w:tcBorders>
          </w:tcPr>
          <w:p w14:paraId="44CC84D9" w14:textId="77777777" w:rsidR="0079778C" w:rsidRPr="0079778C" w:rsidRDefault="0079778C" w:rsidP="00593DF6">
            <w:pPr>
              <w:keepNext/>
              <w:keepLines/>
              <w:rPr>
                <w:rFonts w:ascii="Arial Narrow" w:eastAsia="Calibri" w:hAnsi="Arial Narrow" w:cs="Arial"/>
                <w:sz w:val="20"/>
                <w:szCs w:val="20"/>
                <w:lang w:eastAsia="en-US"/>
              </w:rPr>
            </w:pPr>
            <w:r w:rsidRPr="0079778C">
              <w:rPr>
                <w:rFonts w:ascii="Arial Narrow" w:eastAsia="Calibri" w:hAnsi="Arial Narrow" w:cs="Arial"/>
                <w:b/>
                <w:sz w:val="20"/>
                <w:szCs w:val="20"/>
                <w:lang w:eastAsia="en-US"/>
              </w:rPr>
              <w:t xml:space="preserve">Category / Program:   </w:t>
            </w:r>
            <w:r w:rsidRPr="0079778C">
              <w:rPr>
                <w:rFonts w:ascii="Arial Narrow" w:eastAsia="Calibri" w:hAnsi="Arial Narrow" w:cs="Arial"/>
                <w:sz w:val="20"/>
                <w:szCs w:val="20"/>
                <w:lang w:eastAsia="en-US"/>
              </w:rPr>
              <w:t xml:space="preserve">GENERAL – General Schedule (Code GE) </w:t>
            </w:r>
          </w:p>
        </w:tc>
      </w:tr>
      <w:tr w:rsidR="0079778C" w:rsidRPr="0079778C" w14:paraId="3FDA2E65" w14:textId="77777777" w:rsidTr="00623B3D">
        <w:trPr>
          <w:trHeight w:val="240"/>
        </w:trPr>
        <w:tc>
          <w:tcPr>
            <w:tcW w:w="5000" w:type="pct"/>
            <w:tcBorders>
              <w:top w:val="single" w:sz="4" w:space="0" w:color="auto"/>
              <w:left w:val="single" w:sz="4" w:space="0" w:color="auto"/>
              <w:bottom w:val="single" w:sz="4" w:space="0" w:color="auto"/>
              <w:right w:val="single" w:sz="4" w:space="0" w:color="auto"/>
            </w:tcBorders>
          </w:tcPr>
          <w:p w14:paraId="36358FCB" w14:textId="77777777" w:rsidR="0079778C" w:rsidRPr="0079778C" w:rsidRDefault="0079778C" w:rsidP="00593DF6">
            <w:pP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 xml:space="preserve">Prescriber type:   </w:t>
            </w:r>
            <w:r w:rsidRPr="0079778C">
              <w:rPr>
                <w:rFonts w:ascii="Arial Narrow" w:eastAsia="Calibri" w:hAnsi="Arial Narrow" w:cs="Arial"/>
                <w:sz w:val="20"/>
                <w:szCs w:val="20"/>
                <w:lang w:eastAsia="en-US"/>
              </w:rPr>
              <w:fldChar w:fldCharType="begin" w:fldLock="1">
                <w:ffData>
                  <w:name w:val=""/>
                  <w:enabled/>
                  <w:calcOnExit w:val="0"/>
                  <w:checkBox>
                    <w:sizeAuto/>
                    <w:default w:val="1"/>
                  </w:checkBox>
                </w:ffData>
              </w:fldChar>
            </w:r>
            <w:r w:rsidRPr="0079778C">
              <w:rPr>
                <w:rFonts w:ascii="Arial Narrow" w:eastAsia="Calibri" w:hAnsi="Arial Narrow" w:cs="Arial"/>
                <w:sz w:val="20"/>
                <w:szCs w:val="20"/>
                <w:lang w:eastAsia="en-US"/>
              </w:rPr>
              <w:instrText xml:space="preserve"> FORMCHECKBOX </w:instrText>
            </w:r>
            <w:r w:rsidR="00047109">
              <w:rPr>
                <w:rFonts w:ascii="Arial Narrow" w:eastAsia="Calibri" w:hAnsi="Arial Narrow" w:cs="Arial"/>
                <w:sz w:val="20"/>
                <w:szCs w:val="20"/>
                <w:lang w:eastAsia="en-US"/>
              </w:rPr>
            </w:r>
            <w:r w:rsidR="00047109">
              <w:rPr>
                <w:rFonts w:ascii="Arial Narrow" w:eastAsia="Calibri" w:hAnsi="Arial Narrow" w:cs="Arial"/>
                <w:sz w:val="20"/>
                <w:szCs w:val="20"/>
                <w:lang w:eastAsia="en-US"/>
              </w:rPr>
              <w:fldChar w:fldCharType="separate"/>
            </w:r>
            <w:r w:rsidRPr="0079778C">
              <w:rPr>
                <w:rFonts w:ascii="Arial Narrow" w:eastAsia="Calibri" w:hAnsi="Arial Narrow" w:cs="Arial"/>
                <w:sz w:val="20"/>
                <w:szCs w:val="20"/>
                <w:lang w:eastAsia="en-US"/>
              </w:rPr>
              <w:fldChar w:fldCharType="end"/>
            </w:r>
            <w:r w:rsidRPr="0079778C">
              <w:rPr>
                <w:rFonts w:ascii="Arial Narrow" w:eastAsia="Calibri" w:hAnsi="Arial Narrow" w:cs="Arial"/>
                <w:sz w:val="20"/>
                <w:szCs w:val="20"/>
                <w:lang w:eastAsia="en-US"/>
              </w:rPr>
              <w:t xml:space="preserve">Medical Practitioners  </w:t>
            </w:r>
            <w:r w:rsidRPr="0079778C">
              <w:rPr>
                <w:rFonts w:ascii="Arial Narrow" w:eastAsia="Calibri" w:hAnsi="Arial Narrow" w:cs="Arial"/>
                <w:sz w:val="20"/>
                <w:szCs w:val="20"/>
                <w:lang w:eastAsia="en-US"/>
              </w:rPr>
              <w:fldChar w:fldCharType="begin" w:fldLock="1">
                <w:ffData>
                  <w:name w:val=""/>
                  <w:enabled/>
                  <w:calcOnExit w:val="0"/>
                  <w:checkBox>
                    <w:sizeAuto/>
                    <w:default w:val="1"/>
                  </w:checkBox>
                </w:ffData>
              </w:fldChar>
            </w:r>
            <w:r w:rsidRPr="0079778C">
              <w:rPr>
                <w:rFonts w:ascii="Arial Narrow" w:eastAsia="Calibri" w:hAnsi="Arial Narrow" w:cs="Arial"/>
                <w:sz w:val="20"/>
                <w:szCs w:val="20"/>
                <w:lang w:eastAsia="en-US"/>
              </w:rPr>
              <w:instrText xml:space="preserve"> FORMCHECKBOX </w:instrText>
            </w:r>
            <w:r w:rsidR="00047109">
              <w:rPr>
                <w:rFonts w:ascii="Arial Narrow" w:eastAsia="Calibri" w:hAnsi="Arial Narrow" w:cs="Arial"/>
                <w:sz w:val="20"/>
                <w:szCs w:val="20"/>
                <w:lang w:eastAsia="en-US"/>
              </w:rPr>
            </w:r>
            <w:r w:rsidR="00047109">
              <w:rPr>
                <w:rFonts w:ascii="Arial Narrow" w:eastAsia="Calibri" w:hAnsi="Arial Narrow" w:cs="Arial"/>
                <w:sz w:val="20"/>
                <w:szCs w:val="20"/>
                <w:lang w:eastAsia="en-US"/>
              </w:rPr>
              <w:fldChar w:fldCharType="separate"/>
            </w:r>
            <w:r w:rsidRPr="0079778C">
              <w:rPr>
                <w:rFonts w:ascii="Arial Narrow" w:eastAsia="Calibri" w:hAnsi="Arial Narrow" w:cs="Arial"/>
                <w:sz w:val="20"/>
                <w:szCs w:val="20"/>
                <w:lang w:eastAsia="en-US"/>
              </w:rPr>
              <w:fldChar w:fldCharType="end"/>
            </w:r>
            <w:r w:rsidRPr="0079778C">
              <w:rPr>
                <w:rFonts w:ascii="Arial Narrow" w:eastAsia="Calibri" w:hAnsi="Arial Narrow" w:cs="Arial"/>
                <w:sz w:val="20"/>
                <w:szCs w:val="20"/>
                <w:lang w:eastAsia="en-US"/>
              </w:rPr>
              <w:t>Nurse practitioners</w:t>
            </w:r>
          </w:p>
        </w:tc>
      </w:tr>
      <w:tr w:rsidR="0079778C" w:rsidRPr="0079778C" w14:paraId="24737785" w14:textId="77777777" w:rsidTr="00623B3D">
        <w:tc>
          <w:tcPr>
            <w:tcW w:w="5000" w:type="pct"/>
            <w:tcBorders>
              <w:top w:val="single" w:sz="4" w:space="0" w:color="auto"/>
              <w:left w:val="single" w:sz="4" w:space="0" w:color="auto"/>
              <w:bottom w:val="single" w:sz="4" w:space="0" w:color="auto"/>
              <w:right w:val="single" w:sz="4" w:space="0" w:color="auto"/>
            </w:tcBorders>
          </w:tcPr>
          <w:p w14:paraId="3032B5C1" w14:textId="77777777" w:rsidR="0079778C" w:rsidRPr="0079778C" w:rsidRDefault="0079778C" w:rsidP="00593DF6">
            <w:pP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 xml:space="preserve">Benefit Type: </w:t>
            </w:r>
            <w:r w:rsidRPr="0079778C">
              <w:rPr>
                <w:rFonts w:ascii="Arial Narrow" w:eastAsia="Calibri" w:hAnsi="Arial Narrow" w:cs="Arial"/>
                <w:sz w:val="20"/>
                <w:szCs w:val="20"/>
                <w:lang w:eastAsia="en-US"/>
              </w:rPr>
              <w:fldChar w:fldCharType="begin" w:fldLock="1">
                <w:ffData>
                  <w:name w:val=""/>
                  <w:enabled/>
                  <w:calcOnExit w:val="0"/>
                  <w:checkBox>
                    <w:sizeAuto/>
                    <w:default w:val="1"/>
                  </w:checkBox>
                </w:ffData>
              </w:fldChar>
            </w:r>
            <w:r w:rsidRPr="0079778C">
              <w:rPr>
                <w:rFonts w:ascii="Arial Narrow" w:eastAsia="Calibri" w:hAnsi="Arial Narrow" w:cs="Arial"/>
                <w:sz w:val="20"/>
                <w:szCs w:val="20"/>
                <w:lang w:eastAsia="en-US"/>
              </w:rPr>
              <w:instrText xml:space="preserve"> FORMCHECKBOX </w:instrText>
            </w:r>
            <w:r w:rsidR="00047109">
              <w:rPr>
                <w:rFonts w:ascii="Arial Narrow" w:eastAsia="Calibri" w:hAnsi="Arial Narrow" w:cs="Arial"/>
                <w:sz w:val="20"/>
                <w:szCs w:val="20"/>
                <w:lang w:eastAsia="en-US"/>
              </w:rPr>
            </w:r>
            <w:r w:rsidR="00047109">
              <w:rPr>
                <w:rFonts w:ascii="Arial Narrow" w:eastAsia="Calibri" w:hAnsi="Arial Narrow" w:cs="Arial"/>
                <w:sz w:val="20"/>
                <w:szCs w:val="20"/>
                <w:lang w:eastAsia="en-US"/>
              </w:rPr>
              <w:fldChar w:fldCharType="separate"/>
            </w:r>
            <w:r w:rsidRPr="0079778C">
              <w:rPr>
                <w:rFonts w:ascii="Arial Narrow" w:eastAsia="Calibri" w:hAnsi="Arial Narrow" w:cs="Arial"/>
                <w:sz w:val="20"/>
                <w:szCs w:val="20"/>
                <w:lang w:eastAsia="en-US"/>
              </w:rPr>
              <w:fldChar w:fldCharType="end"/>
            </w:r>
            <w:r w:rsidRPr="0079778C">
              <w:rPr>
                <w:rFonts w:ascii="Arial Narrow" w:eastAsia="Calibri" w:hAnsi="Arial Narrow" w:cs="Arial"/>
                <w:sz w:val="20"/>
                <w:szCs w:val="20"/>
                <w:lang w:eastAsia="en-US"/>
              </w:rPr>
              <w:t xml:space="preserve"> Unrestricted benefit</w:t>
            </w:r>
          </w:p>
        </w:tc>
      </w:tr>
      <w:tr w:rsidR="0079778C" w:rsidRPr="0079778C" w14:paraId="2F5F8CD6" w14:textId="77777777" w:rsidTr="00623B3D">
        <w:tc>
          <w:tcPr>
            <w:tcW w:w="5000" w:type="pct"/>
            <w:tcBorders>
              <w:top w:val="single" w:sz="4" w:space="0" w:color="auto"/>
              <w:left w:val="single" w:sz="4" w:space="0" w:color="auto"/>
              <w:bottom w:val="single" w:sz="4" w:space="0" w:color="auto"/>
              <w:right w:val="single" w:sz="4" w:space="0" w:color="auto"/>
            </w:tcBorders>
          </w:tcPr>
          <w:p w14:paraId="7CBCEAF3" w14:textId="77777777" w:rsidR="0079778C" w:rsidRPr="0079778C" w:rsidRDefault="0079778C" w:rsidP="00593DF6">
            <w:pPr>
              <w:rPr>
                <w:rFonts w:ascii="Arial Narrow" w:eastAsia="Calibri" w:hAnsi="Arial Narrow" w:cs="Arial"/>
                <w:b/>
                <w:i/>
                <w:sz w:val="20"/>
                <w:szCs w:val="20"/>
                <w:lang w:eastAsia="en-US"/>
              </w:rPr>
            </w:pPr>
            <w:r w:rsidRPr="0079778C">
              <w:rPr>
                <w:rFonts w:ascii="Arial Narrow" w:eastAsia="Calibri" w:hAnsi="Arial Narrow" w:cs="Arial"/>
                <w:b/>
                <w:i/>
                <w:sz w:val="20"/>
                <w:szCs w:val="20"/>
                <w:lang w:eastAsia="en-US"/>
              </w:rPr>
              <w:t>Administrative Advice:</w:t>
            </w:r>
          </w:p>
          <w:p w14:paraId="768E70F9" w14:textId="77777777" w:rsidR="0079778C" w:rsidRPr="0079778C" w:rsidRDefault="0079778C" w:rsidP="00593DF6">
            <w:pPr>
              <w:rPr>
                <w:rFonts w:ascii="Arial Narrow" w:eastAsia="Calibri" w:hAnsi="Arial Narrow" w:cs="Arial"/>
                <w:i/>
                <w:sz w:val="20"/>
                <w:szCs w:val="20"/>
                <w:lang w:eastAsia="en-US"/>
              </w:rPr>
            </w:pPr>
            <w:r w:rsidRPr="0079778C">
              <w:rPr>
                <w:rFonts w:ascii="Arial Narrow" w:eastAsia="Calibri" w:hAnsi="Arial Narrow" w:cs="Arial"/>
                <w:i/>
                <w:sz w:val="20"/>
                <w:szCs w:val="20"/>
                <w:lang w:eastAsia="en-US"/>
              </w:rPr>
              <w:t>Biosimilar prescribing policy</w:t>
            </w:r>
          </w:p>
          <w:p w14:paraId="5190F4AC" w14:textId="77777777" w:rsidR="0079778C" w:rsidRPr="0079778C" w:rsidRDefault="0079778C" w:rsidP="00593DF6">
            <w:pPr>
              <w:rPr>
                <w:rFonts w:ascii="Arial Narrow" w:eastAsia="Calibri" w:hAnsi="Arial Narrow" w:cs="Arial"/>
                <w:i/>
                <w:sz w:val="20"/>
                <w:szCs w:val="20"/>
                <w:lang w:eastAsia="en-US"/>
              </w:rPr>
            </w:pPr>
          </w:p>
          <w:p w14:paraId="410739D5" w14:textId="1F7D0210" w:rsidR="0079778C" w:rsidRPr="0079778C" w:rsidRDefault="0079778C" w:rsidP="00593DF6">
            <w:pPr>
              <w:rPr>
                <w:rFonts w:ascii="Arial Narrow" w:eastAsia="Calibri" w:hAnsi="Arial Narrow" w:cs="Arial"/>
                <w:i/>
                <w:sz w:val="20"/>
                <w:szCs w:val="20"/>
                <w:lang w:eastAsia="en-US"/>
              </w:rPr>
            </w:pPr>
            <w:r w:rsidRPr="0079778C">
              <w:rPr>
                <w:rFonts w:ascii="Arial Narrow" w:eastAsia="Calibri" w:hAnsi="Arial Narrow" w:cs="Arial"/>
                <w:i/>
                <w:sz w:val="20"/>
                <w:szCs w:val="20"/>
                <w:lang w:eastAsia="en-US"/>
              </w:rPr>
              <w:t xml:space="preserve">Prescribing of the biosimilar brand </w:t>
            </w:r>
            <w:r w:rsidR="00623B3D" w:rsidRPr="00623B3D">
              <w:rPr>
                <w:rFonts w:ascii="Arial Narrow" w:eastAsia="Calibri" w:hAnsi="Arial Narrow" w:cs="Arial"/>
                <w:i/>
                <w:sz w:val="20"/>
                <w:szCs w:val="20"/>
                <w:lang w:eastAsia="en-US"/>
              </w:rPr>
              <w:t>Exarane</w:t>
            </w:r>
            <w:r w:rsidR="00B902BB">
              <w:rPr>
                <w:rFonts w:ascii="Arial Narrow" w:eastAsia="Calibri" w:hAnsi="Arial Narrow" w:cs="Arial"/>
                <w:i/>
                <w:sz w:val="20"/>
                <w:szCs w:val="20"/>
                <w:lang w:eastAsia="en-US"/>
              </w:rPr>
              <w:t xml:space="preserve"> </w:t>
            </w:r>
            <w:r w:rsidR="00B902BB" w:rsidRPr="00387F4F">
              <w:rPr>
                <w:rFonts w:ascii="Arial Narrow" w:eastAsia="Calibri" w:hAnsi="Arial Narrow" w:cs="Arial"/>
                <w:i/>
                <w:sz w:val="20"/>
                <w:szCs w:val="20"/>
                <w:lang w:eastAsia="en-US"/>
              </w:rPr>
              <w:t>and Exarane Forte</w:t>
            </w:r>
            <w:r w:rsidRPr="0079778C">
              <w:rPr>
                <w:rFonts w:ascii="Arial Narrow" w:eastAsia="Calibri" w:hAnsi="Arial Narrow" w:cs="Arial"/>
                <w:i/>
                <w:sz w:val="20"/>
                <w:szCs w:val="20"/>
                <w:lang w:eastAsia="en-US"/>
              </w:rPr>
              <w:t xml:space="preserve"> is encouraged for treatment naive patients.</w:t>
            </w:r>
          </w:p>
          <w:p w14:paraId="4D4287EE" w14:textId="77777777" w:rsidR="0079778C" w:rsidRPr="0079778C" w:rsidRDefault="0079778C" w:rsidP="00593DF6">
            <w:pPr>
              <w:rPr>
                <w:rFonts w:ascii="Arial Narrow" w:eastAsia="Calibri" w:hAnsi="Arial Narrow" w:cs="Arial"/>
                <w:i/>
                <w:sz w:val="20"/>
                <w:szCs w:val="20"/>
                <w:lang w:eastAsia="en-US"/>
              </w:rPr>
            </w:pPr>
          </w:p>
          <w:p w14:paraId="0C65905A" w14:textId="2AAC6D1F" w:rsidR="0079778C" w:rsidRPr="0079778C" w:rsidRDefault="0079778C" w:rsidP="00593DF6">
            <w:pPr>
              <w:rPr>
                <w:rFonts w:ascii="Arial Narrow" w:eastAsia="Calibri" w:hAnsi="Arial Narrow" w:cs="Arial"/>
                <w:b/>
                <w:i/>
                <w:sz w:val="20"/>
                <w:szCs w:val="20"/>
                <w:lang w:eastAsia="en-US"/>
              </w:rPr>
            </w:pPr>
            <w:r w:rsidRPr="0079778C">
              <w:rPr>
                <w:rFonts w:ascii="Arial Narrow" w:eastAsia="Calibri" w:hAnsi="Arial Narrow" w:cs="Arial"/>
                <w:i/>
                <w:sz w:val="20"/>
                <w:szCs w:val="20"/>
                <w:lang w:eastAsia="en-US"/>
              </w:rPr>
              <w:t xml:space="preserve">Encouraging biosimilar prescribing for treatment naive patients is Government policy. A viable biosimilar market is expected to result in reduced costs for biological medicines, allowing the Government to reinvest in new treatments. </w:t>
            </w:r>
            <w:r w:rsidR="00586F54" w:rsidRPr="00586F54">
              <w:rPr>
                <w:rFonts w:ascii="Arial Narrow" w:eastAsia="Calibri" w:hAnsi="Arial Narrow" w:cs="Arial"/>
                <w:i/>
                <w:sz w:val="20"/>
                <w:szCs w:val="20"/>
                <w:lang w:eastAsia="en-US"/>
              </w:rPr>
              <w:t>Further information about Biosimilar Uptake Drivers can be found on the PBS Biosimilars webpage (</w:t>
            </w:r>
            <w:hyperlink r:id="rId8" w:history="1">
              <w:r w:rsidR="00586F54" w:rsidRPr="00586F54">
                <w:rPr>
                  <w:rStyle w:val="Hyperlink"/>
                  <w:rFonts w:ascii="Arial Narrow" w:eastAsia="Calibri" w:hAnsi="Arial Narrow" w:cs="Arial"/>
                  <w:i/>
                  <w:sz w:val="20"/>
                  <w:szCs w:val="20"/>
                  <w:lang w:eastAsia="en-US"/>
                </w:rPr>
                <w:t>www.pbs.gov.au/info/general/biosimilars</w:t>
              </w:r>
            </w:hyperlink>
            <w:r w:rsidR="00586F54" w:rsidRPr="00586F54">
              <w:rPr>
                <w:rFonts w:ascii="Arial Narrow" w:eastAsia="Calibri" w:hAnsi="Arial Narrow" w:cs="Arial"/>
                <w:i/>
                <w:sz w:val="20"/>
                <w:szCs w:val="20"/>
                <w:lang w:eastAsia="en-US"/>
              </w:rPr>
              <w:t>).</w:t>
            </w:r>
          </w:p>
        </w:tc>
      </w:tr>
    </w:tbl>
    <w:p w14:paraId="7FAAB3CC" w14:textId="77777777" w:rsidR="0079778C" w:rsidRPr="0079778C" w:rsidRDefault="0079778C" w:rsidP="00593DF6">
      <w:pPr>
        <w:rPr>
          <w:rFonts w:asciiTheme="minorHAnsi" w:hAnsiTheme="minorHAnsi" w:cstheme="minorHAnsi"/>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850"/>
        <w:gridCol w:w="851"/>
        <w:gridCol w:w="850"/>
        <w:gridCol w:w="709"/>
        <w:gridCol w:w="1984"/>
      </w:tblGrid>
      <w:tr w:rsidR="0079778C" w:rsidRPr="0079778C" w14:paraId="76A37C82" w14:textId="77777777" w:rsidTr="00623B3D">
        <w:trPr>
          <w:cantSplit/>
          <w:trHeight w:val="471"/>
        </w:trPr>
        <w:tc>
          <w:tcPr>
            <w:tcW w:w="3823" w:type="dxa"/>
          </w:tcPr>
          <w:p w14:paraId="52C092F1" w14:textId="77777777" w:rsidR="0079778C" w:rsidRPr="0079778C" w:rsidRDefault="0079778C" w:rsidP="00593DF6">
            <w:pPr>
              <w:keepNext/>
              <w:ind w:left="-108"/>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Name, Restriction,</w:t>
            </w:r>
          </w:p>
          <w:p w14:paraId="40D20EE1" w14:textId="77777777" w:rsidR="0079778C" w:rsidRPr="0079778C" w:rsidRDefault="0079778C" w:rsidP="00593DF6">
            <w:pPr>
              <w:keepNext/>
              <w:ind w:left="-108"/>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Manner of administration and form</w:t>
            </w:r>
          </w:p>
        </w:tc>
        <w:tc>
          <w:tcPr>
            <w:tcW w:w="850" w:type="dxa"/>
          </w:tcPr>
          <w:p w14:paraId="559193B8" w14:textId="77777777" w:rsidR="0079778C" w:rsidRPr="0079778C" w:rsidRDefault="0079778C" w:rsidP="00593DF6">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PBS item code</w:t>
            </w:r>
          </w:p>
        </w:tc>
        <w:tc>
          <w:tcPr>
            <w:tcW w:w="851" w:type="dxa"/>
          </w:tcPr>
          <w:p w14:paraId="4CDCECB5" w14:textId="77777777" w:rsidR="0079778C" w:rsidRPr="0079778C" w:rsidRDefault="0079778C" w:rsidP="00593DF6">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Max. qty packs</w:t>
            </w:r>
          </w:p>
        </w:tc>
        <w:tc>
          <w:tcPr>
            <w:tcW w:w="850" w:type="dxa"/>
          </w:tcPr>
          <w:p w14:paraId="5271C70D" w14:textId="77777777" w:rsidR="0079778C" w:rsidRPr="0079778C" w:rsidRDefault="0079778C" w:rsidP="00593DF6">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Max. qty units</w:t>
            </w:r>
          </w:p>
        </w:tc>
        <w:tc>
          <w:tcPr>
            <w:tcW w:w="709" w:type="dxa"/>
          </w:tcPr>
          <w:p w14:paraId="71EE1BC1" w14:textId="77777777" w:rsidR="0079778C" w:rsidRPr="0079778C" w:rsidRDefault="0079778C" w:rsidP="00593DF6">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№.of</w:t>
            </w:r>
          </w:p>
          <w:p w14:paraId="56ABB9BE" w14:textId="77777777" w:rsidR="0079778C" w:rsidRPr="0079778C" w:rsidRDefault="0079778C" w:rsidP="00593DF6">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Rpts</w:t>
            </w:r>
          </w:p>
        </w:tc>
        <w:tc>
          <w:tcPr>
            <w:tcW w:w="1984" w:type="dxa"/>
          </w:tcPr>
          <w:p w14:paraId="150186F7" w14:textId="77777777" w:rsidR="0079778C" w:rsidRPr="0079778C" w:rsidRDefault="0079778C" w:rsidP="00593DF6">
            <w:pPr>
              <w:keepNext/>
              <w:jc w:val="left"/>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Available brands</w:t>
            </w:r>
          </w:p>
        </w:tc>
      </w:tr>
      <w:tr w:rsidR="0079778C" w:rsidRPr="0079778C" w14:paraId="345A140D" w14:textId="77777777" w:rsidTr="00F626D5">
        <w:trPr>
          <w:cantSplit/>
          <w:trHeight w:val="761"/>
        </w:trPr>
        <w:tc>
          <w:tcPr>
            <w:tcW w:w="3823" w:type="dxa"/>
          </w:tcPr>
          <w:p w14:paraId="78EC6BB4" w14:textId="77777777" w:rsidR="0079778C" w:rsidRPr="0079778C" w:rsidRDefault="0079778C" w:rsidP="00593DF6">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 xml:space="preserve">ENOXAPARIN  </w:t>
            </w:r>
          </w:p>
          <w:p w14:paraId="20ECC88F" w14:textId="77777777" w:rsidR="0079778C" w:rsidRPr="0079778C" w:rsidRDefault="0079778C" w:rsidP="00593DF6">
            <w:pPr>
              <w:keepNext/>
              <w:ind w:left="-108"/>
              <w:rPr>
                <w:rFonts w:ascii="Arial Narrow" w:eastAsia="Calibri" w:hAnsi="Arial Narrow" w:cs="Arial"/>
                <w:sz w:val="20"/>
                <w:szCs w:val="20"/>
                <w:lang w:eastAsia="en-US"/>
              </w:rPr>
            </w:pPr>
          </w:p>
          <w:p w14:paraId="36D6ECA4" w14:textId="1EF523E6" w:rsidR="0079778C" w:rsidRPr="0079778C" w:rsidRDefault="0079778C" w:rsidP="00593DF6">
            <w:pPr>
              <w:keepNext/>
              <w:ind w:left="-108"/>
              <w:rPr>
                <w:rFonts w:ascii="Arial Narrow" w:eastAsia="Calibri" w:hAnsi="Arial Narrow" w:cs="Arial"/>
                <w:sz w:val="20"/>
                <w:szCs w:val="20"/>
                <w:lang w:eastAsia="en-US"/>
              </w:rPr>
            </w:pPr>
            <w:bookmarkStart w:id="2" w:name="_Hlk133833838"/>
            <w:r w:rsidRPr="0079778C">
              <w:rPr>
                <w:rFonts w:ascii="Arial Narrow" w:eastAsia="Calibri" w:hAnsi="Arial Narrow" w:cs="Arial"/>
                <w:sz w:val="20"/>
                <w:szCs w:val="20"/>
                <w:lang w:eastAsia="en-US"/>
              </w:rPr>
              <w:t>enoxapari</w:t>
            </w:r>
            <w:bookmarkEnd w:id="2"/>
            <w:r w:rsidRPr="0079778C">
              <w:rPr>
                <w:rFonts w:ascii="Arial Narrow" w:eastAsia="Calibri" w:hAnsi="Arial Narrow" w:cs="Arial"/>
                <w:sz w:val="20"/>
                <w:szCs w:val="20"/>
                <w:lang w:eastAsia="en-US"/>
              </w:rPr>
              <w:t>n sodium 20 mg/0.2 mL injection, 10 x 0.2</w:t>
            </w:r>
            <w:r w:rsidR="00CD75FA">
              <w:rPr>
                <w:rFonts w:ascii="Arial Narrow" w:eastAsia="Calibri" w:hAnsi="Arial Narrow" w:cs="Arial"/>
                <w:sz w:val="20"/>
                <w:szCs w:val="20"/>
                <w:lang w:eastAsia="en-US"/>
              </w:rPr>
              <w:t> </w:t>
            </w:r>
            <w:r w:rsidRPr="0079778C">
              <w:rPr>
                <w:rFonts w:ascii="Arial Narrow" w:eastAsia="Calibri" w:hAnsi="Arial Narrow" w:cs="Arial"/>
                <w:sz w:val="20"/>
                <w:szCs w:val="20"/>
                <w:lang w:eastAsia="en-US"/>
              </w:rPr>
              <w:t>mL syringes</w:t>
            </w:r>
          </w:p>
        </w:tc>
        <w:tc>
          <w:tcPr>
            <w:tcW w:w="850" w:type="dxa"/>
          </w:tcPr>
          <w:p w14:paraId="6E412F7C" w14:textId="77777777" w:rsidR="0079778C" w:rsidRPr="0079778C" w:rsidRDefault="0079778C" w:rsidP="00593DF6">
            <w:pPr>
              <w:keepNext/>
              <w:jc w:val="center"/>
              <w:rPr>
                <w:rFonts w:ascii="Arial Narrow" w:eastAsia="Calibri" w:hAnsi="Arial Narrow" w:cs="Arial"/>
                <w:sz w:val="20"/>
                <w:szCs w:val="20"/>
                <w:lang w:eastAsia="en-US"/>
              </w:rPr>
            </w:pPr>
          </w:p>
          <w:p w14:paraId="55C79511" w14:textId="77777777" w:rsidR="0079778C" w:rsidRPr="0079778C" w:rsidRDefault="0079778C" w:rsidP="00593DF6">
            <w:pPr>
              <w:keepNext/>
              <w:ind w:left="-108"/>
              <w:jc w:val="center"/>
              <w:rPr>
                <w:rFonts w:ascii="Arial Narrow" w:eastAsia="Calibri" w:hAnsi="Arial Narrow" w:cs="Arial"/>
                <w:sz w:val="20"/>
                <w:szCs w:val="20"/>
                <w:lang w:eastAsia="en-US"/>
              </w:rPr>
            </w:pPr>
          </w:p>
          <w:p w14:paraId="64AE921A" w14:textId="77777777" w:rsidR="0079778C" w:rsidRPr="0079778C" w:rsidRDefault="0079778C" w:rsidP="00593DF6">
            <w:pPr>
              <w:keepNext/>
              <w:ind w:left="-113"/>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 xml:space="preserve">  8716R</w:t>
            </w:r>
          </w:p>
        </w:tc>
        <w:tc>
          <w:tcPr>
            <w:tcW w:w="851" w:type="dxa"/>
          </w:tcPr>
          <w:p w14:paraId="1827E2FD" w14:textId="77777777" w:rsidR="0079778C" w:rsidRPr="0079778C" w:rsidRDefault="0079778C" w:rsidP="00593DF6">
            <w:pPr>
              <w:keepNext/>
              <w:jc w:val="center"/>
              <w:rPr>
                <w:rFonts w:ascii="Arial Narrow" w:eastAsia="Calibri" w:hAnsi="Arial Narrow" w:cs="Arial"/>
                <w:sz w:val="20"/>
                <w:szCs w:val="20"/>
                <w:lang w:eastAsia="en-US"/>
              </w:rPr>
            </w:pPr>
          </w:p>
          <w:p w14:paraId="4D3BBAD5" w14:textId="77777777" w:rsidR="0079778C" w:rsidRPr="0079778C" w:rsidRDefault="0079778C" w:rsidP="00593DF6">
            <w:pPr>
              <w:keepNext/>
              <w:ind w:left="-108"/>
              <w:jc w:val="center"/>
              <w:rPr>
                <w:rFonts w:ascii="Arial Narrow" w:eastAsia="Calibri" w:hAnsi="Arial Narrow" w:cs="Arial"/>
                <w:sz w:val="20"/>
                <w:szCs w:val="20"/>
                <w:lang w:eastAsia="en-US"/>
              </w:rPr>
            </w:pPr>
          </w:p>
          <w:p w14:paraId="077B5CB1"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229FA794" w14:textId="77777777" w:rsidR="0079778C" w:rsidRPr="0079778C" w:rsidRDefault="0079778C" w:rsidP="00593DF6">
            <w:pPr>
              <w:keepNext/>
              <w:ind w:left="-108"/>
              <w:jc w:val="center"/>
              <w:rPr>
                <w:rFonts w:ascii="Arial Narrow" w:eastAsia="Calibri" w:hAnsi="Arial Narrow" w:cs="Arial"/>
                <w:sz w:val="20"/>
                <w:szCs w:val="20"/>
                <w:lang w:eastAsia="en-US"/>
              </w:rPr>
            </w:pPr>
          </w:p>
          <w:p w14:paraId="61EC91DC" w14:textId="77777777" w:rsidR="0079778C" w:rsidRPr="0079778C" w:rsidRDefault="0079778C" w:rsidP="00593DF6">
            <w:pPr>
              <w:keepNext/>
              <w:jc w:val="left"/>
              <w:rPr>
                <w:rFonts w:ascii="Arial Narrow" w:eastAsia="Calibri" w:hAnsi="Arial Narrow" w:cs="Arial"/>
                <w:sz w:val="20"/>
                <w:szCs w:val="20"/>
                <w:lang w:eastAsia="en-US"/>
              </w:rPr>
            </w:pPr>
          </w:p>
          <w:p w14:paraId="4BA48E7F"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02FB755B" w14:textId="77777777" w:rsidR="0079778C" w:rsidRPr="0079778C" w:rsidRDefault="0079778C" w:rsidP="00593DF6">
            <w:pPr>
              <w:keepNext/>
              <w:ind w:left="-108"/>
              <w:jc w:val="center"/>
              <w:rPr>
                <w:rFonts w:ascii="Arial Narrow" w:eastAsia="Calibri" w:hAnsi="Arial Narrow" w:cs="Arial"/>
                <w:sz w:val="20"/>
                <w:szCs w:val="20"/>
                <w:lang w:eastAsia="en-US"/>
              </w:rPr>
            </w:pPr>
          </w:p>
          <w:p w14:paraId="03D1E806" w14:textId="77777777" w:rsidR="0079778C" w:rsidRPr="0079778C" w:rsidRDefault="0079778C" w:rsidP="00593DF6">
            <w:pPr>
              <w:keepNext/>
              <w:ind w:left="-108"/>
              <w:jc w:val="center"/>
              <w:rPr>
                <w:rFonts w:ascii="Arial Narrow" w:eastAsia="Calibri" w:hAnsi="Arial Narrow" w:cs="Arial"/>
                <w:sz w:val="20"/>
                <w:szCs w:val="20"/>
                <w:lang w:eastAsia="en-US"/>
              </w:rPr>
            </w:pPr>
          </w:p>
          <w:p w14:paraId="26BED7FE"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3</w:t>
            </w:r>
          </w:p>
          <w:p w14:paraId="02710362" w14:textId="77777777" w:rsidR="0079778C" w:rsidRPr="0079778C" w:rsidRDefault="0079778C" w:rsidP="00593DF6">
            <w:pPr>
              <w:keepNext/>
              <w:jc w:val="left"/>
              <w:rPr>
                <w:rFonts w:ascii="Arial Narrow" w:eastAsia="Calibri" w:hAnsi="Arial Narrow" w:cs="Arial"/>
                <w:sz w:val="20"/>
                <w:szCs w:val="20"/>
                <w:lang w:eastAsia="en-US"/>
              </w:rPr>
            </w:pPr>
          </w:p>
        </w:tc>
        <w:tc>
          <w:tcPr>
            <w:tcW w:w="1984" w:type="dxa"/>
            <w:vAlign w:val="center"/>
          </w:tcPr>
          <w:p w14:paraId="1B303982" w14:textId="77777777" w:rsidR="00623B3D" w:rsidRDefault="00623B3D" w:rsidP="00593DF6">
            <w:pPr>
              <w:keepNext/>
              <w:jc w:val="left"/>
              <w:rPr>
                <w:rFonts w:ascii="Arial Narrow" w:eastAsia="Calibri" w:hAnsi="Arial Narrow" w:cs="Arial"/>
                <w:sz w:val="20"/>
                <w:szCs w:val="20"/>
                <w:lang w:eastAsia="en-US"/>
              </w:rPr>
            </w:pPr>
          </w:p>
          <w:p w14:paraId="3972A179" w14:textId="77777777" w:rsidR="00623B3D" w:rsidRDefault="00623B3D" w:rsidP="00593DF6">
            <w:pPr>
              <w:keepNext/>
              <w:jc w:val="left"/>
              <w:rPr>
                <w:rFonts w:ascii="Arial Narrow" w:eastAsia="Calibri" w:hAnsi="Arial Narrow" w:cs="Arial"/>
                <w:sz w:val="20"/>
                <w:szCs w:val="20"/>
                <w:lang w:eastAsia="en-US"/>
              </w:rPr>
            </w:pPr>
          </w:p>
          <w:p w14:paraId="5126A921" w14:textId="241AF696" w:rsidR="00623B3D" w:rsidRPr="0079778C" w:rsidRDefault="00623B3D" w:rsidP="00593DF6">
            <w:pPr>
              <w:keepNext/>
              <w:jc w:val="left"/>
              <w:rPr>
                <w:rFonts w:ascii="Arial Narrow" w:eastAsia="Calibri" w:hAnsi="Arial Narrow" w:cs="Arial"/>
                <w:sz w:val="20"/>
                <w:szCs w:val="20"/>
                <w:vertAlign w:val="superscript"/>
                <w:lang w:eastAsia="en-US"/>
              </w:rPr>
            </w:pPr>
            <w:r w:rsidRPr="0079778C">
              <w:rPr>
                <w:rFonts w:ascii="Arial Narrow" w:eastAsia="Calibri" w:hAnsi="Arial Narrow" w:cs="Arial"/>
                <w:sz w:val="20"/>
                <w:szCs w:val="20"/>
                <w:lang w:eastAsia="en-US"/>
              </w:rPr>
              <w:t xml:space="preserve">Clexane Safety-Lock </w:t>
            </w:r>
            <w:r w:rsidRPr="0079778C">
              <w:rPr>
                <w:rFonts w:ascii="Arial Narrow" w:eastAsia="Calibri" w:hAnsi="Arial Narrow" w:cs="Arial"/>
                <w:sz w:val="20"/>
                <w:szCs w:val="20"/>
                <w:vertAlign w:val="superscript"/>
                <w:lang w:eastAsia="en-US"/>
              </w:rPr>
              <w:t>a</w:t>
            </w:r>
          </w:p>
          <w:p w14:paraId="5C5B445A" w14:textId="2628345B" w:rsidR="0079778C" w:rsidRPr="0079778C" w:rsidRDefault="00623B3D" w:rsidP="00593DF6">
            <w:pPr>
              <w:keepNext/>
              <w:jc w:val="left"/>
              <w:rPr>
                <w:rFonts w:ascii="Arial Narrow" w:eastAsia="Calibri" w:hAnsi="Arial Narrow" w:cs="Arial"/>
                <w:i/>
                <w:sz w:val="20"/>
                <w:szCs w:val="20"/>
                <w:vertAlign w:val="superscript"/>
                <w:lang w:eastAsia="en-US"/>
              </w:rPr>
            </w:pPr>
            <w:r w:rsidRPr="00623B3D">
              <w:rPr>
                <w:rFonts w:ascii="Arial Narrow" w:eastAsia="Calibri" w:hAnsi="Arial Narrow" w:cs="Arial"/>
                <w:sz w:val="20"/>
                <w:szCs w:val="20"/>
                <w:lang w:eastAsia="en-US"/>
              </w:rPr>
              <w:t>Exarane</w:t>
            </w:r>
            <w:r w:rsidRPr="0079778C">
              <w:rPr>
                <w:rFonts w:ascii="Arial Narrow" w:eastAsia="Calibri" w:hAnsi="Arial Narrow" w:cs="Arial"/>
                <w:sz w:val="20"/>
                <w:szCs w:val="20"/>
                <w:lang w:eastAsia="en-US"/>
              </w:rPr>
              <w:t xml:space="preserve"> </w:t>
            </w:r>
            <w:r w:rsidRPr="0079778C">
              <w:rPr>
                <w:rFonts w:ascii="Arial Narrow" w:eastAsia="Calibri" w:hAnsi="Arial Narrow" w:cs="Arial"/>
                <w:sz w:val="20"/>
                <w:szCs w:val="20"/>
                <w:vertAlign w:val="superscript"/>
                <w:lang w:eastAsia="en-US"/>
              </w:rPr>
              <w:t xml:space="preserve">a </w:t>
            </w:r>
          </w:p>
        </w:tc>
      </w:tr>
      <w:tr w:rsidR="0079778C" w:rsidRPr="0079778C" w14:paraId="0FF48BC2" w14:textId="77777777" w:rsidTr="00F626D5">
        <w:trPr>
          <w:cantSplit/>
          <w:trHeight w:val="347"/>
        </w:trPr>
        <w:tc>
          <w:tcPr>
            <w:tcW w:w="3823" w:type="dxa"/>
          </w:tcPr>
          <w:p w14:paraId="7EC00B03" w14:textId="77777777" w:rsidR="0079778C" w:rsidRPr="0079778C" w:rsidRDefault="0079778C" w:rsidP="00593DF6">
            <w:pPr>
              <w:keepNext/>
              <w:ind w:left="-115"/>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40 mg/0.4 mL injection, 10 x 0.4 mL syringes</w:t>
            </w:r>
          </w:p>
        </w:tc>
        <w:tc>
          <w:tcPr>
            <w:tcW w:w="850" w:type="dxa"/>
          </w:tcPr>
          <w:p w14:paraId="28737F8E" w14:textId="77777777" w:rsidR="0079778C" w:rsidRPr="0079778C" w:rsidRDefault="0079778C" w:rsidP="00593DF6">
            <w:pPr>
              <w:keepNext/>
              <w:ind w:left="31" w:hanging="31"/>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8639Q</w:t>
            </w:r>
          </w:p>
        </w:tc>
        <w:tc>
          <w:tcPr>
            <w:tcW w:w="851" w:type="dxa"/>
          </w:tcPr>
          <w:p w14:paraId="71F14206"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4F7EDF68"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514D831B"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3</w:t>
            </w:r>
          </w:p>
          <w:p w14:paraId="25AB72FC" w14:textId="77777777" w:rsidR="0079778C" w:rsidRPr="0079778C" w:rsidRDefault="0079778C" w:rsidP="00593DF6">
            <w:pPr>
              <w:keepNext/>
              <w:ind w:left="-108"/>
              <w:jc w:val="center"/>
              <w:rPr>
                <w:rFonts w:ascii="Arial Narrow" w:eastAsia="Calibri" w:hAnsi="Arial Narrow" w:cs="Arial"/>
                <w:sz w:val="20"/>
                <w:szCs w:val="20"/>
                <w:lang w:eastAsia="en-US"/>
              </w:rPr>
            </w:pPr>
          </w:p>
        </w:tc>
        <w:tc>
          <w:tcPr>
            <w:tcW w:w="1984" w:type="dxa"/>
            <w:vAlign w:val="center"/>
          </w:tcPr>
          <w:p w14:paraId="3FF23112" w14:textId="77777777" w:rsidR="00623B3D" w:rsidRPr="0079778C" w:rsidRDefault="00623B3D" w:rsidP="00593DF6">
            <w:pPr>
              <w:keepNext/>
              <w:jc w:val="left"/>
              <w:rPr>
                <w:rFonts w:ascii="Arial Narrow" w:eastAsia="Calibri" w:hAnsi="Arial Narrow" w:cs="Arial"/>
                <w:sz w:val="20"/>
                <w:szCs w:val="20"/>
                <w:vertAlign w:val="superscript"/>
                <w:lang w:eastAsia="en-US"/>
              </w:rPr>
            </w:pPr>
            <w:r w:rsidRPr="0079778C">
              <w:rPr>
                <w:rFonts w:ascii="Arial Narrow" w:eastAsia="Calibri" w:hAnsi="Arial Narrow" w:cs="Arial"/>
                <w:sz w:val="20"/>
                <w:szCs w:val="20"/>
                <w:lang w:eastAsia="en-US"/>
              </w:rPr>
              <w:t xml:space="preserve">Clexane Safety-Lock </w:t>
            </w:r>
            <w:r w:rsidRPr="0079778C">
              <w:rPr>
                <w:rFonts w:ascii="Arial Narrow" w:eastAsia="Calibri" w:hAnsi="Arial Narrow" w:cs="Arial"/>
                <w:sz w:val="20"/>
                <w:szCs w:val="20"/>
                <w:vertAlign w:val="superscript"/>
                <w:lang w:eastAsia="en-US"/>
              </w:rPr>
              <w:t>a</w:t>
            </w:r>
          </w:p>
          <w:p w14:paraId="012F55A0" w14:textId="49515029" w:rsidR="0079778C" w:rsidRPr="0079778C" w:rsidRDefault="00623B3D" w:rsidP="00593DF6">
            <w:pPr>
              <w:keepNext/>
              <w:jc w:val="left"/>
              <w:rPr>
                <w:rFonts w:ascii="Arial Narrow" w:eastAsia="Calibri" w:hAnsi="Arial Narrow" w:cs="Arial"/>
                <w:i/>
                <w:sz w:val="20"/>
                <w:szCs w:val="20"/>
                <w:vertAlign w:val="superscript"/>
                <w:lang w:eastAsia="en-US"/>
              </w:rPr>
            </w:pPr>
            <w:r w:rsidRPr="00623B3D">
              <w:rPr>
                <w:rFonts w:ascii="Arial Narrow" w:eastAsia="Calibri" w:hAnsi="Arial Narrow" w:cs="Arial"/>
                <w:sz w:val="20"/>
                <w:szCs w:val="20"/>
                <w:lang w:eastAsia="en-US"/>
              </w:rPr>
              <w:t>Exarane</w:t>
            </w:r>
            <w:r w:rsidRPr="0079778C">
              <w:rPr>
                <w:rFonts w:ascii="Arial Narrow" w:eastAsia="Calibri" w:hAnsi="Arial Narrow" w:cs="Arial"/>
                <w:sz w:val="20"/>
                <w:szCs w:val="20"/>
                <w:lang w:eastAsia="en-US"/>
              </w:rPr>
              <w:t xml:space="preserve"> </w:t>
            </w:r>
            <w:r w:rsidRPr="0079778C">
              <w:rPr>
                <w:rFonts w:ascii="Arial Narrow" w:eastAsia="Calibri" w:hAnsi="Arial Narrow" w:cs="Arial"/>
                <w:sz w:val="20"/>
                <w:szCs w:val="20"/>
                <w:vertAlign w:val="superscript"/>
                <w:lang w:eastAsia="en-US"/>
              </w:rPr>
              <w:t>a</w:t>
            </w:r>
          </w:p>
        </w:tc>
      </w:tr>
      <w:tr w:rsidR="0079778C" w:rsidRPr="0079778C" w14:paraId="06975D26" w14:textId="77777777" w:rsidTr="00F626D5">
        <w:trPr>
          <w:cantSplit/>
          <w:trHeight w:val="347"/>
        </w:trPr>
        <w:tc>
          <w:tcPr>
            <w:tcW w:w="3823" w:type="dxa"/>
          </w:tcPr>
          <w:p w14:paraId="33A24089" w14:textId="77777777" w:rsidR="0079778C" w:rsidRPr="0079778C" w:rsidRDefault="0079778C" w:rsidP="00593DF6">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60 mg/0.6 mL injection, 10 x 0.6 mL syringes</w:t>
            </w:r>
          </w:p>
        </w:tc>
        <w:tc>
          <w:tcPr>
            <w:tcW w:w="850" w:type="dxa"/>
          </w:tcPr>
          <w:p w14:paraId="72928971" w14:textId="77777777" w:rsidR="0079778C" w:rsidRPr="0079778C" w:rsidRDefault="0079778C" w:rsidP="00593DF6">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8640R</w:t>
            </w:r>
          </w:p>
        </w:tc>
        <w:tc>
          <w:tcPr>
            <w:tcW w:w="851" w:type="dxa"/>
          </w:tcPr>
          <w:p w14:paraId="7AAFA90C"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3FF536A8" w14:textId="77777777" w:rsidR="0079778C" w:rsidRPr="0079778C" w:rsidRDefault="0079778C" w:rsidP="00593DF6">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3D3EAA44"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3</w:t>
            </w:r>
          </w:p>
          <w:p w14:paraId="2816C760" w14:textId="77777777" w:rsidR="0079778C" w:rsidRPr="0079778C" w:rsidRDefault="0079778C" w:rsidP="00593DF6">
            <w:pPr>
              <w:keepNext/>
              <w:ind w:left="-108"/>
              <w:jc w:val="center"/>
              <w:rPr>
                <w:rFonts w:ascii="Arial Narrow" w:eastAsia="Calibri" w:hAnsi="Arial Narrow" w:cs="Arial"/>
                <w:sz w:val="20"/>
                <w:szCs w:val="20"/>
                <w:lang w:eastAsia="en-US"/>
              </w:rPr>
            </w:pPr>
          </w:p>
        </w:tc>
        <w:tc>
          <w:tcPr>
            <w:tcW w:w="1984" w:type="dxa"/>
            <w:vAlign w:val="center"/>
          </w:tcPr>
          <w:p w14:paraId="0E3A767C" w14:textId="77777777" w:rsidR="00623B3D" w:rsidRPr="0079778C" w:rsidRDefault="00623B3D" w:rsidP="00593DF6">
            <w:pPr>
              <w:keepNext/>
              <w:jc w:val="left"/>
              <w:rPr>
                <w:rFonts w:ascii="Arial Narrow" w:eastAsia="Calibri" w:hAnsi="Arial Narrow" w:cs="Arial"/>
                <w:sz w:val="20"/>
                <w:szCs w:val="20"/>
                <w:vertAlign w:val="superscript"/>
                <w:lang w:eastAsia="en-US"/>
              </w:rPr>
            </w:pPr>
            <w:r w:rsidRPr="0079778C">
              <w:rPr>
                <w:rFonts w:ascii="Arial Narrow" w:eastAsia="Calibri" w:hAnsi="Arial Narrow" w:cs="Arial"/>
                <w:sz w:val="20"/>
                <w:szCs w:val="20"/>
                <w:lang w:eastAsia="en-US"/>
              </w:rPr>
              <w:t xml:space="preserve">Clexane Safety-Lock </w:t>
            </w:r>
            <w:r w:rsidRPr="0079778C">
              <w:rPr>
                <w:rFonts w:ascii="Arial Narrow" w:eastAsia="Calibri" w:hAnsi="Arial Narrow" w:cs="Arial"/>
                <w:sz w:val="20"/>
                <w:szCs w:val="20"/>
                <w:vertAlign w:val="superscript"/>
                <w:lang w:eastAsia="en-US"/>
              </w:rPr>
              <w:t>a</w:t>
            </w:r>
          </w:p>
          <w:p w14:paraId="1CC32CB8" w14:textId="73E0398D" w:rsidR="0079778C" w:rsidRPr="0079778C" w:rsidRDefault="00623B3D" w:rsidP="00593DF6">
            <w:pPr>
              <w:keepNext/>
              <w:jc w:val="left"/>
              <w:rPr>
                <w:rFonts w:ascii="Arial Narrow" w:eastAsia="Calibri" w:hAnsi="Arial Narrow" w:cs="Arial"/>
                <w:i/>
                <w:sz w:val="20"/>
                <w:szCs w:val="20"/>
                <w:vertAlign w:val="superscript"/>
                <w:lang w:eastAsia="en-US"/>
              </w:rPr>
            </w:pPr>
            <w:r w:rsidRPr="00623B3D">
              <w:rPr>
                <w:rFonts w:ascii="Arial Narrow" w:eastAsia="Calibri" w:hAnsi="Arial Narrow" w:cs="Arial"/>
                <w:sz w:val="20"/>
                <w:szCs w:val="20"/>
                <w:lang w:eastAsia="en-US"/>
              </w:rPr>
              <w:t>Exarane</w:t>
            </w:r>
            <w:r w:rsidRPr="0079778C">
              <w:rPr>
                <w:rFonts w:ascii="Arial Narrow" w:eastAsia="Calibri" w:hAnsi="Arial Narrow" w:cs="Arial"/>
                <w:sz w:val="20"/>
                <w:szCs w:val="20"/>
                <w:lang w:eastAsia="en-US"/>
              </w:rPr>
              <w:t xml:space="preserve"> </w:t>
            </w:r>
            <w:r w:rsidRPr="0079778C">
              <w:rPr>
                <w:rFonts w:ascii="Arial Narrow" w:eastAsia="Calibri" w:hAnsi="Arial Narrow" w:cs="Arial"/>
                <w:sz w:val="20"/>
                <w:szCs w:val="20"/>
                <w:vertAlign w:val="superscript"/>
                <w:lang w:eastAsia="en-US"/>
              </w:rPr>
              <w:t>a</w:t>
            </w:r>
          </w:p>
        </w:tc>
      </w:tr>
      <w:tr w:rsidR="0079778C" w:rsidRPr="0079778C" w14:paraId="43682995" w14:textId="77777777" w:rsidTr="00F626D5">
        <w:trPr>
          <w:cantSplit/>
          <w:trHeight w:val="327"/>
        </w:trPr>
        <w:tc>
          <w:tcPr>
            <w:tcW w:w="3823" w:type="dxa"/>
          </w:tcPr>
          <w:p w14:paraId="77DD2729" w14:textId="77777777" w:rsidR="0079778C" w:rsidRPr="0079778C" w:rsidRDefault="0079778C" w:rsidP="00593DF6">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80 mg/0.8 mL injection, 10 x 0.8 mL syringes</w:t>
            </w:r>
          </w:p>
        </w:tc>
        <w:tc>
          <w:tcPr>
            <w:tcW w:w="850" w:type="dxa"/>
          </w:tcPr>
          <w:p w14:paraId="7A343E1C"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5434B</w:t>
            </w:r>
          </w:p>
        </w:tc>
        <w:tc>
          <w:tcPr>
            <w:tcW w:w="851" w:type="dxa"/>
          </w:tcPr>
          <w:p w14:paraId="413FBFDE"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45B07FB0" w14:textId="77777777" w:rsidR="0079778C" w:rsidRPr="0079778C" w:rsidRDefault="0079778C" w:rsidP="00593DF6">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1F1F6D30"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3</w:t>
            </w:r>
          </w:p>
          <w:p w14:paraId="13AC93A5" w14:textId="77777777" w:rsidR="0079778C" w:rsidRPr="0079778C" w:rsidRDefault="0079778C" w:rsidP="00593DF6">
            <w:pPr>
              <w:keepNext/>
              <w:ind w:left="-108"/>
              <w:jc w:val="center"/>
              <w:rPr>
                <w:rFonts w:ascii="Arial Narrow" w:eastAsia="Calibri" w:hAnsi="Arial Narrow" w:cs="Arial"/>
                <w:sz w:val="20"/>
                <w:szCs w:val="20"/>
                <w:lang w:eastAsia="en-US"/>
              </w:rPr>
            </w:pPr>
          </w:p>
        </w:tc>
        <w:tc>
          <w:tcPr>
            <w:tcW w:w="1984" w:type="dxa"/>
            <w:vAlign w:val="center"/>
          </w:tcPr>
          <w:p w14:paraId="131ACA51" w14:textId="77777777" w:rsidR="00623B3D" w:rsidRPr="0079778C" w:rsidRDefault="00623B3D" w:rsidP="00593DF6">
            <w:pPr>
              <w:keepNext/>
              <w:jc w:val="left"/>
              <w:rPr>
                <w:rFonts w:ascii="Arial Narrow" w:eastAsia="Calibri" w:hAnsi="Arial Narrow" w:cs="Arial"/>
                <w:sz w:val="20"/>
                <w:szCs w:val="20"/>
                <w:vertAlign w:val="superscript"/>
                <w:lang w:eastAsia="en-US"/>
              </w:rPr>
            </w:pPr>
            <w:r w:rsidRPr="0079778C">
              <w:rPr>
                <w:rFonts w:ascii="Arial Narrow" w:eastAsia="Calibri" w:hAnsi="Arial Narrow" w:cs="Arial"/>
                <w:sz w:val="20"/>
                <w:szCs w:val="20"/>
                <w:lang w:eastAsia="en-US"/>
              </w:rPr>
              <w:t xml:space="preserve">Clexane Safety-Lock </w:t>
            </w:r>
            <w:r w:rsidRPr="0079778C">
              <w:rPr>
                <w:rFonts w:ascii="Arial Narrow" w:eastAsia="Calibri" w:hAnsi="Arial Narrow" w:cs="Arial"/>
                <w:sz w:val="20"/>
                <w:szCs w:val="20"/>
                <w:vertAlign w:val="superscript"/>
                <w:lang w:eastAsia="en-US"/>
              </w:rPr>
              <w:t>a</w:t>
            </w:r>
          </w:p>
          <w:p w14:paraId="3B4439BF" w14:textId="3B6F2333" w:rsidR="0079778C" w:rsidRPr="0079778C" w:rsidRDefault="00623B3D" w:rsidP="00593DF6">
            <w:pPr>
              <w:keepNext/>
              <w:jc w:val="left"/>
              <w:rPr>
                <w:rFonts w:ascii="Arial Narrow" w:eastAsia="Calibri" w:hAnsi="Arial Narrow" w:cs="Arial"/>
                <w:i/>
                <w:sz w:val="20"/>
                <w:szCs w:val="20"/>
                <w:vertAlign w:val="superscript"/>
                <w:lang w:eastAsia="en-US"/>
              </w:rPr>
            </w:pPr>
            <w:r w:rsidRPr="00623B3D">
              <w:rPr>
                <w:rFonts w:ascii="Arial Narrow" w:eastAsia="Calibri" w:hAnsi="Arial Narrow" w:cs="Arial"/>
                <w:sz w:val="20"/>
                <w:szCs w:val="20"/>
                <w:lang w:eastAsia="en-US"/>
              </w:rPr>
              <w:t>Exarane</w:t>
            </w:r>
            <w:r w:rsidRPr="0079778C">
              <w:rPr>
                <w:rFonts w:ascii="Arial Narrow" w:eastAsia="Calibri" w:hAnsi="Arial Narrow" w:cs="Arial"/>
                <w:sz w:val="20"/>
                <w:szCs w:val="20"/>
                <w:lang w:eastAsia="en-US"/>
              </w:rPr>
              <w:t xml:space="preserve"> </w:t>
            </w:r>
            <w:r w:rsidRPr="0079778C">
              <w:rPr>
                <w:rFonts w:ascii="Arial Narrow" w:eastAsia="Calibri" w:hAnsi="Arial Narrow" w:cs="Arial"/>
                <w:sz w:val="20"/>
                <w:szCs w:val="20"/>
                <w:vertAlign w:val="superscript"/>
                <w:lang w:eastAsia="en-US"/>
              </w:rPr>
              <w:t xml:space="preserve">a </w:t>
            </w:r>
          </w:p>
        </w:tc>
      </w:tr>
      <w:tr w:rsidR="0079778C" w:rsidRPr="0079778C" w14:paraId="38BEFE10" w14:textId="77777777" w:rsidTr="00F626D5">
        <w:trPr>
          <w:cantSplit/>
          <w:trHeight w:val="327"/>
        </w:trPr>
        <w:tc>
          <w:tcPr>
            <w:tcW w:w="3823" w:type="dxa"/>
          </w:tcPr>
          <w:p w14:paraId="0E1000C4" w14:textId="6269387F" w:rsidR="0079778C" w:rsidRPr="0079778C" w:rsidRDefault="0079778C" w:rsidP="00593DF6">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100 mg/mL injection, 10 x 1</w:t>
            </w:r>
            <w:r w:rsidR="00CD75FA">
              <w:rPr>
                <w:rFonts w:ascii="Arial Narrow" w:eastAsia="Calibri" w:hAnsi="Arial Narrow" w:cs="Arial"/>
                <w:sz w:val="20"/>
                <w:szCs w:val="20"/>
                <w:lang w:eastAsia="en-US"/>
              </w:rPr>
              <w:t> </w:t>
            </w:r>
            <w:r w:rsidRPr="0079778C">
              <w:rPr>
                <w:rFonts w:ascii="Arial Narrow" w:eastAsia="Calibri" w:hAnsi="Arial Narrow" w:cs="Arial"/>
                <w:sz w:val="20"/>
                <w:szCs w:val="20"/>
                <w:lang w:eastAsia="en-US"/>
              </w:rPr>
              <w:t>mL syringes</w:t>
            </w:r>
          </w:p>
        </w:tc>
        <w:tc>
          <w:tcPr>
            <w:tcW w:w="850" w:type="dxa"/>
          </w:tcPr>
          <w:p w14:paraId="16FA0532"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5435C</w:t>
            </w:r>
          </w:p>
        </w:tc>
        <w:tc>
          <w:tcPr>
            <w:tcW w:w="851" w:type="dxa"/>
          </w:tcPr>
          <w:p w14:paraId="10A6062A"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4C47392C" w14:textId="77777777" w:rsidR="0079778C" w:rsidRPr="0079778C" w:rsidRDefault="0079778C" w:rsidP="00593DF6">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63692480" w14:textId="77777777" w:rsidR="0079778C" w:rsidRPr="0079778C" w:rsidRDefault="0079778C"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3</w:t>
            </w:r>
          </w:p>
          <w:p w14:paraId="53AA2255" w14:textId="77777777" w:rsidR="0079778C" w:rsidRPr="0079778C" w:rsidRDefault="0079778C" w:rsidP="00593DF6">
            <w:pPr>
              <w:keepNext/>
              <w:ind w:left="-108"/>
              <w:jc w:val="center"/>
              <w:rPr>
                <w:rFonts w:ascii="Arial Narrow" w:eastAsia="Calibri" w:hAnsi="Arial Narrow" w:cs="Arial"/>
                <w:sz w:val="20"/>
                <w:szCs w:val="20"/>
                <w:lang w:eastAsia="en-US"/>
              </w:rPr>
            </w:pPr>
          </w:p>
        </w:tc>
        <w:tc>
          <w:tcPr>
            <w:tcW w:w="1984" w:type="dxa"/>
            <w:vAlign w:val="center"/>
          </w:tcPr>
          <w:p w14:paraId="0984A2C5" w14:textId="77777777" w:rsidR="00623B3D" w:rsidRPr="0079778C" w:rsidRDefault="00623B3D" w:rsidP="00593DF6">
            <w:pPr>
              <w:keepNext/>
              <w:jc w:val="left"/>
              <w:rPr>
                <w:rFonts w:ascii="Arial Narrow" w:eastAsia="Calibri" w:hAnsi="Arial Narrow" w:cs="Arial"/>
                <w:sz w:val="20"/>
                <w:szCs w:val="20"/>
                <w:vertAlign w:val="superscript"/>
                <w:lang w:eastAsia="en-US"/>
              </w:rPr>
            </w:pPr>
            <w:r w:rsidRPr="0079778C">
              <w:rPr>
                <w:rFonts w:ascii="Arial Narrow" w:eastAsia="Calibri" w:hAnsi="Arial Narrow" w:cs="Arial"/>
                <w:sz w:val="20"/>
                <w:szCs w:val="20"/>
                <w:lang w:eastAsia="en-US"/>
              </w:rPr>
              <w:t xml:space="preserve">Clexane Safety-Lock </w:t>
            </w:r>
            <w:r w:rsidRPr="0079778C">
              <w:rPr>
                <w:rFonts w:ascii="Arial Narrow" w:eastAsia="Calibri" w:hAnsi="Arial Narrow" w:cs="Arial"/>
                <w:sz w:val="20"/>
                <w:szCs w:val="20"/>
                <w:vertAlign w:val="superscript"/>
                <w:lang w:eastAsia="en-US"/>
              </w:rPr>
              <w:t>a</w:t>
            </w:r>
          </w:p>
          <w:p w14:paraId="503FC03F" w14:textId="40651A3C" w:rsidR="0079778C" w:rsidRPr="0079778C" w:rsidRDefault="00623B3D" w:rsidP="00593DF6">
            <w:pPr>
              <w:keepNext/>
              <w:jc w:val="left"/>
              <w:rPr>
                <w:rFonts w:ascii="Arial Narrow" w:eastAsia="Calibri" w:hAnsi="Arial Narrow" w:cs="Arial"/>
                <w:i/>
                <w:sz w:val="20"/>
                <w:szCs w:val="20"/>
                <w:vertAlign w:val="superscript"/>
                <w:lang w:eastAsia="en-US"/>
              </w:rPr>
            </w:pPr>
            <w:r w:rsidRPr="00623B3D">
              <w:rPr>
                <w:rFonts w:ascii="Arial Narrow" w:eastAsia="Calibri" w:hAnsi="Arial Narrow" w:cs="Arial"/>
                <w:sz w:val="20"/>
                <w:szCs w:val="20"/>
                <w:lang w:eastAsia="en-US"/>
              </w:rPr>
              <w:t>Exarane</w:t>
            </w:r>
            <w:r w:rsidRPr="0079778C">
              <w:rPr>
                <w:rFonts w:ascii="Arial Narrow" w:eastAsia="Calibri" w:hAnsi="Arial Narrow" w:cs="Arial"/>
                <w:sz w:val="20"/>
                <w:szCs w:val="20"/>
                <w:lang w:eastAsia="en-US"/>
              </w:rPr>
              <w:t xml:space="preserve"> </w:t>
            </w:r>
            <w:r w:rsidRPr="0079778C">
              <w:rPr>
                <w:rFonts w:ascii="Arial Narrow" w:eastAsia="Calibri" w:hAnsi="Arial Narrow" w:cs="Arial"/>
                <w:sz w:val="20"/>
                <w:szCs w:val="20"/>
                <w:vertAlign w:val="superscript"/>
                <w:lang w:eastAsia="en-US"/>
              </w:rPr>
              <w:t>a</w:t>
            </w:r>
          </w:p>
        </w:tc>
      </w:tr>
      <w:tr w:rsidR="00623B3D" w:rsidRPr="0079778C" w14:paraId="28CBA945" w14:textId="77777777" w:rsidTr="00F626D5">
        <w:trPr>
          <w:cantSplit/>
          <w:trHeight w:val="327"/>
        </w:trPr>
        <w:tc>
          <w:tcPr>
            <w:tcW w:w="3823" w:type="dxa"/>
          </w:tcPr>
          <w:p w14:paraId="441A0DAE" w14:textId="76FD717C" w:rsidR="00623B3D" w:rsidRPr="0079778C" w:rsidRDefault="00623B3D" w:rsidP="00593DF6">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120 mg/0.8 mL injection, 10 x 0.8 mL syringes</w:t>
            </w:r>
          </w:p>
        </w:tc>
        <w:tc>
          <w:tcPr>
            <w:tcW w:w="850" w:type="dxa"/>
          </w:tcPr>
          <w:p w14:paraId="368BAB5F" w14:textId="73F7A77E" w:rsidR="00623B3D" w:rsidRPr="0079778C" w:rsidRDefault="00623B3D"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NEW</w:t>
            </w:r>
          </w:p>
        </w:tc>
        <w:tc>
          <w:tcPr>
            <w:tcW w:w="851" w:type="dxa"/>
          </w:tcPr>
          <w:p w14:paraId="273A2937" w14:textId="7EE179F1" w:rsidR="00623B3D" w:rsidRPr="0079778C" w:rsidRDefault="00623B3D"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7D4BE451" w14:textId="2B10056B" w:rsidR="00623B3D" w:rsidRPr="0079778C" w:rsidRDefault="00623B3D" w:rsidP="00593DF6">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6382E040" w14:textId="4DB53FF3" w:rsidR="00623B3D" w:rsidRPr="0079778C" w:rsidRDefault="00623B3D" w:rsidP="00593DF6">
            <w:pPr>
              <w:keepNext/>
              <w:jc w:val="center"/>
              <w:rPr>
                <w:rFonts w:ascii="Arial Narrow" w:eastAsia="Calibri" w:hAnsi="Arial Narrow" w:cs="Arial"/>
                <w:sz w:val="20"/>
                <w:szCs w:val="20"/>
                <w:lang w:eastAsia="en-US"/>
              </w:rPr>
            </w:pPr>
            <w:r>
              <w:rPr>
                <w:rFonts w:ascii="Arial Narrow" w:eastAsia="Calibri" w:hAnsi="Arial Narrow" w:cs="Arial"/>
                <w:sz w:val="20"/>
                <w:szCs w:val="20"/>
                <w:lang w:eastAsia="en-US"/>
              </w:rPr>
              <w:t>3</w:t>
            </w:r>
          </w:p>
        </w:tc>
        <w:tc>
          <w:tcPr>
            <w:tcW w:w="1984" w:type="dxa"/>
            <w:vAlign w:val="center"/>
          </w:tcPr>
          <w:p w14:paraId="2EE1D596" w14:textId="195802BF" w:rsidR="00623B3D" w:rsidRPr="0079778C" w:rsidRDefault="00623B3D" w:rsidP="00593DF6">
            <w:pPr>
              <w:keepNext/>
              <w:jc w:val="left"/>
              <w:rPr>
                <w:rFonts w:ascii="Arial Narrow" w:eastAsia="Calibri" w:hAnsi="Arial Narrow" w:cs="Arial"/>
                <w:sz w:val="20"/>
                <w:szCs w:val="20"/>
                <w:lang w:eastAsia="en-US"/>
              </w:rPr>
            </w:pPr>
            <w:r w:rsidRPr="00623B3D">
              <w:rPr>
                <w:rFonts w:ascii="Arial Narrow" w:eastAsia="Calibri" w:hAnsi="Arial Narrow" w:cs="Arial"/>
                <w:sz w:val="20"/>
                <w:szCs w:val="20"/>
                <w:lang w:eastAsia="en-US"/>
              </w:rPr>
              <w:t>Exarane</w:t>
            </w:r>
            <w:r>
              <w:rPr>
                <w:rFonts w:ascii="Arial Narrow" w:eastAsia="Calibri" w:hAnsi="Arial Narrow" w:cs="Arial"/>
                <w:sz w:val="20"/>
                <w:szCs w:val="20"/>
                <w:lang w:eastAsia="en-US"/>
              </w:rPr>
              <w:t xml:space="preserve"> Forte</w:t>
            </w:r>
          </w:p>
        </w:tc>
      </w:tr>
      <w:tr w:rsidR="00623B3D" w:rsidRPr="0079778C" w14:paraId="46E2FF91" w14:textId="77777777" w:rsidTr="00F626D5">
        <w:trPr>
          <w:cantSplit/>
          <w:trHeight w:val="327"/>
        </w:trPr>
        <w:tc>
          <w:tcPr>
            <w:tcW w:w="3823" w:type="dxa"/>
          </w:tcPr>
          <w:p w14:paraId="223F87C3" w14:textId="71889F49" w:rsidR="00623B3D" w:rsidRPr="0079778C" w:rsidRDefault="00623B3D" w:rsidP="00593DF6">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150 mg/mL injection, 10 x 1</w:t>
            </w:r>
            <w:r w:rsidR="00CD75FA">
              <w:rPr>
                <w:rFonts w:ascii="Arial Narrow" w:eastAsia="Calibri" w:hAnsi="Arial Narrow" w:cs="Arial"/>
                <w:sz w:val="20"/>
                <w:szCs w:val="20"/>
                <w:lang w:eastAsia="en-US"/>
              </w:rPr>
              <w:t> </w:t>
            </w:r>
            <w:r w:rsidRPr="0079778C">
              <w:rPr>
                <w:rFonts w:ascii="Arial Narrow" w:eastAsia="Calibri" w:hAnsi="Arial Narrow" w:cs="Arial"/>
                <w:sz w:val="20"/>
                <w:szCs w:val="20"/>
                <w:lang w:eastAsia="en-US"/>
              </w:rPr>
              <w:t>mL syringes</w:t>
            </w:r>
          </w:p>
        </w:tc>
        <w:tc>
          <w:tcPr>
            <w:tcW w:w="850" w:type="dxa"/>
          </w:tcPr>
          <w:p w14:paraId="7A48016D" w14:textId="7815D5C8" w:rsidR="00623B3D" w:rsidRPr="0079778C" w:rsidRDefault="00623B3D"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NEW</w:t>
            </w:r>
          </w:p>
        </w:tc>
        <w:tc>
          <w:tcPr>
            <w:tcW w:w="851" w:type="dxa"/>
          </w:tcPr>
          <w:p w14:paraId="376BBEA4" w14:textId="78B75FB3" w:rsidR="00623B3D" w:rsidRPr="0079778C" w:rsidRDefault="00623B3D" w:rsidP="00593DF6">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3B7D5FC9" w14:textId="2DDF5495" w:rsidR="00623B3D" w:rsidRPr="0079778C" w:rsidRDefault="00623B3D" w:rsidP="00593DF6">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53D0836D" w14:textId="21F72385" w:rsidR="00623B3D" w:rsidRPr="0079778C" w:rsidRDefault="00623B3D" w:rsidP="00593DF6">
            <w:pPr>
              <w:keepNext/>
              <w:jc w:val="center"/>
              <w:rPr>
                <w:rFonts w:ascii="Arial Narrow" w:eastAsia="Calibri" w:hAnsi="Arial Narrow" w:cs="Arial"/>
                <w:sz w:val="20"/>
                <w:szCs w:val="20"/>
                <w:lang w:eastAsia="en-US"/>
              </w:rPr>
            </w:pPr>
            <w:r>
              <w:rPr>
                <w:rFonts w:ascii="Arial Narrow" w:eastAsia="Calibri" w:hAnsi="Arial Narrow" w:cs="Arial"/>
                <w:sz w:val="20"/>
                <w:szCs w:val="20"/>
                <w:lang w:eastAsia="en-US"/>
              </w:rPr>
              <w:t>3</w:t>
            </w:r>
          </w:p>
        </w:tc>
        <w:tc>
          <w:tcPr>
            <w:tcW w:w="1984" w:type="dxa"/>
            <w:vAlign w:val="center"/>
          </w:tcPr>
          <w:p w14:paraId="014ECB89" w14:textId="3FD39679" w:rsidR="00623B3D" w:rsidRPr="0079778C" w:rsidRDefault="00623B3D" w:rsidP="00593DF6">
            <w:pPr>
              <w:keepNext/>
              <w:jc w:val="left"/>
              <w:rPr>
                <w:rFonts w:ascii="Arial Narrow" w:eastAsia="Calibri" w:hAnsi="Arial Narrow" w:cs="Arial"/>
                <w:sz w:val="20"/>
                <w:szCs w:val="20"/>
                <w:lang w:eastAsia="en-US"/>
              </w:rPr>
            </w:pPr>
            <w:r w:rsidRPr="00623B3D">
              <w:rPr>
                <w:rFonts w:ascii="Arial Narrow" w:eastAsia="Calibri" w:hAnsi="Arial Narrow" w:cs="Arial"/>
                <w:sz w:val="20"/>
                <w:szCs w:val="20"/>
                <w:lang w:eastAsia="en-US"/>
              </w:rPr>
              <w:t>Exarane</w:t>
            </w:r>
            <w:r>
              <w:rPr>
                <w:rFonts w:ascii="Arial Narrow" w:eastAsia="Calibri" w:hAnsi="Arial Narrow" w:cs="Arial"/>
                <w:sz w:val="20"/>
                <w:szCs w:val="20"/>
                <w:lang w:eastAsia="en-US"/>
              </w:rPr>
              <w:t xml:space="preserve"> Forte</w:t>
            </w:r>
          </w:p>
        </w:tc>
      </w:tr>
    </w:tbl>
    <w:p w14:paraId="1225891A" w14:textId="77777777" w:rsidR="0079778C" w:rsidRPr="00623B3D" w:rsidRDefault="0079778C" w:rsidP="00593DF6">
      <w:pPr>
        <w:rPr>
          <w:rFonts w:asciiTheme="minorHAnsi" w:hAnsiTheme="minorHAnsi" w:cstheme="minorHAnsi"/>
          <w:bCs/>
        </w:rPr>
      </w:pP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1" w:type="dxa"/>
          <w:bottom w:w="28" w:type="dxa"/>
          <w:right w:w="51" w:type="dxa"/>
        </w:tblCellMar>
        <w:tblLook w:val="04A0" w:firstRow="1" w:lastRow="0" w:firstColumn="1" w:lastColumn="0" w:noHBand="0" w:noVBand="1"/>
      </w:tblPr>
      <w:tblGrid>
        <w:gridCol w:w="9209"/>
      </w:tblGrid>
      <w:tr w:rsidR="0079778C" w:rsidRPr="00623B3D" w14:paraId="1436CEF8" w14:textId="77777777" w:rsidTr="0012070D">
        <w:tc>
          <w:tcPr>
            <w:tcW w:w="5000" w:type="pct"/>
            <w:tcBorders>
              <w:top w:val="single" w:sz="4" w:space="0" w:color="auto"/>
              <w:left w:val="single" w:sz="4" w:space="0" w:color="auto"/>
              <w:bottom w:val="single" w:sz="4" w:space="0" w:color="auto"/>
              <w:right w:val="single" w:sz="4" w:space="0" w:color="auto"/>
            </w:tcBorders>
          </w:tcPr>
          <w:p w14:paraId="45096364" w14:textId="77777777" w:rsidR="0079778C" w:rsidRPr="00623B3D" w:rsidRDefault="0079778C" w:rsidP="00593DF6">
            <w:pPr>
              <w:rPr>
                <w:rFonts w:ascii="Arial Narrow" w:eastAsia="Calibri" w:hAnsi="Arial Narrow" w:cs="Arial"/>
                <w:sz w:val="20"/>
                <w:szCs w:val="20"/>
                <w:lang w:eastAsia="en-US"/>
              </w:rPr>
            </w:pPr>
            <w:r w:rsidRPr="00623B3D">
              <w:rPr>
                <w:rFonts w:ascii="Arial Narrow" w:eastAsia="Calibri" w:hAnsi="Arial Narrow" w:cs="Arial"/>
                <w:b/>
                <w:sz w:val="20"/>
                <w:szCs w:val="20"/>
                <w:lang w:eastAsia="en-US"/>
              </w:rPr>
              <w:lastRenderedPageBreak/>
              <w:t xml:space="preserve">Category / Program:   </w:t>
            </w:r>
            <w:r w:rsidRPr="00623B3D">
              <w:rPr>
                <w:rFonts w:ascii="Arial Narrow" w:eastAsia="Calibri" w:hAnsi="Arial Narrow" w:cs="Arial"/>
                <w:sz w:val="20"/>
                <w:szCs w:val="20"/>
                <w:lang w:eastAsia="en-US"/>
              </w:rPr>
              <w:t>GENERAL – General Schedule (Code GE)</w:t>
            </w:r>
          </w:p>
        </w:tc>
      </w:tr>
      <w:tr w:rsidR="0079778C" w:rsidRPr="00623B3D" w14:paraId="6B035002" w14:textId="77777777" w:rsidTr="0012070D">
        <w:trPr>
          <w:trHeight w:val="240"/>
        </w:trPr>
        <w:tc>
          <w:tcPr>
            <w:tcW w:w="5000" w:type="pct"/>
            <w:tcBorders>
              <w:top w:val="single" w:sz="4" w:space="0" w:color="auto"/>
              <w:left w:val="single" w:sz="4" w:space="0" w:color="auto"/>
              <w:bottom w:val="single" w:sz="4" w:space="0" w:color="auto"/>
              <w:right w:val="single" w:sz="4" w:space="0" w:color="auto"/>
            </w:tcBorders>
          </w:tcPr>
          <w:p w14:paraId="15AEB931" w14:textId="77777777" w:rsidR="0079778C" w:rsidRPr="00623B3D" w:rsidRDefault="0079778C" w:rsidP="00593DF6">
            <w:pPr>
              <w:rPr>
                <w:rFonts w:ascii="Arial Narrow" w:eastAsia="Calibri" w:hAnsi="Arial Narrow" w:cs="Arial"/>
                <w:b/>
                <w:sz w:val="20"/>
                <w:szCs w:val="20"/>
                <w:lang w:eastAsia="en-US"/>
              </w:rPr>
            </w:pPr>
            <w:r w:rsidRPr="00623B3D">
              <w:rPr>
                <w:rFonts w:ascii="Arial Narrow" w:eastAsia="Calibri" w:hAnsi="Arial Narrow" w:cs="Arial"/>
                <w:b/>
                <w:sz w:val="20"/>
                <w:szCs w:val="20"/>
                <w:lang w:eastAsia="en-US"/>
              </w:rPr>
              <w:t xml:space="preserve">Prescriber type:   </w:t>
            </w:r>
            <w:r w:rsidRPr="00623B3D">
              <w:rPr>
                <w:rFonts w:ascii="Arial Narrow" w:eastAsia="Calibri" w:hAnsi="Arial Narrow" w:cs="Arial"/>
                <w:sz w:val="20"/>
                <w:szCs w:val="20"/>
                <w:lang w:eastAsia="en-US"/>
              </w:rPr>
              <w:fldChar w:fldCharType="begin" w:fldLock="1">
                <w:ffData>
                  <w:name w:val=""/>
                  <w:enabled/>
                  <w:calcOnExit w:val="0"/>
                  <w:checkBox>
                    <w:sizeAuto/>
                    <w:default w:val="1"/>
                  </w:checkBox>
                </w:ffData>
              </w:fldChar>
            </w:r>
            <w:r w:rsidRPr="00623B3D">
              <w:rPr>
                <w:rFonts w:ascii="Arial Narrow" w:eastAsia="Calibri" w:hAnsi="Arial Narrow" w:cs="Arial"/>
                <w:sz w:val="20"/>
                <w:szCs w:val="20"/>
                <w:lang w:eastAsia="en-US"/>
              </w:rPr>
              <w:instrText xml:space="preserve"> FORMCHECKBOX </w:instrText>
            </w:r>
            <w:r w:rsidR="00047109">
              <w:rPr>
                <w:rFonts w:ascii="Arial Narrow" w:eastAsia="Calibri" w:hAnsi="Arial Narrow" w:cs="Arial"/>
                <w:sz w:val="20"/>
                <w:szCs w:val="20"/>
                <w:lang w:eastAsia="en-US"/>
              </w:rPr>
            </w:r>
            <w:r w:rsidR="00047109">
              <w:rPr>
                <w:rFonts w:ascii="Arial Narrow" w:eastAsia="Calibri" w:hAnsi="Arial Narrow" w:cs="Arial"/>
                <w:sz w:val="20"/>
                <w:szCs w:val="20"/>
                <w:lang w:eastAsia="en-US"/>
              </w:rPr>
              <w:fldChar w:fldCharType="separate"/>
            </w:r>
            <w:r w:rsidRPr="00623B3D">
              <w:rPr>
                <w:rFonts w:ascii="Arial Narrow" w:eastAsia="Calibri" w:hAnsi="Arial Narrow" w:cs="Arial"/>
                <w:sz w:val="20"/>
                <w:szCs w:val="20"/>
                <w:lang w:eastAsia="en-US"/>
              </w:rPr>
              <w:fldChar w:fldCharType="end"/>
            </w:r>
            <w:r w:rsidRPr="00623B3D">
              <w:rPr>
                <w:rFonts w:ascii="Arial Narrow" w:eastAsia="Calibri" w:hAnsi="Arial Narrow" w:cs="Arial"/>
                <w:sz w:val="20"/>
                <w:szCs w:val="20"/>
                <w:lang w:eastAsia="en-US"/>
              </w:rPr>
              <w:t xml:space="preserve">Medical Practitioners  </w:t>
            </w:r>
            <w:r w:rsidRPr="00623B3D">
              <w:rPr>
                <w:rFonts w:ascii="Arial Narrow" w:eastAsia="Calibri" w:hAnsi="Arial Narrow" w:cs="Arial"/>
                <w:sz w:val="20"/>
                <w:szCs w:val="20"/>
                <w:lang w:eastAsia="en-US"/>
              </w:rPr>
              <w:fldChar w:fldCharType="begin" w:fldLock="1">
                <w:ffData>
                  <w:name w:val=""/>
                  <w:enabled/>
                  <w:calcOnExit w:val="0"/>
                  <w:checkBox>
                    <w:sizeAuto/>
                    <w:default w:val="1"/>
                  </w:checkBox>
                </w:ffData>
              </w:fldChar>
            </w:r>
            <w:r w:rsidRPr="00623B3D">
              <w:rPr>
                <w:rFonts w:ascii="Arial Narrow" w:eastAsia="Calibri" w:hAnsi="Arial Narrow" w:cs="Arial"/>
                <w:sz w:val="20"/>
                <w:szCs w:val="20"/>
                <w:lang w:eastAsia="en-US"/>
              </w:rPr>
              <w:instrText xml:space="preserve"> FORMCHECKBOX </w:instrText>
            </w:r>
            <w:r w:rsidR="00047109">
              <w:rPr>
                <w:rFonts w:ascii="Arial Narrow" w:eastAsia="Calibri" w:hAnsi="Arial Narrow" w:cs="Arial"/>
                <w:sz w:val="20"/>
                <w:szCs w:val="20"/>
                <w:lang w:eastAsia="en-US"/>
              </w:rPr>
            </w:r>
            <w:r w:rsidR="00047109">
              <w:rPr>
                <w:rFonts w:ascii="Arial Narrow" w:eastAsia="Calibri" w:hAnsi="Arial Narrow" w:cs="Arial"/>
                <w:sz w:val="20"/>
                <w:szCs w:val="20"/>
                <w:lang w:eastAsia="en-US"/>
              </w:rPr>
              <w:fldChar w:fldCharType="separate"/>
            </w:r>
            <w:r w:rsidRPr="00623B3D">
              <w:rPr>
                <w:rFonts w:ascii="Arial Narrow" w:eastAsia="Calibri" w:hAnsi="Arial Narrow" w:cs="Arial"/>
                <w:sz w:val="20"/>
                <w:szCs w:val="20"/>
                <w:lang w:eastAsia="en-US"/>
              </w:rPr>
              <w:fldChar w:fldCharType="end"/>
            </w:r>
            <w:r w:rsidRPr="00623B3D">
              <w:rPr>
                <w:rFonts w:ascii="Arial Narrow" w:eastAsia="Calibri" w:hAnsi="Arial Narrow" w:cs="Arial"/>
                <w:sz w:val="20"/>
                <w:szCs w:val="20"/>
                <w:lang w:eastAsia="en-US"/>
              </w:rPr>
              <w:t xml:space="preserve">Nurse practitioners </w:t>
            </w:r>
          </w:p>
        </w:tc>
      </w:tr>
      <w:tr w:rsidR="0079778C" w:rsidRPr="00623B3D" w14:paraId="0F924CAA" w14:textId="77777777" w:rsidTr="0012070D">
        <w:tc>
          <w:tcPr>
            <w:tcW w:w="5000" w:type="pct"/>
            <w:tcBorders>
              <w:top w:val="single" w:sz="4" w:space="0" w:color="auto"/>
              <w:left w:val="single" w:sz="4" w:space="0" w:color="auto"/>
              <w:bottom w:val="single" w:sz="4" w:space="0" w:color="auto"/>
              <w:right w:val="single" w:sz="4" w:space="0" w:color="auto"/>
            </w:tcBorders>
          </w:tcPr>
          <w:p w14:paraId="79215A4E" w14:textId="77777777" w:rsidR="0079778C" w:rsidRPr="00623B3D" w:rsidRDefault="0079778C" w:rsidP="00593DF6">
            <w:pPr>
              <w:rPr>
                <w:rFonts w:ascii="Arial Narrow" w:eastAsia="Calibri" w:hAnsi="Arial Narrow" w:cs="Arial"/>
                <w:sz w:val="20"/>
                <w:szCs w:val="20"/>
                <w:lang w:eastAsia="en-US"/>
              </w:rPr>
            </w:pPr>
            <w:r w:rsidRPr="00623B3D">
              <w:rPr>
                <w:rFonts w:ascii="Arial Narrow" w:eastAsia="Calibri" w:hAnsi="Arial Narrow" w:cs="Arial"/>
                <w:b/>
                <w:sz w:val="20"/>
                <w:szCs w:val="20"/>
                <w:lang w:eastAsia="en-US"/>
              </w:rPr>
              <w:t xml:space="preserve">Benefit Type:  </w:t>
            </w:r>
            <w:r w:rsidRPr="00623B3D">
              <w:rPr>
                <w:rFonts w:ascii="Arial Narrow" w:eastAsia="Calibri" w:hAnsi="Arial Narrow" w:cs="Arial"/>
                <w:sz w:val="20"/>
                <w:szCs w:val="20"/>
                <w:lang w:eastAsia="en-US"/>
              </w:rPr>
              <w:fldChar w:fldCharType="begin" w:fldLock="1">
                <w:ffData>
                  <w:name w:val=""/>
                  <w:enabled/>
                  <w:calcOnExit w:val="0"/>
                  <w:checkBox>
                    <w:sizeAuto/>
                    <w:default w:val="1"/>
                  </w:checkBox>
                </w:ffData>
              </w:fldChar>
            </w:r>
            <w:r w:rsidRPr="00623B3D">
              <w:rPr>
                <w:rFonts w:ascii="Arial Narrow" w:eastAsia="Calibri" w:hAnsi="Arial Narrow" w:cs="Arial"/>
                <w:sz w:val="20"/>
                <w:szCs w:val="20"/>
                <w:lang w:eastAsia="en-US"/>
              </w:rPr>
              <w:instrText xml:space="preserve"> FORMCHECKBOX </w:instrText>
            </w:r>
            <w:r w:rsidR="00047109">
              <w:rPr>
                <w:rFonts w:ascii="Arial Narrow" w:eastAsia="Calibri" w:hAnsi="Arial Narrow" w:cs="Arial"/>
                <w:sz w:val="20"/>
                <w:szCs w:val="20"/>
                <w:lang w:eastAsia="en-US"/>
              </w:rPr>
            </w:r>
            <w:r w:rsidR="00047109">
              <w:rPr>
                <w:rFonts w:ascii="Arial Narrow" w:eastAsia="Calibri" w:hAnsi="Arial Narrow" w:cs="Arial"/>
                <w:sz w:val="20"/>
                <w:szCs w:val="20"/>
                <w:lang w:eastAsia="en-US"/>
              </w:rPr>
              <w:fldChar w:fldCharType="separate"/>
            </w:r>
            <w:r w:rsidRPr="00623B3D">
              <w:rPr>
                <w:rFonts w:ascii="Arial Narrow" w:eastAsia="Calibri" w:hAnsi="Arial Narrow" w:cs="Arial"/>
                <w:sz w:val="20"/>
                <w:szCs w:val="20"/>
                <w:lang w:eastAsia="en-US"/>
              </w:rPr>
              <w:fldChar w:fldCharType="end"/>
            </w:r>
            <w:r w:rsidRPr="00623B3D">
              <w:rPr>
                <w:rFonts w:ascii="Arial Narrow" w:eastAsia="Calibri" w:hAnsi="Arial Narrow" w:cs="Arial"/>
                <w:sz w:val="20"/>
                <w:szCs w:val="20"/>
                <w:lang w:eastAsia="en-US"/>
              </w:rPr>
              <w:t xml:space="preserve">   Restricted benefit</w:t>
            </w:r>
          </w:p>
        </w:tc>
      </w:tr>
      <w:tr w:rsidR="0079778C" w:rsidRPr="00623B3D" w14:paraId="112BE507" w14:textId="77777777" w:rsidTr="0012070D">
        <w:tc>
          <w:tcPr>
            <w:tcW w:w="5000" w:type="pct"/>
            <w:vAlign w:val="center"/>
            <w:hideMark/>
          </w:tcPr>
          <w:p w14:paraId="7A93BFA4" w14:textId="77777777" w:rsidR="0079778C" w:rsidRPr="00623B3D" w:rsidRDefault="0079778C" w:rsidP="00593DF6">
            <w:pPr>
              <w:jc w:val="left"/>
              <w:rPr>
                <w:rFonts w:ascii="Arial Narrow" w:hAnsi="Arial Narrow"/>
                <w:color w:val="333333"/>
                <w:sz w:val="20"/>
                <w:szCs w:val="20"/>
              </w:rPr>
            </w:pPr>
            <w:r w:rsidRPr="00623B3D">
              <w:rPr>
                <w:rFonts w:ascii="Arial Narrow" w:hAnsi="Arial Narrow"/>
                <w:b/>
                <w:bCs/>
                <w:color w:val="333333"/>
                <w:sz w:val="20"/>
                <w:szCs w:val="20"/>
              </w:rPr>
              <w:t>Indication:</w:t>
            </w:r>
            <w:r w:rsidRPr="00623B3D">
              <w:rPr>
                <w:rFonts w:ascii="Arial Narrow" w:hAnsi="Arial Narrow"/>
                <w:color w:val="333333"/>
                <w:sz w:val="20"/>
                <w:szCs w:val="20"/>
              </w:rPr>
              <w:t xml:space="preserve"> Haemodialysis</w:t>
            </w:r>
          </w:p>
        </w:tc>
      </w:tr>
      <w:tr w:rsidR="0079778C" w:rsidRPr="00623B3D" w14:paraId="2159192E" w14:textId="77777777" w:rsidTr="0012070D">
        <w:tc>
          <w:tcPr>
            <w:tcW w:w="5000" w:type="pct"/>
            <w:tcBorders>
              <w:top w:val="single" w:sz="4" w:space="0" w:color="auto"/>
              <w:left w:val="single" w:sz="4" w:space="0" w:color="auto"/>
              <w:bottom w:val="single" w:sz="4" w:space="0" w:color="auto"/>
              <w:right w:val="single" w:sz="4" w:space="0" w:color="auto"/>
            </w:tcBorders>
          </w:tcPr>
          <w:p w14:paraId="53EC18A6" w14:textId="77777777" w:rsidR="0079778C" w:rsidRPr="00623B3D" w:rsidRDefault="0079778C" w:rsidP="00593DF6">
            <w:pPr>
              <w:rPr>
                <w:rFonts w:ascii="Arial Narrow" w:eastAsia="Calibri" w:hAnsi="Arial Narrow" w:cs="Arial"/>
                <w:b/>
                <w:i/>
                <w:sz w:val="20"/>
                <w:szCs w:val="20"/>
                <w:lang w:eastAsia="en-US"/>
              </w:rPr>
            </w:pPr>
            <w:r w:rsidRPr="00623B3D">
              <w:rPr>
                <w:rFonts w:ascii="Arial Narrow" w:eastAsia="Calibri" w:hAnsi="Arial Narrow" w:cs="Arial"/>
                <w:b/>
                <w:i/>
                <w:sz w:val="20"/>
                <w:szCs w:val="20"/>
                <w:lang w:eastAsia="en-US"/>
              </w:rPr>
              <w:t>Administrative Advice:</w:t>
            </w:r>
          </w:p>
          <w:p w14:paraId="237A6A34" w14:textId="77777777" w:rsidR="0079778C" w:rsidRPr="00623B3D" w:rsidRDefault="0079778C" w:rsidP="00593DF6">
            <w:pPr>
              <w:rPr>
                <w:rFonts w:ascii="Arial Narrow" w:eastAsia="Calibri" w:hAnsi="Arial Narrow" w:cs="Arial"/>
                <w:i/>
                <w:sz w:val="20"/>
                <w:szCs w:val="20"/>
                <w:lang w:eastAsia="en-US"/>
              </w:rPr>
            </w:pPr>
            <w:r w:rsidRPr="00623B3D">
              <w:rPr>
                <w:rFonts w:ascii="Arial Narrow" w:eastAsia="Calibri" w:hAnsi="Arial Narrow" w:cs="Arial"/>
                <w:i/>
                <w:sz w:val="20"/>
                <w:szCs w:val="20"/>
                <w:lang w:eastAsia="en-US"/>
              </w:rPr>
              <w:t>Biosimilar prescribing policy</w:t>
            </w:r>
          </w:p>
          <w:p w14:paraId="2A4914D3" w14:textId="77777777" w:rsidR="0079778C" w:rsidRPr="00623B3D" w:rsidRDefault="0079778C" w:rsidP="00593DF6">
            <w:pPr>
              <w:rPr>
                <w:rFonts w:ascii="Arial Narrow" w:eastAsia="Calibri" w:hAnsi="Arial Narrow" w:cs="Arial"/>
                <w:i/>
                <w:sz w:val="20"/>
                <w:szCs w:val="20"/>
                <w:lang w:eastAsia="en-US"/>
              </w:rPr>
            </w:pPr>
          </w:p>
          <w:p w14:paraId="50B0A483" w14:textId="67459C89" w:rsidR="0079778C" w:rsidRPr="00623B3D" w:rsidRDefault="0079778C" w:rsidP="00593DF6">
            <w:pPr>
              <w:rPr>
                <w:rFonts w:ascii="Arial Narrow" w:eastAsia="Calibri" w:hAnsi="Arial Narrow" w:cs="Arial"/>
                <w:i/>
                <w:sz w:val="20"/>
                <w:szCs w:val="20"/>
                <w:lang w:eastAsia="en-US"/>
              </w:rPr>
            </w:pPr>
            <w:r w:rsidRPr="00623B3D">
              <w:rPr>
                <w:rFonts w:ascii="Arial Narrow" w:eastAsia="Calibri" w:hAnsi="Arial Narrow" w:cs="Arial"/>
                <w:i/>
                <w:sz w:val="20"/>
                <w:szCs w:val="20"/>
                <w:lang w:eastAsia="en-US"/>
              </w:rPr>
              <w:t xml:space="preserve">Prescribing of the biosimilar brand </w:t>
            </w:r>
            <w:r w:rsidR="00623B3D" w:rsidRPr="00623B3D">
              <w:rPr>
                <w:rFonts w:ascii="Arial Narrow" w:eastAsia="Calibri" w:hAnsi="Arial Narrow" w:cs="Arial"/>
                <w:i/>
                <w:sz w:val="20"/>
                <w:szCs w:val="20"/>
                <w:lang w:eastAsia="en-US"/>
              </w:rPr>
              <w:t>Exarane</w:t>
            </w:r>
            <w:r w:rsidR="00623B3D" w:rsidRPr="0079778C">
              <w:rPr>
                <w:rFonts w:ascii="Arial Narrow" w:eastAsia="Calibri" w:hAnsi="Arial Narrow" w:cs="Arial"/>
                <w:i/>
                <w:sz w:val="20"/>
                <w:szCs w:val="20"/>
                <w:lang w:eastAsia="en-US"/>
              </w:rPr>
              <w:t xml:space="preserve"> </w:t>
            </w:r>
            <w:r w:rsidR="00B902BB" w:rsidRPr="00B902BB">
              <w:rPr>
                <w:rFonts w:ascii="Arial Narrow" w:eastAsia="Calibri" w:hAnsi="Arial Narrow" w:cs="Arial"/>
                <w:i/>
                <w:sz w:val="20"/>
                <w:szCs w:val="20"/>
                <w:lang w:eastAsia="en-US"/>
              </w:rPr>
              <w:t xml:space="preserve">and Exarane Forte </w:t>
            </w:r>
            <w:r w:rsidRPr="00623B3D">
              <w:rPr>
                <w:rFonts w:ascii="Arial Narrow" w:eastAsia="Calibri" w:hAnsi="Arial Narrow" w:cs="Arial"/>
                <w:i/>
                <w:sz w:val="20"/>
                <w:szCs w:val="20"/>
                <w:lang w:eastAsia="en-US"/>
              </w:rPr>
              <w:t>is encouraged for treatment naive patients.</w:t>
            </w:r>
          </w:p>
          <w:p w14:paraId="23A428D5" w14:textId="77777777" w:rsidR="0079778C" w:rsidRPr="00623B3D" w:rsidRDefault="0079778C" w:rsidP="00593DF6">
            <w:pPr>
              <w:rPr>
                <w:rFonts w:ascii="Arial Narrow" w:eastAsia="Calibri" w:hAnsi="Arial Narrow" w:cs="Arial"/>
                <w:i/>
                <w:sz w:val="20"/>
                <w:szCs w:val="20"/>
                <w:lang w:eastAsia="en-US"/>
              </w:rPr>
            </w:pPr>
          </w:p>
          <w:p w14:paraId="6BBF34CA" w14:textId="54C426DA" w:rsidR="0079778C" w:rsidRPr="00623B3D" w:rsidRDefault="0079778C" w:rsidP="00593DF6">
            <w:pPr>
              <w:jc w:val="left"/>
              <w:rPr>
                <w:rFonts w:ascii="Arial Narrow" w:hAnsi="Arial Narrow"/>
                <w:b/>
                <w:bCs/>
                <w:color w:val="333333"/>
                <w:sz w:val="20"/>
                <w:szCs w:val="20"/>
              </w:rPr>
            </w:pPr>
            <w:r w:rsidRPr="00623B3D">
              <w:rPr>
                <w:rFonts w:ascii="Arial Narrow" w:eastAsia="Calibri" w:hAnsi="Arial Narrow" w:cs="Arial"/>
                <w:i/>
                <w:sz w:val="20"/>
                <w:szCs w:val="20"/>
                <w:lang w:eastAsia="en-US"/>
              </w:rPr>
              <w:t xml:space="preserve">Encouraging biosimilar prescribing for treatment naive patients is Government policy. A viable biosimilar market is expected to result in reduced costs for biological medicines, allowing the Government to reinvest in new treatments. </w:t>
            </w:r>
            <w:r w:rsidR="00586F54" w:rsidRPr="00586F54">
              <w:rPr>
                <w:rFonts w:ascii="Arial Narrow" w:eastAsia="Calibri" w:hAnsi="Arial Narrow" w:cs="Arial"/>
                <w:i/>
                <w:sz w:val="20"/>
                <w:szCs w:val="20"/>
                <w:lang w:eastAsia="en-US"/>
              </w:rPr>
              <w:t>Further information about Biosimilar Uptake Drivers can be found on the PBS Biosimilars webpage (</w:t>
            </w:r>
            <w:hyperlink r:id="rId9" w:history="1">
              <w:r w:rsidR="00586F54" w:rsidRPr="00586F54">
                <w:rPr>
                  <w:rStyle w:val="Hyperlink"/>
                  <w:rFonts w:ascii="Arial Narrow" w:eastAsia="Calibri" w:hAnsi="Arial Narrow" w:cs="Arial"/>
                  <w:i/>
                  <w:sz w:val="20"/>
                  <w:szCs w:val="20"/>
                  <w:lang w:eastAsia="en-US"/>
                </w:rPr>
                <w:t>www.pbs.gov.au/info/general/biosimilars</w:t>
              </w:r>
            </w:hyperlink>
            <w:r w:rsidR="00586F54" w:rsidRPr="00586F54">
              <w:rPr>
                <w:rFonts w:ascii="Arial Narrow" w:eastAsia="Calibri" w:hAnsi="Arial Narrow" w:cs="Arial"/>
                <w:i/>
                <w:sz w:val="20"/>
                <w:szCs w:val="20"/>
                <w:lang w:eastAsia="en-US"/>
              </w:rPr>
              <w:t>).</w:t>
            </w:r>
          </w:p>
        </w:tc>
      </w:tr>
    </w:tbl>
    <w:p w14:paraId="236C1690" w14:textId="77777777" w:rsidR="00623B3D" w:rsidRPr="00623B3D" w:rsidRDefault="00623B3D" w:rsidP="00D950A1">
      <w:pPr>
        <w:keepNext/>
        <w:keepLines/>
        <w:ind w:left="720"/>
        <w:rPr>
          <w:rFonts w:asciiTheme="minorHAnsi" w:eastAsiaTheme="minorHAnsi" w:hAnsiTheme="minorHAnsi" w:cstheme="minorBidi"/>
          <w:szCs w:val="22"/>
        </w:rPr>
      </w:pPr>
    </w:p>
    <w:p w14:paraId="0AD84122" w14:textId="7484D7EF" w:rsidR="00A30554" w:rsidRDefault="00CD75FA" w:rsidP="00593DF6">
      <w:pPr>
        <w:keepNext/>
        <w:keepLines/>
        <w:numPr>
          <w:ilvl w:val="1"/>
          <w:numId w:val="2"/>
        </w:numPr>
        <w:spacing w:after="120"/>
        <w:rPr>
          <w:rFonts w:asciiTheme="minorHAnsi" w:eastAsiaTheme="minorHAnsi" w:hAnsiTheme="minorHAnsi" w:cstheme="minorBidi"/>
          <w:i/>
          <w:iCs/>
          <w:szCs w:val="22"/>
        </w:rPr>
      </w:pPr>
      <w:r>
        <w:rPr>
          <w:rFonts w:asciiTheme="minorHAnsi" w:eastAsiaTheme="minorHAnsi" w:hAnsiTheme="minorHAnsi" w:cstheme="minorBidi"/>
          <w:szCs w:val="22"/>
        </w:rPr>
        <w:t xml:space="preserve">The sponsor requested that </w:t>
      </w:r>
      <w:r w:rsidR="00A80D82">
        <w:rPr>
          <w:rFonts w:asciiTheme="minorHAnsi" w:eastAsiaTheme="minorHAnsi" w:hAnsiTheme="minorHAnsi" w:cstheme="minorBidi"/>
          <w:szCs w:val="22"/>
        </w:rPr>
        <w:t>Exarane and Clexane Safety-Lock</w:t>
      </w:r>
      <w:r>
        <w:rPr>
          <w:rFonts w:asciiTheme="minorHAnsi" w:eastAsiaTheme="minorHAnsi" w:hAnsiTheme="minorHAnsi" w:cstheme="minorBidi"/>
          <w:szCs w:val="22"/>
        </w:rPr>
        <w:t xml:space="preserve"> be </w:t>
      </w:r>
      <w:r w:rsidR="00EA37E4">
        <w:rPr>
          <w:rFonts w:asciiTheme="minorHAnsi" w:eastAsiaTheme="minorHAnsi" w:hAnsiTheme="minorHAnsi" w:cstheme="minorBidi"/>
          <w:szCs w:val="22"/>
        </w:rPr>
        <w:t>‘</w:t>
      </w:r>
      <w:r>
        <w:rPr>
          <w:rFonts w:asciiTheme="minorHAnsi" w:eastAsiaTheme="minorHAnsi" w:hAnsiTheme="minorHAnsi" w:cstheme="minorBidi"/>
          <w:szCs w:val="22"/>
        </w:rPr>
        <w:t>a</w:t>
      </w:r>
      <w:r w:rsidR="00EA37E4">
        <w:rPr>
          <w:rFonts w:asciiTheme="minorHAnsi" w:eastAsiaTheme="minorHAnsi" w:hAnsiTheme="minorHAnsi" w:cstheme="minorBidi"/>
          <w:szCs w:val="22"/>
        </w:rPr>
        <w:t xml:space="preserve">’ </w:t>
      </w:r>
      <w:r>
        <w:rPr>
          <w:rFonts w:asciiTheme="minorHAnsi" w:eastAsiaTheme="minorHAnsi" w:hAnsiTheme="minorHAnsi" w:cstheme="minorBidi"/>
          <w:szCs w:val="22"/>
        </w:rPr>
        <w:t xml:space="preserve">flagged </w:t>
      </w:r>
      <w:r w:rsidR="00A80D82">
        <w:rPr>
          <w:rFonts w:asciiTheme="minorHAnsi" w:eastAsiaTheme="minorHAnsi" w:hAnsiTheme="minorHAnsi" w:cstheme="minorBidi"/>
          <w:szCs w:val="22"/>
        </w:rPr>
        <w:t>for the purpose</w:t>
      </w:r>
      <w:r w:rsidR="008E6254">
        <w:rPr>
          <w:rFonts w:asciiTheme="minorHAnsi" w:eastAsiaTheme="minorHAnsi" w:hAnsiTheme="minorHAnsi" w:cstheme="minorBidi"/>
          <w:szCs w:val="22"/>
        </w:rPr>
        <w:t>s</w:t>
      </w:r>
      <w:r w:rsidR="00A80D82">
        <w:rPr>
          <w:rFonts w:asciiTheme="minorHAnsi" w:eastAsiaTheme="minorHAnsi" w:hAnsiTheme="minorHAnsi" w:cstheme="minorBidi"/>
          <w:szCs w:val="22"/>
        </w:rPr>
        <w:t xml:space="preserve"> of substitution</w:t>
      </w:r>
      <w:r w:rsidR="00A80D82" w:rsidRPr="00F626D5">
        <w:rPr>
          <w:rFonts w:asciiTheme="minorHAnsi" w:eastAsiaTheme="minorHAnsi" w:hAnsiTheme="minorHAnsi" w:cstheme="minorBidi"/>
          <w:i/>
          <w:iCs/>
          <w:szCs w:val="22"/>
        </w:rPr>
        <w:t xml:space="preserve">. </w:t>
      </w:r>
      <w:r w:rsidR="00A30554">
        <w:t xml:space="preserve">The Secretariat noted </w:t>
      </w:r>
      <w:r w:rsidR="00A30554" w:rsidRPr="00A30554">
        <w:t xml:space="preserve">that the PBAC recommended the Enoxapo brand of enoxaparin </w:t>
      </w:r>
      <w:r w:rsidR="00A30554">
        <w:t xml:space="preserve">be “a” flagged to </w:t>
      </w:r>
      <w:r w:rsidR="00A30554">
        <w:rPr>
          <w:rFonts w:asciiTheme="minorHAnsi" w:eastAsiaTheme="minorHAnsi" w:hAnsiTheme="minorHAnsi" w:cstheme="minorBidi"/>
          <w:szCs w:val="22"/>
        </w:rPr>
        <w:t xml:space="preserve">Clexane Safety-Lock </w:t>
      </w:r>
      <w:r w:rsidR="00A30554" w:rsidRPr="00A30554">
        <w:t xml:space="preserve">at its July 2020 meeting (enoxaparin </w:t>
      </w:r>
      <w:r w:rsidR="005A3A5D">
        <w:t>Public Summary Document (</w:t>
      </w:r>
      <w:r w:rsidR="00A30554" w:rsidRPr="00A30554">
        <w:t>PSD</w:t>
      </w:r>
      <w:r w:rsidR="005A3A5D">
        <w:t>)</w:t>
      </w:r>
      <w:r w:rsidR="00A30554" w:rsidRPr="00A30554">
        <w:t xml:space="preserve"> July 2020 PBAC meeting)</w:t>
      </w:r>
      <w:r w:rsidR="00A30554">
        <w:t>.</w:t>
      </w:r>
      <w:r w:rsidR="00F44034">
        <w:t xml:space="preserve"> The PBAC advised that this was reasonable.</w:t>
      </w:r>
    </w:p>
    <w:p w14:paraId="7AD88C72" w14:textId="47A0E87E" w:rsidR="00A30554" w:rsidRPr="00A30554" w:rsidRDefault="00EA37E4" w:rsidP="00593DF6">
      <w:pPr>
        <w:pStyle w:val="3Bodytext"/>
        <w:jc w:val="both"/>
      </w:pPr>
      <w:r>
        <w:t xml:space="preserve">The sponsor was supportive of the addition of an administrative note to encourage the uptake of biosimilar prescribing for treatment-naïve patients. </w:t>
      </w:r>
      <w:r w:rsidR="00A30554">
        <w:t xml:space="preserve">The Secretariat noted </w:t>
      </w:r>
      <w:r w:rsidR="00A30554" w:rsidRPr="00A30554">
        <w:t>that the PBAC recommended the note be applied to the Enoxapo brand of enoxaparin at its July 2020 meeting (enoxaparin PSD July 2020 PBAC meeting)</w:t>
      </w:r>
      <w:r w:rsidR="00A30554">
        <w:t>.</w:t>
      </w:r>
    </w:p>
    <w:p w14:paraId="29A96004" w14:textId="77777777" w:rsidR="00C27C1C" w:rsidRPr="00980B0E" w:rsidRDefault="00C27C1C" w:rsidP="00593DF6">
      <w:pPr>
        <w:pStyle w:val="2-SectionHeading"/>
        <w:numPr>
          <w:ilvl w:val="0"/>
          <w:numId w:val="2"/>
        </w:numPr>
        <w:rPr>
          <w:color w:val="FF0000"/>
        </w:rPr>
      </w:pPr>
      <w:r w:rsidRPr="003C2FB5">
        <w:t>Comparator</w:t>
      </w:r>
      <w:r>
        <w:t xml:space="preserve"> </w:t>
      </w:r>
    </w:p>
    <w:p w14:paraId="1184BA9A" w14:textId="4E374066" w:rsidR="00C27C1C" w:rsidRPr="00BC4E30" w:rsidRDefault="00C27C1C" w:rsidP="00593DF6">
      <w:pPr>
        <w:pStyle w:val="3Bodytext"/>
        <w:jc w:val="both"/>
        <w:rPr>
          <w:i/>
          <w:szCs w:val="24"/>
        </w:rPr>
      </w:pPr>
      <w:r w:rsidRPr="00BC4E30">
        <w:rPr>
          <w:szCs w:val="24"/>
        </w:rPr>
        <w:t xml:space="preserve">The submission nominated </w:t>
      </w:r>
      <w:r w:rsidR="00F25729" w:rsidRPr="00BC4E30">
        <w:rPr>
          <w:szCs w:val="24"/>
        </w:rPr>
        <w:t>Clexane Safety-Lock</w:t>
      </w:r>
      <w:r w:rsidR="00EB7210" w:rsidRPr="00BC4E30">
        <w:rPr>
          <w:i/>
          <w:szCs w:val="24"/>
        </w:rPr>
        <w:t xml:space="preserve"> </w:t>
      </w:r>
      <w:r w:rsidRPr="00BC4E30">
        <w:rPr>
          <w:szCs w:val="24"/>
        </w:rPr>
        <w:t>as the main comparator.</w:t>
      </w:r>
      <w:r w:rsidR="00EB7210" w:rsidRPr="00BC4E30">
        <w:rPr>
          <w:szCs w:val="24"/>
        </w:rPr>
        <w:t xml:space="preserve"> </w:t>
      </w:r>
    </w:p>
    <w:p w14:paraId="17470CF6" w14:textId="7C6A7777" w:rsidR="00F25729" w:rsidRDefault="00F25729" w:rsidP="00593DF6">
      <w:pPr>
        <w:pStyle w:val="3Bodytext"/>
        <w:jc w:val="both"/>
        <w:rPr>
          <w:szCs w:val="24"/>
        </w:rPr>
      </w:pPr>
      <w:r w:rsidRPr="00BC4E30">
        <w:rPr>
          <w:szCs w:val="24"/>
        </w:rPr>
        <w:t xml:space="preserve">Clexane Safety-Lock has an automatic safety-lock system which retracts and seals the needle once the dose is administered. </w:t>
      </w:r>
      <w:r w:rsidR="008803DE">
        <w:rPr>
          <w:szCs w:val="24"/>
        </w:rPr>
        <w:t>The Pre-PBAC response noted that the lack of a safety-lock system should not impact the listing of Exarane and Exarane Forte</w:t>
      </w:r>
      <w:r w:rsidR="002A7DD7">
        <w:rPr>
          <w:szCs w:val="24"/>
        </w:rPr>
        <w:t>.</w:t>
      </w:r>
      <w:r w:rsidR="002A7DD7" w:rsidRPr="00DB3B75">
        <w:rPr>
          <w:szCs w:val="24"/>
        </w:rPr>
        <w:t xml:space="preserve"> </w:t>
      </w:r>
      <w:r w:rsidR="002A7DD7">
        <w:rPr>
          <w:szCs w:val="24"/>
        </w:rPr>
        <w:t>T</w:t>
      </w:r>
      <w:r w:rsidR="002A7DD7" w:rsidRPr="00DB3B75">
        <w:rPr>
          <w:szCs w:val="24"/>
        </w:rPr>
        <w:t>his</w:t>
      </w:r>
      <w:r w:rsidR="002A7DD7" w:rsidDel="002A7DD7">
        <w:rPr>
          <w:szCs w:val="24"/>
        </w:rPr>
        <w:t xml:space="preserve"> </w:t>
      </w:r>
      <w:r w:rsidR="008803DE">
        <w:rPr>
          <w:szCs w:val="24"/>
        </w:rPr>
        <w:t>has be</w:t>
      </w:r>
      <w:r w:rsidR="007E4ECE">
        <w:rPr>
          <w:szCs w:val="24"/>
        </w:rPr>
        <w:t>en</w:t>
      </w:r>
      <w:r w:rsidR="008803DE">
        <w:rPr>
          <w:szCs w:val="24"/>
        </w:rPr>
        <w:t xml:space="preserve"> previously considered by the PBAC at its November 2014 meeting where the addition of a safety-lock mechanism to Clexane did not constitute any change to the listing of Clexane Safety-Lock. </w:t>
      </w:r>
    </w:p>
    <w:p w14:paraId="0436B7D8" w14:textId="77777777" w:rsidR="00C27C1C" w:rsidRDefault="00C27C1C" w:rsidP="00593DF6">
      <w:pPr>
        <w:pStyle w:val="Heading1"/>
        <w:keepLines/>
        <w:numPr>
          <w:ilvl w:val="0"/>
          <w:numId w:val="2"/>
        </w:numPr>
        <w:spacing w:before="240"/>
        <w:ind w:left="709" w:hanging="709"/>
        <w:rPr>
          <w:sz w:val="32"/>
          <w:szCs w:val="32"/>
        </w:rPr>
      </w:pPr>
      <w:r w:rsidRPr="003C2FB5">
        <w:rPr>
          <w:sz w:val="32"/>
          <w:szCs w:val="32"/>
        </w:rPr>
        <w:t>Consideration of the evidence</w:t>
      </w:r>
    </w:p>
    <w:p w14:paraId="19DAAAE8" w14:textId="77777777" w:rsidR="00FD717D" w:rsidRPr="006E1229" w:rsidRDefault="00FD717D" w:rsidP="00732D4C">
      <w:pPr>
        <w:pStyle w:val="4-SubsectionHeading"/>
        <w:rPr>
          <w:lang w:eastAsia="en-US"/>
        </w:rPr>
      </w:pPr>
      <w:bookmarkStart w:id="3" w:name="_Hlk76375935"/>
      <w:r w:rsidRPr="006E1229">
        <w:rPr>
          <w:lang w:eastAsia="en-US"/>
        </w:rPr>
        <w:t>Sponsor hearing</w:t>
      </w:r>
    </w:p>
    <w:p w14:paraId="17A1E72D" w14:textId="182DB66C" w:rsidR="00FD717D" w:rsidRPr="00F91542" w:rsidRDefault="00FD717D" w:rsidP="00FD717D">
      <w:pPr>
        <w:widowControl w:val="0"/>
        <w:numPr>
          <w:ilvl w:val="1"/>
          <w:numId w:val="2"/>
        </w:numPr>
        <w:spacing w:after="120"/>
        <w:rPr>
          <w:rFonts w:cs="Calibri"/>
          <w:bCs/>
          <w:snapToGrid w:val="0"/>
        </w:rPr>
      </w:pPr>
      <w:r w:rsidRPr="00F91542">
        <w:rPr>
          <w:rFonts w:cs="Calibri"/>
          <w:bCs/>
          <w:snapToGrid w:val="0"/>
        </w:rPr>
        <w:t>There was no hearing for this item.</w:t>
      </w:r>
    </w:p>
    <w:p w14:paraId="392E5D59" w14:textId="77777777" w:rsidR="00FD717D" w:rsidRPr="006E1229" w:rsidRDefault="00FD717D" w:rsidP="00732D4C">
      <w:pPr>
        <w:pStyle w:val="4-SubsectionHeading"/>
        <w:rPr>
          <w:lang w:eastAsia="en-US"/>
        </w:rPr>
      </w:pPr>
      <w:r w:rsidRPr="006E1229">
        <w:rPr>
          <w:lang w:eastAsia="en-US"/>
        </w:rPr>
        <w:t>Consumer comments</w:t>
      </w:r>
    </w:p>
    <w:p w14:paraId="42BFFB6B" w14:textId="67CAD99F" w:rsidR="00FD717D" w:rsidRPr="00836F75" w:rsidRDefault="00FD717D" w:rsidP="00FD717D">
      <w:pPr>
        <w:widowControl w:val="0"/>
        <w:numPr>
          <w:ilvl w:val="1"/>
          <w:numId w:val="2"/>
        </w:numPr>
        <w:spacing w:after="120"/>
        <w:rPr>
          <w:rFonts w:asciiTheme="minorHAnsi" w:hAnsiTheme="minorHAnsi" w:cs="Arial"/>
          <w:bCs/>
          <w:snapToGrid w:val="0"/>
        </w:rPr>
      </w:pPr>
      <w:bookmarkStart w:id="4" w:name="_Hlk76382618"/>
      <w:r w:rsidRPr="00836F75">
        <w:rPr>
          <w:rFonts w:asciiTheme="minorHAnsi" w:hAnsiTheme="minorHAnsi" w:cs="Arial"/>
          <w:bCs/>
          <w:snapToGrid w:val="0"/>
        </w:rPr>
        <w:t>The PBAC noted and welcomed the input from individuals (</w:t>
      </w:r>
      <w:r w:rsidR="00934473">
        <w:rPr>
          <w:rFonts w:asciiTheme="minorHAnsi" w:hAnsiTheme="minorHAnsi" w:cs="Arial"/>
          <w:bCs/>
          <w:snapToGrid w:val="0"/>
        </w:rPr>
        <w:t>1)</w:t>
      </w:r>
      <w:r w:rsidRPr="00836F75">
        <w:rPr>
          <w:rFonts w:asciiTheme="minorHAnsi" w:hAnsiTheme="minorHAnsi" w:cs="Arial"/>
          <w:bCs/>
          <w:snapToGrid w:val="0"/>
        </w:rPr>
        <w:t xml:space="preserve"> via the Consumer Comments facility on the PBS website. The comment</w:t>
      </w:r>
      <w:bookmarkStart w:id="5" w:name="_Hlk97141379"/>
      <w:r w:rsidR="00934473">
        <w:rPr>
          <w:rFonts w:asciiTheme="minorHAnsi" w:hAnsiTheme="minorHAnsi" w:cs="Arial"/>
          <w:bCs/>
          <w:snapToGrid w:val="0"/>
        </w:rPr>
        <w:t xml:space="preserve"> raised general</w:t>
      </w:r>
      <w:r w:rsidRPr="00287959">
        <w:rPr>
          <w:rFonts w:asciiTheme="minorHAnsi" w:hAnsiTheme="minorHAnsi" w:cs="Arial"/>
          <w:bCs/>
          <w:snapToGrid w:val="0"/>
        </w:rPr>
        <w:t xml:space="preserve"> safety</w:t>
      </w:r>
      <w:r w:rsidR="00934473">
        <w:rPr>
          <w:rFonts w:asciiTheme="minorHAnsi" w:hAnsiTheme="minorHAnsi" w:cs="Arial"/>
          <w:bCs/>
          <w:snapToGrid w:val="0"/>
        </w:rPr>
        <w:t xml:space="preserve"> concerns regarding biosimilar drugs.</w:t>
      </w:r>
      <w:r w:rsidRPr="00287959">
        <w:rPr>
          <w:rFonts w:asciiTheme="minorHAnsi" w:hAnsiTheme="minorHAnsi" w:cs="Arial"/>
          <w:bCs/>
          <w:snapToGrid w:val="0"/>
        </w:rPr>
        <w:t xml:space="preserve"> </w:t>
      </w:r>
      <w:bookmarkEnd w:id="5"/>
    </w:p>
    <w:bookmarkEnd w:id="3"/>
    <w:bookmarkEnd w:id="4"/>
    <w:p w14:paraId="2CDF3682" w14:textId="1F660FCD" w:rsidR="00C27C1C" w:rsidRPr="008306F3" w:rsidRDefault="00C27C1C" w:rsidP="00593DF6">
      <w:pPr>
        <w:pStyle w:val="4-SubsectionHeading"/>
        <w:rPr>
          <w:lang w:eastAsia="en-US"/>
        </w:rPr>
      </w:pPr>
      <w:r w:rsidRPr="003C2FB5">
        <w:rPr>
          <w:lang w:eastAsia="en-US"/>
        </w:rPr>
        <w:t>Clinical claim</w:t>
      </w:r>
    </w:p>
    <w:p w14:paraId="5186D34E" w14:textId="4FAB9F0D" w:rsidR="00EA37E4" w:rsidRPr="00BC4E30" w:rsidRDefault="00C27C1C" w:rsidP="00593DF6">
      <w:pPr>
        <w:pStyle w:val="3Bodytext"/>
        <w:jc w:val="both"/>
        <w:rPr>
          <w:szCs w:val="24"/>
        </w:rPr>
      </w:pPr>
      <w:r w:rsidRPr="00BC4E30">
        <w:t xml:space="preserve">The submission claimed </w:t>
      </w:r>
      <w:r w:rsidR="00EA37E4">
        <w:t xml:space="preserve">that </w:t>
      </w:r>
      <w:r w:rsidR="00EA37E4" w:rsidRPr="00EA37E4">
        <w:rPr>
          <w:szCs w:val="24"/>
        </w:rPr>
        <w:t xml:space="preserve">Exarane and Exarane Forte were </w:t>
      </w:r>
      <w:r w:rsidRPr="00BC4E30">
        <w:t xml:space="preserve">non-inferior </w:t>
      </w:r>
      <w:r w:rsidR="00EA37E4">
        <w:t>in terms of efficacy and safety to the comparator,</w:t>
      </w:r>
      <w:r w:rsidRPr="00BC4E30">
        <w:t xml:space="preserve"> </w:t>
      </w:r>
      <w:r w:rsidR="00BC4E30" w:rsidRPr="00EA37E4">
        <w:rPr>
          <w:szCs w:val="24"/>
        </w:rPr>
        <w:t>Clexane Safety-Lock</w:t>
      </w:r>
      <w:r w:rsidRPr="00EA37E4">
        <w:rPr>
          <w:i/>
        </w:rPr>
        <w:t>.</w:t>
      </w:r>
      <w:r w:rsidR="00D50DC7">
        <w:rPr>
          <w:i/>
        </w:rPr>
        <w:t xml:space="preserve"> </w:t>
      </w:r>
      <w:r w:rsidR="00EA37E4">
        <w:rPr>
          <w:szCs w:val="24"/>
        </w:rPr>
        <w:t xml:space="preserve">The TGA Delegate’s Overview was satisfied with the biosimilarity of </w:t>
      </w:r>
      <w:r w:rsidR="00EA37E4" w:rsidRPr="00BC4E30">
        <w:rPr>
          <w:szCs w:val="24"/>
        </w:rPr>
        <w:t>Exarane and Exarane Forte</w:t>
      </w:r>
      <w:r w:rsidR="00EA37E4">
        <w:rPr>
          <w:szCs w:val="24"/>
        </w:rPr>
        <w:t xml:space="preserve"> to the reference brand of Clexane. </w:t>
      </w:r>
    </w:p>
    <w:p w14:paraId="45D181E4" w14:textId="77777777" w:rsidR="00C27C1C" w:rsidRDefault="00C27C1C" w:rsidP="00593DF6">
      <w:pPr>
        <w:pStyle w:val="4-SubsectionHeading"/>
        <w:rPr>
          <w:lang w:eastAsia="en-US"/>
        </w:rPr>
      </w:pPr>
      <w:r w:rsidRPr="003C2FB5">
        <w:rPr>
          <w:lang w:eastAsia="en-US"/>
        </w:rPr>
        <w:t>Economic analysis</w:t>
      </w:r>
      <w:r>
        <w:rPr>
          <w:lang w:eastAsia="en-US"/>
        </w:rPr>
        <w:t xml:space="preserve"> </w:t>
      </w:r>
    </w:p>
    <w:p w14:paraId="747EE7F8" w14:textId="69545D8E" w:rsidR="00203028" w:rsidRDefault="00203028" w:rsidP="00593DF6">
      <w:pPr>
        <w:pStyle w:val="3Bodytext"/>
        <w:jc w:val="both"/>
        <w:rPr>
          <w:rFonts w:cstheme="minorHAnsi"/>
          <w:szCs w:val="24"/>
        </w:rPr>
      </w:pPr>
      <w:r w:rsidRPr="00647620">
        <w:rPr>
          <w:rFonts w:cstheme="minorHAnsi"/>
          <w:szCs w:val="24"/>
        </w:rPr>
        <w:t xml:space="preserve">The Sponsor requested that the ex-manufacturer prices for </w:t>
      </w:r>
      <w:r w:rsidR="00EA37E4">
        <w:rPr>
          <w:rFonts w:cstheme="minorHAnsi"/>
          <w:szCs w:val="24"/>
        </w:rPr>
        <w:t xml:space="preserve">Exarane </w:t>
      </w:r>
      <w:r w:rsidRPr="00647620">
        <w:rPr>
          <w:rFonts w:cstheme="minorHAnsi"/>
          <w:szCs w:val="24"/>
        </w:rPr>
        <w:t>20 mg/0.2</w:t>
      </w:r>
      <w:r>
        <w:rPr>
          <w:rFonts w:cstheme="minorHAnsi"/>
          <w:szCs w:val="24"/>
        </w:rPr>
        <w:t> </w:t>
      </w:r>
      <w:r w:rsidRPr="00647620">
        <w:rPr>
          <w:rFonts w:cstheme="minorHAnsi"/>
          <w:szCs w:val="24"/>
        </w:rPr>
        <w:t>mL, 40 mg/0.4 mL, 60 mg/0.6 mL, 80 mg/0.8 mL and 100 mg/mL be equivalent to the price of the corresponding</w:t>
      </w:r>
      <w:r w:rsidR="00EA37E4">
        <w:rPr>
          <w:rFonts w:cstheme="minorHAnsi"/>
          <w:szCs w:val="24"/>
        </w:rPr>
        <w:t xml:space="preserve"> </w:t>
      </w:r>
      <w:r w:rsidRPr="00647620">
        <w:rPr>
          <w:rFonts w:cstheme="minorHAnsi"/>
          <w:szCs w:val="24"/>
        </w:rPr>
        <w:t>PBS</w:t>
      </w:r>
      <w:r w:rsidR="00EA37E4">
        <w:rPr>
          <w:rFonts w:cstheme="minorHAnsi"/>
          <w:szCs w:val="24"/>
        </w:rPr>
        <w:t>-</w:t>
      </w:r>
      <w:r w:rsidRPr="00647620">
        <w:rPr>
          <w:rFonts w:cstheme="minorHAnsi"/>
          <w:szCs w:val="24"/>
        </w:rPr>
        <w:t>listed formulation of Clexane Safety-Lock.</w:t>
      </w:r>
    </w:p>
    <w:p w14:paraId="723C41D7" w14:textId="0C895008" w:rsidR="004425E6" w:rsidRDefault="004425E6" w:rsidP="00593DF6">
      <w:pPr>
        <w:pStyle w:val="3Bodytext"/>
        <w:jc w:val="both"/>
        <w:rPr>
          <w:rFonts w:cstheme="minorHAnsi"/>
          <w:szCs w:val="24"/>
        </w:rPr>
      </w:pPr>
      <w:r>
        <w:rPr>
          <w:rFonts w:cstheme="minorHAnsi"/>
          <w:szCs w:val="24"/>
        </w:rPr>
        <w:t>This is based on the equi-effective dose of 1 mg Exarane = 1 mg of Clexane Safety-Lock.</w:t>
      </w:r>
    </w:p>
    <w:p w14:paraId="3A93D24B" w14:textId="07B83DC1" w:rsidR="00A30554" w:rsidRPr="00A30554" w:rsidRDefault="00203028" w:rsidP="00593DF6">
      <w:pPr>
        <w:pStyle w:val="3Bodytext"/>
        <w:jc w:val="both"/>
        <w:rPr>
          <w:rFonts w:cstheme="minorHAnsi"/>
        </w:rPr>
      </w:pPr>
      <w:r w:rsidRPr="00647620">
        <w:rPr>
          <w:rFonts w:cstheme="minorHAnsi"/>
          <w:szCs w:val="24"/>
        </w:rPr>
        <w:t>For the 120 mg</w:t>
      </w:r>
      <w:r>
        <w:rPr>
          <w:rFonts w:cstheme="minorHAnsi"/>
          <w:szCs w:val="24"/>
        </w:rPr>
        <w:t>/0.8 mL</w:t>
      </w:r>
      <w:r w:rsidRPr="00647620">
        <w:rPr>
          <w:rFonts w:cstheme="minorHAnsi"/>
          <w:szCs w:val="24"/>
        </w:rPr>
        <w:t xml:space="preserve"> and 150 mg</w:t>
      </w:r>
      <w:r>
        <w:rPr>
          <w:rFonts w:cstheme="minorHAnsi"/>
          <w:szCs w:val="24"/>
        </w:rPr>
        <w:t>/mL</w:t>
      </w:r>
      <w:r w:rsidRPr="00647620">
        <w:rPr>
          <w:rFonts w:cstheme="minorHAnsi"/>
          <w:szCs w:val="24"/>
        </w:rPr>
        <w:t xml:space="preserve"> s</w:t>
      </w:r>
      <w:r>
        <w:rPr>
          <w:rFonts w:cstheme="minorHAnsi"/>
          <w:szCs w:val="24"/>
        </w:rPr>
        <w:t>trengths of Exarane Forte</w:t>
      </w:r>
      <w:r w:rsidRPr="00647620">
        <w:rPr>
          <w:rFonts w:cstheme="minorHAnsi"/>
          <w:szCs w:val="24"/>
        </w:rPr>
        <w:t xml:space="preserve">, </w:t>
      </w:r>
      <w:r w:rsidR="00EA37E4">
        <w:rPr>
          <w:rFonts w:cstheme="minorHAnsi"/>
          <w:szCs w:val="24"/>
        </w:rPr>
        <w:t>the submission</w:t>
      </w:r>
      <w:r w:rsidRPr="00647620">
        <w:rPr>
          <w:rFonts w:cstheme="minorHAnsi"/>
          <w:szCs w:val="24"/>
        </w:rPr>
        <w:t xml:space="preserve"> proposed </w:t>
      </w:r>
      <w:r w:rsidR="00EA37E4">
        <w:rPr>
          <w:rFonts w:cstheme="minorHAnsi"/>
          <w:szCs w:val="24"/>
        </w:rPr>
        <w:t xml:space="preserve">that the </w:t>
      </w:r>
      <w:r w:rsidRPr="00647620">
        <w:rPr>
          <w:rFonts w:cstheme="minorHAnsi"/>
          <w:szCs w:val="24"/>
        </w:rPr>
        <w:t xml:space="preserve">price </w:t>
      </w:r>
      <w:r w:rsidR="00EA37E4">
        <w:rPr>
          <w:rFonts w:cstheme="minorHAnsi"/>
          <w:szCs w:val="24"/>
        </w:rPr>
        <w:t>be</w:t>
      </w:r>
      <w:r w:rsidRPr="00647620">
        <w:rPr>
          <w:rFonts w:cstheme="minorHAnsi"/>
          <w:szCs w:val="24"/>
        </w:rPr>
        <w:t xml:space="preserve"> calculated on a cost-minimisation basis against the </w:t>
      </w:r>
      <w:r>
        <w:rPr>
          <w:rFonts w:cstheme="minorHAnsi"/>
          <w:szCs w:val="24"/>
        </w:rPr>
        <w:t>80 </w:t>
      </w:r>
      <w:r w:rsidRPr="00647620">
        <w:rPr>
          <w:rFonts w:cstheme="minorHAnsi"/>
          <w:szCs w:val="24"/>
        </w:rPr>
        <w:t>mg</w:t>
      </w:r>
      <w:r>
        <w:rPr>
          <w:rFonts w:cstheme="minorHAnsi"/>
          <w:szCs w:val="24"/>
        </w:rPr>
        <w:t>/0.8 mL</w:t>
      </w:r>
      <w:r w:rsidRPr="00647620">
        <w:rPr>
          <w:rFonts w:cstheme="minorHAnsi"/>
          <w:szCs w:val="24"/>
        </w:rPr>
        <w:t xml:space="preserve"> formulation, as the </w:t>
      </w:r>
      <w:r w:rsidR="00772526">
        <w:rPr>
          <w:rFonts w:cstheme="minorHAnsi"/>
          <w:szCs w:val="24"/>
        </w:rPr>
        <w:t>8</w:t>
      </w:r>
      <w:r w:rsidRPr="00647620">
        <w:rPr>
          <w:rFonts w:cstheme="minorHAnsi"/>
          <w:szCs w:val="24"/>
        </w:rPr>
        <w:t>0</w:t>
      </w:r>
      <w:r w:rsidR="0074121C">
        <w:rPr>
          <w:rFonts w:cstheme="minorHAnsi"/>
          <w:szCs w:val="24"/>
        </w:rPr>
        <w:t> mg</w:t>
      </w:r>
      <w:r w:rsidR="00022981">
        <w:rPr>
          <w:rFonts w:cstheme="minorHAnsi"/>
          <w:szCs w:val="24"/>
        </w:rPr>
        <w:t>/0.8 mL</w:t>
      </w:r>
      <w:r w:rsidRPr="00647620">
        <w:rPr>
          <w:rFonts w:cstheme="minorHAnsi"/>
          <w:szCs w:val="24"/>
        </w:rPr>
        <w:t xml:space="preserve"> therapy was the least expensive item on a cost per milligram basis</w:t>
      </w:r>
      <w:r w:rsidR="00772526">
        <w:rPr>
          <w:rFonts w:cstheme="minorHAnsi"/>
          <w:szCs w:val="24"/>
        </w:rPr>
        <w:t>, using the AEMP prices</w:t>
      </w:r>
      <w:r w:rsidR="0074121C">
        <w:rPr>
          <w:rFonts w:cstheme="minorHAnsi"/>
          <w:szCs w:val="24"/>
        </w:rPr>
        <w:t xml:space="preserve"> </w:t>
      </w:r>
      <w:bookmarkStart w:id="6" w:name="_Hlk136871623"/>
      <w:r w:rsidR="0074121C">
        <w:rPr>
          <w:rFonts w:cstheme="minorHAnsi"/>
          <w:szCs w:val="24"/>
        </w:rPr>
        <w:t xml:space="preserve">at </w:t>
      </w:r>
      <w:r w:rsidR="0074121C" w:rsidRPr="0074121C">
        <w:rPr>
          <w:rFonts w:cstheme="minorHAnsi"/>
          <w:szCs w:val="24"/>
        </w:rPr>
        <w:t>$0.86</w:t>
      </w:r>
      <w:r w:rsidR="0074121C">
        <w:rPr>
          <w:rFonts w:cstheme="minorHAnsi"/>
          <w:szCs w:val="24"/>
        </w:rPr>
        <w:t>/mg</w:t>
      </w:r>
      <w:r w:rsidRPr="00647620">
        <w:rPr>
          <w:rFonts w:cstheme="minorHAnsi"/>
          <w:szCs w:val="24"/>
        </w:rPr>
        <w:t xml:space="preserve">. </w:t>
      </w:r>
    </w:p>
    <w:p w14:paraId="2FDEA4C9" w14:textId="7CA0334A" w:rsidR="00022981" w:rsidRPr="00647620" w:rsidRDefault="0074121C" w:rsidP="00593DF6">
      <w:pPr>
        <w:pStyle w:val="3Bodytext"/>
        <w:jc w:val="both"/>
        <w:rPr>
          <w:rFonts w:cstheme="minorHAnsi"/>
        </w:rPr>
      </w:pPr>
      <w:bookmarkStart w:id="7" w:name="_Hlk136871646"/>
      <w:bookmarkEnd w:id="6"/>
      <w:r>
        <w:rPr>
          <w:rFonts w:cstheme="minorHAnsi"/>
          <w:szCs w:val="24"/>
        </w:rPr>
        <w:t xml:space="preserve">At its July 2019 and July 2020 meetings, the PBAC recommended </w:t>
      </w:r>
      <w:r w:rsidR="00022981" w:rsidRPr="00647620">
        <w:rPr>
          <w:rFonts w:cstheme="minorHAnsi"/>
          <w:szCs w:val="24"/>
        </w:rPr>
        <w:t>that the listing of the 120</w:t>
      </w:r>
      <w:r w:rsidR="00022981">
        <w:rPr>
          <w:rFonts w:cstheme="minorHAnsi"/>
          <w:szCs w:val="24"/>
        </w:rPr>
        <w:t> </w:t>
      </w:r>
      <w:r w:rsidR="00022981" w:rsidRPr="00647620">
        <w:rPr>
          <w:rFonts w:cstheme="minorHAnsi"/>
          <w:szCs w:val="24"/>
        </w:rPr>
        <w:t>mg and 150</w:t>
      </w:r>
      <w:r w:rsidR="00022981">
        <w:rPr>
          <w:rFonts w:cstheme="minorHAnsi"/>
          <w:szCs w:val="24"/>
        </w:rPr>
        <w:t> </w:t>
      </w:r>
      <w:r w:rsidR="00022981" w:rsidRPr="00647620">
        <w:rPr>
          <w:rFonts w:cstheme="minorHAnsi"/>
          <w:szCs w:val="24"/>
        </w:rPr>
        <w:t xml:space="preserve">mg strengths for the enoxaparin brands </w:t>
      </w:r>
      <w:r w:rsidR="00A30554" w:rsidRPr="00A30554">
        <w:rPr>
          <w:rFonts w:cstheme="minorHAnsi"/>
          <w:szCs w:val="24"/>
        </w:rPr>
        <w:t xml:space="preserve">Clexane Forte®, Enoxaparin Winthrop®, Clexane Forte Safety-Lock® </w:t>
      </w:r>
      <w:r w:rsidR="00A30554">
        <w:rPr>
          <w:rFonts w:cstheme="minorHAnsi"/>
          <w:szCs w:val="24"/>
        </w:rPr>
        <w:t xml:space="preserve">and </w:t>
      </w:r>
      <w:r w:rsidR="00A30554" w:rsidRPr="00A30554">
        <w:rPr>
          <w:rFonts w:cstheme="minorHAnsi"/>
          <w:szCs w:val="24"/>
        </w:rPr>
        <w:t>Enoxap</w:t>
      </w:r>
      <w:r w:rsidR="00A30554">
        <w:rPr>
          <w:rFonts w:cstheme="minorHAnsi"/>
          <w:szCs w:val="24"/>
        </w:rPr>
        <w:t>o</w:t>
      </w:r>
      <w:r w:rsidR="00A30554" w:rsidRPr="00A30554">
        <w:rPr>
          <w:rFonts w:cstheme="minorHAnsi"/>
          <w:szCs w:val="24"/>
        </w:rPr>
        <w:t xml:space="preserve"> </w:t>
      </w:r>
      <w:r w:rsidR="00022981" w:rsidRPr="00647620">
        <w:rPr>
          <w:rFonts w:cstheme="minorHAnsi"/>
          <w:szCs w:val="24"/>
        </w:rPr>
        <w:t>should be cost minimised against the 100</w:t>
      </w:r>
      <w:r w:rsidR="00022981">
        <w:rPr>
          <w:rFonts w:cstheme="minorHAnsi"/>
          <w:szCs w:val="24"/>
        </w:rPr>
        <w:t> </w:t>
      </w:r>
      <w:r w:rsidR="00022981" w:rsidRPr="00647620">
        <w:rPr>
          <w:rFonts w:cstheme="minorHAnsi"/>
          <w:szCs w:val="24"/>
        </w:rPr>
        <w:t>mg price (para 6.4, enoxaparin PSD, July 2019 PBAC meeting</w:t>
      </w:r>
      <w:r w:rsidR="00022981">
        <w:rPr>
          <w:rFonts w:cstheme="minorHAnsi"/>
          <w:szCs w:val="24"/>
        </w:rPr>
        <w:t xml:space="preserve">, and para 6.3 </w:t>
      </w:r>
      <w:r w:rsidR="00022981" w:rsidRPr="00647620">
        <w:rPr>
          <w:rFonts w:cstheme="minorHAnsi"/>
          <w:szCs w:val="24"/>
        </w:rPr>
        <w:t>enoxaparin PSD, July 20</w:t>
      </w:r>
      <w:r w:rsidR="00022981">
        <w:rPr>
          <w:rFonts w:cstheme="minorHAnsi"/>
          <w:szCs w:val="24"/>
        </w:rPr>
        <w:t>20</w:t>
      </w:r>
      <w:r w:rsidR="00022981" w:rsidRPr="00647620">
        <w:rPr>
          <w:rFonts w:cstheme="minorHAnsi"/>
          <w:szCs w:val="24"/>
        </w:rPr>
        <w:t xml:space="preserve"> PBAC meeting). </w:t>
      </w:r>
      <w:r w:rsidR="00FA6BD1">
        <w:rPr>
          <w:rFonts w:cstheme="minorHAnsi"/>
          <w:szCs w:val="24"/>
        </w:rPr>
        <w:t>However, due to a price increase on 1</w:t>
      </w:r>
      <w:r w:rsidR="00BD3662">
        <w:rPr>
          <w:rFonts w:cstheme="minorHAnsi"/>
          <w:szCs w:val="24"/>
        </w:rPr>
        <w:t> </w:t>
      </w:r>
      <w:r w:rsidR="00FA6BD1">
        <w:rPr>
          <w:rFonts w:cstheme="minorHAnsi"/>
          <w:szCs w:val="24"/>
        </w:rPr>
        <w:t xml:space="preserve">October 2021, the 80 mg strength </w:t>
      </w:r>
      <w:r w:rsidR="00C10817">
        <w:rPr>
          <w:rFonts w:cstheme="minorHAnsi"/>
          <w:szCs w:val="24"/>
        </w:rPr>
        <w:t>now has</w:t>
      </w:r>
      <w:r w:rsidR="00FA6BD1">
        <w:rPr>
          <w:rFonts w:cstheme="minorHAnsi"/>
          <w:szCs w:val="24"/>
        </w:rPr>
        <w:t xml:space="preserve"> the </w:t>
      </w:r>
      <w:r w:rsidR="00C10817" w:rsidRPr="00C10817">
        <w:rPr>
          <w:rFonts w:cstheme="minorHAnsi"/>
          <w:szCs w:val="24"/>
        </w:rPr>
        <w:t>lowest price per milligram AEMP</w:t>
      </w:r>
      <w:r w:rsidR="00C10817">
        <w:rPr>
          <w:rFonts w:cstheme="minorHAnsi"/>
          <w:szCs w:val="24"/>
        </w:rPr>
        <w:t xml:space="preserve"> among the enoxaparin strengths</w:t>
      </w:r>
      <w:r w:rsidR="00FA6BD1">
        <w:rPr>
          <w:rFonts w:cstheme="minorHAnsi"/>
          <w:szCs w:val="24"/>
        </w:rPr>
        <w:t xml:space="preserve">.  </w:t>
      </w:r>
    </w:p>
    <w:bookmarkEnd w:id="7"/>
    <w:p w14:paraId="17EA3725" w14:textId="0B649268" w:rsidR="004425E6" w:rsidRDefault="004425E6" w:rsidP="00593DF6">
      <w:pPr>
        <w:pStyle w:val="3Bodytext"/>
        <w:jc w:val="both"/>
        <w:rPr>
          <w:rFonts w:cstheme="minorHAnsi"/>
        </w:rPr>
      </w:pPr>
      <w:r w:rsidRPr="00647620">
        <w:rPr>
          <w:rFonts w:cstheme="minorHAnsi"/>
        </w:rPr>
        <w:t xml:space="preserve">The calculation of these prices is shown in </w:t>
      </w:r>
      <w:r w:rsidR="00C755A7">
        <w:rPr>
          <w:rFonts w:cstheme="minorHAnsi"/>
        </w:rPr>
        <w:fldChar w:fldCharType="begin" w:fldLock="1"/>
      </w:r>
      <w:r w:rsidR="00C755A7">
        <w:rPr>
          <w:rFonts w:cstheme="minorHAnsi"/>
        </w:rPr>
        <w:instrText xml:space="preserve"> REF _Ref133835824 \h </w:instrText>
      </w:r>
      <w:r w:rsidR="00E879D3">
        <w:rPr>
          <w:rFonts w:cstheme="minorHAnsi"/>
        </w:rPr>
        <w:instrText xml:space="preserve"> \* MERGEFORMAT </w:instrText>
      </w:r>
      <w:r w:rsidR="00C755A7">
        <w:rPr>
          <w:rFonts w:cstheme="minorHAnsi"/>
        </w:rPr>
      </w:r>
      <w:r w:rsidR="00C755A7">
        <w:rPr>
          <w:rFonts w:cstheme="minorHAnsi"/>
        </w:rPr>
        <w:fldChar w:fldCharType="separate"/>
      </w:r>
      <w:r w:rsidR="00C755A7">
        <w:rPr>
          <w:rFonts w:cstheme="minorHAnsi"/>
        </w:rPr>
        <w:t xml:space="preserve">Table </w:t>
      </w:r>
      <w:r w:rsidR="00C755A7">
        <w:rPr>
          <w:noProof/>
        </w:rPr>
        <w:t>1</w:t>
      </w:r>
      <w:r w:rsidR="00C755A7">
        <w:rPr>
          <w:rFonts w:cstheme="minorHAnsi"/>
        </w:rPr>
        <w:fldChar w:fldCharType="end"/>
      </w:r>
      <w:r w:rsidR="00C755A7">
        <w:rPr>
          <w:rFonts w:cstheme="minorHAnsi"/>
        </w:rPr>
        <w:t xml:space="preserve"> and </w:t>
      </w:r>
      <w:r w:rsidR="00C755A7">
        <w:rPr>
          <w:rFonts w:cstheme="minorHAnsi"/>
        </w:rPr>
        <w:fldChar w:fldCharType="begin" w:fldLock="1"/>
      </w:r>
      <w:r w:rsidR="00C755A7">
        <w:rPr>
          <w:rFonts w:cstheme="minorHAnsi"/>
        </w:rPr>
        <w:instrText xml:space="preserve"> REF _Ref133835903 \h </w:instrText>
      </w:r>
      <w:r w:rsidR="00E879D3">
        <w:rPr>
          <w:rFonts w:cstheme="minorHAnsi"/>
        </w:rPr>
        <w:instrText xml:space="preserve"> \* MERGEFORMAT </w:instrText>
      </w:r>
      <w:r w:rsidR="00C755A7">
        <w:rPr>
          <w:rFonts w:cstheme="minorHAnsi"/>
        </w:rPr>
      </w:r>
      <w:r w:rsidR="00C755A7">
        <w:rPr>
          <w:rFonts w:cstheme="minorHAnsi"/>
        </w:rPr>
        <w:fldChar w:fldCharType="separate"/>
      </w:r>
      <w:r w:rsidR="00C755A7">
        <w:rPr>
          <w:rFonts w:cstheme="minorHAnsi"/>
        </w:rPr>
        <w:t xml:space="preserve">Table </w:t>
      </w:r>
      <w:r w:rsidR="00C755A7">
        <w:rPr>
          <w:noProof/>
        </w:rPr>
        <w:t>2</w:t>
      </w:r>
      <w:r w:rsidR="00C755A7">
        <w:rPr>
          <w:rFonts w:cstheme="minorHAnsi"/>
        </w:rPr>
        <w:fldChar w:fldCharType="end"/>
      </w:r>
      <w:r w:rsidRPr="00647620">
        <w:rPr>
          <w:rFonts w:cstheme="minorHAnsi"/>
        </w:rPr>
        <w:t xml:space="preserve"> below.</w:t>
      </w:r>
    </w:p>
    <w:p w14:paraId="6468B358" w14:textId="3AB05FCD" w:rsidR="004425E6" w:rsidRDefault="004425E6" w:rsidP="00593DF6">
      <w:pPr>
        <w:pStyle w:val="Tabletitles"/>
        <w:keepNext/>
        <w:spacing w:after="0"/>
      </w:pPr>
      <w:bookmarkStart w:id="8" w:name="_Ref133835824"/>
      <w:r>
        <w:rPr>
          <w:rFonts w:cstheme="minorHAnsi"/>
        </w:rPr>
        <w:t xml:space="preserve">Table </w:t>
      </w:r>
      <w:fldSimple w:instr=" SEQ Table \* ARABIC " w:fldLock="1">
        <w:r w:rsidR="00C123C8">
          <w:rPr>
            <w:noProof/>
          </w:rPr>
          <w:t>1</w:t>
        </w:r>
      </w:fldSimple>
      <w:bookmarkEnd w:id="8"/>
      <w:r>
        <w:rPr>
          <w:rFonts w:cstheme="minorHAnsi"/>
        </w:rPr>
        <w:t xml:space="preserve">: </w:t>
      </w:r>
      <w:r w:rsidRPr="00E2349E">
        <w:t>Cost per mg of currently PBS listed strengths</w:t>
      </w:r>
      <w:r>
        <w:t xml:space="preserve"> (AEMP of Clexane Safety-Lock)</w:t>
      </w:r>
    </w:p>
    <w:tbl>
      <w:tblPr>
        <w:tblStyle w:val="TableGrid"/>
        <w:tblW w:w="9214" w:type="dxa"/>
        <w:tblInd w:w="-5" w:type="dxa"/>
        <w:tblLook w:val="04A0" w:firstRow="1" w:lastRow="0" w:firstColumn="1" w:lastColumn="0" w:noHBand="0" w:noVBand="1"/>
        <w:tblCaption w:val="Table 1: Cost per mg of currently PBS listed strengths (AEMP of Clexane Safety-Lock)"/>
      </w:tblPr>
      <w:tblGrid>
        <w:gridCol w:w="4395"/>
        <w:gridCol w:w="2268"/>
        <w:gridCol w:w="2551"/>
      </w:tblGrid>
      <w:tr w:rsidR="007274FA" w:rsidRPr="00E2349E" w14:paraId="2E15139B" w14:textId="77777777" w:rsidTr="00385289">
        <w:trPr>
          <w:trHeight w:val="283"/>
          <w:tblHeader/>
        </w:trPr>
        <w:tc>
          <w:tcPr>
            <w:tcW w:w="4395" w:type="dxa"/>
            <w:shd w:val="clear" w:color="auto" w:fill="auto"/>
            <w:vAlign w:val="center"/>
          </w:tcPr>
          <w:p w14:paraId="60A95EBB" w14:textId="77777777" w:rsidR="004425E6" w:rsidRPr="004425E6" w:rsidRDefault="004425E6" w:rsidP="00593DF6">
            <w:pPr>
              <w:jc w:val="center"/>
              <w:rPr>
                <w:rFonts w:ascii="Arial Narrow" w:hAnsi="Arial Narrow"/>
                <w:b/>
                <w:bCs/>
                <w:sz w:val="20"/>
                <w:szCs w:val="20"/>
              </w:rPr>
            </w:pPr>
            <w:r w:rsidRPr="004425E6">
              <w:rPr>
                <w:rFonts w:ascii="Arial Narrow" w:hAnsi="Arial Narrow" w:cs="Calibri"/>
                <w:b/>
                <w:bCs/>
                <w:sz w:val="20"/>
                <w:szCs w:val="20"/>
              </w:rPr>
              <w:t>Strength</w:t>
            </w:r>
          </w:p>
        </w:tc>
        <w:tc>
          <w:tcPr>
            <w:tcW w:w="2268" w:type="dxa"/>
            <w:shd w:val="clear" w:color="auto" w:fill="auto"/>
            <w:vAlign w:val="center"/>
          </w:tcPr>
          <w:p w14:paraId="5CA40C71" w14:textId="77777777" w:rsidR="004425E6" w:rsidRPr="004425E6" w:rsidRDefault="004425E6" w:rsidP="00593DF6">
            <w:pPr>
              <w:jc w:val="center"/>
              <w:rPr>
                <w:rFonts w:ascii="Arial Narrow" w:hAnsi="Arial Narrow"/>
                <w:b/>
                <w:bCs/>
                <w:sz w:val="20"/>
                <w:szCs w:val="20"/>
              </w:rPr>
            </w:pPr>
            <w:r w:rsidRPr="004425E6">
              <w:rPr>
                <w:rFonts w:ascii="Arial Narrow" w:hAnsi="Arial Narrow" w:cs="Calibri"/>
                <w:b/>
                <w:bCs/>
                <w:sz w:val="20"/>
                <w:szCs w:val="20"/>
              </w:rPr>
              <w:t>AEMP</w:t>
            </w:r>
          </w:p>
        </w:tc>
        <w:tc>
          <w:tcPr>
            <w:tcW w:w="2551" w:type="dxa"/>
            <w:shd w:val="clear" w:color="auto" w:fill="auto"/>
            <w:vAlign w:val="center"/>
          </w:tcPr>
          <w:p w14:paraId="1C7E2318" w14:textId="287966B7" w:rsidR="004425E6" w:rsidRPr="004425E6" w:rsidRDefault="004425E6" w:rsidP="00593DF6">
            <w:pPr>
              <w:jc w:val="center"/>
              <w:rPr>
                <w:rFonts w:ascii="Arial Narrow" w:hAnsi="Arial Narrow"/>
                <w:b/>
                <w:bCs/>
                <w:sz w:val="20"/>
                <w:szCs w:val="20"/>
              </w:rPr>
            </w:pPr>
            <w:r w:rsidRPr="004425E6">
              <w:rPr>
                <w:rFonts w:ascii="Arial Narrow" w:hAnsi="Arial Narrow" w:cs="Calibri"/>
                <w:b/>
                <w:bCs/>
                <w:sz w:val="20"/>
                <w:szCs w:val="20"/>
              </w:rPr>
              <w:t>Cost per mg</w:t>
            </w:r>
          </w:p>
        </w:tc>
      </w:tr>
      <w:tr w:rsidR="004425E6" w:rsidRPr="00E2349E" w14:paraId="0E9D4655" w14:textId="77777777" w:rsidTr="006235F5">
        <w:trPr>
          <w:trHeight w:val="283"/>
        </w:trPr>
        <w:tc>
          <w:tcPr>
            <w:tcW w:w="4395" w:type="dxa"/>
            <w:vAlign w:val="center"/>
          </w:tcPr>
          <w:p w14:paraId="799DEA83" w14:textId="1C02E703" w:rsidR="004425E6" w:rsidRPr="004425E6" w:rsidRDefault="004425E6" w:rsidP="00593DF6">
            <w:pPr>
              <w:jc w:val="left"/>
              <w:rPr>
                <w:rFonts w:ascii="Arial Narrow" w:hAnsi="Arial Narrow"/>
                <w:sz w:val="20"/>
                <w:szCs w:val="20"/>
              </w:rPr>
            </w:pPr>
            <w:r w:rsidRPr="004425E6">
              <w:rPr>
                <w:rFonts w:ascii="Arial Narrow" w:hAnsi="Arial Narrow"/>
                <w:sz w:val="20"/>
                <w:szCs w:val="20"/>
              </w:rPr>
              <w:t xml:space="preserve">Clexane safety-lock </w:t>
            </w:r>
            <w:r w:rsidRPr="004425E6">
              <w:rPr>
                <w:rFonts w:ascii="Arial Narrow" w:hAnsi="Arial Narrow" w:cs="Calibri"/>
                <w:sz w:val="20"/>
                <w:szCs w:val="20"/>
              </w:rPr>
              <w:t>20 mg</w:t>
            </w:r>
            <w:r w:rsidR="00E879D3">
              <w:rPr>
                <w:rFonts w:ascii="Arial Narrow" w:hAnsi="Arial Narrow" w:cs="Calibri"/>
                <w:sz w:val="20"/>
                <w:szCs w:val="20"/>
              </w:rPr>
              <w:t>/0.2 mL</w:t>
            </w:r>
          </w:p>
        </w:tc>
        <w:tc>
          <w:tcPr>
            <w:tcW w:w="2268" w:type="dxa"/>
            <w:vAlign w:val="center"/>
          </w:tcPr>
          <w:p w14:paraId="3A3A8F30" w14:textId="46251308" w:rsidR="004425E6" w:rsidRPr="004425E6" w:rsidRDefault="004425E6" w:rsidP="00593DF6">
            <w:pPr>
              <w:jc w:val="center"/>
              <w:rPr>
                <w:rFonts w:ascii="Arial Narrow" w:hAnsi="Arial Narrow"/>
                <w:sz w:val="20"/>
                <w:szCs w:val="20"/>
              </w:rPr>
            </w:pPr>
            <w:bookmarkStart w:id="9" w:name="RANGE!C9"/>
            <w:r w:rsidRPr="004425E6">
              <w:rPr>
                <w:rFonts w:ascii="Arial Narrow" w:hAnsi="Arial Narrow" w:cs="Calibri"/>
                <w:sz w:val="20"/>
                <w:szCs w:val="20"/>
              </w:rPr>
              <w:t>$33.58</w:t>
            </w:r>
            <w:bookmarkEnd w:id="9"/>
          </w:p>
        </w:tc>
        <w:tc>
          <w:tcPr>
            <w:tcW w:w="2551" w:type="dxa"/>
            <w:vAlign w:val="center"/>
          </w:tcPr>
          <w:p w14:paraId="7393F7FB" w14:textId="26561219" w:rsidR="004425E6" w:rsidRPr="004425E6" w:rsidRDefault="004425E6" w:rsidP="00593DF6">
            <w:pPr>
              <w:jc w:val="center"/>
              <w:rPr>
                <w:rFonts w:ascii="Arial Narrow" w:hAnsi="Arial Narrow"/>
                <w:sz w:val="20"/>
                <w:szCs w:val="20"/>
              </w:rPr>
            </w:pPr>
            <w:r w:rsidRPr="004425E6">
              <w:rPr>
                <w:rFonts w:ascii="Arial Narrow" w:hAnsi="Arial Narrow" w:cs="Calibri"/>
                <w:sz w:val="20"/>
                <w:szCs w:val="20"/>
              </w:rPr>
              <w:t>$1.68</w:t>
            </w:r>
          </w:p>
        </w:tc>
      </w:tr>
      <w:tr w:rsidR="004425E6" w:rsidRPr="00E2349E" w14:paraId="2C672D00" w14:textId="77777777" w:rsidTr="006235F5">
        <w:trPr>
          <w:trHeight w:val="283"/>
        </w:trPr>
        <w:tc>
          <w:tcPr>
            <w:tcW w:w="4395" w:type="dxa"/>
            <w:vAlign w:val="center"/>
          </w:tcPr>
          <w:p w14:paraId="429FDEF4" w14:textId="366530A9" w:rsidR="004425E6" w:rsidRPr="004425E6" w:rsidRDefault="004425E6" w:rsidP="00593DF6">
            <w:pPr>
              <w:jc w:val="left"/>
              <w:rPr>
                <w:rFonts w:ascii="Arial Narrow" w:hAnsi="Arial Narrow"/>
                <w:sz w:val="20"/>
                <w:szCs w:val="20"/>
              </w:rPr>
            </w:pPr>
            <w:r w:rsidRPr="004425E6">
              <w:rPr>
                <w:rFonts w:ascii="Arial Narrow" w:hAnsi="Arial Narrow"/>
                <w:sz w:val="20"/>
                <w:szCs w:val="20"/>
              </w:rPr>
              <w:t xml:space="preserve">Clexane safety-lock </w:t>
            </w:r>
            <w:r w:rsidRPr="004425E6">
              <w:rPr>
                <w:rFonts w:ascii="Arial Narrow" w:hAnsi="Arial Narrow" w:cs="Calibri"/>
                <w:sz w:val="20"/>
                <w:szCs w:val="20"/>
              </w:rPr>
              <w:t>40 mg</w:t>
            </w:r>
            <w:r w:rsidR="00E879D3">
              <w:rPr>
                <w:rFonts w:ascii="Arial Narrow" w:hAnsi="Arial Narrow" w:cs="Calibri"/>
                <w:sz w:val="20"/>
                <w:szCs w:val="20"/>
              </w:rPr>
              <w:t>/0.4 mL</w:t>
            </w:r>
          </w:p>
        </w:tc>
        <w:tc>
          <w:tcPr>
            <w:tcW w:w="2268" w:type="dxa"/>
            <w:vAlign w:val="center"/>
          </w:tcPr>
          <w:p w14:paraId="0A3919B3" w14:textId="7832BA16" w:rsidR="004425E6" w:rsidRPr="004425E6" w:rsidRDefault="004425E6" w:rsidP="00593DF6">
            <w:pPr>
              <w:jc w:val="center"/>
              <w:rPr>
                <w:rFonts w:ascii="Arial Narrow" w:hAnsi="Arial Narrow"/>
                <w:sz w:val="20"/>
                <w:szCs w:val="20"/>
              </w:rPr>
            </w:pPr>
            <w:bookmarkStart w:id="10" w:name="RANGE!C10"/>
            <w:r w:rsidRPr="004425E6">
              <w:rPr>
                <w:rFonts w:ascii="Arial Narrow" w:hAnsi="Arial Narrow" w:cs="Calibri"/>
                <w:sz w:val="20"/>
                <w:szCs w:val="20"/>
              </w:rPr>
              <w:t>$37.53</w:t>
            </w:r>
            <w:bookmarkEnd w:id="10"/>
          </w:p>
        </w:tc>
        <w:tc>
          <w:tcPr>
            <w:tcW w:w="2551" w:type="dxa"/>
            <w:vAlign w:val="center"/>
          </w:tcPr>
          <w:p w14:paraId="4B9BA073" w14:textId="7A758F77" w:rsidR="004425E6" w:rsidRPr="004425E6" w:rsidRDefault="004425E6" w:rsidP="00593DF6">
            <w:pPr>
              <w:jc w:val="center"/>
              <w:rPr>
                <w:rFonts w:ascii="Arial Narrow" w:hAnsi="Arial Narrow"/>
                <w:sz w:val="20"/>
                <w:szCs w:val="20"/>
              </w:rPr>
            </w:pPr>
            <w:r w:rsidRPr="004425E6">
              <w:rPr>
                <w:rFonts w:ascii="Arial Narrow" w:hAnsi="Arial Narrow" w:cs="Calibri"/>
                <w:sz w:val="20"/>
                <w:szCs w:val="20"/>
              </w:rPr>
              <w:t>$0.94</w:t>
            </w:r>
          </w:p>
        </w:tc>
      </w:tr>
      <w:tr w:rsidR="004425E6" w:rsidRPr="00E2349E" w14:paraId="3FA8E755" w14:textId="77777777" w:rsidTr="006235F5">
        <w:trPr>
          <w:trHeight w:val="283"/>
        </w:trPr>
        <w:tc>
          <w:tcPr>
            <w:tcW w:w="4395" w:type="dxa"/>
            <w:vAlign w:val="center"/>
          </w:tcPr>
          <w:p w14:paraId="0D362EF2" w14:textId="6308A3AD" w:rsidR="004425E6" w:rsidRPr="004425E6" w:rsidRDefault="004425E6" w:rsidP="00593DF6">
            <w:pPr>
              <w:jc w:val="left"/>
              <w:rPr>
                <w:rFonts w:ascii="Arial Narrow" w:hAnsi="Arial Narrow"/>
                <w:sz w:val="20"/>
                <w:szCs w:val="20"/>
              </w:rPr>
            </w:pPr>
            <w:r w:rsidRPr="004425E6">
              <w:rPr>
                <w:rFonts w:ascii="Arial Narrow" w:hAnsi="Arial Narrow"/>
                <w:sz w:val="20"/>
                <w:szCs w:val="20"/>
              </w:rPr>
              <w:t xml:space="preserve">Clexane safety-lock </w:t>
            </w:r>
            <w:r w:rsidRPr="004425E6">
              <w:rPr>
                <w:rFonts w:ascii="Arial Narrow" w:hAnsi="Arial Narrow" w:cs="Calibri"/>
                <w:sz w:val="20"/>
                <w:szCs w:val="20"/>
              </w:rPr>
              <w:t>60 mg</w:t>
            </w:r>
            <w:r w:rsidR="00E879D3">
              <w:rPr>
                <w:rFonts w:ascii="Arial Narrow" w:hAnsi="Arial Narrow" w:cs="Calibri"/>
                <w:sz w:val="20"/>
                <w:szCs w:val="20"/>
              </w:rPr>
              <w:t>/0.6 mL</w:t>
            </w:r>
          </w:p>
        </w:tc>
        <w:tc>
          <w:tcPr>
            <w:tcW w:w="2268" w:type="dxa"/>
            <w:vAlign w:val="center"/>
          </w:tcPr>
          <w:p w14:paraId="72B3BA80" w14:textId="270F0745" w:rsidR="004425E6" w:rsidRPr="004425E6" w:rsidRDefault="004425E6" w:rsidP="00593DF6">
            <w:pPr>
              <w:jc w:val="center"/>
              <w:rPr>
                <w:rFonts w:ascii="Arial Narrow" w:hAnsi="Arial Narrow"/>
                <w:sz w:val="20"/>
                <w:szCs w:val="20"/>
              </w:rPr>
            </w:pPr>
            <w:bookmarkStart w:id="11" w:name="RANGE!C11"/>
            <w:r w:rsidRPr="004425E6">
              <w:rPr>
                <w:rFonts w:ascii="Arial Narrow" w:hAnsi="Arial Narrow" w:cs="Calibri"/>
                <w:sz w:val="20"/>
                <w:szCs w:val="20"/>
              </w:rPr>
              <w:t>$64.97</w:t>
            </w:r>
            <w:bookmarkEnd w:id="11"/>
          </w:p>
        </w:tc>
        <w:tc>
          <w:tcPr>
            <w:tcW w:w="2551" w:type="dxa"/>
            <w:vAlign w:val="center"/>
          </w:tcPr>
          <w:p w14:paraId="7406B05D" w14:textId="0E0D035A" w:rsidR="004425E6" w:rsidRPr="004425E6" w:rsidRDefault="004425E6" w:rsidP="00593DF6">
            <w:pPr>
              <w:jc w:val="center"/>
              <w:rPr>
                <w:rFonts w:ascii="Arial Narrow" w:hAnsi="Arial Narrow"/>
                <w:sz w:val="20"/>
                <w:szCs w:val="20"/>
              </w:rPr>
            </w:pPr>
            <w:r w:rsidRPr="004425E6">
              <w:rPr>
                <w:rFonts w:ascii="Arial Narrow" w:hAnsi="Arial Narrow" w:cs="Calibri"/>
                <w:sz w:val="20"/>
                <w:szCs w:val="20"/>
              </w:rPr>
              <w:t>$1.08</w:t>
            </w:r>
          </w:p>
        </w:tc>
      </w:tr>
      <w:tr w:rsidR="004425E6" w:rsidRPr="00E2349E" w14:paraId="4E50B99D" w14:textId="77777777" w:rsidTr="006235F5">
        <w:trPr>
          <w:trHeight w:val="283"/>
        </w:trPr>
        <w:tc>
          <w:tcPr>
            <w:tcW w:w="4395" w:type="dxa"/>
            <w:vAlign w:val="center"/>
          </w:tcPr>
          <w:p w14:paraId="4DBF71FC" w14:textId="5D7C0D58" w:rsidR="004425E6" w:rsidRPr="004425E6" w:rsidRDefault="004425E6" w:rsidP="00593DF6">
            <w:pPr>
              <w:jc w:val="left"/>
              <w:rPr>
                <w:rFonts w:ascii="Arial Narrow" w:hAnsi="Arial Narrow"/>
                <w:sz w:val="20"/>
                <w:szCs w:val="20"/>
              </w:rPr>
            </w:pPr>
            <w:r w:rsidRPr="004425E6">
              <w:rPr>
                <w:rFonts w:ascii="Arial Narrow" w:hAnsi="Arial Narrow"/>
                <w:sz w:val="20"/>
                <w:szCs w:val="20"/>
              </w:rPr>
              <w:t xml:space="preserve">Clexane safety-lock </w:t>
            </w:r>
            <w:r w:rsidRPr="004425E6">
              <w:rPr>
                <w:rFonts w:ascii="Arial Narrow" w:hAnsi="Arial Narrow" w:cs="Calibri"/>
                <w:sz w:val="20"/>
                <w:szCs w:val="20"/>
              </w:rPr>
              <w:t>80 mg</w:t>
            </w:r>
            <w:r w:rsidR="00E879D3">
              <w:rPr>
                <w:rFonts w:ascii="Arial Narrow" w:hAnsi="Arial Narrow" w:cs="Calibri"/>
                <w:sz w:val="20"/>
                <w:szCs w:val="20"/>
              </w:rPr>
              <w:t>/0.8 mL</w:t>
            </w:r>
          </w:p>
        </w:tc>
        <w:tc>
          <w:tcPr>
            <w:tcW w:w="2268" w:type="dxa"/>
            <w:vAlign w:val="center"/>
          </w:tcPr>
          <w:p w14:paraId="44849CAD" w14:textId="397839E3" w:rsidR="004425E6" w:rsidRPr="004425E6" w:rsidRDefault="004425E6" w:rsidP="00593DF6">
            <w:pPr>
              <w:jc w:val="center"/>
              <w:rPr>
                <w:rFonts w:ascii="Arial Narrow" w:hAnsi="Arial Narrow"/>
                <w:sz w:val="20"/>
                <w:szCs w:val="20"/>
              </w:rPr>
            </w:pPr>
            <w:bookmarkStart w:id="12" w:name="RANGE!C12"/>
            <w:r w:rsidRPr="004425E6">
              <w:rPr>
                <w:rFonts w:ascii="Arial Narrow" w:hAnsi="Arial Narrow" w:cs="Calibri"/>
                <w:sz w:val="20"/>
                <w:szCs w:val="20"/>
              </w:rPr>
              <w:t>$69.08</w:t>
            </w:r>
            <w:bookmarkEnd w:id="12"/>
          </w:p>
        </w:tc>
        <w:tc>
          <w:tcPr>
            <w:tcW w:w="2551" w:type="dxa"/>
            <w:vAlign w:val="center"/>
          </w:tcPr>
          <w:p w14:paraId="2E7B614E" w14:textId="575A4AF8" w:rsidR="004425E6" w:rsidRPr="004425E6" w:rsidRDefault="004425E6" w:rsidP="00593DF6">
            <w:pPr>
              <w:jc w:val="center"/>
              <w:rPr>
                <w:rFonts w:ascii="Arial Narrow" w:hAnsi="Arial Narrow"/>
                <w:sz w:val="20"/>
                <w:szCs w:val="20"/>
              </w:rPr>
            </w:pPr>
            <w:bookmarkStart w:id="13" w:name="_Hlk136861823"/>
            <w:r w:rsidRPr="004425E6">
              <w:rPr>
                <w:rFonts w:ascii="Arial Narrow" w:hAnsi="Arial Narrow" w:cs="Calibri"/>
                <w:sz w:val="20"/>
                <w:szCs w:val="20"/>
              </w:rPr>
              <w:t>$0.86</w:t>
            </w:r>
            <w:bookmarkEnd w:id="13"/>
          </w:p>
        </w:tc>
      </w:tr>
      <w:tr w:rsidR="004425E6" w:rsidRPr="00E2349E" w14:paraId="14D1BFBA" w14:textId="77777777" w:rsidTr="006235F5">
        <w:trPr>
          <w:trHeight w:val="283"/>
        </w:trPr>
        <w:tc>
          <w:tcPr>
            <w:tcW w:w="4395" w:type="dxa"/>
            <w:vAlign w:val="center"/>
          </w:tcPr>
          <w:p w14:paraId="09ED926E" w14:textId="7B18DF94" w:rsidR="004425E6" w:rsidRPr="004425E6" w:rsidRDefault="004425E6" w:rsidP="00593DF6">
            <w:pPr>
              <w:jc w:val="left"/>
              <w:rPr>
                <w:rFonts w:ascii="Arial Narrow" w:hAnsi="Arial Narrow"/>
                <w:sz w:val="20"/>
                <w:szCs w:val="20"/>
              </w:rPr>
            </w:pPr>
            <w:r w:rsidRPr="004425E6">
              <w:rPr>
                <w:rFonts w:ascii="Arial Narrow" w:hAnsi="Arial Narrow"/>
                <w:sz w:val="20"/>
                <w:szCs w:val="20"/>
              </w:rPr>
              <w:t xml:space="preserve">Clexane safety-lock </w:t>
            </w:r>
            <w:r w:rsidRPr="004425E6">
              <w:rPr>
                <w:rFonts w:ascii="Arial Narrow" w:hAnsi="Arial Narrow" w:cs="Calibri"/>
                <w:sz w:val="20"/>
                <w:szCs w:val="20"/>
              </w:rPr>
              <w:t>100 mg</w:t>
            </w:r>
            <w:r w:rsidR="00E879D3">
              <w:rPr>
                <w:rFonts w:ascii="Arial Narrow" w:hAnsi="Arial Narrow" w:cs="Calibri"/>
                <w:sz w:val="20"/>
                <w:szCs w:val="20"/>
              </w:rPr>
              <w:t>/mL</w:t>
            </w:r>
          </w:p>
        </w:tc>
        <w:tc>
          <w:tcPr>
            <w:tcW w:w="2268" w:type="dxa"/>
            <w:vAlign w:val="center"/>
          </w:tcPr>
          <w:p w14:paraId="7A1749FE" w14:textId="5C9BDBC6" w:rsidR="004425E6" w:rsidRPr="004425E6" w:rsidRDefault="004425E6" w:rsidP="00593DF6">
            <w:pPr>
              <w:jc w:val="center"/>
              <w:rPr>
                <w:rFonts w:ascii="Arial Narrow" w:hAnsi="Arial Narrow"/>
                <w:sz w:val="20"/>
                <w:szCs w:val="20"/>
              </w:rPr>
            </w:pPr>
            <w:bookmarkStart w:id="14" w:name="RANGE!C13"/>
            <w:r w:rsidRPr="004425E6">
              <w:rPr>
                <w:rFonts w:ascii="Arial Narrow" w:hAnsi="Arial Narrow" w:cs="Calibri"/>
                <w:sz w:val="20"/>
                <w:szCs w:val="20"/>
              </w:rPr>
              <w:t>$91.60</w:t>
            </w:r>
            <w:bookmarkEnd w:id="14"/>
          </w:p>
        </w:tc>
        <w:tc>
          <w:tcPr>
            <w:tcW w:w="2551" w:type="dxa"/>
            <w:vAlign w:val="center"/>
          </w:tcPr>
          <w:p w14:paraId="6A7E92C7" w14:textId="4554F9D3" w:rsidR="004425E6" w:rsidRPr="004425E6" w:rsidRDefault="004425E6" w:rsidP="00593DF6">
            <w:pPr>
              <w:jc w:val="center"/>
              <w:rPr>
                <w:rFonts w:ascii="Arial Narrow" w:hAnsi="Arial Narrow"/>
                <w:sz w:val="20"/>
                <w:szCs w:val="20"/>
              </w:rPr>
            </w:pPr>
            <w:r w:rsidRPr="004425E6">
              <w:rPr>
                <w:rFonts w:ascii="Arial Narrow" w:hAnsi="Arial Narrow" w:cs="Calibri"/>
                <w:sz w:val="20"/>
                <w:szCs w:val="20"/>
              </w:rPr>
              <w:t>$0.92</w:t>
            </w:r>
          </w:p>
        </w:tc>
      </w:tr>
    </w:tbl>
    <w:p w14:paraId="7A7CF814" w14:textId="1A074F1F" w:rsidR="00C123C8" w:rsidRDefault="00C755A7" w:rsidP="00593DF6">
      <w:pPr>
        <w:pStyle w:val="TableFigureFooter"/>
        <w:keepNext/>
        <w:keepLines/>
      </w:pPr>
      <w:r w:rsidRPr="00647620">
        <w:t xml:space="preserve">Source: Table </w:t>
      </w:r>
      <w:r>
        <w:t>3-2</w:t>
      </w:r>
      <w:r w:rsidRPr="00647620">
        <w:t xml:space="preserve">, p </w:t>
      </w:r>
      <w:r>
        <w:t>23</w:t>
      </w:r>
      <w:r w:rsidRPr="00647620">
        <w:t xml:space="preserve"> of the submission.</w:t>
      </w:r>
    </w:p>
    <w:p w14:paraId="5F561C81" w14:textId="1ED1A79B" w:rsidR="00C755A7" w:rsidRDefault="00C755A7" w:rsidP="00593DF6">
      <w:pPr>
        <w:pStyle w:val="Tabletitles"/>
        <w:spacing w:after="0"/>
      </w:pPr>
      <w:bookmarkStart w:id="15" w:name="_Ref133835903"/>
      <w:bookmarkStart w:id="16" w:name="_Hlk133838611"/>
      <w:r>
        <w:rPr>
          <w:rFonts w:cstheme="minorHAnsi"/>
        </w:rPr>
        <w:t xml:space="preserve">Table </w:t>
      </w:r>
      <w:fldSimple w:instr=" SEQ Table \* ARABIC " w:fldLock="1">
        <w:r w:rsidR="00C123C8">
          <w:rPr>
            <w:noProof/>
          </w:rPr>
          <w:t>2</w:t>
        </w:r>
      </w:fldSimple>
      <w:bookmarkEnd w:id="15"/>
      <w:r>
        <w:rPr>
          <w:rFonts w:cstheme="minorHAnsi"/>
        </w:rPr>
        <w:t xml:space="preserve">: </w:t>
      </w:r>
      <w:r w:rsidR="00022981">
        <w:t>Proposed AEMP for Exarane Forte 120 mg and 150 mg strengths</w:t>
      </w:r>
    </w:p>
    <w:tbl>
      <w:tblPr>
        <w:tblStyle w:val="Submissionstandard1"/>
        <w:tblW w:w="9250" w:type="dxa"/>
        <w:tblInd w:w="-5" w:type="dxa"/>
        <w:tblLook w:val="04A0" w:firstRow="1" w:lastRow="0" w:firstColumn="1" w:lastColumn="0" w:noHBand="0" w:noVBand="1"/>
        <w:tblCaption w:val="Table 2: Proposed AEMP for Exarane Forte 120 mg and 150 mg strengths"/>
      </w:tblPr>
      <w:tblGrid>
        <w:gridCol w:w="2834"/>
        <w:gridCol w:w="1625"/>
        <w:gridCol w:w="1629"/>
        <w:gridCol w:w="1688"/>
        <w:gridCol w:w="1474"/>
      </w:tblGrid>
      <w:tr w:rsidR="00CE76A5" w:rsidRPr="00D567EF" w14:paraId="102FE5C0" w14:textId="631352BF" w:rsidTr="00385289">
        <w:trPr>
          <w:cnfStyle w:val="100000000000" w:firstRow="1" w:lastRow="0" w:firstColumn="0" w:lastColumn="0" w:oddVBand="0" w:evenVBand="0" w:oddHBand="0" w:evenHBand="0" w:firstRowFirstColumn="0" w:firstRowLastColumn="0" w:lastRowFirstColumn="0" w:lastRowLastColumn="0"/>
          <w:trHeight w:val="274"/>
          <w:tblHeader/>
        </w:trPr>
        <w:tc>
          <w:tcPr>
            <w:tcW w:w="2834" w:type="dxa"/>
            <w:shd w:val="clear" w:color="auto" w:fill="auto"/>
            <w:vAlign w:val="center"/>
          </w:tcPr>
          <w:p w14:paraId="798E3DF0" w14:textId="77777777" w:rsidR="00CE76A5" w:rsidRPr="00D567EF" w:rsidRDefault="00CE76A5" w:rsidP="00593DF6">
            <w:pPr>
              <w:jc w:val="center"/>
              <w:rPr>
                <w:rFonts w:ascii="Arial Narrow" w:hAnsi="Arial Narrow"/>
                <w:sz w:val="20"/>
                <w:szCs w:val="20"/>
              </w:rPr>
            </w:pPr>
            <w:r w:rsidRPr="00D567EF">
              <w:rPr>
                <w:rFonts w:ascii="Arial Narrow" w:hAnsi="Arial Narrow"/>
                <w:sz w:val="20"/>
                <w:szCs w:val="20"/>
              </w:rPr>
              <w:t>Product</w:t>
            </w:r>
          </w:p>
        </w:tc>
        <w:tc>
          <w:tcPr>
            <w:tcW w:w="1625" w:type="dxa"/>
            <w:shd w:val="clear" w:color="auto" w:fill="auto"/>
            <w:vAlign w:val="center"/>
          </w:tcPr>
          <w:p w14:paraId="4E84B9A5" w14:textId="2117B10C" w:rsidR="00CE76A5" w:rsidRPr="00D567EF" w:rsidRDefault="00CE76A5" w:rsidP="00593DF6">
            <w:pPr>
              <w:jc w:val="center"/>
              <w:rPr>
                <w:rFonts w:ascii="Arial Narrow" w:hAnsi="Arial Narrow"/>
                <w:sz w:val="20"/>
                <w:szCs w:val="20"/>
              </w:rPr>
            </w:pPr>
            <w:r w:rsidRPr="00D567EF">
              <w:rPr>
                <w:rFonts w:ascii="Arial Narrow" w:hAnsi="Arial Narrow"/>
                <w:sz w:val="20"/>
                <w:szCs w:val="20"/>
              </w:rPr>
              <w:t>Cost per mg</w:t>
            </w:r>
          </w:p>
        </w:tc>
        <w:tc>
          <w:tcPr>
            <w:tcW w:w="1629" w:type="dxa"/>
            <w:shd w:val="clear" w:color="auto" w:fill="auto"/>
            <w:vAlign w:val="center"/>
          </w:tcPr>
          <w:p w14:paraId="10584479" w14:textId="4B2017A1" w:rsidR="00CE76A5" w:rsidRPr="00D567EF" w:rsidRDefault="00CE76A5" w:rsidP="00593DF6">
            <w:pPr>
              <w:jc w:val="center"/>
              <w:rPr>
                <w:rFonts w:ascii="Arial Narrow" w:hAnsi="Arial Narrow"/>
                <w:sz w:val="20"/>
                <w:szCs w:val="20"/>
              </w:rPr>
            </w:pPr>
            <w:r w:rsidRPr="00D567EF">
              <w:rPr>
                <w:rFonts w:ascii="Arial Narrow" w:hAnsi="Arial Narrow"/>
                <w:sz w:val="20"/>
                <w:szCs w:val="20"/>
              </w:rPr>
              <w:t>Mg of product</w:t>
            </w:r>
          </w:p>
        </w:tc>
        <w:tc>
          <w:tcPr>
            <w:tcW w:w="1688" w:type="dxa"/>
            <w:shd w:val="clear" w:color="auto" w:fill="auto"/>
            <w:vAlign w:val="center"/>
          </w:tcPr>
          <w:p w14:paraId="60EB081D" w14:textId="56D9F2D1" w:rsidR="00CE76A5" w:rsidRPr="00D567EF" w:rsidRDefault="00CE76A5" w:rsidP="00593DF6">
            <w:pPr>
              <w:jc w:val="center"/>
              <w:rPr>
                <w:rFonts w:ascii="Arial Narrow" w:hAnsi="Arial Narrow"/>
                <w:sz w:val="20"/>
                <w:szCs w:val="20"/>
              </w:rPr>
            </w:pPr>
            <w:r w:rsidRPr="00D567EF">
              <w:rPr>
                <w:rFonts w:ascii="Arial Narrow" w:hAnsi="Arial Narrow"/>
                <w:sz w:val="20"/>
                <w:szCs w:val="20"/>
              </w:rPr>
              <w:t>AEMP</w:t>
            </w:r>
          </w:p>
        </w:tc>
        <w:tc>
          <w:tcPr>
            <w:tcW w:w="1474" w:type="dxa"/>
            <w:shd w:val="clear" w:color="auto" w:fill="auto"/>
          </w:tcPr>
          <w:p w14:paraId="775A4F5C" w14:textId="767B6725" w:rsidR="00CE76A5" w:rsidRPr="00D567EF" w:rsidRDefault="00CE76A5" w:rsidP="00593DF6">
            <w:pPr>
              <w:jc w:val="center"/>
              <w:rPr>
                <w:rFonts w:ascii="Arial Narrow" w:hAnsi="Arial Narrow"/>
                <w:sz w:val="20"/>
                <w:szCs w:val="20"/>
              </w:rPr>
            </w:pPr>
            <w:r>
              <w:rPr>
                <w:rFonts w:ascii="Arial Narrow" w:hAnsi="Arial Narrow"/>
                <w:sz w:val="20"/>
                <w:szCs w:val="20"/>
              </w:rPr>
              <w:t>Note</w:t>
            </w:r>
          </w:p>
        </w:tc>
      </w:tr>
      <w:tr w:rsidR="00CE76A5" w:rsidRPr="00D567EF" w14:paraId="1DCF68DC" w14:textId="77777777" w:rsidTr="009D61E5">
        <w:trPr>
          <w:trHeight w:val="274"/>
        </w:trPr>
        <w:tc>
          <w:tcPr>
            <w:tcW w:w="2834" w:type="dxa"/>
            <w:vAlign w:val="center"/>
          </w:tcPr>
          <w:p w14:paraId="18B8CE7E" w14:textId="335686B5" w:rsidR="00CE76A5" w:rsidRPr="00D567EF" w:rsidRDefault="00CE76A5" w:rsidP="00593DF6">
            <w:pPr>
              <w:jc w:val="left"/>
              <w:rPr>
                <w:rFonts w:ascii="Arial Narrow" w:hAnsi="Arial Narrow"/>
                <w:sz w:val="20"/>
                <w:szCs w:val="20"/>
              </w:rPr>
            </w:pPr>
            <w:r>
              <w:rPr>
                <w:rFonts w:ascii="Arial Narrow" w:hAnsi="Arial Narrow"/>
                <w:sz w:val="20"/>
                <w:szCs w:val="20"/>
              </w:rPr>
              <w:t>Clexane Safety-Lock, 80 mg/mL</w:t>
            </w:r>
          </w:p>
        </w:tc>
        <w:tc>
          <w:tcPr>
            <w:tcW w:w="1625" w:type="dxa"/>
            <w:vAlign w:val="center"/>
          </w:tcPr>
          <w:p w14:paraId="04D66628" w14:textId="2B54E9E5" w:rsidR="00CE76A5" w:rsidRDefault="00CE76A5" w:rsidP="00593DF6">
            <w:pPr>
              <w:jc w:val="center"/>
              <w:rPr>
                <w:rFonts w:ascii="Arial Narrow" w:hAnsi="Arial Narrow"/>
                <w:sz w:val="20"/>
                <w:szCs w:val="20"/>
              </w:rPr>
            </w:pPr>
            <w:r>
              <w:rPr>
                <w:rFonts w:ascii="Arial Narrow" w:hAnsi="Arial Narrow"/>
                <w:sz w:val="20"/>
                <w:szCs w:val="20"/>
              </w:rPr>
              <w:t>$0.8635</w:t>
            </w:r>
          </w:p>
        </w:tc>
        <w:tc>
          <w:tcPr>
            <w:tcW w:w="1629" w:type="dxa"/>
            <w:vAlign w:val="center"/>
          </w:tcPr>
          <w:p w14:paraId="3019D0B8" w14:textId="05B8F1CF" w:rsidR="00CE76A5" w:rsidRDefault="00CE76A5" w:rsidP="00593DF6">
            <w:pPr>
              <w:jc w:val="center"/>
              <w:rPr>
                <w:rFonts w:ascii="Arial Narrow" w:hAnsi="Arial Narrow"/>
                <w:sz w:val="20"/>
                <w:szCs w:val="20"/>
              </w:rPr>
            </w:pPr>
            <w:r>
              <w:rPr>
                <w:rFonts w:ascii="Arial Narrow" w:hAnsi="Arial Narrow"/>
                <w:sz w:val="20"/>
                <w:szCs w:val="20"/>
              </w:rPr>
              <w:t>80</w:t>
            </w:r>
          </w:p>
        </w:tc>
        <w:tc>
          <w:tcPr>
            <w:tcW w:w="1688" w:type="dxa"/>
            <w:vAlign w:val="center"/>
          </w:tcPr>
          <w:p w14:paraId="6968E18E" w14:textId="14967B4D" w:rsidR="00CE76A5" w:rsidRPr="00D567EF" w:rsidRDefault="00CE76A5" w:rsidP="00593DF6">
            <w:pPr>
              <w:jc w:val="center"/>
              <w:rPr>
                <w:rFonts w:ascii="Arial Narrow" w:hAnsi="Arial Narrow"/>
                <w:sz w:val="20"/>
                <w:szCs w:val="20"/>
              </w:rPr>
            </w:pPr>
            <w:r>
              <w:rPr>
                <w:rFonts w:ascii="Arial Narrow" w:hAnsi="Arial Narrow"/>
                <w:sz w:val="20"/>
                <w:szCs w:val="20"/>
              </w:rPr>
              <w:t>$69.08</w:t>
            </w:r>
          </w:p>
        </w:tc>
        <w:tc>
          <w:tcPr>
            <w:tcW w:w="1474" w:type="dxa"/>
          </w:tcPr>
          <w:p w14:paraId="77A2060F" w14:textId="04FC8DD4" w:rsidR="00CE76A5" w:rsidRPr="00D567EF" w:rsidRDefault="00CE76A5" w:rsidP="00593DF6">
            <w:pPr>
              <w:jc w:val="center"/>
              <w:rPr>
                <w:rFonts w:ascii="Arial Narrow" w:hAnsi="Arial Narrow"/>
                <w:sz w:val="20"/>
                <w:szCs w:val="20"/>
              </w:rPr>
            </w:pPr>
            <w:r>
              <w:rPr>
                <w:rFonts w:ascii="Arial Narrow" w:hAnsi="Arial Narrow"/>
                <w:sz w:val="20"/>
                <w:szCs w:val="20"/>
              </w:rPr>
              <w:t>Currently listed price</w:t>
            </w:r>
          </w:p>
        </w:tc>
      </w:tr>
      <w:tr w:rsidR="00CE76A5" w:rsidRPr="00D567EF" w14:paraId="7A29EA03" w14:textId="5EA384CA" w:rsidTr="009D61E5">
        <w:trPr>
          <w:trHeight w:val="274"/>
        </w:trPr>
        <w:tc>
          <w:tcPr>
            <w:tcW w:w="2834" w:type="dxa"/>
            <w:vAlign w:val="center"/>
          </w:tcPr>
          <w:p w14:paraId="228B35DC" w14:textId="4CF5CF3F" w:rsidR="00CE76A5" w:rsidRPr="00D567EF" w:rsidRDefault="00CE76A5" w:rsidP="00593DF6">
            <w:pPr>
              <w:jc w:val="left"/>
              <w:rPr>
                <w:rFonts w:ascii="Arial Narrow" w:hAnsi="Arial Narrow"/>
                <w:sz w:val="20"/>
                <w:szCs w:val="20"/>
              </w:rPr>
            </w:pPr>
            <w:r w:rsidRPr="00D567EF">
              <w:rPr>
                <w:rFonts w:ascii="Arial Narrow" w:hAnsi="Arial Narrow"/>
                <w:sz w:val="20"/>
                <w:szCs w:val="20"/>
              </w:rPr>
              <w:t>Exarane Fort</w:t>
            </w:r>
            <w:r w:rsidR="00820692">
              <w:rPr>
                <w:rFonts w:ascii="Arial Narrow" w:hAnsi="Arial Narrow"/>
                <w:sz w:val="20"/>
                <w:szCs w:val="20"/>
              </w:rPr>
              <w:t>e</w:t>
            </w:r>
            <w:r w:rsidRPr="00D567EF">
              <w:rPr>
                <w:rFonts w:ascii="Arial Narrow" w:hAnsi="Arial Narrow"/>
                <w:sz w:val="20"/>
                <w:szCs w:val="20"/>
              </w:rPr>
              <w:t xml:space="preserve"> 120 mg</w:t>
            </w:r>
            <w:r>
              <w:rPr>
                <w:rFonts w:ascii="Arial Narrow" w:hAnsi="Arial Narrow"/>
                <w:sz w:val="20"/>
                <w:szCs w:val="20"/>
              </w:rPr>
              <w:t>/0.8 mL</w:t>
            </w:r>
          </w:p>
        </w:tc>
        <w:tc>
          <w:tcPr>
            <w:tcW w:w="1625" w:type="dxa"/>
            <w:vAlign w:val="center"/>
          </w:tcPr>
          <w:p w14:paraId="37DD3644" w14:textId="55A20ECE" w:rsidR="00CE76A5" w:rsidRPr="00D567EF" w:rsidRDefault="00CE76A5" w:rsidP="00593DF6">
            <w:pPr>
              <w:jc w:val="center"/>
              <w:rPr>
                <w:rFonts w:ascii="Arial Narrow" w:hAnsi="Arial Narrow"/>
                <w:sz w:val="20"/>
                <w:szCs w:val="20"/>
              </w:rPr>
            </w:pPr>
            <w:r>
              <w:rPr>
                <w:rFonts w:ascii="Arial Narrow" w:hAnsi="Arial Narrow"/>
                <w:sz w:val="20"/>
                <w:szCs w:val="20"/>
              </w:rPr>
              <w:t>$0.8635</w:t>
            </w:r>
          </w:p>
        </w:tc>
        <w:tc>
          <w:tcPr>
            <w:tcW w:w="1629" w:type="dxa"/>
            <w:vAlign w:val="center"/>
          </w:tcPr>
          <w:p w14:paraId="43B84146" w14:textId="3EC2CAC2" w:rsidR="00CE76A5" w:rsidRPr="00D567EF" w:rsidRDefault="00CE76A5" w:rsidP="00593DF6">
            <w:pPr>
              <w:jc w:val="center"/>
              <w:rPr>
                <w:rFonts w:ascii="Arial Narrow" w:hAnsi="Arial Narrow"/>
                <w:sz w:val="20"/>
                <w:szCs w:val="20"/>
              </w:rPr>
            </w:pPr>
            <w:r>
              <w:rPr>
                <w:rFonts w:ascii="Arial Narrow" w:hAnsi="Arial Narrow"/>
                <w:sz w:val="20"/>
                <w:szCs w:val="20"/>
              </w:rPr>
              <w:t>120</w:t>
            </w:r>
          </w:p>
        </w:tc>
        <w:tc>
          <w:tcPr>
            <w:tcW w:w="1688" w:type="dxa"/>
            <w:vAlign w:val="center"/>
          </w:tcPr>
          <w:p w14:paraId="519DF277" w14:textId="2F9D6CBA" w:rsidR="00CE76A5" w:rsidRPr="00D567EF" w:rsidRDefault="00CE76A5" w:rsidP="00593DF6">
            <w:pPr>
              <w:jc w:val="center"/>
              <w:rPr>
                <w:rFonts w:ascii="Arial Narrow" w:hAnsi="Arial Narrow"/>
                <w:sz w:val="20"/>
                <w:szCs w:val="20"/>
                <w:vertAlign w:val="superscript"/>
              </w:rPr>
            </w:pPr>
            <w:r w:rsidRPr="00D567EF">
              <w:rPr>
                <w:rFonts w:ascii="Arial Narrow" w:hAnsi="Arial Narrow"/>
                <w:sz w:val="20"/>
                <w:szCs w:val="20"/>
              </w:rPr>
              <w:t>$ 103.62</w:t>
            </w:r>
          </w:p>
        </w:tc>
        <w:tc>
          <w:tcPr>
            <w:tcW w:w="1474" w:type="dxa"/>
          </w:tcPr>
          <w:p w14:paraId="422A29B3" w14:textId="60CC240B" w:rsidR="00CE76A5" w:rsidRPr="00D567EF" w:rsidRDefault="00CE76A5" w:rsidP="00593DF6">
            <w:pPr>
              <w:jc w:val="center"/>
              <w:rPr>
                <w:rFonts w:ascii="Arial Narrow" w:hAnsi="Arial Narrow"/>
                <w:sz w:val="20"/>
                <w:szCs w:val="20"/>
              </w:rPr>
            </w:pPr>
            <w:r>
              <w:rPr>
                <w:rFonts w:ascii="Arial Narrow" w:hAnsi="Arial Narrow"/>
                <w:sz w:val="20"/>
                <w:szCs w:val="20"/>
              </w:rPr>
              <w:t>Priced at same cost per mg as 80 mg</w:t>
            </w:r>
          </w:p>
        </w:tc>
      </w:tr>
      <w:tr w:rsidR="00CE76A5" w:rsidRPr="00D567EF" w14:paraId="40AD3646" w14:textId="668E9C94" w:rsidTr="009D61E5">
        <w:trPr>
          <w:trHeight w:val="274"/>
        </w:trPr>
        <w:tc>
          <w:tcPr>
            <w:tcW w:w="2834" w:type="dxa"/>
            <w:vAlign w:val="center"/>
          </w:tcPr>
          <w:p w14:paraId="35037CDC" w14:textId="0D1C842C" w:rsidR="00CE76A5" w:rsidRPr="00D567EF" w:rsidRDefault="00CE76A5" w:rsidP="00593DF6">
            <w:pPr>
              <w:jc w:val="left"/>
              <w:rPr>
                <w:rFonts w:ascii="Arial Narrow" w:hAnsi="Arial Narrow"/>
                <w:sz w:val="20"/>
                <w:szCs w:val="20"/>
              </w:rPr>
            </w:pPr>
            <w:r w:rsidRPr="00D567EF">
              <w:rPr>
                <w:rFonts w:ascii="Arial Narrow" w:hAnsi="Arial Narrow"/>
                <w:sz w:val="20"/>
                <w:szCs w:val="20"/>
              </w:rPr>
              <w:t>Exarane Forte 150 mg</w:t>
            </w:r>
            <w:r>
              <w:rPr>
                <w:rFonts w:ascii="Arial Narrow" w:hAnsi="Arial Narrow"/>
                <w:sz w:val="20"/>
                <w:szCs w:val="20"/>
              </w:rPr>
              <w:t>/mL</w:t>
            </w:r>
          </w:p>
        </w:tc>
        <w:tc>
          <w:tcPr>
            <w:tcW w:w="1625" w:type="dxa"/>
            <w:vAlign w:val="center"/>
          </w:tcPr>
          <w:p w14:paraId="53AF6381" w14:textId="7F09CA7E" w:rsidR="00CE76A5" w:rsidRPr="00D567EF" w:rsidRDefault="00CE76A5" w:rsidP="00593DF6">
            <w:pPr>
              <w:jc w:val="center"/>
              <w:rPr>
                <w:rFonts w:ascii="Arial Narrow" w:hAnsi="Arial Narrow"/>
                <w:sz w:val="20"/>
                <w:szCs w:val="20"/>
              </w:rPr>
            </w:pPr>
            <w:r>
              <w:rPr>
                <w:rFonts w:ascii="Arial Narrow" w:hAnsi="Arial Narrow"/>
                <w:sz w:val="20"/>
                <w:szCs w:val="20"/>
              </w:rPr>
              <w:t>$0.8635</w:t>
            </w:r>
          </w:p>
        </w:tc>
        <w:tc>
          <w:tcPr>
            <w:tcW w:w="1629" w:type="dxa"/>
            <w:vAlign w:val="center"/>
          </w:tcPr>
          <w:p w14:paraId="1B5A95CB" w14:textId="35998ABE" w:rsidR="00CE76A5" w:rsidRPr="00D567EF" w:rsidRDefault="00CE76A5" w:rsidP="00593DF6">
            <w:pPr>
              <w:jc w:val="center"/>
              <w:rPr>
                <w:rFonts w:ascii="Arial Narrow" w:hAnsi="Arial Narrow"/>
                <w:sz w:val="20"/>
                <w:szCs w:val="20"/>
              </w:rPr>
            </w:pPr>
            <w:r>
              <w:rPr>
                <w:rFonts w:ascii="Arial Narrow" w:hAnsi="Arial Narrow"/>
                <w:sz w:val="20"/>
                <w:szCs w:val="20"/>
              </w:rPr>
              <w:t>150</w:t>
            </w:r>
          </w:p>
        </w:tc>
        <w:tc>
          <w:tcPr>
            <w:tcW w:w="1688" w:type="dxa"/>
            <w:vAlign w:val="center"/>
          </w:tcPr>
          <w:p w14:paraId="61D9E2DB" w14:textId="1646A7BB" w:rsidR="00CE76A5" w:rsidRPr="00D567EF" w:rsidRDefault="00CE76A5" w:rsidP="00593DF6">
            <w:pPr>
              <w:jc w:val="center"/>
              <w:rPr>
                <w:rFonts w:ascii="Arial Narrow" w:hAnsi="Arial Narrow"/>
                <w:sz w:val="20"/>
                <w:szCs w:val="20"/>
                <w:vertAlign w:val="superscript"/>
              </w:rPr>
            </w:pPr>
            <w:r w:rsidRPr="00D567EF">
              <w:rPr>
                <w:rFonts w:ascii="Arial Narrow" w:hAnsi="Arial Narrow"/>
                <w:sz w:val="20"/>
                <w:szCs w:val="20"/>
              </w:rPr>
              <w:t>$ 129.53</w:t>
            </w:r>
          </w:p>
        </w:tc>
        <w:tc>
          <w:tcPr>
            <w:tcW w:w="1474" w:type="dxa"/>
          </w:tcPr>
          <w:p w14:paraId="0819D0D5" w14:textId="42694186" w:rsidR="00CE76A5" w:rsidRPr="00D567EF" w:rsidRDefault="00CE76A5" w:rsidP="00593DF6">
            <w:pPr>
              <w:jc w:val="center"/>
              <w:rPr>
                <w:rFonts w:ascii="Arial Narrow" w:hAnsi="Arial Narrow"/>
                <w:sz w:val="20"/>
                <w:szCs w:val="20"/>
              </w:rPr>
            </w:pPr>
            <w:r>
              <w:rPr>
                <w:rFonts w:ascii="Arial Narrow" w:hAnsi="Arial Narrow"/>
                <w:sz w:val="20"/>
                <w:szCs w:val="20"/>
              </w:rPr>
              <w:t>Priced at same cost per mg as 80 mg</w:t>
            </w:r>
          </w:p>
        </w:tc>
      </w:tr>
    </w:tbl>
    <w:p w14:paraId="7DA9A833" w14:textId="0A7F7403" w:rsidR="00C755A7" w:rsidRDefault="00C755A7" w:rsidP="00593DF6">
      <w:pPr>
        <w:pStyle w:val="TableFigureFooter"/>
        <w:keepNext/>
        <w:keepLines/>
      </w:pPr>
      <w:r w:rsidRPr="00647620">
        <w:t xml:space="preserve">Source: Table </w:t>
      </w:r>
      <w:r>
        <w:t>3-</w:t>
      </w:r>
      <w:r w:rsidR="00D567EF">
        <w:t>3</w:t>
      </w:r>
      <w:r w:rsidRPr="00647620">
        <w:t xml:space="preserve">, p </w:t>
      </w:r>
      <w:r>
        <w:t>23</w:t>
      </w:r>
      <w:r w:rsidRPr="00647620">
        <w:t xml:space="preserve"> of the submission</w:t>
      </w:r>
      <w:r w:rsidR="00D567EF">
        <w:t xml:space="preserve">, with </w:t>
      </w:r>
      <w:r w:rsidR="00E879D3">
        <w:t>additions by Secretariat</w:t>
      </w:r>
      <w:r w:rsidRPr="00647620">
        <w:t>.</w:t>
      </w:r>
      <w:r w:rsidR="00D567EF">
        <w:t xml:space="preserve"> </w:t>
      </w:r>
    </w:p>
    <w:p w14:paraId="00B8FEA0" w14:textId="57077638" w:rsidR="00A56D43" w:rsidRDefault="00D567EF" w:rsidP="00593DF6">
      <w:pPr>
        <w:pStyle w:val="TableFigureFooter"/>
        <w:keepNext/>
        <w:keepLines/>
        <w:rPr>
          <w:sz w:val="20"/>
          <w:szCs w:val="20"/>
        </w:rPr>
      </w:pPr>
      <w:r>
        <w:t>Request</w:t>
      </w:r>
      <w:r w:rsidR="00022981">
        <w:t>ed</w:t>
      </w:r>
      <w:r>
        <w:t xml:space="preserve"> AEMP = </w:t>
      </w:r>
      <w:r w:rsidRPr="00D567EF">
        <w:rPr>
          <w:sz w:val="20"/>
          <w:szCs w:val="20"/>
        </w:rPr>
        <w:t xml:space="preserve">cost per mg </w:t>
      </w:r>
      <w:r w:rsidR="00022981">
        <w:rPr>
          <w:sz w:val="20"/>
          <w:szCs w:val="20"/>
        </w:rPr>
        <w:t xml:space="preserve">of </w:t>
      </w:r>
      <w:r>
        <w:rPr>
          <w:sz w:val="20"/>
          <w:szCs w:val="20"/>
        </w:rPr>
        <w:t>Clexane Safety</w:t>
      </w:r>
      <w:r w:rsidR="00022981">
        <w:rPr>
          <w:sz w:val="20"/>
          <w:szCs w:val="20"/>
        </w:rPr>
        <w:t>-</w:t>
      </w:r>
      <w:r>
        <w:rPr>
          <w:sz w:val="20"/>
          <w:szCs w:val="20"/>
        </w:rPr>
        <w:t>Lock</w:t>
      </w:r>
      <w:r w:rsidR="00022981">
        <w:rPr>
          <w:sz w:val="20"/>
          <w:szCs w:val="20"/>
        </w:rPr>
        <w:t xml:space="preserve"> 80 mg</w:t>
      </w:r>
      <w:r>
        <w:rPr>
          <w:sz w:val="20"/>
          <w:szCs w:val="20"/>
        </w:rPr>
        <w:t xml:space="preserve"> </w:t>
      </w:r>
      <w:r w:rsidRPr="00D567EF">
        <w:rPr>
          <w:sz w:val="20"/>
          <w:szCs w:val="20"/>
        </w:rPr>
        <w:t xml:space="preserve">x mg of </w:t>
      </w:r>
      <w:r>
        <w:rPr>
          <w:sz w:val="20"/>
          <w:szCs w:val="20"/>
        </w:rPr>
        <w:t xml:space="preserve">Exarane Forte </w:t>
      </w:r>
      <w:r w:rsidRPr="00D567EF">
        <w:rPr>
          <w:sz w:val="20"/>
          <w:szCs w:val="20"/>
        </w:rPr>
        <w:t>product</w:t>
      </w:r>
    </w:p>
    <w:p w14:paraId="18E1E4D9" w14:textId="0D678289" w:rsidR="00A56D43" w:rsidRPr="00A56D43" w:rsidRDefault="00A56D43" w:rsidP="00A56D43">
      <w:pPr>
        <w:pStyle w:val="3Bodytext"/>
        <w:jc w:val="both"/>
        <w:rPr>
          <w:rFonts w:cstheme="minorHAnsi"/>
          <w:iCs/>
          <w:szCs w:val="24"/>
        </w:rPr>
      </w:pPr>
      <w:r w:rsidRPr="00A56D43">
        <w:rPr>
          <w:iCs/>
        </w:rPr>
        <w:t xml:space="preserve">As a Category 3 submission, the economic analysis has not been independently evaluated. </w:t>
      </w:r>
    </w:p>
    <w:bookmarkEnd w:id="16"/>
    <w:p w14:paraId="5EB16602" w14:textId="36D7AF4E" w:rsidR="00D70349" w:rsidRDefault="00D70349" w:rsidP="00593DF6">
      <w:pPr>
        <w:pStyle w:val="4-SubsectionHeading"/>
        <w:rPr>
          <w:lang w:eastAsia="en-US"/>
        </w:rPr>
      </w:pPr>
      <w:r w:rsidRPr="009D507A">
        <w:rPr>
          <w:lang w:eastAsia="en-US"/>
        </w:rPr>
        <w:t xml:space="preserve">Estimated PBS </w:t>
      </w:r>
      <w:r w:rsidR="00276BE3" w:rsidRPr="00276BE3">
        <w:rPr>
          <w:lang w:eastAsia="en-US"/>
        </w:rPr>
        <w:t>usage</w:t>
      </w:r>
      <w:r w:rsidRPr="009D507A">
        <w:rPr>
          <w:lang w:eastAsia="en-US"/>
        </w:rPr>
        <w:t xml:space="preserve"> and financial implications</w:t>
      </w:r>
    </w:p>
    <w:p w14:paraId="45A02B7C" w14:textId="164C2325" w:rsidR="00640554" w:rsidRPr="00640554" w:rsidRDefault="00640554" w:rsidP="00593DF6">
      <w:pPr>
        <w:pStyle w:val="3Bodytext"/>
        <w:jc w:val="both"/>
      </w:pPr>
      <w:r>
        <w:t xml:space="preserve">The submission claimed that the </w:t>
      </w:r>
      <w:r w:rsidRPr="00647620">
        <w:rPr>
          <w:rFonts w:cstheme="minorHAnsi"/>
          <w:szCs w:val="24"/>
        </w:rPr>
        <w:t>20 mg/0.2</w:t>
      </w:r>
      <w:r>
        <w:rPr>
          <w:rFonts w:cstheme="minorHAnsi"/>
          <w:szCs w:val="24"/>
        </w:rPr>
        <w:t> </w:t>
      </w:r>
      <w:r w:rsidRPr="00647620">
        <w:rPr>
          <w:rFonts w:cstheme="minorHAnsi"/>
          <w:szCs w:val="24"/>
        </w:rPr>
        <w:t>mL, 40 mg/0.4 mL, 60 mg/0.6</w:t>
      </w:r>
      <w:r w:rsidR="005C1656">
        <w:rPr>
          <w:rFonts w:cstheme="minorHAnsi"/>
          <w:szCs w:val="24"/>
        </w:rPr>
        <w:t> </w:t>
      </w:r>
      <w:r w:rsidRPr="00647620">
        <w:rPr>
          <w:rFonts w:cstheme="minorHAnsi"/>
          <w:szCs w:val="24"/>
        </w:rPr>
        <w:t>mL, 80</w:t>
      </w:r>
      <w:r>
        <w:rPr>
          <w:rFonts w:cstheme="minorHAnsi"/>
          <w:szCs w:val="24"/>
        </w:rPr>
        <w:t> </w:t>
      </w:r>
      <w:r w:rsidRPr="00647620">
        <w:rPr>
          <w:rFonts w:cstheme="minorHAnsi"/>
          <w:szCs w:val="24"/>
        </w:rPr>
        <w:t>mg/0.8 mL and 100 mg/mL formulations of E</w:t>
      </w:r>
      <w:r>
        <w:rPr>
          <w:rFonts w:cstheme="minorHAnsi"/>
          <w:szCs w:val="24"/>
        </w:rPr>
        <w:t>xarane</w:t>
      </w:r>
      <w:r w:rsidRPr="00647620">
        <w:rPr>
          <w:rFonts w:cstheme="minorHAnsi"/>
          <w:szCs w:val="24"/>
        </w:rPr>
        <w:t xml:space="preserve"> </w:t>
      </w:r>
      <w:r>
        <w:rPr>
          <w:rFonts w:cstheme="minorHAnsi"/>
          <w:szCs w:val="24"/>
        </w:rPr>
        <w:t xml:space="preserve">would replace </w:t>
      </w:r>
      <w:r w:rsidRPr="00647620">
        <w:rPr>
          <w:rFonts w:cstheme="minorHAnsi"/>
          <w:szCs w:val="24"/>
        </w:rPr>
        <w:t>corresponding PBS</w:t>
      </w:r>
      <w:r w:rsidR="005E378E">
        <w:rPr>
          <w:rFonts w:cstheme="minorHAnsi"/>
          <w:szCs w:val="24"/>
        </w:rPr>
        <w:t>-</w:t>
      </w:r>
      <w:r w:rsidRPr="00647620">
        <w:rPr>
          <w:rFonts w:cstheme="minorHAnsi"/>
          <w:szCs w:val="24"/>
        </w:rPr>
        <w:t>listed formulation</w:t>
      </w:r>
      <w:r>
        <w:rPr>
          <w:rFonts w:cstheme="minorHAnsi"/>
          <w:szCs w:val="24"/>
        </w:rPr>
        <w:t>s</w:t>
      </w:r>
      <w:r w:rsidRPr="00647620">
        <w:rPr>
          <w:rFonts w:cstheme="minorHAnsi"/>
          <w:szCs w:val="24"/>
        </w:rPr>
        <w:t xml:space="preserve"> of Clexane</w:t>
      </w:r>
      <w:r>
        <w:rPr>
          <w:rFonts w:cstheme="minorHAnsi"/>
          <w:szCs w:val="24"/>
        </w:rPr>
        <w:t xml:space="preserve"> Safety-Lock, with no expected market growth. </w:t>
      </w:r>
      <w:r w:rsidR="005E378E">
        <w:t>The submission noted that the extent of the switch is uncertain.</w:t>
      </w:r>
    </w:p>
    <w:p w14:paraId="783B456A" w14:textId="504C898D" w:rsidR="00640554" w:rsidRDefault="00640554" w:rsidP="00593DF6">
      <w:pPr>
        <w:pStyle w:val="3Bodytext"/>
        <w:jc w:val="both"/>
      </w:pPr>
      <w:r>
        <w:rPr>
          <w:rFonts w:cstheme="minorHAnsi"/>
          <w:szCs w:val="24"/>
        </w:rPr>
        <w:t xml:space="preserve">The submission </w:t>
      </w:r>
      <w:r w:rsidR="0008004F">
        <w:rPr>
          <w:rFonts w:cstheme="minorHAnsi"/>
          <w:szCs w:val="24"/>
        </w:rPr>
        <w:t>stated</w:t>
      </w:r>
      <w:r>
        <w:rPr>
          <w:rFonts w:cstheme="minorHAnsi"/>
          <w:szCs w:val="24"/>
        </w:rPr>
        <w:t xml:space="preserve"> that</w:t>
      </w:r>
      <w:r w:rsidR="005E378E">
        <w:rPr>
          <w:rFonts w:cstheme="minorHAnsi"/>
          <w:szCs w:val="24"/>
        </w:rPr>
        <w:t xml:space="preserve"> the financial impact would be a minor save because </w:t>
      </w:r>
      <w:r>
        <w:rPr>
          <w:rFonts w:cstheme="minorHAnsi"/>
          <w:szCs w:val="24"/>
        </w:rPr>
        <w:t xml:space="preserve">listing of the </w:t>
      </w:r>
      <w:r w:rsidRPr="00E2349E">
        <w:t>Exarane Forte 120</w:t>
      </w:r>
      <w:r>
        <w:t> </w:t>
      </w:r>
      <w:r w:rsidRPr="00E2349E">
        <w:t>mg</w:t>
      </w:r>
      <w:r>
        <w:t>/0.8 mL and 150 mg/mL may replace additive therapies</w:t>
      </w:r>
      <w:r w:rsidR="005E378E">
        <w:t xml:space="preserve"> of lower strengths with a higher cost per milligram</w:t>
      </w:r>
      <w:r>
        <w:t xml:space="preserve"> to reach the required dose. Examples of these potential cost-saving are presented in </w:t>
      </w:r>
      <w:r>
        <w:fldChar w:fldCharType="begin" w:fldLock="1"/>
      </w:r>
      <w:r>
        <w:instrText xml:space="preserve"> REF _Ref133838639 \h </w:instrText>
      </w:r>
      <w:r>
        <w:fldChar w:fldCharType="separate"/>
      </w:r>
      <w:r>
        <w:rPr>
          <w:rFonts w:cstheme="minorHAnsi"/>
        </w:rPr>
        <w:t xml:space="preserve">Table </w:t>
      </w:r>
      <w:r>
        <w:rPr>
          <w:noProof/>
        </w:rPr>
        <w:t>3</w:t>
      </w:r>
      <w:r>
        <w:fldChar w:fldCharType="end"/>
      </w:r>
      <w:r>
        <w:t xml:space="preserve">. </w:t>
      </w:r>
    </w:p>
    <w:p w14:paraId="3C41B543" w14:textId="2FEDAF6D" w:rsidR="00640554" w:rsidRDefault="00640554" w:rsidP="00593DF6">
      <w:pPr>
        <w:pStyle w:val="Tabletitles"/>
        <w:keepNext/>
        <w:spacing w:after="0"/>
      </w:pPr>
      <w:bookmarkStart w:id="17" w:name="_Ref133838639"/>
      <w:r>
        <w:rPr>
          <w:rFonts w:cstheme="minorHAnsi"/>
        </w:rPr>
        <w:t xml:space="preserve">Table </w:t>
      </w:r>
      <w:fldSimple w:instr=" SEQ Table \* ARABIC " w:fldLock="1">
        <w:r w:rsidR="00C123C8">
          <w:rPr>
            <w:noProof/>
          </w:rPr>
          <w:t>3</w:t>
        </w:r>
      </w:fldSimple>
      <w:bookmarkEnd w:id="17"/>
      <w:r>
        <w:rPr>
          <w:rFonts w:cstheme="minorHAnsi"/>
        </w:rPr>
        <w:t xml:space="preserve">: </w:t>
      </w:r>
      <w:r w:rsidRPr="00E2349E">
        <w:t xml:space="preserve">Cost savings of the new strengths at </w:t>
      </w:r>
      <w:r w:rsidR="007274FA">
        <w:t>individual</w:t>
      </w:r>
      <w:r w:rsidRPr="00E2349E">
        <w:t xml:space="preserve"> patient level</w:t>
      </w:r>
    </w:p>
    <w:tbl>
      <w:tblPr>
        <w:tblStyle w:val="TableGrid"/>
        <w:tblW w:w="9128" w:type="dxa"/>
        <w:tblInd w:w="-5" w:type="dxa"/>
        <w:tblLook w:val="04A0" w:firstRow="1" w:lastRow="0" w:firstColumn="1" w:lastColumn="0" w:noHBand="0" w:noVBand="1"/>
        <w:tblCaption w:val="Table 3: Cost savings of the new strengths at individual patient level"/>
      </w:tblPr>
      <w:tblGrid>
        <w:gridCol w:w="2041"/>
        <w:gridCol w:w="1701"/>
        <w:gridCol w:w="1984"/>
        <w:gridCol w:w="1701"/>
        <w:gridCol w:w="1701"/>
      </w:tblGrid>
      <w:tr w:rsidR="00C123C8" w:rsidRPr="00E2349E" w14:paraId="540F74BC" w14:textId="5FFBA30E" w:rsidTr="00385289">
        <w:trPr>
          <w:trHeight w:val="283"/>
          <w:tblHeader/>
        </w:trPr>
        <w:tc>
          <w:tcPr>
            <w:tcW w:w="2041" w:type="dxa"/>
            <w:shd w:val="clear" w:color="auto" w:fill="auto"/>
            <w:vAlign w:val="center"/>
          </w:tcPr>
          <w:p w14:paraId="6A58F9CD" w14:textId="248282B2" w:rsidR="00226889" w:rsidRPr="00226889" w:rsidRDefault="00226889" w:rsidP="00593DF6">
            <w:pPr>
              <w:keepNext/>
              <w:jc w:val="center"/>
              <w:rPr>
                <w:rFonts w:ascii="Arial Narrow" w:hAnsi="Arial Narrow"/>
                <w:b/>
                <w:bCs/>
                <w:sz w:val="20"/>
                <w:szCs w:val="20"/>
              </w:rPr>
            </w:pPr>
            <w:r w:rsidRPr="00226889">
              <w:rPr>
                <w:rFonts w:ascii="Arial Narrow" w:hAnsi="Arial Narrow"/>
                <w:b/>
                <w:bCs/>
                <w:sz w:val="20"/>
                <w:szCs w:val="20"/>
              </w:rPr>
              <w:t>New presentation</w:t>
            </w:r>
          </w:p>
        </w:tc>
        <w:tc>
          <w:tcPr>
            <w:tcW w:w="1701" w:type="dxa"/>
            <w:shd w:val="clear" w:color="auto" w:fill="auto"/>
            <w:vAlign w:val="center"/>
          </w:tcPr>
          <w:p w14:paraId="727414DF" w14:textId="4EB05E7C" w:rsidR="00226889" w:rsidRPr="00226889" w:rsidRDefault="00226889" w:rsidP="00593DF6">
            <w:pPr>
              <w:keepNext/>
              <w:jc w:val="center"/>
              <w:rPr>
                <w:rFonts w:ascii="Arial Narrow" w:hAnsi="Arial Narrow"/>
                <w:b/>
                <w:bCs/>
                <w:sz w:val="20"/>
                <w:szCs w:val="20"/>
              </w:rPr>
            </w:pPr>
            <w:r w:rsidRPr="00226889">
              <w:rPr>
                <w:rFonts w:ascii="Arial Narrow" w:hAnsi="Arial Narrow"/>
                <w:b/>
                <w:bCs/>
                <w:sz w:val="20"/>
                <w:szCs w:val="20"/>
              </w:rPr>
              <w:t>AEMP</w:t>
            </w:r>
          </w:p>
        </w:tc>
        <w:tc>
          <w:tcPr>
            <w:tcW w:w="1984" w:type="dxa"/>
            <w:shd w:val="clear" w:color="auto" w:fill="auto"/>
            <w:vAlign w:val="center"/>
          </w:tcPr>
          <w:p w14:paraId="6A51A253" w14:textId="524B443E" w:rsidR="00226889" w:rsidRPr="00226889" w:rsidRDefault="00AC6695" w:rsidP="00593DF6">
            <w:pPr>
              <w:keepNext/>
              <w:jc w:val="center"/>
              <w:rPr>
                <w:rFonts w:ascii="Arial Narrow" w:hAnsi="Arial Narrow"/>
                <w:b/>
                <w:bCs/>
                <w:sz w:val="20"/>
                <w:szCs w:val="20"/>
              </w:rPr>
            </w:pPr>
            <w:r>
              <w:rPr>
                <w:rFonts w:ascii="Arial Narrow" w:hAnsi="Arial Narrow"/>
                <w:b/>
                <w:bCs/>
                <w:sz w:val="20"/>
                <w:szCs w:val="20"/>
              </w:rPr>
              <w:t>Additive therapies</w:t>
            </w:r>
            <w:r w:rsidR="00226889">
              <w:rPr>
                <w:rFonts w:ascii="Arial Narrow" w:hAnsi="Arial Narrow"/>
                <w:b/>
                <w:bCs/>
                <w:sz w:val="20"/>
                <w:szCs w:val="20"/>
              </w:rPr>
              <w:t xml:space="preserve"> replaced</w:t>
            </w:r>
          </w:p>
        </w:tc>
        <w:tc>
          <w:tcPr>
            <w:tcW w:w="1701" w:type="dxa"/>
            <w:shd w:val="clear" w:color="auto" w:fill="auto"/>
            <w:vAlign w:val="center"/>
          </w:tcPr>
          <w:p w14:paraId="58CD38F8" w14:textId="37F3F0C0" w:rsidR="00226889" w:rsidRPr="00226889" w:rsidRDefault="00226889" w:rsidP="00593DF6">
            <w:pPr>
              <w:keepNext/>
              <w:jc w:val="center"/>
              <w:rPr>
                <w:rFonts w:ascii="Arial Narrow" w:hAnsi="Arial Narrow"/>
                <w:b/>
                <w:bCs/>
                <w:sz w:val="20"/>
                <w:szCs w:val="20"/>
              </w:rPr>
            </w:pPr>
            <w:r w:rsidRPr="00226889">
              <w:rPr>
                <w:rFonts w:ascii="Arial Narrow" w:hAnsi="Arial Narrow" w:cs="Calibri"/>
                <w:b/>
                <w:bCs/>
                <w:sz w:val="20"/>
                <w:szCs w:val="20"/>
              </w:rPr>
              <w:t>AEMP</w:t>
            </w:r>
          </w:p>
        </w:tc>
        <w:tc>
          <w:tcPr>
            <w:tcW w:w="1701" w:type="dxa"/>
            <w:vAlign w:val="center"/>
          </w:tcPr>
          <w:p w14:paraId="53AB46FF" w14:textId="5CEBA350" w:rsidR="00226889" w:rsidRPr="00226889" w:rsidRDefault="00226889" w:rsidP="00593DF6">
            <w:pPr>
              <w:keepNext/>
              <w:jc w:val="center"/>
              <w:rPr>
                <w:rFonts w:ascii="Arial Narrow" w:hAnsi="Arial Narrow" w:cs="Calibri"/>
                <w:b/>
                <w:bCs/>
                <w:sz w:val="20"/>
                <w:szCs w:val="20"/>
              </w:rPr>
            </w:pPr>
            <w:r w:rsidRPr="00226889">
              <w:rPr>
                <w:rFonts w:ascii="Arial Narrow" w:hAnsi="Arial Narrow"/>
                <w:b/>
                <w:bCs/>
                <w:sz w:val="20"/>
                <w:szCs w:val="20"/>
              </w:rPr>
              <w:t>Difference (Savings)</w:t>
            </w:r>
          </w:p>
        </w:tc>
      </w:tr>
      <w:tr w:rsidR="00C123C8" w:rsidRPr="00E2349E" w14:paraId="3EC2174C" w14:textId="6CCF8897" w:rsidTr="00C123C8">
        <w:trPr>
          <w:trHeight w:val="283"/>
        </w:trPr>
        <w:tc>
          <w:tcPr>
            <w:tcW w:w="2041" w:type="dxa"/>
            <w:shd w:val="clear" w:color="auto" w:fill="auto"/>
            <w:vAlign w:val="center"/>
          </w:tcPr>
          <w:p w14:paraId="6FFE26B0" w14:textId="01ED0AC0" w:rsidR="00226889" w:rsidRPr="00226889" w:rsidRDefault="00226889" w:rsidP="00593DF6">
            <w:pPr>
              <w:keepNext/>
              <w:jc w:val="left"/>
              <w:rPr>
                <w:rFonts w:ascii="Arial Narrow" w:hAnsi="Arial Narrow"/>
                <w:sz w:val="20"/>
                <w:szCs w:val="20"/>
              </w:rPr>
            </w:pPr>
            <w:r w:rsidRPr="00226889">
              <w:rPr>
                <w:rFonts w:ascii="Arial Narrow" w:hAnsi="Arial Narrow"/>
                <w:sz w:val="20"/>
                <w:szCs w:val="20"/>
              </w:rPr>
              <w:t>Exarane Forte 120 mg</w:t>
            </w:r>
          </w:p>
        </w:tc>
        <w:tc>
          <w:tcPr>
            <w:tcW w:w="1701" w:type="dxa"/>
            <w:shd w:val="clear" w:color="auto" w:fill="auto"/>
            <w:vAlign w:val="center"/>
          </w:tcPr>
          <w:p w14:paraId="041F1857" w14:textId="33F79537" w:rsidR="00226889" w:rsidRPr="007274FA" w:rsidRDefault="00226889" w:rsidP="00593DF6">
            <w:pPr>
              <w:keepNext/>
              <w:jc w:val="center"/>
              <w:rPr>
                <w:rFonts w:ascii="Arial Narrow" w:hAnsi="Arial Narrow"/>
                <w:sz w:val="20"/>
                <w:szCs w:val="20"/>
              </w:rPr>
            </w:pPr>
            <w:r w:rsidRPr="007274FA">
              <w:rPr>
                <w:rFonts w:ascii="Arial Narrow" w:hAnsi="Arial Narrow" w:cs="Calibri"/>
                <w:sz w:val="20"/>
                <w:szCs w:val="20"/>
              </w:rPr>
              <w:t>$ 103.62</w:t>
            </w:r>
          </w:p>
        </w:tc>
        <w:tc>
          <w:tcPr>
            <w:tcW w:w="1984" w:type="dxa"/>
            <w:shd w:val="clear" w:color="auto" w:fill="auto"/>
            <w:vAlign w:val="center"/>
          </w:tcPr>
          <w:p w14:paraId="37F57262" w14:textId="6F3F3D7D" w:rsidR="00226889" w:rsidRPr="007274FA" w:rsidRDefault="00226889" w:rsidP="00593DF6">
            <w:pPr>
              <w:keepNext/>
              <w:jc w:val="center"/>
              <w:rPr>
                <w:rFonts w:ascii="Arial Narrow" w:hAnsi="Arial Narrow"/>
                <w:sz w:val="20"/>
                <w:szCs w:val="20"/>
              </w:rPr>
            </w:pPr>
            <w:r w:rsidRPr="007274FA">
              <w:rPr>
                <w:rFonts w:ascii="Arial Narrow" w:hAnsi="Arial Narrow"/>
                <w:sz w:val="20"/>
                <w:szCs w:val="20"/>
              </w:rPr>
              <w:t>100 mg + 20 mg</w:t>
            </w:r>
          </w:p>
        </w:tc>
        <w:tc>
          <w:tcPr>
            <w:tcW w:w="1701" w:type="dxa"/>
            <w:shd w:val="clear" w:color="auto" w:fill="auto"/>
            <w:vAlign w:val="center"/>
          </w:tcPr>
          <w:p w14:paraId="5E31FCF4" w14:textId="3B0FC27F" w:rsidR="00226889" w:rsidRPr="007274FA" w:rsidRDefault="00226889" w:rsidP="00593DF6">
            <w:pPr>
              <w:keepNext/>
              <w:jc w:val="center"/>
              <w:rPr>
                <w:rFonts w:ascii="Arial Narrow" w:hAnsi="Arial Narrow"/>
                <w:sz w:val="20"/>
                <w:szCs w:val="20"/>
              </w:rPr>
            </w:pPr>
            <w:r w:rsidRPr="007274FA">
              <w:rPr>
                <w:rFonts w:ascii="Arial Narrow" w:hAnsi="Arial Narrow" w:cs="Calibri"/>
                <w:sz w:val="20"/>
                <w:szCs w:val="20"/>
              </w:rPr>
              <w:t>$ 125.18</w:t>
            </w:r>
          </w:p>
        </w:tc>
        <w:tc>
          <w:tcPr>
            <w:tcW w:w="1701" w:type="dxa"/>
            <w:vAlign w:val="center"/>
          </w:tcPr>
          <w:p w14:paraId="70B7EE88" w14:textId="71111421" w:rsidR="00226889" w:rsidRPr="007274FA" w:rsidRDefault="00226889" w:rsidP="00593DF6">
            <w:pPr>
              <w:keepNext/>
              <w:jc w:val="center"/>
              <w:rPr>
                <w:rFonts w:ascii="Arial Narrow" w:hAnsi="Arial Narrow" w:cs="Calibri"/>
                <w:sz w:val="20"/>
                <w:szCs w:val="20"/>
              </w:rPr>
            </w:pPr>
            <w:r w:rsidRPr="007274FA">
              <w:rPr>
                <w:rFonts w:ascii="Arial Narrow" w:hAnsi="Arial Narrow" w:cs="Calibri"/>
                <w:sz w:val="20"/>
                <w:szCs w:val="20"/>
              </w:rPr>
              <w:t>$ 21.56</w:t>
            </w:r>
          </w:p>
        </w:tc>
      </w:tr>
      <w:tr w:rsidR="00C123C8" w:rsidRPr="00E2349E" w14:paraId="097FF1E7" w14:textId="5B46C3FA" w:rsidTr="00C123C8">
        <w:trPr>
          <w:trHeight w:val="283"/>
        </w:trPr>
        <w:tc>
          <w:tcPr>
            <w:tcW w:w="2041" w:type="dxa"/>
            <w:shd w:val="clear" w:color="auto" w:fill="auto"/>
            <w:vAlign w:val="center"/>
          </w:tcPr>
          <w:p w14:paraId="3704A5B6" w14:textId="4CBCAE44" w:rsidR="00226889" w:rsidRPr="00226889" w:rsidRDefault="00226889" w:rsidP="00593DF6">
            <w:pPr>
              <w:keepNext/>
              <w:jc w:val="left"/>
              <w:rPr>
                <w:rFonts w:ascii="Arial Narrow" w:hAnsi="Arial Narrow"/>
                <w:sz w:val="20"/>
                <w:szCs w:val="20"/>
              </w:rPr>
            </w:pPr>
          </w:p>
        </w:tc>
        <w:tc>
          <w:tcPr>
            <w:tcW w:w="1701" w:type="dxa"/>
            <w:shd w:val="clear" w:color="auto" w:fill="auto"/>
            <w:vAlign w:val="center"/>
          </w:tcPr>
          <w:p w14:paraId="48560E8F" w14:textId="5414223C" w:rsidR="00226889" w:rsidRPr="007274FA" w:rsidRDefault="00226889" w:rsidP="00593DF6">
            <w:pPr>
              <w:keepNext/>
              <w:jc w:val="center"/>
              <w:rPr>
                <w:rFonts w:ascii="Arial Narrow" w:hAnsi="Arial Narrow"/>
                <w:sz w:val="20"/>
                <w:szCs w:val="20"/>
              </w:rPr>
            </w:pPr>
          </w:p>
        </w:tc>
        <w:tc>
          <w:tcPr>
            <w:tcW w:w="1984" w:type="dxa"/>
            <w:shd w:val="clear" w:color="auto" w:fill="auto"/>
            <w:vAlign w:val="center"/>
          </w:tcPr>
          <w:p w14:paraId="28795CD1" w14:textId="6826C451" w:rsidR="00226889" w:rsidRPr="007274FA" w:rsidRDefault="00226889" w:rsidP="00593DF6">
            <w:pPr>
              <w:keepNext/>
              <w:jc w:val="center"/>
              <w:rPr>
                <w:rFonts w:ascii="Arial Narrow" w:hAnsi="Arial Narrow"/>
                <w:sz w:val="20"/>
                <w:szCs w:val="20"/>
              </w:rPr>
            </w:pPr>
            <w:r w:rsidRPr="007274FA">
              <w:rPr>
                <w:rFonts w:ascii="Arial Narrow" w:hAnsi="Arial Narrow"/>
                <w:sz w:val="20"/>
                <w:szCs w:val="20"/>
              </w:rPr>
              <w:t>60 mg + 60 mg</w:t>
            </w:r>
          </w:p>
        </w:tc>
        <w:tc>
          <w:tcPr>
            <w:tcW w:w="1701" w:type="dxa"/>
            <w:shd w:val="clear" w:color="auto" w:fill="auto"/>
            <w:vAlign w:val="center"/>
          </w:tcPr>
          <w:p w14:paraId="52EA81BC" w14:textId="64117CD4" w:rsidR="00226889" w:rsidRPr="007274FA" w:rsidRDefault="00226889" w:rsidP="00593DF6">
            <w:pPr>
              <w:keepNext/>
              <w:jc w:val="center"/>
              <w:rPr>
                <w:rFonts w:ascii="Arial Narrow" w:hAnsi="Arial Narrow"/>
                <w:sz w:val="20"/>
                <w:szCs w:val="20"/>
              </w:rPr>
            </w:pPr>
            <w:r w:rsidRPr="007274FA">
              <w:rPr>
                <w:rFonts w:ascii="Arial Narrow" w:hAnsi="Arial Narrow" w:cs="Calibri"/>
                <w:sz w:val="20"/>
                <w:szCs w:val="20"/>
              </w:rPr>
              <w:t>$ 129.94</w:t>
            </w:r>
          </w:p>
        </w:tc>
        <w:tc>
          <w:tcPr>
            <w:tcW w:w="1701" w:type="dxa"/>
            <w:vAlign w:val="center"/>
          </w:tcPr>
          <w:p w14:paraId="44D92F4D" w14:textId="1A92E8E9" w:rsidR="00226889" w:rsidRPr="007274FA" w:rsidRDefault="00226889" w:rsidP="00593DF6">
            <w:pPr>
              <w:keepNext/>
              <w:jc w:val="center"/>
              <w:rPr>
                <w:rFonts w:ascii="Arial Narrow" w:hAnsi="Arial Narrow" w:cs="Calibri"/>
                <w:sz w:val="20"/>
                <w:szCs w:val="20"/>
              </w:rPr>
            </w:pPr>
            <w:r w:rsidRPr="007274FA">
              <w:rPr>
                <w:rFonts w:ascii="Arial Narrow" w:hAnsi="Arial Narrow" w:cs="Calibri"/>
                <w:sz w:val="20"/>
                <w:szCs w:val="20"/>
              </w:rPr>
              <w:t>$ 26.32</w:t>
            </w:r>
          </w:p>
        </w:tc>
      </w:tr>
      <w:tr w:rsidR="00C123C8" w:rsidRPr="00E2349E" w14:paraId="0F0A6CFB" w14:textId="5AF882E0" w:rsidTr="00C123C8">
        <w:trPr>
          <w:trHeight w:val="283"/>
        </w:trPr>
        <w:tc>
          <w:tcPr>
            <w:tcW w:w="2041" w:type="dxa"/>
            <w:shd w:val="clear" w:color="auto" w:fill="auto"/>
            <w:vAlign w:val="center"/>
          </w:tcPr>
          <w:p w14:paraId="0C6FCDEA" w14:textId="7D765345" w:rsidR="00226889" w:rsidRPr="00226889" w:rsidRDefault="00226889" w:rsidP="00593DF6">
            <w:pPr>
              <w:keepNext/>
              <w:jc w:val="left"/>
              <w:rPr>
                <w:rFonts w:ascii="Arial Narrow" w:hAnsi="Arial Narrow"/>
                <w:sz w:val="20"/>
                <w:szCs w:val="20"/>
              </w:rPr>
            </w:pPr>
          </w:p>
        </w:tc>
        <w:tc>
          <w:tcPr>
            <w:tcW w:w="1701" w:type="dxa"/>
            <w:shd w:val="clear" w:color="auto" w:fill="auto"/>
            <w:vAlign w:val="center"/>
          </w:tcPr>
          <w:p w14:paraId="383B36D1" w14:textId="23724724" w:rsidR="00226889" w:rsidRPr="007274FA" w:rsidRDefault="00226889" w:rsidP="00593DF6">
            <w:pPr>
              <w:keepNext/>
              <w:jc w:val="center"/>
              <w:rPr>
                <w:rFonts w:ascii="Arial Narrow" w:hAnsi="Arial Narrow"/>
                <w:sz w:val="20"/>
                <w:szCs w:val="20"/>
              </w:rPr>
            </w:pPr>
          </w:p>
        </w:tc>
        <w:tc>
          <w:tcPr>
            <w:tcW w:w="1984" w:type="dxa"/>
            <w:shd w:val="clear" w:color="auto" w:fill="auto"/>
            <w:vAlign w:val="center"/>
          </w:tcPr>
          <w:p w14:paraId="52B2BB3A" w14:textId="32464473" w:rsidR="00226889" w:rsidRPr="007274FA" w:rsidRDefault="00226889" w:rsidP="00593DF6">
            <w:pPr>
              <w:keepNext/>
              <w:jc w:val="center"/>
              <w:rPr>
                <w:rFonts w:ascii="Arial Narrow" w:hAnsi="Arial Narrow"/>
                <w:sz w:val="20"/>
                <w:szCs w:val="20"/>
              </w:rPr>
            </w:pPr>
            <w:r w:rsidRPr="007274FA">
              <w:rPr>
                <w:rFonts w:ascii="Arial Narrow" w:hAnsi="Arial Narrow"/>
                <w:sz w:val="20"/>
                <w:szCs w:val="20"/>
              </w:rPr>
              <w:t>80 mg + 40 mg</w:t>
            </w:r>
          </w:p>
        </w:tc>
        <w:tc>
          <w:tcPr>
            <w:tcW w:w="1701" w:type="dxa"/>
            <w:shd w:val="clear" w:color="auto" w:fill="auto"/>
            <w:vAlign w:val="center"/>
          </w:tcPr>
          <w:p w14:paraId="2DC58EF7" w14:textId="7A1B4648" w:rsidR="00226889" w:rsidRPr="007274FA" w:rsidRDefault="00226889" w:rsidP="00593DF6">
            <w:pPr>
              <w:keepNext/>
              <w:jc w:val="center"/>
              <w:rPr>
                <w:rFonts w:ascii="Arial Narrow" w:hAnsi="Arial Narrow"/>
                <w:sz w:val="20"/>
                <w:szCs w:val="20"/>
              </w:rPr>
            </w:pPr>
            <w:r w:rsidRPr="007274FA">
              <w:rPr>
                <w:rFonts w:ascii="Arial Narrow" w:hAnsi="Arial Narrow" w:cs="Calibri"/>
                <w:sz w:val="20"/>
                <w:szCs w:val="20"/>
              </w:rPr>
              <w:t>$ 106.61</w:t>
            </w:r>
          </w:p>
        </w:tc>
        <w:tc>
          <w:tcPr>
            <w:tcW w:w="1701" w:type="dxa"/>
            <w:vAlign w:val="center"/>
          </w:tcPr>
          <w:p w14:paraId="0AC1A66B" w14:textId="341E326A" w:rsidR="00226889" w:rsidRPr="007274FA" w:rsidRDefault="00226889" w:rsidP="00593DF6">
            <w:pPr>
              <w:keepNext/>
              <w:jc w:val="center"/>
              <w:rPr>
                <w:rFonts w:ascii="Arial Narrow" w:hAnsi="Arial Narrow" w:cs="Calibri"/>
                <w:sz w:val="20"/>
                <w:szCs w:val="20"/>
              </w:rPr>
            </w:pPr>
            <w:r w:rsidRPr="007274FA">
              <w:rPr>
                <w:rFonts w:ascii="Arial Narrow" w:hAnsi="Arial Narrow" w:cs="Calibri"/>
                <w:sz w:val="20"/>
                <w:szCs w:val="20"/>
              </w:rPr>
              <w:t>$ 2.99</w:t>
            </w:r>
          </w:p>
        </w:tc>
      </w:tr>
      <w:tr w:rsidR="00C123C8" w:rsidRPr="00E2349E" w14:paraId="32FD2B67" w14:textId="4219FE95" w:rsidTr="00C123C8">
        <w:trPr>
          <w:trHeight w:val="283"/>
        </w:trPr>
        <w:tc>
          <w:tcPr>
            <w:tcW w:w="2041" w:type="dxa"/>
            <w:shd w:val="clear" w:color="auto" w:fill="auto"/>
            <w:vAlign w:val="center"/>
          </w:tcPr>
          <w:p w14:paraId="1E038518" w14:textId="5B05B3C8" w:rsidR="00226889" w:rsidRPr="00226889" w:rsidRDefault="00226889" w:rsidP="00593DF6">
            <w:pPr>
              <w:keepNext/>
              <w:jc w:val="left"/>
              <w:rPr>
                <w:rFonts w:ascii="Arial Narrow" w:hAnsi="Arial Narrow"/>
                <w:sz w:val="20"/>
                <w:szCs w:val="20"/>
              </w:rPr>
            </w:pPr>
            <w:r w:rsidRPr="00226889">
              <w:rPr>
                <w:rFonts w:ascii="Arial Narrow" w:hAnsi="Arial Narrow"/>
                <w:sz w:val="20"/>
                <w:szCs w:val="20"/>
              </w:rPr>
              <w:t>Exarane Fort</w:t>
            </w:r>
            <w:r w:rsidR="005C1656">
              <w:rPr>
                <w:rFonts w:ascii="Arial Narrow" w:hAnsi="Arial Narrow"/>
                <w:sz w:val="20"/>
                <w:szCs w:val="20"/>
              </w:rPr>
              <w:t>e</w:t>
            </w:r>
            <w:r w:rsidRPr="00226889">
              <w:rPr>
                <w:rFonts w:ascii="Arial Narrow" w:hAnsi="Arial Narrow"/>
                <w:sz w:val="20"/>
                <w:szCs w:val="20"/>
              </w:rPr>
              <w:t xml:space="preserve"> 150 mg</w:t>
            </w:r>
          </w:p>
        </w:tc>
        <w:tc>
          <w:tcPr>
            <w:tcW w:w="1701" w:type="dxa"/>
            <w:shd w:val="clear" w:color="auto" w:fill="auto"/>
            <w:vAlign w:val="center"/>
          </w:tcPr>
          <w:p w14:paraId="0815AE22" w14:textId="38B38850" w:rsidR="00226889" w:rsidRPr="007274FA" w:rsidRDefault="00226889" w:rsidP="00593DF6">
            <w:pPr>
              <w:keepNext/>
              <w:jc w:val="center"/>
              <w:rPr>
                <w:rFonts w:ascii="Arial Narrow" w:hAnsi="Arial Narrow"/>
                <w:sz w:val="20"/>
                <w:szCs w:val="20"/>
              </w:rPr>
            </w:pPr>
            <w:r w:rsidRPr="007274FA">
              <w:rPr>
                <w:rFonts w:ascii="Arial Narrow" w:hAnsi="Arial Narrow" w:cs="Calibri"/>
                <w:sz w:val="20"/>
                <w:szCs w:val="20"/>
              </w:rPr>
              <w:t>$ 129.53</w:t>
            </w:r>
          </w:p>
        </w:tc>
        <w:tc>
          <w:tcPr>
            <w:tcW w:w="1984" w:type="dxa"/>
            <w:shd w:val="clear" w:color="auto" w:fill="auto"/>
            <w:vAlign w:val="center"/>
          </w:tcPr>
          <w:p w14:paraId="42C5FB9C" w14:textId="044760EC" w:rsidR="00226889" w:rsidRPr="007274FA" w:rsidRDefault="00226889" w:rsidP="00593DF6">
            <w:pPr>
              <w:keepNext/>
              <w:jc w:val="center"/>
              <w:rPr>
                <w:rFonts w:ascii="Arial Narrow" w:hAnsi="Arial Narrow"/>
                <w:sz w:val="20"/>
                <w:szCs w:val="20"/>
              </w:rPr>
            </w:pPr>
            <w:r w:rsidRPr="007274FA">
              <w:rPr>
                <w:rFonts w:ascii="Arial Narrow" w:hAnsi="Arial Narrow"/>
                <w:sz w:val="20"/>
                <w:szCs w:val="20"/>
              </w:rPr>
              <w:t>80 mg + 80 mg</w:t>
            </w:r>
          </w:p>
        </w:tc>
        <w:tc>
          <w:tcPr>
            <w:tcW w:w="1701" w:type="dxa"/>
            <w:shd w:val="clear" w:color="auto" w:fill="auto"/>
            <w:vAlign w:val="center"/>
          </w:tcPr>
          <w:p w14:paraId="40525E6C" w14:textId="2A0C6477" w:rsidR="00226889" w:rsidRPr="007274FA" w:rsidRDefault="00226889" w:rsidP="00593DF6">
            <w:pPr>
              <w:keepNext/>
              <w:jc w:val="center"/>
              <w:rPr>
                <w:rFonts w:ascii="Arial Narrow" w:hAnsi="Arial Narrow"/>
                <w:sz w:val="20"/>
                <w:szCs w:val="20"/>
              </w:rPr>
            </w:pPr>
            <w:r w:rsidRPr="007274FA">
              <w:rPr>
                <w:rFonts w:ascii="Arial Narrow" w:hAnsi="Arial Narrow" w:cs="Calibri"/>
                <w:sz w:val="20"/>
                <w:szCs w:val="20"/>
              </w:rPr>
              <w:t>$ 138.16</w:t>
            </w:r>
          </w:p>
        </w:tc>
        <w:tc>
          <w:tcPr>
            <w:tcW w:w="1701" w:type="dxa"/>
            <w:vAlign w:val="center"/>
          </w:tcPr>
          <w:p w14:paraId="7A487E4E" w14:textId="44F4E6CB" w:rsidR="00226889" w:rsidRPr="007274FA" w:rsidRDefault="00226889" w:rsidP="00593DF6">
            <w:pPr>
              <w:keepNext/>
              <w:jc w:val="center"/>
              <w:rPr>
                <w:rFonts w:ascii="Arial Narrow" w:hAnsi="Arial Narrow" w:cs="Calibri"/>
                <w:sz w:val="20"/>
                <w:szCs w:val="20"/>
              </w:rPr>
            </w:pPr>
            <w:r w:rsidRPr="007274FA">
              <w:rPr>
                <w:rFonts w:ascii="Arial Narrow" w:hAnsi="Arial Narrow" w:cs="Calibri"/>
                <w:sz w:val="20"/>
                <w:szCs w:val="20"/>
              </w:rPr>
              <w:t>$ 8.64</w:t>
            </w:r>
          </w:p>
        </w:tc>
      </w:tr>
      <w:tr w:rsidR="00C123C8" w:rsidRPr="00E2349E" w14:paraId="76A9AF2D" w14:textId="4A2270EB" w:rsidTr="00C123C8">
        <w:trPr>
          <w:trHeight w:val="283"/>
        </w:trPr>
        <w:tc>
          <w:tcPr>
            <w:tcW w:w="2041" w:type="dxa"/>
            <w:shd w:val="clear" w:color="auto" w:fill="auto"/>
            <w:vAlign w:val="center"/>
          </w:tcPr>
          <w:p w14:paraId="3576E3EA" w14:textId="77777777" w:rsidR="00226889" w:rsidRPr="007274FA" w:rsidRDefault="00226889" w:rsidP="00593DF6">
            <w:pPr>
              <w:keepNext/>
              <w:jc w:val="left"/>
              <w:rPr>
                <w:rFonts w:ascii="Arial Narrow" w:hAnsi="Arial Narrow"/>
                <w:sz w:val="20"/>
                <w:szCs w:val="20"/>
              </w:rPr>
            </w:pPr>
          </w:p>
        </w:tc>
        <w:tc>
          <w:tcPr>
            <w:tcW w:w="1701" w:type="dxa"/>
            <w:shd w:val="clear" w:color="auto" w:fill="auto"/>
            <w:vAlign w:val="center"/>
          </w:tcPr>
          <w:p w14:paraId="2D124527" w14:textId="77777777" w:rsidR="00226889" w:rsidRPr="007274FA" w:rsidRDefault="00226889" w:rsidP="00593DF6">
            <w:pPr>
              <w:keepNext/>
              <w:jc w:val="center"/>
              <w:rPr>
                <w:rFonts w:ascii="Arial Narrow" w:hAnsi="Arial Narrow"/>
                <w:sz w:val="20"/>
                <w:szCs w:val="20"/>
              </w:rPr>
            </w:pPr>
          </w:p>
        </w:tc>
        <w:tc>
          <w:tcPr>
            <w:tcW w:w="1984" w:type="dxa"/>
            <w:shd w:val="clear" w:color="auto" w:fill="auto"/>
            <w:vAlign w:val="center"/>
          </w:tcPr>
          <w:p w14:paraId="30F3A509" w14:textId="289B325D" w:rsidR="00226889" w:rsidRPr="007274FA" w:rsidRDefault="00226889" w:rsidP="00593DF6">
            <w:pPr>
              <w:keepNext/>
              <w:jc w:val="center"/>
              <w:rPr>
                <w:rFonts w:ascii="Arial Narrow" w:hAnsi="Arial Narrow"/>
                <w:sz w:val="20"/>
                <w:szCs w:val="20"/>
              </w:rPr>
            </w:pPr>
            <w:r w:rsidRPr="007274FA">
              <w:rPr>
                <w:rFonts w:ascii="Arial Narrow" w:hAnsi="Arial Narrow"/>
                <w:sz w:val="20"/>
                <w:szCs w:val="20"/>
              </w:rPr>
              <w:t>100 mg + 60 mg</w:t>
            </w:r>
          </w:p>
        </w:tc>
        <w:tc>
          <w:tcPr>
            <w:tcW w:w="1701" w:type="dxa"/>
            <w:shd w:val="clear" w:color="auto" w:fill="auto"/>
            <w:vAlign w:val="center"/>
          </w:tcPr>
          <w:p w14:paraId="0E0F2922" w14:textId="7346C69E" w:rsidR="00226889" w:rsidRPr="007274FA" w:rsidRDefault="00226889" w:rsidP="00593DF6">
            <w:pPr>
              <w:keepNext/>
              <w:jc w:val="center"/>
              <w:rPr>
                <w:rFonts w:ascii="Arial Narrow" w:hAnsi="Arial Narrow"/>
                <w:sz w:val="20"/>
                <w:szCs w:val="20"/>
              </w:rPr>
            </w:pPr>
            <w:r w:rsidRPr="007274FA">
              <w:rPr>
                <w:rFonts w:ascii="Arial Narrow" w:hAnsi="Arial Narrow" w:cs="Calibri"/>
                <w:sz w:val="20"/>
                <w:szCs w:val="20"/>
              </w:rPr>
              <w:t>$ 156.57</w:t>
            </w:r>
          </w:p>
        </w:tc>
        <w:tc>
          <w:tcPr>
            <w:tcW w:w="1701" w:type="dxa"/>
            <w:vAlign w:val="center"/>
          </w:tcPr>
          <w:p w14:paraId="2652C782" w14:textId="63690846" w:rsidR="00226889" w:rsidRPr="007274FA" w:rsidRDefault="00226889" w:rsidP="00593DF6">
            <w:pPr>
              <w:keepNext/>
              <w:jc w:val="center"/>
              <w:rPr>
                <w:rFonts w:ascii="Arial Narrow" w:hAnsi="Arial Narrow" w:cs="Calibri"/>
                <w:sz w:val="20"/>
                <w:szCs w:val="20"/>
              </w:rPr>
            </w:pPr>
            <w:r w:rsidRPr="007274FA">
              <w:rPr>
                <w:rFonts w:ascii="Arial Narrow" w:hAnsi="Arial Narrow" w:cs="Calibri"/>
                <w:sz w:val="20"/>
                <w:szCs w:val="20"/>
              </w:rPr>
              <w:t>$ 27.05</w:t>
            </w:r>
          </w:p>
        </w:tc>
      </w:tr>
    </w:tbl>
    <w:p w14:paraId="0A9D8E60" w14:textId="15C5870B" w:rsidR="00640554" w:rsidRDefault="00640554" w:rsidP="00593DF6">
      <w:pPr>
        <w:pStyle w:val="TableFigureFooter"/>
        <w:keepNext/>
        <w:keepLines/>
      </w:pPr>
      <w:r w:rsidRPr="00647620">
        <w:t xml:space="preserve">Source: Table </w:t>
      </w:r>
      <w:r>
        <w:t>3-</w:t>
      </w:r>
      <w:r w:rsidR="007274FA">
        <w:t>4</w:t>
      </w:r>
      <w:r w:rsidRPr="00647620">
        <w:t xml:space="preserve">, p </w:t>
      </w:r>
      <w:r>
        <w:t>2</w:t>
      </w:r>
      <w:r w:rsidR="007274FA">
        <w:t>4</w:t>
      </w:r>
      <w:r w:rsidRPr="00647620">
        <w:t xml:space="preserve"> of the submission</w:t>
      </w:r>
      <w:r w:rsidR="007274FA">
        <w:t>.</w:t>
      </w:r>
    </w:p>
    <w:p w14:paraId="55DA7076" w14:textId="43D9C335" w:rsidR="007274FA" w:rsidRDefault="007274FA" w:rsidP="00593DF6">
      <w:pPr>
        <w:pStyle w:val="TableFigureFooter"/>
        <w:keepNext/>
        <w:keepLines/>
      </w:pPr>
      <w:r>
        <w:t>Costs are calculated using AEMP.</w:t>
      </w:r>
    </w:p>
    <w:p w14:paraId="78505CE8" w14:textId="2345CBC1" w:rsidR="00AC6695" w:rsidRPr="000D712F" w:rsidRDefault="00AC6695" w:rsidP="00593DF6">
      <w:pPr>
        <w:pStyle w:val="3Bodytext"/>
        <w:jc w:val="both"/>
        <w:rPr>
          <w:szCs w:val="24"/>
        </w:rPr>
      </w:pPr>
      <w:r w:rsidRPr="000D712F">
        <w:rPr>
          <w:szCs w:val="24"/>
        </w:rPr>
        <w:t>The submission estimate</w:t>
      </w:r>
      <w:r w:rsidR="007D1919">
        <w:rPr>
          <w:szCs w:val="24"/>
        </w:rPr>
        <w:t>d</w:t>
      </w:r>
      <w:r w:rsidRPr="000D712F">
        <w:rPr>
          <w:szCs w:val="24"/>
        </w:rPr>
        <w:t xml:space="preserve"> </w:t>
      </w:r>
      <w:r w:rsidR="007D1919">
        <w:rPr>
          <w:szCs w:val="24"/>
        </w:rPr>
        <w:t>that</w:t>
      </w:r>
      <w:r w:rsidRPr="000D712F">
        <w:rPr>
          <w:szCs w:val="24"/>
        </w:rPr>
        <w:t xml:space="preserve"> 10% of the total scripts of 80 mg </w:t>
      </w:r>
      <w:r w:rsidR="0008004F">
        <w:rPr>
          <w:szCs w:val="24"/>
        </w:rPr>
        <w:t>may</w:t>
      </w:r>
      <w:r w:rsidR="0008004F" w:rsidRPr="000D712F">
        <w:rPr>
          <w:szCs w:val="24"/>
        </w:rPr>
        <w:t xml:space="preserve"> </w:t>
      </w:r>
      <w:r w:rsidRPr="000D712F">
        <w:rPr>
          <w:szCs w:val="24"/>
        </w:rPr>
        <w:t>be affected by listing of 120 mg and 150 mg strengths</w:t>
      </w:r>
      <w:r w:rsidR="0008004F">
        <w:rPr>
          <w:szCs w:val="24"/>
        </w:rPr>
        <w:t>,</w:t>
      </w:r>
      <w:r w:rsidRPr="000D712F">
        <w:rPr>
          <w:szCs w:val="24"/>
        </w:rPr>
        <w:t xml:space="preserve"> and 2% of the total scripts of </w:t>
      </w:r>
      <w:r w:rsidR="0012070D" w:rsidRPr="000D712F">
        <w:rPr>
          <w:szCs w:val="24"/>
        </w:rPr>
        <w:t>40</w:t>
      </w:r>
      <w:r w:rsidR="0012070D">
        <w:rPr>
          <w:szCs w:val="24"/>
        </w:rPr>
        <w:t> </w:t>
      </w:r>
      <w:r w:rsidRPr="000D712F">
        <w:rPr>
          <w:szCs w:val="24"/>
        </w:rPr>
        <w:t>mg will be affected by the listing of 120 mg strength. The submission noted that any scenario</w:t>
      </w:r>
      <w:r w:rsidR="007D1919">
        <w:rPr>
          <w:szCs w:val="24"/>
        </w:rPr>
        <w:t>s</w:t>
      </w:r>
      <w:r w:rsidRPr="000D712F">
        <w:rPr>
          <w:szCs w:val="24"/>
        </w:rPr>
        <w:t xml:space="preserve"> in </w:t>
      </w:r>
      <w:r w:rsidRPr="000D712F">
        <w:rPr>
          <w:szCs w:val="24"/>
        </w:rPr>
        <w:fldChar w:fldCharType="begin" w:fldLock="1"/>
      </w:r>
      <w:r w:rsidRPr="000D712F">
        <w:rPr>
          <w:szCs w:val="24"/>
        </w:rPr>
        <w:instrText xml:space="preserve"> REF _Ref133838639 \h </w:instrText>
      </w:r>
      <w:r w:rsidR="000D712F" w:rsidRPr="000D712F">
        <w:rPr>
          <w:szCs w:val="24"/>
        </w:rPr>
        <w:instrText xml:space="preserve"> \* MERGEFORMAT </w:instrText>
      </w:r>
      <w:r w:rsidRPr="000D712F">
        <w:rPr>
          <w:szCs w:val="24"/>
        </w:rPr>
      </w:r>
      <w:r w:rsidRPr="000D712F">
        <w:rPr>
          <w:szCs w:val="24"/>
        </w:rPr>
        <w:fldChar w:fldCharType="separate"/>
      </w:r>
      <w:r w:rsidRPr="000D712F">
        <w:rPr>
          <w:rFonts w:cstheme="minorHAnsi"/>
          <w:szCs w:val="24"/>
        </w:rPr>
        <w:t xml:space="preserve">Table </w:t>
      </w:r>
      <w:r w:rsidRPr="000D712F">
        <w:rPr>
          <w:noProof/>
          <w:szCs w:val="24"/>
        </w:rPr>
        <w:t>3</w:t>
      </w:r>
      <w:r w:rsidRPr="000D712F">
        <w:rPr>
          <w:szCs w:val="24"/>
        </w:rPr>
        <w:fldChar w:fldCharType="end"/>
      </w:r>
      <w:r w:rsidRPr="000D712F">
        <w:rPr>
          <w:szCs w:val="24"/>
        </w:rPr>
        <w:t xml:space="preserve"> </w:t>
      </w:r>
      <w:r w:rsidR="000D712F" w:rsidRPr="000D712F">
        <w:rPr>
          <w:szCs w:val="24"/>
        </w:rPr>
        <w:t>may occur, however, due to the uncertainty</w:t>
      </w:r>
      <w:r w:rsidR="007D1919">
        <w:rPr>
          <w:szCs w:val="24"/>
        </w:rPr>
        <w:t>,</w:t>
      </w:r>
      <w:r w:rsidR="000D712F" w:rsidRPr="000D712F">
        <w:rPr>
          <w:szCs w:val="24"/>
        </w:rPr>
        <w:t xml:space="preserve"> they have chosen</w:t>
      </w:r>
      <w:r w:rsidR="007D1919">
        <w:rPr>
          <w:szCs w:val="24"/>
        </w:rPr>
        <w:t xml:space="preserve"> the lowest costing dosing scenarios to be replaced with the new presentations that is the 80</w:t>
      </w:r>
      <w:r w:rsidR="00A30554">
        <w:rPr>
          <w:szCs w:val="24"/>
        </w:rPr>
        <w:t> </w:t>
      </w:r>
      <w:r w:rsidR="007D1919">
        <w:rPr>
          <w:szCs w:val="24"/>
        </w:rPr>
        <w:t>mg + 40 mg for the 120 mg strength and 80 mg + 80 mg for the 150 mg strength.</w:t>
      </w:r>
      <w:r w:rsidR="000D712F" w:rsidRPr="000D712F">
        <w:rPr>
          <w:szCs w:val="24"/>
        </w:rPr>
        <w:t xml:space="preserve"> </w:t>
      </w:r>
    </w:p>
    <w:p w14:paraId="3E092EB0" w14:textId="093C9C56" w:rsidR="00AC6695" w:rsidRPr="000D712F" w:rsidRDefault="00AC6695" w:rsidP="00593DF6">
      <w:pPr>
        <w:pStyle w:val="3Bodytext"/>
        <w:jc w:val="both"/>
        <w:rPr>
          <w:rFonts w:cstheme="minorHAnsi"/>
          <w:szCs w:val="24"/>
        </w:rPr>
      </w:pPr>
      <w:r w:rsidRPr="000D712F">
        <w:rPr>
          <w:szCs w:val="24"/>
        </w:rPr>
        <w:t>The submission estimated that</w:t>
      </w:r>
      <w:r w:rsidR="000D712F" w:rsidRPr="000D712F">
        <w:rPr>
          <w:szCs w:val="24"/>
        </w:rPr>
        <w:t xml:space="preserve"> the listing of</w:t>
      </w:r>
      <w:r w:rsidRPr="000D712F">
        <w:rPr>
          <w:szCs w:val="24"/>
        </w:rPr>
        <w:t xml:space="preserve"> </w:t>
      </w:r>
      <w:r w:rsidR="000D712F" w:rsidRPr="000D712F">
        <w:rPr>
          <w:szCs w:val="24"/>
        </w:rPr>
        <w:t>Exarane and Exarane Forte</w:t>
      </w:r>
      <w:r w:rsidRPr="000D712F">
        <w:rPr>
          <w:szCs w:val="24"/>
        </w:rPr>
        <w:t xml:space="preserve"> would be cost</w:t>
      </w:r>
      <w:r w:rsidR="0008004F">
        <w:rPr>
          <w:szCs w:val="24"/>
        </w:rPr>
        <w:t>-</w:t>
      </w:r>
      <w:r w:rsidRPr="000D712F">
        <w:rPr>
          <w:szCs w:val="24"/>
        </w:rPr>
        <w:t xml:space="preserve"> </w:t>
      </w:r>
      <w:r w:rsidRPr="000D712F">
        <w:rPr>
          <w:bCs/>
          <w:szCs w:val="24"/>
        </w:rPr>
        <w:t xml:space="preserve">saving over the first six years of listing. </w:t>
      </w:r>
      <w:r w:rsidRPr="000D712F">
        <w:rPr>
          <w:szCs w:val="24"/>
        </w:rPr>
        <w:t xml:space="preserve">This is summarised in </w:t>
      </w:r>
      <w:r w:rsidR="00C123C8" w:rsidRPr="00C123C8">
        <w:rPr>
          <w:szCs w:val="24"/>
        </w:rPr>
        <w:fldChar w:fldCharType="begin" w:fldLock="1"/>
      </w:r>
      <w:r w:rsidR="00C123C8" w:rsidRPr="00C123C8">
        <w:rPr>
          <w:szCs w:val="24"/>
        </w:rPr>
        <w:instrText xml:space="preserve"> REF _Ref133847474 \h  \* MERGEFORMAT </w:instrText>
      </w:r>
      <w:r w:rsidR="00C123C8" w:rsidRPr="00C123C8">
        <w:rPr>
          <w:szCs w:val="24"/>
        </w:rPr>
      </w:r>
      <w:r w:rsidR="00C123C8" w:rsidRPr="00C123C8">
        <w:rPr>
          <w:szCs w:val="24"/>
        </w:rPr>
        <w:fldChar w:fldCharType="separate"/>
      </w:r>
      <w:r w:rsidR="00C123C8" w:rsidRPr="00C123C8">
        <w:rPr>
          <w:rStyle w:val="CommentReference"/>
          <w:sz w:val="24"/>
          <w:szCs w:val="24"/>
        </w:rPr>
        <w:t>Table</w:t>
      </w:r>
      <w:r w:rsidR="00C123C8" w:rsidRPr="00C123C8">
        <w:rPr>
          <w:rFonts w:eastAsiaTheme="majorEastAsia"/>
          <w:szCs w:val="24"/>
        </w:rPr>
        <w:t xml:space="preserve"> </w:t>
      </w:r>
      <w:r w:rsidR="00C123C8" w:rsidRPr="00C123C8">
        <w:rPr>
          <w:rFonts w:eastAsiaTheme="majorEastAsia"/>
          <w:noProof/>
          <w:szCs w:val="24"/>
        </w:rPr>
        <w:t>4</w:t>
      </w:r>
      <w:r w:rsidR="00C123C8" w:rsidRPr="00C123C8">
        <w:rPr>
          <w:szCs w:val="24"/>
        </w:rPr>
        <w:fldChar w:fldCharType="end"/>
      </w:r>
      <w:r w:rsidR="00C72D3A">
        <w:rPr>
          <w:szCs w:val="24"/>
        </w:rPr>
        <w:t>.</w:t>
      </w:r>
      <w:r w:rsidR="00C123C8">
        <w:rPr>
          <w:szCs w:val="24"/>
        </w:rPr>
        <w:t xml:space="preserve"> </w:t>
      </w:r>
    </w:p>
    <w:p w14:paraId="77240E59" w14:textId="50125452" w:rsidR="000D712F" w:rsidRPr="00E060AF" w:rsidRDefault="000D712F" w:rsidP="00593DF6">
      <w:pPr>
        <w:pStyle w:val="Tabletitles"/>
        <w:keepNext/>
        <w:spacing w:after="0"/>
        <w:rPr>
          <w:rFonts w:asciiTheme="minorHAnsi" w:hAnsiTheme="minorHAnsi" w:cstheme="minorHAnsi"/>
          <w:sz w:val="24"/>
          <w:szCs w:val="24"/>
        </w:rPr>
      </w:pPr>
      <w:bookmarkStart w:id="18" w:name="_Ref133847474"/>
      <w:r w:rsidRPr="00167C39">
        <w:rPr>
          <w:rStyle w:val="CommentReference"/>
          <w:sz w:val="20"/>
          <w:szCs w:val="22"/>
        </w:rPr>
        <w:t>Table</w:t>
      </w:r>
      <w:r w:rsidRPr="00167C39">
        <w:rPr>
          <w:rFonts w:eastAsiaTheme="majorEastAsia"/>
        </w:rPr>
        <w:t xml:space="preserve"> </w:t>
      </w:r>
      <w:bookmarkStart w:id="19" w:name="_Hlk121755068"/>
      <w:r w:rsidR="00C123C8">
        <w:rPr>
          <w:rFonts w:eastAsiaTheme="majorEastAsia"/>
        </w:rPr>
        <w:fldChar w:fldCharType="begin" w:fldLock="1"/>
      </w:r>
      <w:r w:rsidR="00C123C8">
        <w:rPr>
          <w:rFonts w:eastAsiaTheme="majorEastAsia"/>
        </w:rPr>
        <w:instrText xml:space="preserve"> SEQ Table \* ARABIC </w:instrText>
      </w:r>
      <w:r w:rsidR="00C123C8">
        <w:rPr>
          <w:rFonts w:eastAsiaTheme="majorEastAsia"/>
        </w:rPr>
        <w:fldChar w:fldCharType="separate"/>
      </w:r>
      <w:r w:rsidR="00C123C8">
        <w:rPr>
          <w:rFonts w:eastAsiaTheme="majorEastAsia"/>
          <w:noProof/>
        </w:rPr>
        <w:t>4</w:t>
      </w:r>
      <w:r w:rsidR="00C123C8">
        <w:rPr>
          <w:rFonts w:eastAsiaTheme="majorEastAsia"/>
        </w:rPr>
        <w:fldChar w:fldCharType="end"/>
      </w:r>
      <w:bookmarkEnd w:id="18"/>
      <w:r w:rsidRPr="00167C39">
        <w:rPr>
          <w:rFonts w:eastAsiaTheme="majorEastAsia"/>
        </w:rPr>
        <w:t>:</w:t>
      </w:r>
      <w:bookmarkEnd w:id="19"/>
      <w:r w:rsidRPr="00167C39">
        <w:rPr>
          <w:rFonts w:eastAsiaTheme="majorEastAsia"/>
        </w:rPr>
        <w:t xml:space="preserve"> </w:t>
      </w:r>
      <w:r w:rsidRPr="00167C39">
        <w:rPr>
          <w:rStyle w:val="CommentReference"/>
          <w:sz w:val="20"/>
          <w:szCs w:val="22"/>
        </w:rPr>
        <w:t>Estimated use and financial implications</w:t>
      </w:r>
      <w:r>
        <w:rPr>
          <w:rStyle w:val="CommentReference"/>
          <w:sz w:val="20"/>
          <w:szCs w:val="22"/>
        </w:rPr>
        <w:t xml:space="preserve"> </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Estimated use and financial implications "/>
      </w:tblPr>
      <w:tblGrid>
        <w:gridCol w:w="1998"/>
        <w:gridCol w:w="1156"/>
        <w:gridCol w:w="1156"/>
        <w:gridCol w:w="1157"/>
        <w:gridCol w:w="1157"/>
        <w:gridCol w:w="1157"/>
        <w:gridCol w:w="1157"/>
      </w:tblGrid>
      <w:tr w:rsidR="0097436F" w:rsidRPr="00197F03" w14:paraId="1FA7EA2A" w14:textId="77777777" w:rsidTr="00203DF0">
        <w:trPr>
          <w:cantSplit/>
          <w:tblHeader/>
          <w:jc w:val="center"/>
        </w:trPr>
        <w:tc>
          <w:tcPr>
            <w:tcW w:w="1118" w:type="pct"/>
            <w:shd w:val="clear" w:color="auto" w:fill="auto"/>
            <w:vAlign w:val="center"/>
          </w:tcPr>
          <w:p w14:paraId="3D47602C" w14:textId="77777777" w:rsidR="0097436F" w:rsidRPr="0097436F" w:rsidRDefault="0097436F" w:rsidP="00593DF6">
            <w:pPr>
              <w:pStyle w:val="TableText0"/>
              <w:keepLines/>
              <w:rPr>
                <w:b/>
                <w:bCs w:val="0"/>
              </w:rPr>
            </w:pPr>
          </w:p>
        </w:tc>
        <w:tc>
          <w:tcPr>
            <w:tcW w:w="647" w:type="pct"/>
            <w:shd w:val="clear" w:color="auto" w:fill="auto"/>
            <w:vAlign w:val="center"/>
          </w:tcPr>
          <w:p w14:paraId="76414AED" w14:textId="25C2631C" w:rsidR="0097436F" w:rsidRPr="0097436F" w:rsidRDefault="0097436F" w:rsidP="00593DF6">
            <w:pPr>
              <w:pStyle w:val="TableText0"/>
              <w:keepLines/>
              <w:jc w:val="center"/>
              <w:rPr>
                <w:b/>
                <w:bCs w:val="0"/>
              </w:rPr>
            </w:pPr>
            <w:r w:rsidRPr="0097436F">
              <w:rPr>
                <w:b/>
                <w:bCs w:val="0"/>
              </w:rPr>
              <w:t>2023</w:t>
            </w:r>
          </w:p>
        </w:tc>
        <w:tc>
          <w:tcPr>
            <w:tcW w:w="647" w:type="pct"/>
            <w:shd w:val="clear" w:color="auto" w:fill="auto"/>
            <w:vAlign w:val="center"/>
          </w:tcPr>
          <w:p w14:paraId="41E46939" w14:textId="7C86E9BA" w:rsidR="0097436F" w:rsidRPr="0097436F" w:rsidRDefault="0097436F" w:rsidP="00593DF6">
            <w:pPr>
              <w:pStyle w:val="TableText0"/>
              <w:keepLines/>
              <w:jc w:val="center"/>
              <w:rPr>
                <w:b/>
                <w:bCs w:val="0"/>
              </w:rPr>
            </w:pPr>
            <w:r w:rsidRPr="0097436F">
              <w:rPr>
                <w:b/>
                <w:bCs w:val="0"/>
              </w:rPr>
              <w:t>2024</w:t>
            </w:r>
          </w:p>
        </w:tc>
        <w:tc>
          <w:tcPr>
            <w:tcW w:w="647" w:type="pct"/>
            <w:shd w:val="clear" w:color="auto" w:fill="auto"/>
            <w:vAlign w:val="center"/>
          </w:tcPr>
          <w:p w14:paraId="72A584BF" w14:textId="3EB3CCD6" w:rsidR="0097436F" w:rsidRPr="0097436F" w:rsidRDefault="0097436F" w:rsidP="00593DF6">
            <w:pPr>
              <w:pStyle w:val="TableText0"/>
              <w:keepLines/>
              <w:jc w:val="center"/>
              <w:rPr>
                <w:b/>
                <w:bCs w:val="0"/>
              </w:rPr>
            </w:pPr>
            <w:r w:rsidRPr="0097436F">
              <w:rPr>
                <w:b/>
                <w:bCs w:val="0"/>
              </w:rPr>
              <w:t>2025</w:t>
            </w:r>
          </w:p>
        </w:tc>
        <w:tc>
          <w:tcPr>
            <w:tcW w:w="647" w:type="pct"/>
            <w:shd w:val="clear" w:color="auto" w:fill="auto"/>
            <w:vAlign w:val="center"/>
          </w:tcPr>
          <w:p w14:paraId="52E299CF" w14:textId="508E22C7" w:rsidR="0097436F" w:rsidRPr="0097436F" w:rsidRDefault="0097436F" w:rsidP="00593DF6">
            <w:pPr>
              <w:pStyle w:val="TableText0"/>
              <w:keepLines/>
              <w:jc w:val="center"/>
              <w:rPr>
                <w:b/>
                <w:bCs w:val="0"/>
              </w:rPr>
            </w:pPr>
            <w:r w:rsidRPr="0097436F">
              <w:rPr>
                <w:b/>
                <w:bCs w:val="0"/>
              </w:rPr>
              <w:t>2026</w:t>
            </w:r>
          </w:p>
        </w:tc>
        <w:tc>
          <w:tcPr>
            <w:tcW w:w="647" w:type="pct"/>
            <w:shd w:val="clear" w:color="auto" w:fill="auto"/>
            <w:vAlign w:val="center"/>
          </w:tcPr>
          <w:p w14:paraId="5A336EF1" w14:textId="5B573D53" w:rsidR="0097436F" w:rsidRPr="0097436F" w:rsidRDefault="0097436F" w:rsidP="00593DF6">
            <w:pPr>
              <w:pStyle w:val="TableText0"/>
              <w:keepLines/>
              <w:jc w:val="center"/>
              <w:rPr>
                <w:b/>
                <w:bCs w:val="0"/>
              </w:rPr>
            </w:pPr>
            <w:r w:rsidRPr="0097436F">
              <w:rPr>
                <w:b/>
                <w:bCs w:val="0"/>
              </w:rPr>
              <w:t>2027</w:t>
            </w:r>
          </w:p>
        </w:tc>
        <w:tc>
          <w:tcPr>
            <w:tcW w:w="647" w:type="pct"/>
            <w:vAlign w:val="center"/>
          </w:tcPr>
          <w:p w14:paraId="0233FE1A" w14:textId="5904F1D2" w:rsidR="0097436F" w:rsidRPr="0097436F" w:rsidRDefault="0097436F" w:rsidP="00593DF6">
            <w:pPr>
              <w:pStyle w:val="TableText0"/>
              <w:keepLines/>
              <w:jc w:val="center"/>
              <w:rPr>
                <w:b/>
                <w:bCs w:val="0"/>
              </w:rPr>
            </w:pPr>
            <w:r w:rsidRPr="0097436F">
              <w:rPr>
                <w:b/>
                <w:bCs w:val="0"/>
              </w:rPr>
              <w:t>2028</w:t>
            </w:r>
          </w:p>
        </w:tc>
      </w:tr>
      <w:tr w:rsidR="000D712F" w:rsidRPr="00197F03" w14:paraId="2B8CF2C6" w14:textId="77777777" w:rsidTr="00203DF0">
        <w:trPr>
          <w:cantSplit/>
          <w:jc w:val="center"/>
        </w:trPr>
        <w:tc>
          <w:tcPr>
            <w:tcW w:w="5000" w:type="pct"/>
            <w:gridSpan w:val="7"/>
            <w:shd w:val="clear" w:color="auto" w:fill="auto"/>
            <w:vAlign w:val="center"/>
          </w:tcPr>
          <w:p w14:paraId="07CF0203" w14:textId="77777777" w:rsidR="000D712F" w:rsidRPr="00167C39" w:rsidRDefault="000D712F" w:rsidP="00593DF6">
            <w:pPr>
              <w:pStyle w:val="TableText0"/>
              <w:keepLines/>
              <w:rPr>
                <w:b/>
                <w:color w:val="000000"/>
              </w:rPr>
            </w:pPr>
            <w:r w:rsidRPr="00167C39">
              <w:rPr>
                <w:b/>
                <w:color w:val="000000"/>
              </w:rPr>
              <w:t>Estimated extent of use</w:t>
            </w:r>
          </w:p>
        </w:tc>
      </w:tr>
      <w:tr w:rsidR="004B403D" w:rsidRPr="008D35F6" w14:paraId="101E3238" w14:textId="77777777" w:rsidTr="00203DF0">
        <w:trPr>
          <w:cantSplit/>
          <w:jc w:val="center"/>
        </w:trPr>
        <w:tc>
          <w:tcPr>
            <w:tcW w:w="1118" w:type="pct"/>
            <w:shd w:val="clear" w:color="auto" w:fill="auto"/>
            <w:vAlign w:val="center"/>
          </w:tcPr>
          <w:p w14:paraId="13B0EFD8" w14:textId="77777777" w:rsidR="004B403D" w:rsidRPr="008D35F6" w:rsidRDefault="004B403D" w:rsidP="00593DF6">
            <w:pPr>
              <w:pStyle w:val="TableText0"/>
              <w:keepLines/>
              <w:rPr>
                <w:vertAlign w:val="superscript"/>
              </w:rPr>
            </w:pPr>
            <w:r w:rsidRPr="008D35F6">
              <w:t>Number of scripts dispensed</w:t>
            </w:r>
            <w:r w:rsidRPr="008D35F6">
              <w:rPr>
                <w:vertAlign w:val="superscript"/>
              </w:rPr>
              <w:t>a</w:t>
            </w:r>
          </w:p>
        </w:tc>
        <w:tc>
          <w:tcPr>
            <w:tcW w:w="647" w:type="pct"/>
            <w:shd w:val="clear" w:color="auto" w:fill="auto"/>
            <w:vAlign w:val="center"/>
          </w:tcPr>
          <w:p w14:paraId="05EDFB6D" w14:textId="2AC2A22F" w:rsidR="004B403D" w:rsidRPr="008D35F6" w:rsidRDefault="00C20896" w:rsidP="005C1656">
            <w:pPr>
              <w:pStyle w:val="TableText0"/>
              <w:keepLines/>
              <w:jc w:val="center"/>
              <w:rPr>
                <w:color w:val="000000"/>
              </w:rPr>
            </w:pPr>
            <w:r w:rsidRPr="006F6179">
              <w:rPr>
                <w:rFonts w:hint="eastAsia"/>
                <w:color w:val="000000"/>
                <w:w w:val="15"/>
                <w:shd w:val="solid" w:color="000000" w:fill="000000"/>
                <w:fitText w:val="28" w:id="-1171519744"/>
                <w14:textFill>
                  <w14:solidFill>
                    <w14:srgbClr w14:val="000000">
                      <w14:alpha w14:val="100000"/>
                    </w14:srgbClr>
                  </w14:solidFill>
                </w14:textFill>
              </w:rPr>
              <w:t xml:space="preserve">　</w:t>
            </w:r>
            <w:r w:rsidRPr="006F6179">
              <w:rPr>
                <w:color w:val="000000"/>
                <w:w w:val="15"/>
                <w:shd w:val="solid" w:color="000000" w:fill="000000"/>
                <w:fitText w:val="28" w:id="-1171519744"/>
                <w14:textFill>
                  <w14:solidFill>
                    <w14:srgbClr w14:val="000000">
                      <w14:alpha w14:val="100000"/>
                    </w14:srgbClr>
                  </w14:solidFill>
                </w14:textFill>
              </w:rPr>
              <w:t>|</w:t>
            </w:r>
            <w:r w:rsidRPr="006F6179">
              <w:rPr>
                <w:rFonts w:hint="eastAsia"/>
                <w:color w:val="000000"/>
                <w:spacing w:val="-37"/>
                <w:w w:val="15"/>
                <w:shd w:val="solid" w:color="000000" w:fill="000000"/>
                <w:fitText w:val="28" w:id="-1171519744"/>
                <w14:textFill>
                  <w14:solidFill>
                    <w14:srgbClr w14:val="000000">
                      <w14:alpha w14:val="100000"/>
                    </w14:srgbClr>
                  </w14:solidFill>
                </w14:textFill>
              </w:rPr>
              <w:t xml:space="preserve">　</w:t>
            </w:r>
            <w:r w:rsidR="00B74ACB" w:rsidRPr="006F0672">
              <w:rPr>
                <w:vertAlign w:val="superscript"/>
              </w:rPr>
              <w:t>1</w:t>
            </w:r>
          </w:p>
        </w:tc>
        <w:tc>
          <w:tcPr>
            <w:tcW w:w="647" w:type="pct"/>
            <w:shd w:val="clear" w:color="auto" w:fill="auto"/>
            <w:vAlign w:val="center"/>
          </w:tcPr>
          <w:p w14:paraId="15D342CB" w14:textId="521923FA" w:rsidR="004B403D" w:rsidRPr="008D35F6" w:rsidRDefault="00C20896" w:rsidP="005C1656">
            <w:pPr>
              <w:pStyle w:val="TableText0"/>
              <w:keepLines/>
              <w:jc w:val="center"/>
              <w:rPr>
                <w:color w:val="000000"/>
              </w:rPr>
            </w:pPr>
            <w:r w:rsidRPr="006F6179">
              <w:rPr>
                <w:rFonts w:hint="eastAsia"/>
                <w:color w:val="000000"/>
                <w:w w:val="15"/>
                <w:shd w:val="solid" w:color="000000" w:fill="000000"/>
                <w:fitText w:val="28" w:id="-1171519743"/>
                <w14:textFill>
                  <w14:solidFill>
                    <w14:srgbClr w14:val="000000">
                      <w14:alpha w14:val="100000"/>
                    </w14:srgbClr>
                  </w14:solidFill>
                </w14:textFill>
              </w:rPr>
              <w:t xml:space="preserve">　</w:t>
            </w:r>
            <w:r w:rsidRPr="006F6179">
              <w:rPr>
                <w:color w:val="000000"/>
                <w:w w:val="15"/>
                <w:shd w:val="solid" w:color="000000" w:fill="000000"/>
                <w:fitText w:val="28" w:id="-1171519743"/>
                <w14:textFill>
                  <w14:solidFill>
                    <w14:srgbClr w14:val="000000">
                      <w14:alpha w14:val="100000"/>
                    </w14:srgbClr>
                  </w14:solidFill>
                </w14:textFill>
              </w:rPr>
              <w:t>|</w:t>
            </w:r>
            <w:r w:rsidRPr="006F6179">
              <w:rPr>
                <w:rFonts w:hint="eastAsia"/>
                <w:color w:val="000000"/>
                <w:spacing w:val="-37"/>
                <w:w w:val="15"/>
                <w:shd w:val="solid" w:color="000000" w:fill="000000"/>
                <w:fitText w:val="28" w:id="-1171519743"/>
                <w14:textFill>
                  <w14:solidFill>
                    <w14:srgbClr w14:val="000000">
                      <w14:alpha w14:val="100000"/>
                    </w14:srgbClr>
                  </w14:solidFill>
                </w14:textFill>
              </w:rPr>
              <w:t xml:space="preserve">　</w:t>
            </w:r>
            <w:r w:rsidR="00B74ACB" w:rsidRPr="006F0672">
              <w:rPr>
                <w:vertAlign w:val="superscript"/>
              </w:rPr>
              <w:t>1</w:t>
            </w:r>
          </w:p>
        </w:tc>
        <w:tc>
          <w:tcPr>
            <w:tcW w:w="647" w:type="pct"/>
            <w:shd w:val="clear" w:color="auto" w:fill="auto"/>
            <w:vAlign w:val="center"/>
          </w:tcPr>
          <w:p w14:paraId="64B61014" w14:textId="77A96888" w:rsidR="004B403D" w:rsidRPr="008D35F6" w:rsidRDefault="00C20896" w:rsidP="005C1656">
            <w:pPr>
              <w:pStyle w:val="TableText0"/>
              <w:keepLines/>
              <w:jc w:val="center"/>
              <w:rPr>
                <w:color w:val="000000"/>
              </w:rPr>
            </w:pPr>
            <w:r w:rsidRPr="006F6179">
              <w:rPr>
                <w:rFonts w:hint="eastAsia"/>
                <w:color w:val="000000"/>
                <w:w w:val="15"/>
                <w:shd w:val="solid" w:color="000000" w:fill="000000"/>
                <w:fitText w:val="27" w:id="-1171519742"/>
                <w14:textFill>
                  <w14:solidFill>
                    <w14:srgbClr w14:val="000000">
                      <w14:alpha w14:val="100000"/>
                    </w14:srgbClr>
                  </w14:solidFill>
                </w14:textFill>
              </w:rPr>
              <w:t xml:space="preserve">　</w:t>
            </w:r>
            <w:r w:rsidRPr="006F6179">
              <w:rPr>
                <w:color w:val="000000"/>
                <w:w w:val="15"/>
                <w:shd w:val="solid" w:color="000000" w:fill="000000"/>
                <w:fitText w:val="27" w:id="-1171519742"/>
                <w14:textFill>
                  <w14:solidFill>
                    <w14:srgbClr w14:val="000000">
                      <w14:alpha w14:val="100000"/>
                    </w14:srgbClr>
                  </w14:solidFill>
                </w14:textFill>
              </w:rPr>
              <w:t>|</w:t>
            </w:r>
            <w:r w:rsidRPr="006F6179">
              <w:rPr>
                <w:rFonts w:hint="eastAsia"/>
                <w:color w:val="000000"/>
                <w:spacing w:val="-38"/>
                <w:w w:val="15"/>
                <w:shd w:val="solid" w:color="000000" w:fill="000000"/>
                <w:fitText w:val="27" w:id="-1171519742"/>
                <w14:textFill>
                  <w14:solidFill>
                    <w14:srgbClr w14:val="000000">
                      <w14:alpha w14:val="100000"/>
                    </w14:srgbClr>
                  </w14:solidFill>
                </w14:textFill>
              </w:rPr>
              <w:t xml:space="preserve">　</w:t>
            </w:r>
            <w:r w:rsidR="00B74ACB" w:rsidRPr="006F0672">
              <w:rPr>
                <w:vertAlign w:val="superscript"/>
              </w:rPr>
              <w:t>1</w:t>
            </w:r>
          </w:p>
        </w:tc>
        <w:tc>
          <w:tcPr>
            <w:tcW w:w="647" w:type="pct"/>
            <w:shd w:val="clear" w:color="auto" w:fill="auto"/>
            <w:vAlign w:val="center"/>
          </w:tcPr>
          <w:p w14:paraId="3793C128" w14:textId="5FA87DD0" w:rsidR="004B403D" w:rsidRPr="008D35F6" w:rsidRDefault="00C20896" w:rsidP="005C1656">
            <w:pPr>
              <w:pStyle w:val="TableText0"/>
              <w:keepLines/>
              <w:jc w:val="center"/>
              <w:rPr>
                <w:color w:val="000000"/>
              </w:rPr>
            </w:pPr>
            <w:r w:rsidRPr="006F6179">
              <w:rPr>
                <w:rFonts w:hint="eastAsia"/>
                <w:color w:val="000000"/>
                <w:w w:val="15"/>
                <w:shd w:val="solid" w:color="000000" w:fill="000000"/>
                <w:fitText w:val="27" w:id="-1171519741"/>
                <w14:textFill>
                  <w14:solidFill>
                    <w14:srgbClr w14:val="000000">
                      <w14:alpha w14:val="100000"/>
                    </w14:srgbClr>
                  </w14:solidFill>
                </w14:textFill>
              </w:rPr>
              <w:t xml:space="preserve">　</w:t>
            </w:r>
            <w:r w:rsidRPr="006F6179">
              <w:rPr>
                <w:color w:val="000000"/>
                <w:w w:val="15"/>
                <w:shd w:val="solid" w:color="000000" w:fill="000000"/>
                <w:fitText w:val="27" w:id="-1171519741"/>
                <w14:textFill>
                  <w14:solidFill>
                    <w14:srgbClr w14:val="000000">
                      <w14:alpha w14:val="100000"/>
                    </w14:srgbClr>
                  </w14:solidFill>
                </w14:textFill>
              </w:rPr>
              <w:t>|</w:t>
            </w:r>
            <w:r w:rsidRPr="006F6179">
              <w:rPr>
                <w:rFonts w:hint="eastAsia"/>
                <w:color w:val="000000"/>
                <w:spacing w:val="-38"/>
                <w:w w:val="15"/>
                <w:shd w:val="solid" w:color="000000" w:fill="000000"/>
                <w:fitText w:val="27" w:id="-1171519741"/>
                <w14:textFill>
                  <w14:solidFill>
                    <w14:srgbClr w14:val="000000">
                      <w14:alpha w14:val="100000"/>
                    </w14:srgbClr>
                  </w14:solidFill>
                </w14:textFill>
              </w:rPr>
              <w:t xml:space="preserve">　</w:t>
            </w:r>
            <w:r w:rsidR="00B74ACB" w:rsidRPr="006F0672">
              <w:rPr>
                <w:vertAlign w:val="superscript"/>
              </w:rPr>
              <w:t>1</w:t>
            </w:r>
          </w:p>
        </w:tc>
        <w:tc>
          <w:tcPr>
            <w:tcW w:w="647" w:type="pct"/>
            <w:shd w:val="clear" w:color="auto" w:fill="auto"/>
            <w:vAlign w:val="center"/>
          </w:tcPr>
          <w:p w14:paraId="3A65F8F8" w14:textId="241180C9" w:rsidR="004B403D" w:rsidRPr="008D35F6" w:rsidRDefault="00C20896" w:rsidP="005C1656">
            <w:pPr>
              <w:pStyle w:val="TableText0"/>
              <w:keepLines/>
              <w:jc w:val="center"/>
              <w:rPr>
                <w:color w:val="000000"/>
              </w:rPr>
            </w:pPr>
            <w:r w:rsidRPr="006F6179">
              <w:rPr>
                <w:rFonts w:hint="eastAsia"/>
                <w:color w:val="000000"/>
                <w:w w:val="15"/>
                <w:shd w:val="solid" w:color="000000" w:fill="000000"/>
                <w:fitText w:val="28" w:id="-1171519740"/>
                <w14:textFill>
                  <w14:solidFill>
                    <w14:srgbClr w14:val="000000">
                      <w14:alpha w14:val="100000"/>
                    </w14:srgbClr>
                  </w14:solidFill>
                </w14:textFill>
              </w:rPr>
              <w:t xml:space="preserve">　</w:t>
            </w:r>
            <w:r w:rsidRPr="006F6179">
              <w:rPr>
                <w:color w:val="000000"/>
                <w:w w:val="15"/>
                <w:shd w:val="solid" w:color="000000" w:fill="000000"/>
                <w:fitText w:val="28" w:id="-1171519740"/>
                <w14:textFill>
                  <w14:solidFill>
                    <w14:srgbClr w14:val="000000">
                      <w14:alpha w14:val="100000"/>
                    </w14:srgbClr>
                  </w14:solidFill>
                </w14:textFill>
              </w:rPr>
              <w:t>|</w:t>
            </w:r>
            <w:r w:rsidRPr="006F6179">
              <w:rPr>
                <w:rFonts w:hint="eastAsia"/>
                <w:color w:val="000000"/>
                <w:spacing w:val="-37"/>
                <w:w w:val="15"/>
                <w:shd w:val="solid" w:color="000000" w:fill="000000"/>
                <w:fitText w:val="28" w:id="-1171519740"/>
                <w14:textFill>
                  <w14:solidFill>
                    <w14:srgbClr w14:val="000000">
                      <w14:alpha w14:val="100000"/>
                    </w14:srgbClr>
                  </w14:solidFill>
                </w14:textFill>
              </w:rPr>
              <w:t xml:space="preserve">　</w:t>
            </w:r>
            <w:r w:rsidR="00B74ACB" w:rsidRPr="006F0672">
              <w:rPr>
                <w:vertAlign w:val="superscript"/>
              </w:rPr>
              <w:t>2</w:t>
            </w:r>
          </w:p>
        </w:tc>
        <w:tc>
          <w:tcPr>
            <w:tcW w:w="647" w:type="pct"/>
            <w:vAlign w:val="center"/>
          </w:tcPr>
          <w:p w14:paraId="750D08F9" w14:textId="675B12E0" w:rsidR="004B403D" w:rsidRPr="008D35F6" w:rsidRDefault="00C20896" w:rsidP="005C1656">
            <w:pPr>
              <w:pStyle w:val="TableText0"/>
              <w:keepLines/>
              <w:jc w:val="center"/>
              <w:rPr>
                <w:color w:val="000000"/>
              </w:rPr>
            </w:pPr>
            <w:r w:rsidRPr="00C20896">
              <w:rPr>
                <w:rFonts w:hint="eastAsia"/>
                <w:color w:val="000000"/>
                <w:w w:val="15"/>
                <w:shd w:val="solid" w:color="000000" w:fill="000000"/>
                <w:fitText w:val="27" w:id="-1171519739"/>
                <w14:textFill>
                  <w14:solidFill>
                    <w14:srgbClr w14:val="000000">
                      <w14:alpha w14:val="100000"/>
                    </w14:srgbClr>
                  </w14:solidFill>
                </w14:textFill>
              </w:rPr>
              <w:t xml:space="preserve">　</w:t>
            </w:r>
            <w:r w:rsidRPr="00C20896">
              <w:rPr>
                <w:color w:val="000000"/>
                <w:w w:val="15"/>
                <w:shd w:val="solid" w:color="000000" w:fill="000000"/>
                <w:fitText w:val="27" w:id="-1171519739"/>
                <w14:textFill>
                  <w14:solidFill>
                    <w14:srgbClr w14:val="000000">
                      <w14:alpha w14:val="100000"/>
                    </w14:srgbClr>
                  </w14:solidFill>
                </w14:textFill>
              </w:rPr>
              <w:t>|</w:t>
            </w:r>
            <w:r w:rsidRPr="00C20896">
              <w:rPr>
                <w:rFonts w:hint="eastAsia"/>
                <w:color w:val="000000"/>
                <w:spacing w:val="-38"/>
                <w:w w:val="15"/>
                <w:shd w:val="solid" w:color="000000" w:fill="000000"/>
                <w:fitText w:val="27" w:id="-1171519739"/>
                <w14:textFill>
                  <w14:solidFill>
                    <w14:srgbClr w14:val="000000">
                      <w14:alpha w14:val="100000"/>
                    </w14:srgbClr>
                  </w14:solidFill>
                </w14:textFill>
              </w:rPr>
              <w:t xml:space="preserve">　</w:t>
            </w:r>
            <w:r w:rsidR="00B74ACB" w:rsidRPr="006F0672">
              <w:rPr>
                <w:vertAlign w:val="superscript"/>
              </w:rPr>
              <w:t>2</w:t>
            </w:r>
          </w:p>
        </w:tc>
      </w:tr>
      <w:tr w:rsidR="000D712F" w:rsidRPr="00197F03" w14:paraId="54D61BD7" w14:textId="77777777" w:rsidTr="00203DF0">
        <w:trPr>
          <w:cantSplit/>
          <w:jc w:val="center"/>
        </w:trPr>
        <w:tc>
          <w:tcPr>
            <w:tcW w:w="5000" w:type="pct"/>
            <w:gridSpan w:val="7"/>
            <w:shd w:val="clear" w:color="auto" w:fill="auto"/>
            <w:vAlign w:val="center"/>
          </w:tcPr>
          <w:p w14:paraId="71794843" w14:textId="339A9C0F" w:rsidR="000D712F" w:rsidRPr="00167C39" w:rsidRDefault="000D712F" w:rsidP="00593DF6">
            <w:pPr>
              <w:pStyle w:val="TableText0"/>
              <w:keepLines/>
              <w:rPr>
                <w:b/>
                <w:color w:val="000000"/>
              </w:rPr>
            </w:pPr>
            <w:r>
              <w:rPr>
                <w:b/>
                <w:color w:val="000000"/>
              </w:rPr>
              <w:t xml:space="preserve">Estimated financial implications of </w:t>
            </w:r>
            <w:r w:rsidR="0097436F" w:rsidRPr="0097436F">
              <w:rPr>
                <w:b/>
                <w:color w:val="000000"/>
              </w:rPr>
              <w:t>Exarane and Exarane Forte</w:t>
            </w:r>
          </w:p>
        </w:tc>
      </w:tr>
      <w:tr w:rsidR="0097436F" w:rsidRPr="00197F03" w14:paraId="1B65B079" w14:textId="77777777" w:rsidTr="00203DF0">
        <w:trPr>
          <w:cantSplit/>
          <w:jc w:val="center"/>
        </w:trPr>
        <w:tc>
          <w:tcPr>
            <w:tcW w:w="1118" w:type="pct"/>
            <w:shd w:val="clear" w:color="auto" w:fill="auto"/>
            <w:vAlign w:val="center"/>
          </w:tcPr>
          <w:p w14:paraId="34F6D75B" w14:textId="0A785C9E" w:rsidR="0097436F" w:rsidRPr="006F0672" w:rsidRDefault="0097436F" w:rsidP="00593DF6">
            <w:pPr>
              <w:pStyle w:val="TableText0"/>
              <w:keepLines/>
            </w:pPr>
            <w:r>
              <w:t>Cost to PBS/RPBS less co-payment</w:t>
            </w:r>
            <w:r>
              <w:rPr>
                <w:vertAlign w:val="superscript"/>
              </w:rPr>
              <w:t>b</w:t>
            </w:r>
            <w:r w:rsidR="006F0672">
              <w:rPr>
                <w:vertAlign w:val="superscript"/>
              </w:rPr>
              <w:t xml:space="preserve"> </w:t>
            </w:r>
            <w:r w:rsidR="006F0672">
              <w:t>($)</w:t>
            </w:r>
          </w:p>
        </w:tc>
        <w:tc>
          <w:tcPr>
            <w:tcW w:w="647" w:type="pct"/>
            <w:shd w:val="clear" w:color="auto" w:fill="auto"/>
            <w:vAlign w:val="center"/>
          </w:tcPr>
          <w:p w14:paraId="7CB08623" w14:textId="5FC19214" w:rsidR="0097436F" w:rsidRPr="006F0672" w:rsidRDefault="00C20896" w:rsidP="00593DF6">
            <w:pPr>
              <w:pStyle w:val="TableText0"/>
              <w:keepLines/>
              <w:jc w:val="center"/>
              <w:rPr>
                <w:color w:val="000000"/>
                <w:highlight w:val="lightGray"/>
              </w:rPr>
            </w:pPr>
            <w:r w:rsidRPr="00C20896">
              <w:rPr>
                <w:rFonts w:hint="eastAsia"/>
                <w:color w:val="000000"/>
                <w:w w:val="15"/>
                <w:shd w:val="solid" w:color="000000" w:fill="000000"/>
                <w:fitText w:val="28" w:id="-1171519738"/>
                <w14:textFill>
                  <w14:solidFill>
                    <w14:srgbClr w14:val="000000">
                      <w14:alpha w14:val="100000"/>
                    </w14:srgbClr>
                  </w14:solidFill>
                </w14:textFill>
              </w:rPr>
              <w:t xml:space="preserve">　</w:t>
            </w:r>
            <w:r w:rsidRPr="00C20896">
              <w:rPr>
                <w:color w:val="000000"/>
                <w:w w:val="15"/>
                <w:shd w:val="solid" w:color="000000" w:fill="000000"/>
                <w:fitText w:val="28" w:id="-1171519738"/>
                <w14:textFill>
                  <w14:solidFill>
                    <w14:srgbClr w14:val="000000">
                      <w14:alpha w14:val="100000"/>
                    </w14:srgbClr>
                  </w14:solidFill>
                </w14:textFill>
              </w:rPr>
              <w:t>|</w:t>
            </w:r>
            <w:r w:rsidRPr="00C20896">
              <w:rPr>
                <w:rFonts w:hint="eastAsia"/>
                <w:color w:val="000000"/>
                <w:spacing w:val="-37"/>
                <w:w w:val="15"/>
                <w:shd w:val="solid" w:color="000000" w:fill="000000"/>
                <w:fitText w:val="28" w:id="-1171519738"/>
                <w14:textFill>
                  <w14:solidFill>
                    <w14:srgbClr w14:val="000000">
                      <w14:alpha w14:val="100000"/>
                    </w14:srgbClr>
                  </w14:solidFill>
                </w14:textFill>
              </w:rPr>
              <w:t xml:space="preserve">　</w:t>
            </w:r>
            <w:r w:rsidR="00156198" w:rsidRPr="006F0672">
              <w:rPr>
                <w:vertAlign w:val="superscript"/>
              </w:rPr>
              <w:t>3</w:t>
            </w:r>
          </w:p>
        </w:tc>
        <w:tc>
          <w:tcPr>
            <w:tcW w:w="647" w:type="pct"/>
            <w:shd w:val="clear" w:color="auto" w:fill="auto"/>
            <w:vAlign w:val="center"/>
          </w:tcPr>
          <w:p w14:paraId="1B16E2E1" w14:textId="1E2223A2" w:rsidR="0097436F" w:rsidRPr="006F0672" w:rsidRDefault="00C20896" w:rsidP="00593DF6">
            <w:pPr>
              <w:pStyle w:val="TableText0"/>
              <w:keepLines/>
              <w:jc w:val="center"/>
              <w:rPr>
                <w:color w:val="000000"/>
                <w:highlight w:val="lightGray"/>
              </w:rPr>
            </w:pPr>
            <w:r w:rsidRPr="00C20896">
              <w:rPr>
                <w:rFonts w:hint="eastAsia"/>
                <w:color w:val="000000"/>
                <w:w w:val="15"/>
                <w:shd w:val="solid" w:color="000000" w:fill="000000"/>
                <w:fitText w:val="28" w:id="-1171519737"/>
                <w14:textFill>
                  <w14:solidFill>
                    <w14:srgbClr w14:val="000000">
                      <w14:alpha w14:val="100000"/>
                    </w14:srgbClr>
                  </w14:solidFill>
                </w14:textFill>
              </w:rPr>
              <w:t xml:space="preserve">　</w:t>
            </w:r>
            <w:r w:rsidRPr="00C20896">
              <w:rPr>
                <w:color w:val="000000"/>
                <w:w w:val="15"/>
                <w:shd w:val="solid" w:color="000000" w:fill="000000"/>
                <w:fitText w:val="28" w:id="-1171519737"/>
                <w14:textFill>
                  <w14:solidFill>
                    <w14:srgbClr w14:val="000000">
                      <w14:alpha w14:val="100000"/>
                    </w14:srgbClr>
                  </w14:solidFill>
                </w14:textFill>
              </w:rPr>
              <w:t>|</w:t>
            </w:r>
            <w:r w:rsidRPr="00C20896">
              <w:rPr>
                <w:rFonts w:hint="eastAsia"/>
                <w:color w:val="000000"/>
                <w:spacing w:val="-37"/>
                <w:w w:val="15"/>
                <w:shd w:val="solid" w:color="000000" w:fill="000000"/>
                <w:fitText w:val="28" w:id="-1171519737"/>
                <w14:textFill>
                  <w14:solidFill>
                    <w14:srgbClr w14:val="000000">
                      <w14:alpha w14:val="100000"/>
                    </w14:srgbClr>
                  </w14:solidFill>
                </w14:textFill>
              </w:rPr>
              <w:t xml:space="preserve">　</w:t>
            </w:r>
            <w:r w:rsidR="00156198" w:rsidRPr="006F0672">
              <w:rPr>
                <w:vertAlign w:val="superscript"/>
              </w:rPr>
              <w:t>3</w:t>
            </w:r>
          </w:p>
        </w:tc>
        <w:tc>
          <w:tcPr>
            <w:tcW w:w="647" w:type="pct"/>
            <w:shd w:val="clear" w:color="auto" w:fill="auto"/>
            <w:vAlign w:val="center"/>
          </w:tcPr>
          <w:p w14:paraId="580A9672" w14:textId="1BE4A8FC" w:rsidR="0097436F" w:rsidRPr="006F0672" w:rsidRDefault="00C20896" w:rsidP="00593DF6">
            <w:pPr>
              <w:pStyle w:val="TableText0"/>
              <w:keepLines/>
              <w:jc w:val="center"/>
              <w:rPr>
                <w:color w:val="000000"/>
                <w:highlight w:val="lightGray"/>
              </w:rPr>
            </w:pPr>
            <w:r w:rsidRPr="00C20896">
              <w:rPr>
                <w:rFonts w:hint="eastAsia"/>
                <w:color w:val="000000"/>
                <w:w w:val="15"/>
                <w:shd w:val="solid" w:color="000000" w:fill="000000"/>
                <w:fitText w:val="27" w:id="-1171519736"/>
                <w14:textFill>
                  <w14:solidFill>
                    <w14:srgbClr w14:val="000000">
                      <w14:alpha w14:val="100000"/>
                    </w14:srgbClr>
                  </w14:solidFill>
                </w14:textFill>
              </w:rPr>
              <w:t xml:space="preserve">　</w:t>
            </w:r>
            <w:r w:rsidRPr="00C20896">
              <w:rPr>
                <w:color w:val="000000"/>
                <w:w w:val="15"/>
                <w:shd w:val="solid" w:color="000000" w:fill="000000"/>
                <w:fitText w:val="27" w:id="-1171519736"/>
                <w14:textFill>
                  <w14:solidFill>
                    <w14:srgbClr w14:val="000000">
                      <w14:alpha w14:val="100000"/>
                    </w14:srgbClr>
                  </w14:solidFill>
                </w14:textFill>
              </w:rPr>
              <w:t>|</w:t>
            </w:r>
            <w:r w:rsidRPr="00C20896">
              <w:rPr>
                <w:rFonts w:hint="eastAsia"/>
                <w:color w:val="000000"/>
                <w:spacing w:val="-38"/>
                <w:w w:val="15"/>
                <w:shd w:val="solid" w:color="000000" w:fill="000000"/>
                <w:fitText w:val="27" w:id="-1171519736"/>
                <w14:textFill>
                  <w14:solidFill>
                    <w14:srgbClr w14:val="000000">
                      <w14:alpha w14:val="100000"/>
                    </w14:srgbClr>
                  </w14:solidFill>
                </w14:textFill>
              </w:rPr>
              <w:t xml:space="preserve">　</w:t>
            </w:r>
            <w:r w:rsidR="00156198" w:rsidRPr="006F0672">
              <w:rPr>
                <w:vertAlign w:val="superscript"/>
              </w:rPr>
              <w:t>3</w:t>
            </w:r>
          </w:p>
        </w:tc>
        <w:tc>
          <w:tcPr>
            <w:tcW w:w="647" w:type="pct"/>
            <w:shd w:val="clear" w:color="auto" w:fill="auto"/>
            <w:vAlign w:val="center"/>
          </w:tcPr>
          <w:p w14:paraId="293A82E9" w14:textId="5CDFA2E7" w:rsidR="0097436F" w:rsidRPr="006F0672" w:rsidRDefault="00C20896" w:rsidP="00593DF6">
            <w:pPr>
              <w:pStyle w:val="TableText0"/>
              <w:keepLines/>
              <w:jc w:val="center"/>
              <w:rPr>
                <w:color w:val="000000"/>
                <w:highlight w:val="lightGray"/>
              </w:rPr>
            </w:pPr>
            <w:r w:rsidRPr="00C20896">
              <w:rPr>
                <w:rFonts w:hint="eastAsia"/>
                <w:color w:val="000000"/>
                <w:w w:val="15"/>
                <w:shd w:val="solid" w:color="000000" w:fill="000000"/>
                <w:fitText w:val="27" w:id="-1171519735"/>
                <w14:textFill>
                  <w14:solidFill>
                    <w14:srgbClr w14:val="000000">
                      <w14:alpha w14:val="100000"/>
                    </w14:srgbClr>
                  </w14:solidFill>
                </w14:textFill>
              </w:rPr>
              <w:t xml:space="preserve">　</w:t>
            </w:r>
            <w:r w:rsidRPr="00C20896">
              <w:rPr>
                <w:color w:val="000000"/>
                <w:w w:val="15"/>
                <w:shd w:val="solid" w:color="000000" w:fill="000000"/>
                <w:fitText w:val="27" w:id="-1171519735"/>
                <w14:textFill>
                  <w14:solidFill>
                    <w14:srgbClr w14:val="000000">
                      <w14:alpha w14:val="100000"/>
                    </w14:srgbClr>
                  </w14:solidFill>
                </w14:textFill>
              </w:rPr>
              <w:t>|</w:t>
            </w:r>
            <w:r w:rsidRPr="00C20896">
              <w:rPr>
                <w:rFonts w:hint="eastAsia"/>
                <w:color w:val="000000"/>
                <w:spacing w:val="-38"/>
                <w:w w:val="15"/>
                <w:shd w:val="solid" w:color="000000" w:fill="000000"/>
                <w:fitText w:val="27" w:id="-1171519735"/>
                <w14:textFill>
                  <w14:solidFill>
                    <w14:srgbClr w14:val="000000">
                      <w14:alpha w14:val="100000"/>
                    </w14:srgbClr>
                  </w14:solidFill>
                </w14:textFill>
              </w:rPr>
              <w:t xml:space="preserve">　</w:t>
            </w:r>
            <w:r w:rsidR="00156198" w:rsidRPr="006F0672">
              <w:rPr>
                <w:vertAlign w:val="superscript"/>
              </w:rPr>
              <w:t>3</w:t>
            </w:r>
          </w:p>
        </w:tc>
        <w:tc>
          <w:tcPr>
            <w:tcW w:w="647" w:type="pct"/>
            <w:shd w:val="clear" w:color="auto" w:fill="auto"/>
            <w:vAlign w:val="center"/>
          </w:tcPr>
          <w:p w14:paraId="44BCE2E9" w14:textId="5B96A53D" w:rsidR="0097436F" w:rsidRPr="006F0672" w:rsidRDefault="00C20896" w:rsidP="00593DF6">
            <w:pPr>
              <w:pStyle w:val="TableText0"/>
              <w:keepLines/>
              <w:jc w:val="center"/>
              <w:rPr>
                <w:color w:val="000000"/>
                <w:highlight w:val="lightGray"/>
              </w:rPr>
            </w:pPr>
            <w:r w:rsidRPr="00C20896">
              <w:rPr>
                <w:rFonts w:hint="eastAsia"/>
                <w:color w:val="000000"/>
                <w:w w:val="15"/>
                <w:shd w:val="solid" w:color="000000" w:fill="000000"/>
                <w:fitText w:val="28" w:id="-1171519734"/>
                <w14:textFill>
                  <w14:solidFill>
                    <w14:srgbClr w14:val="000000">
                      <w14:alpha w14:val="100000"/>
                    </w14:srgbClr>
                  </w14:solidFill>
                </w14:textFill>
              </w:rPr>
              <w:t xml:space="preserve">　</w:t>
            </w:r>
            <w:r w:rsidRPr="00C20896">
              <w:rPr>
                <w:color w:val="000000"/>
                <w:w w:val="15"/>
                <w:shd w:val="solid" w:color="000000" w:fill="000000"/>
                <w:fitText w:val="28" w:id="-1171519734"/>
                <w14:textFill>
                  <w14:solidFill>
                    <w14:srgbClr w14:val="000000">
                      <w14:alpha w14:val="100000"/>
                    </w14:srgbClr>
                  </w14:solidFill>
                </w14:textFill>
              </w:rPr>
              <w:t>|</w:t>
            </w:r>
            <w:r w:rsidRPr="00C20896">
              <w:rPr>
                <w:rFonts w:hint="eastAsia"/>
                <w:color w:val="000000"/>
                <w:spacing w:val="-37"/>
                <w:w w:val="15"/>
                <w:shd w:val="solid" w:color="000000" w:fill="000000"/>
                <w:fitText w:val="28" w:id="-1171519734"/>
                <w14:textFill>
                  <w14:solidFill>
                    <w14:srgbClr w14:val="000000">
                      <w14:alpha w14:val="100000"/>
                    </w14:srgbClr>
                  </w14:solidFill>
                </w14:textFill>
              </w:rPr>
              <w:t xml:space="preserve">　</w:t>
            </w:r>
            <w:r w:rsidR="00156198" w:rsidRPr="006F0672">
              <w:rPr>
                <w:vertAlign w:val="superscript"/>
              </w:rPr>
              <w:t>3</w:t>
            </w:r>
          </w:p>
        </w:tc>
        <w:tc>
          <w:tcPr>
            <w:tcW w:w="647" w:type="pct"/>
            <w:vAlign w:val="center"/>
          </w:tcPr>
          <w:p w14:paraId="1D59DC50" w14:textId="5C09559B" w:rsidR="0097436F" w:rsidRPr="006F0672" w:rsidRDefault="00C20896" w:rsidP="00593DF6">
            <w:pPr>
              <w:pStyle w:val="TableText0"/>
              <w:keepLines/>
              <w:jc w:val="center"/>
              <w:rPr>
                <w:color w:val="000000"/>
                <w:highlight w:val="lightGray"/>
              </w:rPr>
            </w:pPr>
            <w:r w:rsidRPr="00C20896">
              <w:rPr>
                <w:rFonts w:hint="eastAsia"/>
                <w:color w:val="000000"/>
                <w:w w:val="15"/>
                <w:shd w:val="solid" w:color="000000" w:fill="000000"/>
                <w:fitText w:val="27" w:id="-1171519733"/>
                <w14:textFill>
                  <w14:solidFill>
                    <w14:srgbClr w14:val="000000">
                      <w14:alpha w14:val="100000"/>
                    </w14:srgbClr>
                  </w14:solidFill>
                </w14:textFill>
              </w:rPr>
              <w:t xml:space="preserve">　</w:t>
            </w:r>
            <w:r w:rsidRPr="00C20896">
              <w:rPr>
                <w:color w:val="000000"/>
                <w:w w:val="15"/>
                <w:shd w:val="solid" w:color="000000" w:fill="000000"/>
                <w:fitText w:val="27" w:id="-1171519733"/>
                <w14:textFill>
                  <w14:solidFill>
                    <w14:srgbClr w14:val="000000">
                      <w14:alpha w14:val="100000"/>
                    </w14:srgbClr>
                  </w14:solidFill>
                </w14:textFill>
              </w:rPr>
              <w:t>|</w:t>
            </w:r>
            <w:r w:rsidRPr="00C20896">
              <w:rPr>
                <w:rFonts w:hint="eastAsia"/>
                <w:color w:val="000000"/>
                <w:spacing w:val="-38"/>
                <w:w w:val="15"/>
                <w:shd w:val="solid" w:color="000000" w:fill="000000"/>
                <w:fitText w:val="27" w:id="-1171519733"/>
                <w14:textFill>
                  <w14:solidFill>
                    <w14:srgbClr w14:val="000000">
                      <w14:alpha w14:val="100000"/>
                    </w14:srgbClr>
                  </w14:solidFill>
                </w14:textFill>
              </w:rPr>
              <w:t xml:space="preserve">　</w:t>
            </w:r>
            <w:r w:rsidR="00156198" w:rsidRPr="006F0672">
              <w:rPr>
                <w:vertAlign w:val="superscript"/>
              </w:rPr>
              <w:t>3</w:t>
            </w:r>
          </w:p>
        </w:tc>
      </w:tr>
      <w:tr w:rsidR="000D712F" w:rsidRPr="00197F03" w14:paraId="6F4E5E24" w14:textId="77777777" w:rsidTr="00203DF0">
        <w:trPr>
          <w:cantSplit/>
          <w:jc w:val="center"/>
        </w:trPr>
        <w:tc>
          <w:tcPr>
            <w:tcW w:w="5000" w:type="pct"/>
            <w:gridSpan w:val="7"/>
            <w:shd w:val="clear" w:color="auto" w:fill="auto"/>
            <w:vAlign w:val="center"/>
          </w:tcPr>
          <w:p w14:paraId="272FC968" w14:textId="1B8AC142" w:rsidR="000D712F" w:rsidRPr="00167C39" w:rsidRDefault="000D712F" w:rsidP="00593DF6">
            <w:pPr>
              <w:pStyle w:val="TableText0"/>
              <w:keepLines/>
              <w:rPr>
                <w:b/>
                <w:color w:val="000000"/>
              </w:rPr>
            </w:pPr>
            <w:bookmarkStart w:id="20" w:name="_Hlk88815214"/>
            <w:r>
              <w:rPr>
                <w:b/>
                <w:color w:val="000000"/>
              </w:rPr>
              <w:t>Estimated financial implications of</w:t>
            </w:r>
            <w:r w:rsidR="0097436F">
              <w:rPr>
                <w:b/>
                <w:color w:val="000000"/>
              </w:rPr>
              <w:t xml:space="preserve"> Clexane Safety-Lock</w:t>
            </w:r>
          </w:p>
        </w:tc>
      </w:tr>
      <w:tr w:rsidR="0097436F" w:rsidRPr="00197F03" w14:paraId="565B7961" w14:textId="77777777" w:rsidTr="00203DF0">
        <w:trPr>
          <w:cantSplit/>
          <w:jc w:val="center"/>
        </w:trPr>
        <w:tc>
          <w:tcPr>
            <w:tcW w:w="1118" w:type="pct"/>
            <w:shd w:val="clear" w:color="auto" w:fill="auto"/>
            <w:vAlign w:val="center"/>
          </w:tcPr>
          <w:p w14:paraId="2C7E703C" w14:textId="2973D178" w:rsidR="0097436F" w:rsidRPr="0097436F" w:rsidRDefault="0097436F" w:rsidP="00593DF6">
            <w:pPr>
              <w:pStyle w:val="TableText0"/>
              <w:keepLines/>
              <w:rPr>
                <w:vertAlign w:val="superscript"/>
              </w:rPr>
            </w:pPr>
            <w:r>
              <w:t>Cost to PBS/RPBS less co-payment</w:t>
            </w:r>
            <w:r>
              <w:rPr>
                <w:vertAlign w:val="superscript"/>
              </w:rPr>
              <w:t>b</w:t>
            </w:r>
          </w:p>
        </w:tc>
        <w:tc>
          <w:tcPr>
            <w:tcW w:w="647" w:type="pct"/>
            <w:shd w:val="clear" w:color="auto" w:fill="auto"/>
            <w:vAlign w:val="center"/>
          </w:tcPr>
          <w:p w14:paraId="09A469AB" w14:textId="1FDC10E6" w:rsidR="0097436F" w:rsidRPr="006F0672" w:rsidRDefault="00C20896" w:rsidP="00593DF6">
            <w:pPr>
              <w:pStyle w:val="TableText0"/>
              <w:keepLines/>
              <w:jc w:val="center"/>
              <w:rPr>
                <w:color w:val="000000"/>
                <w:highlight w:val="lightGray"/>
              </w:rPr>
            </w:pPr>
            <w:r w:rsidRPr="00C20896">
              <w:rPr>
                <w:rFonts w:hint="eastAsia"/>
                <w:color w:val="000000"/>
                <w:w w:val="15"/>
                <w:shd w:val="solid" w:color="000000" w:fill="000000"/>
                <w:fitText w:val="28" w:id="-1171519732"/>
                <w14:textFill>
                  <w14:solidFill>
                    <w14:srgbClr w14:val="000000">
                      <w14:alpha w14:val="100000"/>
                    </w14:srgbClr>
                  </w14:solidFill>
                </w14:textFill>
              </w:rPr>
              <w:t xml:space="preserve">　</w:t>
            </w:r>
            <w:r w:rsidRPr="00C20896">
              <w:rPr>
                <w:color w:val="000000"/>
                <w:w w:val="15"/>
                <w:shd w:val="solid" w:color="000000" w:fill="000000"/>
                <w:fitText w:val="28" w:id="-1171519732"/>
                <w14:textFill>
                  <w14:solidFill>
                    <w14:srgbClr w14:val="000000">
                      <w14:alpha w14:val="100000"/>
                    </w14:srgbClr>
                  </w14:solidFill>
                </w14:textFill>
              </w:rPr>
              <w:t>|</w:t>
            </w:r>
            <w:r w:rsidRPr="00C20896">
              <w:rPr>
                <w:rFonts w:hint="eastAsia"/>
                <w:color w:val="000000"/>
                <w:spacing w:val="-37"/>
                <w:w w:val="15"/>
                <w:shd w:val="solid" w:color="000000" w:fill="000000"/>
                <w:fitText w:val="28" w:id="-1171519732"/>
                <w14:textFill>
                  <w14:solidFill>
                    <w14:srgbClr w14:val="000000">
                      <w14:alpha w14:val="100000"/>
                    </w14:srgbClr>
                  </w14:solidFill>
                </w14:textFill>
              </w:rPr>
              <w:t xml:space="preserve">　</w:t>
            </w:r>
            <w:r w:rsidR="00156198" w:rsidRPr="006F0672">
              <w:rPr>
                <w:vertAlign w:val="superscript"/>
              </w:rPr>
              <w:t>4</w:t>
            </w:r>
          </w:p>
        </w:tc>
        <w:tc>
          <w:tcPr>
            <w:tcW w:w="647" w:type="pct"/>
            <w:shd w:val="clear" w:color="auto" w:fill="auto"/>
            <w:vAlign w:val="center"/>
          </w:tcPr>
          <w:p w14:paraId="03767D9F" w14:textId="3945105E" w:rsidR="0097436F" w:rsidRPr="006F0672" w:rsidRDefault="00C20896" w:rsidP="00593DF6">
            <w:pPr>
              <w:pStyle w:val="TableText0"/>
              <w:keepLines/>
              <w:jc w:val="center"/>
              <w:rPr>
                <w:color w:val="000000"/>
                <w:highlight w:val="lightGray"/>
              </w:rPr>
            </w:pPr>
            <w:r w:rsidRPr="00C20896">
              <w:rPr>
                <w:rFonts w:hint="eastAsia"/>
                <w:color w:val="000000"/>
                <w:w w:val="15"/>
                <w:shd w:val="solid" w:color="000000" w:fill="000000"/>
                <w:fitText w:val="28" w:id="-1171519731"/>
                <w14:textFill>
                  <w14:solidFill>
                    <w14:srgbClr w14:val="000000">
                      <w14:alpha w14:val="100000"/>
                    </w14:srgbClr>
                  </w14:solidFill>
                </w14:textFill>
              </w:rPr>
              <w:t xml:space="preserve">　</w:t>
            </w:r>
            <w:r w:rsidRPr="00C20896">
              <w:rPr>
                <w:color w:val="000000"/>
                <w:w w:val="15"/>
                <w:shd w:val="solid" w:color="000000" w:fill="000000"/>
                <w:fitText w:val="28" w:id="-1171519731"/>
                <w14:textFill>
                  <w14:solidFill>
                    <w14:srgbClr w14:val="000000">
                      <w14:alpha w14:val="100000"/>
                    </w14:srgbClr>
                  </w14:solidFill>
                </w14:textFill>
              </w:rPr>
              <w:t>|</w:t>
            </w:r>
            <w:r w:rsidRPr="00C20896">
              <w:rPr>
                <w:rFonts w:hint="eastAsia"/>
                <w:color w:val="000000"/>
                <w:spacing w:val="-37"/>
                <w:w w:val="15"/>
                <w:shd w:val="solid" w:color="000000" w:fill="000000"/>
                <w:fitText w:val="28" w:id="-1171519731"/>
                <w14:textFill>
                  <w14:solidFill>
                    <w14:srgbClr w14:val="000000">
                      <w14:alpha w14:val="100000"/>
                    </w14:srgbClr>
                  </w14:solidFill>
                </w14:textFill>
              </w:rPr>
              <w:t xml:space="preserve">　</w:t>
            </w:r>
            <w:r w:rsidR="00156198" w:rsidRPr="006F0672">
              <w:rPr>
                <w:vertAlign w:val="superscript"/>
              </w:rPr>
              <w:t>4</w:t>
            </w:r>
          </w:p>
        </w:tc>
        <w:tc>
          <w:tcPr>
            <w:tcW w:w="647" w:type="pct"/>
            <w:shd w:val="clear" w:color="auto" w:fill="auto"/>
            <w:vAlign w:val="center"/>
          </w:tcPr>
          <w:p w14:paraId="73BDEE96" w14:textId="205A6BD9" w:rsidR="0097436F" w:rsidRPr="006F0672" w:rsidRDefault="00C20896" w:rsidP="00593DF6">
            <w:pPr>
              <w:pStyle w:val="TableText0"/>
              <w:keepLines/>
              <w:jc w:val="center"/>
              <w:rPr>
                <w:color w:val="000000"/>
                <w:highlight w:val="lightGray"/>
              </w:rPr>
            </w:pPr>
            <w:r w:rsidRPr="00C20896">
              <w:rPr>
                <w:rFonts w:hint="eastAsia"/>
                <w:color w:val="000000"/>
                <w:w w:val="15"/>
                <w:shd w:val="solid" w:color="000000" w:fill="000000"/>
                <w:fitText w:val="27" w:id="-1171519730"/>
                <w14:textFill>
                  <w14:solidFill>
                    <w14:srgbClr w14:val="000000">
                      <w14:alpha w14:val="100000"/>
                    </w14:srgbClr>
                  </w14:solidFill>
                </w14:textFill>
              </w:rPr>
              <w:t xml:space="preserve">　</w:t>
            </w:r>
            <w:r w:rsidRPr="00C20896">
              <w:rPr>
                <w:color w:val="000000"/>
                <w:w w:val="15"/>
                <w:shd w:val="solid" w:color="000000" w:fill="000000"/>
                <w:fitText w:val="27" w:id="-1171519730"/>
                <w14:textFill>
                  <w14:solidFill>
                    <w14:srgbClr w14:val="000000">
                      <w14:alpha w14:val="100000"/>
                    </w14:srgbClr>
                  </w14:solidFill>
                </w14:textFill>
              </w:rPr>
              <w:t>|</w:t>
            </w:r>
            <w:r w:rsidRPr="00C20896">
              <w:rPr>
                <w:rFonts w:hint="eastAsia"/>
                <w:color w:val="000000"/>
                <w:spacing w:val="-38"/>
                <w:w w:val="15"/>
                <w:shd w:val="solid" w:color="000000" w:fill="000000"/>
                <w:fitText w:val="27" w:id="-1171519730"/>
                <w14:textFill>
                  <w14:solidFill>
                    <w14:srgbClr w14:val="000000">
                      <w14:alpha w14:val="100000"/>
                    </w14:srgbClr>
                  </w14:solidFill>
                </w14:textFill>
              </w:rPr>
              <w:t xml:space="preserve">　</w:t>
            </w:r>
            <w:r w:rsidR="00156198" w:rsidRPr="006F0672">
              <w:rPr>
                <w:vertAlign w:val="superscript"/>
              </w:rPr>
              <w:t>4</w:t>
            </w:r>
          </w:p>
        </w:tc>
        <w:tc>
          <w:tcPr>
            <w:tcW w:w="647" w:type="pct"/>
            <w:shd w:val="clear" w:color="auto" w:fill="auto"/>
            <w:vAlign w:val="center"/>
          </w:tcPr>
          <w:p w14:paraId="5876E8AD" w14:textId="672EC120" w:rsidR="0097436F" w:rsidRPr="006F0672" w:rsidRDefault="00C20896" w:rsidP="00593DF6">
            <w:pPr>
              <w:pStyle w:val="TableText0"/>
              <w:keepLines/>
              <w:jc w:val="center"/>
              <w:rPr>
                <w:color w:val="000000"/>
                <w:highlight w:val="lightGray"/>
              </w:rPr>
            </w:pPr>
            <w:r w:rsidRPr="00C20896">
              <w:rPr>
                <w:rFonts w:hint="eastAsia"/>
                <w:color w:val="000000"/>
                <w:w w:val="15"/>
                <w:shd w:val="solid" w:color="000000" w:fill="000000"/>
                <w:fitText w:val="27" w:id="-1171519729"/>
                <w14:textFill>
                  <w14:solidFill>
                    <w14:srgbClr w14:val="000000">
                      <w14:alpha w14:val="100000"/>
                    </w14:srgbClr>
                  </w14:solidFill>
                </w14:textFill>
              </w:rPr>
              <w:t xml:space="preserve">　</w:t>
            </w:r>
            <w:r w:rsidRPr="00C20896">
              <w:rPr>
                <w:color w:val="000000"/>
                <w:w w:val="15"/>
                <w:shd w:val="solid" w:color="000000" w:fill="000000"/>
                <w:fitText w:val="27" w:id="-1171519729"/>
                <w14:textFill>
                  <w14:solidFill>
                    <w14:srgbClr w14:val="000000">
                      <w14:alpha w14:val="100000"/>
                    </w14:srgbClr>
                  </w14:solidFill>
                </w14:textFill>
              </w:rPr>
              <w:t>|</w:t>
            </w:r>
            <w:r w:rsidRPr="00C20896">
              <w:rPr>
                <w:rFonts w:hint="eastAsia"/>
                <w:color w:val="000000"/>
                <w:spacing w:val="-38"/>
                <w:w w:val="15"/>
                <w:shd w:val="solid" w:color="000000" w:fill="000000"/>
                <w:fitText w:val="27" w:id="-1171519729"/>
                <w14:textFill>
                  <w14:solidFill>
                    <w14:srgbClr w14:val="000000">
                      <w14:alpha w14:val="100000"/>
                    </w14:srgbClr>
                  </w14:solidFill>
                </w14:textFill>
              </w:rPr>
              <w:t xml:space="preserve">　</w:t>
            </w:r>
            <w:r w:rsidR="00156198" w:rsidRPr="006F0672">
              <w:rPr>
                <w:vertAlign w:val="superscript"/>
              </w:rPr>
              <w:t>4</w:t>
            </w:r>
          </w:p>
        </w:tc>
        <w:tc>
          <w:tcPr>
            <w:tcW w:w="647" w:type="pct"/>
            <w:shd w:val="clear" w:color="auto" w:fill="auto"/>
            <w:vAlign w:val="center"/>
          </w:tcPr>
          <w:p w14:paraId="64C91C2C" w14:textId="237B3C05" w:rsidR="0097436F" w:rsidRPr="006F0672" w:rsidRDefault="00C20896" w:rsidP="00593DF6">
            <w:pPr>
              <w:pStyle w:val="TableText0"/>
              <w:keepLines/>
              <w:jc w:val="center"/>
              <w:rPr>
                <w:color w:val="000000"/>
                <w:highlight w:val="lightGray"/>
              </w:rPr>
            </w:pPr>
            <w:r w:rsidRPr="00C20896">
              <w:rPr>
                <w:rFonts w:hint="eastAsia"/>
                <w:color w:val="000000"/>
                <w:w w:val="15"/>
                <w:shd w:val="solid" w:color="000000" w:fill="000000"/>
                <w:fitText w:val="28" w:id="-1171519728"/>
                <w14:textFill>
                  <w14:solidFill>
                    <w14:srgbClr w14:val="000000">
                      <w14:alpha w14:val="100000"/>
                    </w14:srgbClr>
                  </w14:solidFill>
                </w14:textFill>
              </w:rPr>
              <w:t xml:space="preserve">　</w:t>
            </w:r>
            <w:r w:rsidRPr="00C20896">
              <w:rPr>
                <w:color w:val="000000"/>
                <w:w w:val="15"/>
                <w:shd w:val="solid" w:color="000000" w:fill="000000"/>
                <w:fitText w:val="28" w:id="-1171519728"/>
                <w14:textFill>
                  <w14:solidFill>
                    <w14:srgbClr w14:val="000000">
                      <w14:alpha w14:val="100000"/>
                    </w14:srgbClr>
                  </w14:solidFill>
                </w14:textFill>
              </w:rPr>
              <w:t>|</w:t>
            </w:r>
            <w:r w:rsidRPr="00C20896">
              <w:rPr>
                <w:rFonts w:hint="eastAsia"/>
                <w:color w:val="000000"/>
                <w:spacing w:val="-37"/>
                <w:w w:val="15"/>
                <w:shd w:val="solid" w:color="000000" w:fill="000000"/>
                <w:fitText w:val="28" w:id="-1171519728"/>
                <w14:textFill>
                  <w14:solidFill>
                    <w14:srgbClr w14:val="000000">
                      <w14:alpha w14:val="100000"/>
                    </w14:srgbClr>
                  </w14:solidFill>
                </w14:textFill>
              </w:rPr>
              <w:t xml:space="preserve">　</w:t>
            </w:r>
            <w:r w:rsidR="00156198" w:rsidRPr="006F0672">
              <w:rPr>
                <w:vertAlign w:val="superscript"/>
              </w:rPr>
              <w:t>4</w:t>
            </w:r>
          </w:p>
        </w:tc>
        <w:tc>
          <w:tcPr>
            <w:tcW w:w="647" w:type="pct"/>
            <w:vAlign w:val="center"/>
          </w:tcPr>
          <w:p w14:paraId="124AB055" w14:textId="26FECA47" w:rsidR="0097436F" w:rsidRPr="006F0672" w:rsidRDefault="00C20896" w:rsidP="00593DF6">
            <w:pPr>
              <w:pStyle w:val="TableText0"/>
              <w:keepLines/>
              <w:jc w:val="center"/>
              <w:rPr>
                <w:color w:val="000000"/>
                <w:highlight w:val="lightGray"/>
              </w:rPr>
            </w:pPr>
            <w:r w:rsidRPr="00C20896">
              <w:rPr>
                <w:rFonts w:hint="eastAsia"/>
                <w:color w:val="000000"/>
                <w:w w:val="15"/>
                <w:shd w:val="solid" w:color="000000" w:fill="000000"/>
                <w:fitText w:val="27" w:id="-1171519744"/>
                <w14:textFill>
                  <w14:solidFill>
                    <w14:srgbClr w14:val="000000">
                      <w14:alpha w14:val="100000"/>
                    </w14:srgbClr>
                  </w14:solidFill>
                </w14:textFill>
              </w:rPr>
              <w:t xml:space="preserve">　</w:t>
            </w:r>
            <w:r w:rsidRPr="00C20896">
              <w:rPr>
                <w:color w:val="000000"/>
                <w:w w:val="15"/>
                <w:shd w:val="solid" w:color="000000" w:fill="000000"/>
                <w:fitText w:val="27" w:id="-1171519744"/>
                <w14:textFill>
                  <w14:solidFill>
                    <w14:srgbClr w14:val="000000">
                      <w14:alpha w14:val="100000"/>
                    </w14:srgbClr>
                  </w14:solidFill>
                </w14:textFill>
              </w:rPr>
              <w:t>|</w:t>
            </w:r>
            <w:r w:rsidRPr="00C20896">
              <w:rPr>
                <w:rFonts w:hint="eastAsia"/>
                <w:color w:val="000000"/>
                <w:spacing w:val="-38"/>
                <w:w w:val="15"/>
                <w:shd w:val="solid" w:color="000000" w:fill="000000"/>
                <w:fitText w:val="27" w:id="-1171519744"/>
                <w14:textFill>
                  <w14:solidFill>
                    <w14:srgbClr w14:val="000000">
                      <w14:alpha w14:val="100000"/>
                    </w14:srgbClr>
                  </w14:solidFill>
                </w14:textFill>
              </w:rPr>
              <w:t xml:space="preserve">　</w:t>
            </w:r>
            <w:r w:rsidR="00156198" w:rsidRPr="006F0672">
              <w:rPr>
                <w:vertAlign w:val="superscript"/>
              </w:rPr>
              <w:t>4</w:t>
            </w:r>
          </w:p>
        </w:tc>
      </w:tr>
      <w:bookmarkEnd w:id="20"/>
      <w:tr w:rsidR="000D712F" w:rsidRPr="00197F03" w14:paraId="24798ACE" w14:textId="77777777" w:rsidTr="00203DF0">
        <w:trPr>
          <w:cantSplit/>
          <w:jc w:val="center"/>
        </w:trPr>
        <w:tc>
          <w:tcPr>
            <w:tcW w:w="5000" w:type="pct"/>
            <w:gridSpan w:val="7"/>
            <w:shd w:val="clear" w:color="auto" w:fill="auto"/>
            <w:vAlign w:val="center"/>
          </w:tcPr>
          <w:p w14:paraId="0E4C698A" w14:textId="77777777" w:rsidR="000D712F" w:rsidRPr="000C1AFF" w:rsidRDefault="000D712F" w:rsidP="00593DF6">
            <w:pPr>
              <w:pStyle w:val="TableText0"/>
              <w:keepLines/>
              <w:rPr>
                <w:b/>
                <w:bCs w:val="0"/>
                <w:color w:val="000000"/>
              </w:rPr>
            </w:pPr>
            <w:r w:rsidRPr="000C1AFF">
              <w:rPr>
                <w:b/>
                <w:bCs w:val="0"/>
                <w:color w:val="000000"/>
              </w:rPr>
              <w:t>Net financial implications</w:t>
            </w:r>
          </w:p>
        </w:tc>
      </w:tr>
      <w:tr w:rsidR="0097436F" w:rsidRPr="00197F03" w14:paraId="719E6DA0" w14:textId="77777777" w:rsidTr="00203DF0">
        <w:trPr>
          <w:cantSplit/>
          <w:trHeight w:val="283"/>
          <w:jc w:val="center"/>
        </w:trPr>
        <w:tc>
          <w:tcPr>
            <w:tcW w:w="1118" w:type="pct"/>
            <w:shd w:val="clear" w:color="auto" w:fill="auto"/>
            <w:vAlign w:val="center"/>
          </w:tcPr>
          <w:p w14:paraId="65CED919" w14:textId="5B37A117" w:rsidR="0097436F" w:rsidRPr="0097436F" w:rsidRDefault="0097436F" w:rsidP="00593DF6">
            <w:pPr>
              <w:pStyle w:val="TableText0"/>
              <w:keepLines/>
              <w:rPr>
                <w:vertAlign w:val="superscript"/>
              </w:rPr>
            </w:pPr>
            <w:r>
              <w:t>Net cost to PBS/RPBS</w:t>
            </w:r>
            <w:r>
              <w:rPr>
                <w:vertAlign w:val="superscript"/>
              </w:rPr>
              <w:t>b</w:t>
            </w:r>
          </w:p>
        </w:tc>
        <w:tc>
          <w:tcPr>
            <w:tcW w:w="647" w:type="pct"/>
            <w:shd w:val="clear" w:color="auto" w:fill="auto"/>
            <w:vAlign w:val="center"/>
          </w:tcPr>
          <w:p w14:paraId="4B6B933C" w14:textId="4171FE5C" w:rsidR="0097436F" w:rsidRPr="006F0672" w:rsidRDefault="00C20896" w:rsidP="00593DF6">
            <w:pPr>
              <w:pStyle w:val="TableText0"/>
              <w:keepLines/>
              <w:jc w:val="center"/>
              <w:rPr>
                <w:color w:val="000000"/>
                <w:highlight w:val="lightGray"/>
                <w:vertAlign w:val="superscript"/>
              </w:rPr>
            </w:pPr>
            <w:r w:rsidRPr="00C20896">
              <w:rPr>
                <w:rFonts w:hint="eastAsia"/>
                <w:color w:val="000000"/>
                <w:w w:val="15"/>
                <w:shd w:val="solid" w:color="000000" w:fill="000000"/>
                <w:fitText w:val="28" w:id="-1171519743"/>
                <w14:textFill>
                  <w14:solidFill>
                    <w14:srgbClr w14:val="000000">
                      <w14:alpha w14:val="100000"/>
                    </w14:srgbClr>
                  </w14:solidFill>
                </w14:textFill>
              </w:rPr>
              <w:t xml:space="preserve">　</w:t>
            </w:r>
            <w:r w:rsidRPr="00C20896">
              <w:rPr>
                <w:color w:val="000000"/>
                <w:w w:val="15"/>
                <w:shd w:val="solid" w:color="000000" w:fill="000000"/>
                <w:fitText w:val="28" w:id="-1171519743"/>
                <w14:textFill>
                  <w14:solidFill>
                    <w14:srgbClr w14:val="000000">
                      <w14:alpha w14:val="100000"/>
                    </w14:srgbClr>
                  </w14:solidFill>
                </w14:textFill>
              </w:rPr>
              <w:t>|</w:t>
            </w:r>
            <w:r w:rsidRPr="00C20896">
              <w:rPr>
                <w:rFonts w:hint="eastAsia"/>
                <w:color w:val="000000"/>
                <w:spacing w:val="-37"/>
                <w:w w:val="15"/>
                <w:shd w:val="solid" w:color="000000" w:fill="000000"/>
                <w:fitText w:val="28" w:id="-1171519743"/>
                <w14:textFill>
                  <w14:solidFill>
                    <w14:srgbClr w14:val="000000">
                      <w14:alpha w14:val="100000"/>
                    </w14:srgbClr>
                  </w14:solidFill>
                </w14:textFill>
              </w:rPr>
              <w:t xml:space="preserve">　</w:t>
            </w:r>
            <w:r w:rsidR="00156198" w:rsidRPr="006F0672">
              <w:rPr>
                <w:vertAlign w:val="superscript"/>
              </w:rPr>
              <w:t>4</w:t>
            </w:r>
          </w:p>
        </w:tc>
        <w:tc>
          <w:tcPr>
            <w:tcW w:w="647" w:type="pct"/>
            <w:shd w:val="clear" w:color="auto" w:fill="auto"/>
            <w:vAlign w:val="center"/>
          </w:tcPr>
          <w:p w14:paraId="78FC4800" w14:textId="70200930" w:rsidR="0097436F" w:rsidRPr="006F0672" w:rsidRDefault="00C20896" w:rsidP="00593DF6">
            <w:pPr>
              <w:pStyle w:val="TableText0"/>
              <w:keepLines/>
              <w:jc w:val="center"/>
              <w:rPr>
                <w:color w:val="000000"/>
                <w:highlight w:val="lightGray"/>
                <w:vertAlign w:val="superscript"/>
              </w:rPr>
            </w:pPr>
            <w:r w:rsidRPr="00C20896">
              <w:rPr>
                <w:rFonts w:hint="eastAsia"/>
                <w:color w:val="000000"/>
                <w:w w:val="15"/>
                <w:shd w:val="solid" w:color="000000" w:fill="000000"/>
                <w:fitText w:val="28" w:id="-1171519742"/>
                <w14:textFill>
                  <w14:solidFill>
                    <w14:srgbClr w14:val="000000">
                      <w14:alpha w14:val="100000"/>
                    </w14:srgbClr>
                  </w14:solidFill>
                </w14:textFill>
              </w:rPr>
              <w:t xml:space="preserve">　</w:t>
            </w:r>
            <w:r w:rsidRPr="00C20896">
              <w:rPr>
                <w:color w:val="000000"/>
                <w:w w:val="15"/>
                <w:shd w:val="solid" w:color="000000" w:fill="000000"/>
                <w:fitText w:val="28" w:id="-1171519742"/>
                <w14:textFill>
                  <w14:solidFill>
                    <w14:srgbClr w14:val="000000">
                      <w14:alpha w14:val="100000"/>
                    </w14:srgbClr>
                  </w14:solidFill>
                </w14:textFill>
              </w:rPr>
              <w:t>|</w:t>
            </w:r>
            <w:r w:rsidRPr="00C20896">
              <w:rPr>
                <w:rFonts w:hint="eastAsia"/>
                <w:color w:val="000000"/>
                <w:spacing w:val="-37"/>
                <w:w w:val="15"/>
                <w:shd w:val="solid" w:color="000000" w:fill="000000"/>
                <w:fitText w:val="28" w:id="-1171519742"/>
                <w14:textFill>
                  <w14:solidFill>
                    <w14:srgbClr w14:val="000000">
                      <w14:alpha w14:val="100000"/>
                    </w14:srgbClr>
                  </w14:solidFill>
                </w14:textFill>
              </w:rPr>
              <w:t xml:space="preserve">　</w:t>
            </w:r>
            <w:r w:rsidR="00156198" w:rsidRPr="006F0672">
              <w:rPr>
                <w:vertAlign w:val="superscript"/>
              </w:rPr>
              <w:t>4</w:t>
            </w:r>
          </w:p>
        </w:tc>
        <w:tc>
          <w:tcPr>
            <w:tcW w:w="647" w:type="pct"/>
            <w:shd w:val="clear" w:color="auto" w:fill="auto"/>
            <w:vAlign w:val="center"/>
          </w:tcPr>
          <w:p w14:paraId="016314BA" w14:textId="44BF7F10" w:rsidR="0097436F" w:rsidRPr="006F0672" w:rsidRDefault="00C20896" w:rsidP="00593DF6">
            <w:pPr>
              <w:pStyle w:val="TableText0"/>
              <w:keepLines/>
              <w:jc w:val="center"/>
              <w:rPr>
                <w:color w:val="000000"/>
                <w:highlight w:val="lightGray"/>
                <w:vertAlign w:val="superscript"/>
              </w:rPr>
            </w:pPr>
            <w:r w:rsidRPr="00C20896">
              <w:rPr>
                <w:rFonts w:hint="eastAsia"/>
                <w:color w:val="000000"/>
                <w:w w:val="15"/>
                <w:shd w:val="solid" w:color="000000" w:fill="000000"/>
                <w:fitText w:val="27" w:id="-1171519741"/>
                <w14:textFill>
                  <w14:solidFill>
                    <w14:srgbClr w14:val="000000">
                      <w14:alpha w14:val="100000"/>
                    </w14:srgbClr>
                  </w14:solidFill>
                </w14:textFill>
              </w:rPr>
              <w:t xml:space="preserve">　</w:t>
            </w:r>
            <w:r w:rsidRPr="00C20896">
              <w:rPr>
                <w:color w:val="000000"/>
                <w:w w:val="15"/>
                <w:shd w:val="solid" w:color="000000" w:fill="000000"/>
                <w:fitText w:val="27" w:id="-1171519741"/>
                <w14:textFill>
                  <w14:solidFill>
                    <w14:srgbClr w14:val="000000">
                      <w14:alpha w14:val="100000"/>
                    </w14:srgbClr>
                  </w14:solidFill>
                </w14:textFill>
              </w:rPr>
              <w:t>|</w:t>
            </w:r>
            <w:r w:rsidRPr="00C20896">
              <w:rPr>
                <w:rFonts w:hint="eastAsia"/>
                <w:color w:val="000000"/>
                <w:spacing w:val="-38"/>
                <w:w w:val="15"/>
                <w:shd w:val="solid" w:color="000000" w:fill="000000"/>
                <w:fitText w:val="27" w:id="-1171519741"/>
                <w14:textFill>
                  <w14:solidFill>
                    <w14:srgbClr w14:val="000000">
                      <w14:alpha w14:val="100000"/>
                    </w14:srgbClr>
                  </w14:solidFill>
                </w14:textFill>
              </w:rPr>
              <w:t xml:space="preserve">　</w:t>
            </w:r>
            <w:r w:rsidR="00156198" w:rsidRPr="006F0672">
              <w:rPr>
                <w:vertAlign w:val="superscript"/>
              </w:rPr>
              <w:t>4</w:t>
            </w:r>
          </w:p>
        </w:tc>
        <w:tc>
          <w:tcPr>
            <w:tcW w:w="647" w:type="pct"/>
            <w:shd w:val="clear" w:color="auto" w:fill="auto"/>
            <w:vAlign w:val="center"/>
          </w:tcPr>
          <w:p w14:paraId="511EC643" w14:textId="12002C00" w:rsidR="0097436F" w:rsidRPr="006F0672" w:rsidRDefault="00C20896" w:rsidP="00593DF6">
            <w:pPr>
              <w:pStyle w:val="TableText0"/>
              <w:keepLines/>
              <w:jc w:val="center"/>
              <w:rPr>
                <w:color w:val="000000"/>
                <w:highlight w:val="lightGray"/>
                <w:vertAlign w:val="superscript"/>
              </w:rPr>
            </w:pPr>
            <w:r w:rsidRPr="006F6179">
              <w:rPr>
                <w:rFonts w:hint="eastAsia"/>
                <w:color w:val="000000"/>
                <w:w w:val="15"/>
                <w:shd w:val="solid" w:color="000000" w:fill="000000"/>
                <w:fitText w:val="27" w:id="-1171519740"/>
                <w14:textFill>
                  <w14:solidFill>
                    <w14:srgbClr w14:val="000000">
                      <w14:alpha w14:val="100000"/>
                    </w14:srgbClr>
                  </w14:solidFill>
                </w14:textFill>
              </w:rPr>
              <w:t xml:space="preserve">　</w:t>
            </w:r>
            <w:r w:rsidRPr="006F6179">
              <w:rPr>
                <w:color w:val="000000"/>
                <w:w w:val="15"/>
                <w:shd w:val="solid" w:color="000000" w:fill="000000"/>
                <w:fitText w:val="27" w:id="-1171519740"/>
                <w14:textFill>
                  <w14:solidFill>
                    <w14:srgbClr w14:val="000000">
                      <w14:alpha w14:val="100000"/>
                    </w14:srgbClr>
                  </w14:solidFill>
                </w14:textFill>
              </w:rPr>
              <w:t>|</w:t>
            </w:r>
            <w:r w:rsidRPr="006F6179">
              <w:rPr>
                <w:rFonts w:hint="eastAsia"/>
                <w:color w:val="000000"/>
                <w:spacing w:val="-38"/>
                <w:w w:val="15"/>
                <w:shd w:val="solid" w:color="000000" w:fill="000000"/>
                <w:fitText w:val="27" w:id="-1171519740"/>
                <w14:textFill>
                  <w14:solidFill>
                    <w14:srgbClr w14:val="000000">
                      <w14:alpha w14:val="100000"/>
                    </w14:srgbClr>
                  </w14:solidFill>
                </w14:textFill>
              </w:rPr>
              <w:t xml:space="preserve">　</w:t>
            </w:r>
            <w:r w:rsidR="00156198" w:rsidRPr="006F0672">
              <w:rPr>
                <w:vertAlign w:val="superscript"/>
              </w:rPr>
              <w:t>4</w:t>
            </w:r>
          </w:p>
        </w:tc>
        <w:tc>
          <w:tcPr>
            <w:tcW w:w="647" w:type="pct"/>
            <w:shd w:val="clear" w:color="auto" w:fill="auto"/>
            <w:vAlign w:val="center"/>
          </w:tcPr>
          <w:p w14:paraId="24A8D601" w14:textId="2B3ADF2E" w:rsidR="0097436F" w:rsidRPr="006F0672" w:rsidRDefault="00C20896" w:rsidP="00593DF6">
            <w:pPr>
              <w:pStyle w:val="TableText0"/>
              <w:keepLines/>
              <w:jc w:val="center"/>
              <w:rPr>
                <w:color w:val="000000"/>
                <w:highlight w:val="lightGray"/>
                <w:vertAlign w:val="superscript"/>
              </w:rPr>
            </w:pPr>
            <w:r w:rsidRPr="006F6179">
              <w:rPr>
                <w:rFonts w:hint="eastAsia"/>
                <w:color w:val="000000"/>
                <w:w w:val="15"/>
                <w:shd w:val="solid" w:color="000000" w:fill="000000"/>
                <w:fitText w:val="28" w:id="-1171519739"/>
                <w14:textFill>
                  <w14:solidFill>
                    <w14:srgbClr w14:val="000000">
                      <w14:alpha w14:val="100000"/>
                    </w14:srgbClr>
                  </w14:solidFill>
                </w14:textFill>
              </w:rPr>
              <w:t xml:space="preserve">　</w:t>
            </w:r>
            <w:r w:rsidRPr="006F6179">
              <w:rPr>
                <w:color w:val="000000"/>
                <w:w w:val="15"/>
                <w:shd w:val="solid" w:color="000000" w:fill="000000"/>
                <w:fitText w:val="28" w:id="-1171519739"/>
                <w14:textFill>
                  <w14:solidFill>
                    <w14:srgbClr w14:val="000000">
                      <w14:alpha w14:val="100000"/>
                    </w14:srgbClr>
                  </w14:solidFill>
                </w14:textFill>
              </w:rPr>
              <w:t>|</w:t>
            </w:r>
            <w:r w:rsidRPr="006F6179">
              <w:rPr>
                <w:rFonts w:hint="eastAsia"/>
                <w:color w:val="000000"/>
                <w:spacing w:val="-37"/>
                <w:w w:val="15"/>
                <w:shd w:val="solid" w:color="000000" w:fill="000000"/>
                <w:fitText w:val="28" w:id="-1171519739"/>
                <w14:textFill>
                  <w14:solidFill>
                    <w14:srgbClr w14:val="000000">
                      <w14:alpha w14:val="100000"/>
                    </w14:srgbClr>
                  </w14:solidFill>
                </w14:textFill>
              </w:rPr>
              <w:t xml:space="preserve">　</w:t>
            </w:r>
            <w:r w:rsidR="00156198" w:rsidRPr="006F0672">
              <w:rPr>
                <w:vertAlign w:val="superscript"/>
              </w:rPr>
              <w:t>4</w:t>
            </w:r>
          </w:p>
        </w:tc>
        <w:tc>
          <w:tcPr>
            <w:tcW w:w="647" w:type="pct"/>
            <w:vAlign w:val="center"/>
          </w:tcPr>
          <w:p w14:paraId="7C26A53F" w14:textId="471F3CA9" w:rsidR="0097436F" w:rsidRPr="006F0672" w:rsidRDefault="00C20896" w:rsidP="00593DF6">
            <w:pPr>
              <w:pStyle w:val="TableText0"/>
              <w:keepLines/>
              <w:jc w:val="center"/>
              <w:rPr>
                <w:color w:val="000000"/>
                <w:highlight w:val="lightGray"/>
                <w:vertAlign w:val="superscript"/>
              </w:rPr>
            </w:pPr>
            <w:r w:rsidRPr="006F6179">
              <w:rPr>
                <w:rFonts w:hint="eastAsia"/>
                <w:color w:val="000000"/>
                <w:w w:val="15"/>
                <w:shd w:val="solid" w:color="000000" w:fill="000000"/>
                <w:fitText w:val="27" w:id="-1171519738"/>
                <w14:textFill>
                  <w14:solidFill>
                    <w14:srgbClr w14:val="000000">
                      <w14:alpha w14:val="100000"/>
                    </w14:srgbClr>
                  </w14:solidFill>
                </w14:textFill>
              </w:rPr>
              <w:t xml:space="preserve">　</w:t>
            </w:r>
            <w:r w:rsidRPr="006F6179">
              <w:rPr>
                <w:color w:val="000000"/>
                <w:w w:val="15"/>
                <w:shd w:val="solid" w:color="000000" w:fill="000000"/>
                <w:fitText w:val="27" w:id="-1171519738"/>
                <w14:textFill>
                  <w14:solidFill>
                    <w14:srgbClr w14:val="000000">
                      <w14:alpha w14:val="100000"/>
                    </w14:srgbClr>
                  </w14:solidFill>
                </w14:textFill>
              </w:rPr>
              <w:t>|</w:t>
            </w:r>
            <w:r w:rsidRPr="006F6179">
              <w:rPr>
                <w:rFonts w:hint="eastAsia"/>
                <w:color w:val="000000"/>
                <w:spacing w:val="-38"/>
                <w:w w:val="15"/>
                <w:shd w:val="solid" w:color="000000" w:fill="000000"/>
                <w:fitText w:val="27" w:id="-1171519738"/>
                <w14:textFill>
                  <w14:solidFill>
                    <w14:srgbClr w14:val="000000">
                      <w14:alpha w14:val="100000"/>
                    </w14:srgbClr>
                  </w14:solidFill>
                </w14:textFill>
              </w:rPr>
              <w:t xml:space="preserve">　</w:t>
            </w:r>
            <w:r w:rsidR="00156198" w:rsidRPr="006F0672">
              <w:rPr>
                <w:vertAlign w:val="superscript"/>
              </w:rPr>
              <w:t>4</w:t>
            </w:r>
          </w:p>
        </w:tc>
      </w:tr>
    </w:tbl>
    <w:p w14:paraId="2A9317AF" w14:textId="77777777" w:rsidR="0097436F" w:rsidRDefault="000D712F" w:rsidP="006306DF">
      <w:pPr>
        <w:pStyle w:val="TableFigureFooter"/>
        <w:keepNext/>
        <w:spacing w:after="0"/>
      </w:pPr>
      <w:r w:rsidRPr="00167C39">
        <w:rPr>
          <w:vertAlign w:val="superscript"/>
        </w:rPr>
        <w:t>a</w:t>
      </w:r>
      <w:r w:rsidRPr="00167C39">
        <w:t xml:space="preserve"> A</w:t>
      </w:r>
      <w:r w:rsidR="0097436F">
        <w:t xml:space="preserve">pplying the Sponsor’s internal uptake rate </w:t>
      </w:r>
      <w:r w:rsidRPr="00167C39">
        <w:t>estimate</w:t>
      </w:r>
      <w:r w:rsidR="0097436F">
        <w:t>s</w:t>
      </w:r>
      <w:r w:rsidRPr="00167C39">
        <w:t>.</w:t>
      </w:r>
    </w:p>
    <w:p w14:paraId="65E08A2F" w14:textId="398D0CA6" w:rsidR="000D712F" w:rsidRDefault="0097436F" w:rsidP="006306DF">
      <w:pPr>
        <w:pStyle w:val="TableFigureFooter"/>
        <w:keepNext/>
        <w:spacing w:after="0"/>
      </w:pPr>
      <w:r>
        <w:rPr>
          <w:vertAlign w:val="superscript"/>
        </w:rPr>
        <w:t>b</w:t>
      </w:r>
      <w:r>
        <w:t xml:space="preserve"> These costs were amended to reflect the current co-payment of $30.00 for non-concession scripts and $7.00 for all concessional and RPBS scripts</w:t>
      </w:r>
      <w:r w:rsidR="00C72D3A">
        <w:t>.</w:t>
      </w:r>
      <w:r w:rsidR="000D712F" w:rsidRPr="00AB4684">
        <w:t xml:space="preserve"> </w:t>
      </w:r>
    </w:p>
    <w:p w14:paraId="72221F0A" w14:textId="77777777" w:rsidR="000D712F" w:rsidRPr="00167C39" w:rsidRDefault="000D712F" w:rsidP="006306DF">
      <w:pPr>
        <w:pStyle w:val="TableFigureFooter"/>
        <w:keepNext/>
        <w:spacing w:after="0"/>
      </w:pPr>
      <w:r w:rsidRPr="00AB4684">
        <w:t>Abbreviations: MBS = Medical Benefits Scheme; PBS = Pharmaceutical Benefits Scheme; RPBS = Repatriation Pharmaceutical Benefits Scheme.</w:t>
      </w:r>
    </w:p>
    <w:p w14:paraId="220DA70A" w14:textId="62CC3B23" w:rsidR="000D712F" w:rsidRDefault="000D712F" w:rsidP="006306DF">
      <w:pPr>
        <w:pStyle w:val="TableFigureFooter"/>
        <w:keepNext/>
      </w:pPr>
      <w:r w:rsidRPr="00167C39">
        <w:t>Source</w:t>
      </w:r>
      <w:r w:rsidR="00C123C8">
        <w:t xml:space="preserve">: Financial table workbook; </w:t>
      </w:r>
      <w:r w:rsidR="00C123C8" w:rsidRPr="00C123C8">
        <w:t>Section 4 (Exarane and Exarane Forte).xlsx; provided as part of the submission.</w:t>
      </w:r>
    </w:p>
    <w:p w14:paraId="2E909421" w14:textId="77777777" w:rsidR="00B74ACB" w:rsidRPr="009A6D58" w:rsidRDefault="00B74ACB" w:rsidP="00B74ACB">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4A770D40" w14:textId="43F40076" w:rsidR="00B74ACB" w:rsidRPr="009A6D58" w:rsidRDefault="00B74ACB" w:rsidP="00B74ACB">
      <w:pPr>
        <w:rPr>
          <w:rFonts w:ascii="Arial Narrow" w:hAnsi="Arial Narrow" w:cs="Arial"/>
          <w:i/>
          <w:sz w:val="18"/>
          <w:szCs w:val="18"/>
        </w:rPr>
      </w:pPr>
      <w:r>
        <w:rPr>
          <w:rFonts w:ascii="Arial Narrow" w:hAnsi="Arial Narrow" w:cs="Arial"/>
          <w:i/>
          <w:sz w:val="18"/>
          <w:szCs w:val="18"/>
          <w:vertAlign w:val="superscript"/>
        </w:rPr>
        <w:t>1</w:t>
      </w:r>
      <w:r>
        <w:rPr>
          <w:rFonts w:ascii="Arial Narrow" w:hAnsi="Arial Narrow" w:cs="Arial"/>
          <w:i/>
          <w:sz w:val="18"/>
          <w:szCs w:val="18"/>
        </w:rPr>
        <w:t xml:space="preserve"> </w:t>
      </w:r>
      <w:r w:rsidRPr="00B74ACB">
        <w:rPr>
          <w:rFonts w:ascii="Arial Narrow" w:hAnsi="Arial Narrow" w:cs="Arial"/>
          <w:i/>
          <w:sz w:val="18"/>
          <w:szCs w:val="18"/>
        </w:rPr>
        <w:t>100,000 to &lt; 200,000</w:t>
      </w:r>
    </w:p>
    <w:p w14:paraId="54443E78" w14:textId="5EE6E9F5" w:rsidR="00B74ACB" w:rsidRDefault="00B74ACB" w:rsidP="00B74ACB">
      <w:pPr>
        <w:rPr>
          <w:rFonts w:ascii="Arial Narrow" w:hAnsi="Arial Narrow" w:cs="Arial"/>
          <w:i/>
          <w:sz w:val="18"/>
          <w:szCs w:val="18"/>
        </w:rPr>
      </w:pPr>
      <w:r>
        <w:rPr>
          <w:rFonts w:ascii="Arial Narrow" w:hAnsi="Arial Narrow" w:cs="Arial"/>
          <w:i/>
          <w:sz w:val="18"/>
          <w:szCs w:val="18"/>
          <w:vertAlign w:val="superscript"/>
        </w:rPr>
        <w:t>2</w:t>
      </w:r>
      <w:r>
        <w:rPr>
          <w:rFonts w:ascii="Arial Narrow" w:hAnsi="Arial Narrow" w:cs="Arial"/>
          <w:i/>
          <w:sz w:val="18"/>
          <w:szCs w:val="18"/>
        </w:rPr>
        <w:t xml:space="preserve"> </w:t>
      </w:r>
      <w:r w:rsidRPr="00B74ACB">
        <w:rPr>
          <w:rFonts w:ascii="Arial Narrow" w:hAnsi="Arial Narrow" w:cs="Arial"/>
          <w:i/>
          <w:sz w:val="18"/>
          <w:szCs w:val="18"/>
        </w:rPr>
        <w:t>90,000 to &lt; 100,000</w:t>
      </w:r>
    </w:p>
    <w:p w14:paraId="591D62D9" w14:textId="38538ED0" w:rsidR="00B74ACB" w:rsidRDefault="00B74ACB" w:rsidP="00B74ACB">
      <w:pPr>
        <w:rPr>
          <w:rFonts w:ascii="Arial Narrow" w:hAnsi="Arial Narrow" w:cs="Arial"/>
          <w:i/>
          <w:sz w:val="18"/>
          <w:szCs w:val="18"/>
        </w:rPr>
      </w:pPr>
      <w:r>
        <w:rPr>
          <w:rFonts w:ascii="Arial Narrow" w:hAnsi="Arial Narrow" w:cs="Arial"/>
          <w:i/>
          <w:sz w:val="18"/>
          <w:szCs w:val="18"/>
          <w:vertAlign w:val="superscript"/>
        </w:rPr>
        <w:t>3</w:t>
      </w:r>
      <w:r>
        <w:rPr>
          <w:rFonts w:ascii="Arial Narrow" w:hAnsi="Arial Narrow" w:cs="Arial"/>
          <w:i/>
          <w:sz w:val="18"/>
          <w:szCs w:val="18"/>
        </w:rPr>
        <w:t xml:space="preserve"> </w:t>
      </w:r>
      <w:r w:rsidR="00156198" w:rsidRPr="00156198">
        <w:rPr>
          <w:rFonts w:ascii="Arial Narrow" w:hAnsi="Arial Narrow" w:cs="Arial"/>
          <w:i/>
          <w:sz w:val="18"/>
          <w:szCs w:val="18"/>
        </w:rPr>
        <w:t>$0 to &lt; $10 million</w:t>
      </w:r>
    </w:p>
    <w:p w14:paraId="57661631" w14:textId="6D2863C4" w:rsidR="00B74ACB" w:rsidRDefault="00B74ACB" w:rsidP="00B74ACB">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00156198">
        <w:rPr>
          <w:rFonts w:ascii="Arial Narrow" w:hAnsi="Arial Narrow" w:cs="Arial"/>
          <w:i/>
          <w:sz w:val="18"/>
          <w:szCs w:val="18"/>
        </w:rPr>
        <w:t>Net cost saving</w:t>
      </w:r>
    </w:p>
    <w:p w14:paraId="026E3D35" w14:textId="0E703218" w:rsidR="00B74ACB" w:rsidRDefault="00B74ACB" w:rsidP="00B74ACB">
      <w:pPr>
        <w:rPr>
          <w:rFonts w:ascii="Arial Narrow" w:hAnsi="Arial Narrow" w:cs="Arial"/>
          <w:i/>
          <w:sz w:val="18"/>
          <w:szCs w:val="18"/>
        </w:rPr>
      </w:pPr>
    </w:p>
    <w:p w14:paraId="1F33BFA4" w14:textId="5D8813DC" w:rsidR="00E02E68" w:rsidRPr="000B323F" w:rsidRDefault="00D70349" w:rsidP="00593DF6">
      <w:pPr>
        <w:pStyle w:val="3Bodytext"/>
        <w:jc w:val="both"/>
      </w:pPr>
      <w:r>
        <w:t xml:space="preserve">The submission estimated </w:t>
      </w:r>
      <w:r w:rsidRPr="000B323F">
        <w:t xml:space="preserve">that </w:t>
      </w:r>
      <w:r w:rsidR="000B323F">
        <w:t>600,000</w:t>
      </w:r>
      <w:r w:rsidR="006F0672">
        <w:t> </w:t>
      </w:r>
      <w:r w:rsidR="000B323F">
        <w:t>to</w:t>
      </w:r>
      <w:r w:rsidR="006F0672">
        <w:t xml:space="preserve"> </w:t>
      </w:r>
      <w:r w:rsidR="000B323F">
        <w:t>&lt;</w:t>
      </w:r>
      <w:r w:rsidR="006F0672">
        <w:t> </w:t>
      </w:r>
      <w:r w:rsidR="000B323F">
        <w:t>700,000</w:t>
      </w:r>
      <w:r w:rsidR="00C123C8" w:rsidRPr="000B323F">
        <w:t xml:space="preserve"> scripts </w:t>
      </w:r>
      <w:r w:rsidRPr="000B323F">
        <w:t xml:space="preserve">would be </w:t>
      </w:r>
      <w:r w:rsidR="00C123C8" w:rsidRPr="000B323F">
        <w:t>dispensed for Exarane and Exarane Forte</w:t>
      </w:r>
      <w:r w:rsidRPr="000B323F">
        <w:t xml:space="preserve"> over the first six years of listing (</w:t>
      </w:r>
      <w:r w:rsidR="000B323F">
        <w:t>100,000</w:t>
      </w:r>
      <w:r w:rsidR="006F0672">
        <w:t> </w:t>
      </w:r>
      <w:r w:rsidR="000B323F">
        <w:t>to</w:t>
      </w:r>
      <w:r w:rsidR="006F0672">
        <w:t> </w:t>
      </w:r>
      <w:r w:rsidR="000B323F">
        <w:t>&lt;</w:t>
      </w:r>
      <w:r w:rsidR="006F0672">
        <w:t> </w:t>
      </w:r>
      <w:r w:rsidR="000B323F">
        <w:t>200,000</w:t>
      </w:r>
      <w:r w:rsidR="004B403D" w:rsidRPr="000B323F">
        <w:t xml:space="preserve"> </w:t>
      </w:r>
      <w:r w:rsidR="00EE6203" w:rsidRPr="000B323F">
        <w:t>in Year 1</w:t>
      </w:r>
      <w:r w:rsidRPr="000B323F">
        <w:t xml:space="preserve"> to</w:t>
      </w:r>
      <w:r w:rsidR="00C123C8" w:rsidRPr="000B323F">
        <w:t xml:space="preserve"> </w:t>
      </w:r>
      <w:r w:rsidR="000B323F">
        <w:t>90,000</w:t>
      </w:r>
      <w:r w:rsidR="006F0672">
        <w:t> </w:t>
      </w:r>
      <w:r w:rsidR="000B323F">
        <w:t>to</w:t>
      </w:r>
      <w:r w:rsidR="006F0672">
        <w:t> </w:t>
      </w:r>
      <w:r w:rsidR="000B323F">
        <w:t>&lt;</w:t>
      </w:r>
      <w:r w:rsidR="006F0672">
        <w:t> </w:t>
      </w:r>
      <w:r w:rsidR="000B323F">
        <w:t>100,000</w:t>
      </w:r>
      <w:r w:rsidR="004B403D" w:rsidRPr="000B323F">
        <w:t xml:space="preserve"> </w:t>
      </w:r>
      <w:r w:rsidR="00EE6203" w:rsidRPr="000B323F">
        <w:t xml:space="preserve">in </w:t>
      </w:r>
      <w:r w:rsidR="0012070D" w:rsidRPr="000B323F">
        <w:t>Year </w:t>
      </w:r>
      <w:r w:rsidR="00EE6203" w:rsidRPr="000B323F">
        <w:t>6</w:t>
      </w:r>
      <w:r w:rsidRPr="000B323F">
        <w:t>).</w:t>
      </w:r>
      <w:r w:rsidR="00721AAE" w:rsidRPr="000B323F">
        <w:t xml:space="preserve"> </w:t>
      </w:r>
    </w:p>
    <w:p w14:paraId="1CB9184E" w14:textId="7E5C352D" w:rsidR="00E02E68" w:rsidRPr="000B323F" w:rsidRDefault="000A02F8" w:rsidP="00593DF6">
      <w:pPr>
        <w:pStyle w:val="3Bodytext"/>
        <w:jc w:val="both"/>
      </w:pPr>
      <w:r w:rsidRPr="000B323F">
        <w:t xml:space="preserve">The submission </w:t>
      </w:r>
      <w:r w:rsidR="00D70349" w:rsidRPr="000B323F">
        <w:t>estimated</w:t>
      </w:r>
      <w:r w:rsidR="00DC19B5" w:rsidRPr="000B323F">
        <w:t xml:space="preserve"> that the</w:t>
      </w:r>
      <w:r w:rsidR="00D70349" w:rsidRPr="000B323F">
        <w:t xml:space="preserve"> net financial impact to the PBS/RPBS for the listing of </w:t>
      </w:r>
      <w:r w:rsidR="00C4415F" w:rsidRPr="000B323F">
        <w:t xml:space="preserve">Exarane and Exarane Forte </w:t>
      </w:r>
      <w:r w:rsidR="00DC19B5" w:rsidRPr="000B323F">
        <w:t>would be a</w:t>
      </w:r>
      <w:r w:rsidR="00C4415F" w:rsidRPr="000B323F">
        <w:t xml:space="preserve"> net saving of</w:t>
      </w:r>
      <w:r w:rsidR="00D70349" w:rsidRPr="000B323F">
        <w:t xml:space="preserve"> $</w:t>
      </w:r>
      <w:r w:rsidR="000B323F">
        <w:t>0</w:t>
      </w:r>
      <w:r w:rsidR="006F0672">
        <w:t> </w:t>
      </w:r>
      <w:r w:rsidR="000B323F">
        <w:t>to</w:t>
      </w:r>
      <w:r w:rsidR="006F0672">
        <w:t> </w:t>
      </w:r>
      <w:r w:rsidR="000B323F">
        <w:t>&lt;</w:t>
      </w:r>
      <w:r w:rsidR="006F0672">
        <w:t> </w:t>
      </w:r>
      <w:r w:rsidR="000B323F">
        <w:t>$10 million</w:t>
      </w:r>
      <w:r w:rsidR="00D70349" w:rsidRPr="000B323F">
        <w:t xml:space="preserve"> over six years (Year 1 </w:t>
      </w:r>
      <w:r w:rsidR="00C4415F" w:rsidRPr="000B323F">
        <w:t>$</w:t>
      </w:r>
      <w:r w:rsidR="000B323F">
        <w:t>0</w:t>
      </w:r>
      <w:r w:rsidR="006F0672">
        <w:t> </w:t>
      </w:r>
      <w:r w:rsidR="000B323F">
        <w:t>to</w:t>
      </w:r>
      <w:r w:rsidR="006F0672">
        <w:t> </w:t>
      </w:r>
      <w:r w:rsidR="000B323F">
        <w:t>&lt;</w:t>
      </w:r>
      <w:r w:rsidR="006F0672">
        <w:t> </w:t>
      </w:r>
      <w:r w:rsidR="000B323F">
        <w:t>$10 million</w:t>
      </w:r>
      <w:r w:rsidR="00C4415F" w:rsidRPr="000B323F">
        <w:t xml:space="preserve"> </w:t>
      </w:r>
      <w:r w:rsidR="00D70349" w:rsidRPr="000B323F">
        <w:t xml:space="preserve">to Year 6 </w:t>
      </w:r>
      <w:r w:rsidR="00C4415F" w:rsidRPr="000B323F">
        <w:t>$</w:t>
      </w:r>
      <w:r w:rsidR="000B323F">
        <w:t>0</w:t>
      </w:r>
      <w:r w:rsidR="006F0672">
        <w:t> </w:t>
      </w:r>
      <w:r w:rsidR="000B323F">
        <w:t>to</w:t>
      </w:r>
      <w:r w:rsidR="006F0672">
        <w:t> </w:t>
      </w:r>
      <w:r w:rsidR="000B323F">
        <w:t>&lt;</w:t>
      </w:r>
      <w:r w:rsidR="006F0672">
        <w:t> </w:t>
      </w:r>
      <w:r w:rsidR="000B323F">
        <w:t>$10 million</w:t>
      </w:r>
      <w:r w:rsidR="00D70349" w:rsidRPr="000B323F">
        <w:t>).</w:t>
      </w:r>
    </w:p>
    <w:p w14:paraId="279166B6" w14:textId="0B5A10C2" w:rsidR="00361915" w:rsidRPr="00E02E68" w:rsidRDefault="00E02E68" w:rsidP="00593DF6">
      <w:pPr>
        <w:pStyle w:val="3Bodytext"/>
        <w:jc w:val="both"/>
        <w:rPr>
          <w:rFonts w:cstheme="minorHAnsi"/>
          <w:szCs w:val="24"/>
        </w:rPr>
      </w:pPr>
      <w:bookmarkStart w:id="21" w:name="_Ref136594135"/>
      <w:r w:rsidRPr="00392DD5">
        <w:t xml:space="preserve">As a Category </w:t>
      </w:r>
      <w:r>
        <w:t>3</w:t>
      </w:r>
      <w:r w:rsidRPr="00392DD5">
        <w:t xml:space="preserve"> submission, the </w:t>
      </w:r>
      <w:r w:rsidR="007B6E09">
        <w:t>financial</w:t>
      </w:r>
      <w:r w:rsidR="007B6E09" w:rsidRPr="00392DD5">
        <w:t xml:space="preserve"> </w:t>
      </w:r>
      <w:r w:rsidRPr="00392DD5">
        <w:t>analysis has not been independently evaluated.</w:t>
      </w:r>
      <w:bookmarkEnd w:id="21"/>
    </w:p>
    <w:p w14:paraId="5AC25BEF" w14:textId="77777777" w:rsidR="00361915" w:rsidRPr="00647620" w:rsidRDefault="00361915" w:rsidP="00593DF6">
      <w:pPr>
        <w:pStyle w:val="4-SubsectionHeading"/>
      </w:pPr>
      <w:r w:rsidRPr="00647620">
        <w:t>Quality Use of Medicines</w:t>
      </w:r>
    </w:p>
    <w:p w14:paraId="6D21A960" w14:textId="72256284" w:rsidR="00D70349" w:rsidRDefault="00361915" w:rsidP="00593DF6">
      <w:pPr>
        <w:pStyle w:val="3Bodytext"/>
        <w:jc w:val="both"/>
      </w:pPr>
      <w:r>
        <w:t>The submission claimed that the listing of Exarane and Exarane Forte would provide a therapeutically equivalent alternative to Clexane Safety-Lock</w:t>
      </w:r>
      <w:r w:rsidR="00720145">
        <w:t>, which would</w:t>
      </w:r>
      <w:r>
        <w:t xml:space="preserve"> ensure ongoing patient access to treatment in the event of disruption to the supply of medicines. </w:t>
      </w:r>
    </w:p>
    <w:p w14:paraId="5285918D" w14:textId="45BC9BA1" w:rsidR="00361915" w:rsidRPr="007C079F" w:rsidRDefault="00361915" w:rsidP="00593DF6">
      <w:pPr>
        <w:pStyle w:val="3Bodytext"/>
        <w:jc w:val="both"/>
      </w:pPr>
      <w:r>
        <w:t xml:space="preserve">The submission claimed that the listing of Exarane Forte </w:t>
      </w:r>
      <w:r w:rsidR="00C115AF">
        <w:t>120 </w:t>
      </w:r>
      <w:r>
        <w:t>mg/0.</w:t>
      </w:r>
      <w:r w:rsidR="00C115AF">
        <w:t>8 </w:t>
      </w:r>
      <w:r>
        <w:t>m</w:t>
      </w:r>
      <w:r w:rsidR="00F70850">
        <w:t>L</w:t>
      </w:r>
      <w:r>
        <w:t xml:space="preserve"> and 150</w:t>
      </w:r>
      <w:r w:rsidR="00BD3662">
        <w:t> </w:t>
      </w:r>
      <w:r>
        <w:t xml:space="preserve">mg/mL injections would reduce treatment burden on patients in need of higher doses of enoxaparin, while increasing patient compliance, clinical </w:t>
      </w:r>
      <w:proofErr w:type="gramStart"/>
      <w:r>
        <w:t>outcomes</w:t>
      </w:r>
      <w:proofErr w:type="gramEnd"/>
      <w:r>
        <w:t xml:space="preserve"> and cost savings for patients. </w:t>
      </w:r>
    </w:p>
    <w:p w14:paraId="1AFA9066" w14:textId="77777777" w:rsidR="00934473" w:rsidRPr="0090150D" w:rsidRDefault="00934473" w:rsidP="00723104">
      <w:pPr>
        <w:pStyle w:val="2-SectionHeading"/>
      </w:pPr>
      <w:bookmarkStart w:id="22" w:name="_Hlk76381249"/>
      <w:bookmarkStart w:id="23" w:name="_Hlk76377955"/>
      <w:r w:rsidRPr="0090150D">
        <w:t>PBAC Outcome</w:t>
      </w:r>
    </w:p>
    <w:p w14:paraId="47F5D36C" w14:textId="553CB061" w:rsidR="00F70850" w:rsidRPr="00F70850" w:rsidRDefault="00934473" w:rsidP="005E2207">
      <w:pPr>
        <w:pStyle w:val="3Bodytext"/>
        <w:jc w:val="both"/>
        <w:rPr>
          <w:snapToGrid w:val="0"/>
          <w:lang w:val="en-GB"/>
        </w:rPr>
      </w:pPr>
      <w:r w:rsidRPr="00CE42B4">
        <w:rPr>
          <w:snapToGrid w:val="0"/>
          <w:lang w:val="en-GB"/>
        </w:rPr>
        <w:t xml:space="preserve">The PBAC recommended the </w:t>
      </w:r>
      <w:r w:rsidR="00753E89">
        <w:rPr>
          <w:snapToGrid w:val="0"/>
          <w:lang w:val="en-GB"/>
        </w:rPr>
        <w:t>listing of</w:t>
      </w:r>
      <w:r w:rsidR="007B6E09">
        <w:rPr>
          <w:snapToGrid w:val="0"/>
          <w:lang w:val="en-GB"/>
        </w:rPr>
        <w:t xml:space="preserve"> the</w:t>
      </w:r>
      <w:r w:rsidR="00753E89">
        <w:rPr>
          <w:snapToGrid w:val="0"/>
          <w:lang w:val="en-GB"/>
        </w:rPr>
        <w:t xml:space="preserve"> </w:t>
      </w:r>
      <w:r w:rsidR="00DE0A65" w:rsidRPr="006233D1">
        <w:rPr>
          <w:rFonts w:cstheme="minorHAnsi"/>
          <w:szCs w:val="24"/>
        </w:rPr>
        <w:t xml:space="preserve">biosimilar </w:t>
      </w:r>
      <w:r w:rsidR="00DE0A65">
        <w:rPr>
          <w:rFonts w:cstheme="minorHAnsi"/>
          <w:szCs w:val="24"/>
        </w:rPr>
        <w:t>brand of</w:t>
      </w:r>
      <w:r w:rsidR="00DE0A65" w:rsidRPr="006233D1">
        <w:rPr>
          <w:rFonts w:cstheme="minorHAnsi"/>
          <w:szCs w:val="24"/>
        </w:rPr>
        <w:t xml:space="preserve"> enoxaparin</w:t>
      </w:r>
      <w:r w:rsidR="007B6E09">
        <w:rPr>
          <w:rFonts w:cstheme="minorHAnsi"/>
          <w:szCs w:val="24"/>
        </w:rPr>
        <w:t>,</w:t>
      </w:r>
      <w:r w:rsidR="00DE0A65" w:rsidRPr="006233D1">
        <w:rPr>
          <w:rFonts w:cstheme="minorHAnsi"/>
          <w:szCs w:val="24"/>
        </w:rPr>
        <w:t xml:space="preserve"> </w:t>
      </w:r>
      <w:r w:rsidR="00DE0A65">
        <w:rPr>
          <w:rFonts w:cstheme="minorHAnsi"/>
          <w:szCs w:val="24"/>
        </w:rPr>
        <w:t>Exarane™</w:t>
      </w:r>
      <w:r w:rsidR="007B6E09">
        <w:rPr>
          <w:rFonts w:cstheme="minorHAnsi"/>
          <w:szCs w:val="24"/>
        </w:rPr>
        <w:t>,</w:t>
      </w:r>
      <w:r w:rsidR="00F67F74">
        <w:rPr>
          <w:rFonts w:cstheme="minorHAnsi"/>
          <w:szCs w:val="24"/>
        </w:rPr>
        <w:t xml:space="preserve"> </w:t>
      </w:r>
      <w:r w:rsidR="00DE0A65" w:rsidRPr="008031DA">
        <w:rPr>
          <w:rFonts w:cstheme="minorHAnsi"/>
          <w:szCs w:val="24"/>
        </w:rPr>
        <w:t xml:space="preserve">on the General Schedule </w:t>
      </w:r>
      <w:r w:rsidR="00DE0A65">
        <w:rPr>
          <w:rFonts w:cstheme="minorHAnsi"/>
          <w:szCs w:val="24"/>
        </w:rPr>
        <w:t>(</w:t>
      </w:r>
      <w:r w:rsidR="00DE0A65" w:rsidRPr="008031DA">
        <w:rPr>
          <w:rFonts w:cstheme="minorHAnsi"/>
          <w:szCs w:val="24"/>
        </w:rPr>
        <w:t>Section 85</w:t>
      </w:r>
      <w:r w:rsidR="00DE0A65">
        <w:rPr>
          <w:rFonts w:cstheme="minorHAnsi"/>
          <w:szCs w:val="24"/>
        </w:rPr>
        <w:t>)</w:t>
      </w:r>
      <w:r w:rsidR="00C37DB5">
        <w:rPr>
          <w:rFonts w:cstheme="minorHAnsi"/>
          <w:szCs w:val="24"/>
        </w:rPr>
        <w:t xml:space="preserve"> on a cost-minimisation basis</w:t>
      </w:r>
      <w:r w:rsidR="00DE0A65" w:rsidRPr="008031DA">
        <w:rPr>
          <w:rFonts w:cstheme="minorHAnsi"/>
          <w:szCs w:val="24"/>
        </w:rPr>
        <w:t xml:space="preserve"> </w:t>
      </w:r>
      <w:r w:rsidR="00DE0A65">
        <w:rPr>
          <w:rFonts w:cstheme="minorHAnsi"/>
          <w:szCs w:val="24"/>
        </w:rPr>
        <w:t>under the same circumstances</w:t>
      </w:r>
      <w:r w:rsidR="00DE0A65" w:rsidRPr="00EF4580">
        <w:rPr>
          <w:rFonts w:cstheme="minorHAnsi"/>
          <w:szCs w:val="24"/>
        </w:rPr>
        <w:t xml:space="preserve"> as </w:t>
      </w:r>
      <w:r w:rsidR="00DE0A65">
        <w:rPr>
          <w:rFonts w:cstheme="minorHAnsi"/>
          <w:szCs w:val="24"/>
        </w:rPr>
        <w:t>the</w:t>
      </w:r>
      <w:r w:rsidR="00DE0A65" w:rsidRPr="00EF4580">
        <w:rPr>
          <w:rFonts w:cstheme="minorHAnsi"/>
          <w:szCs w:val="24"/>
        </w:rPr>
        <w:t xml:space="preserve"> PBS-listed reference </w:t>
      </w:r>
      <w:r w:rsidR="00DE0A65" w:rsidRPr="006233D1">
        <w:rPr>
          <w:rFonts w:cstheme="minorHAnsi"/>
          <w:szCs w:val="24"/>
        </w:rPr>
        <w:t xml:space="preserve">biologic Clexane </w:t>
      </w:r>
      <w:r w:rsidR="00DE0A65">
        <w:rPr>
          <w:rFonts w:cstheme="minorHAnsi"/>
          <w:szCs w:val="24"/>
        </w:rPr>
        <w:t>S</w:t>
      </w:r>
      <w:r w:rsidR="00DE0A65" w:rsidRPr="006233D1">
        <w:rPr>
          <w:rFonts w:cstheme="minorHAnsi"/>
          <w:szCs w:val="24"/>
        </w:rPr>
        <w:t>afety-</w:t>
      </w:r>
      <w:r w:rsidR="00DE0A65">
        <w:rPr>
          <w:rFonts w:cstheme="minorHAnsi"/>
          <w:szCs w:val="24"/>
        </w:rPr>
        <w:t>L</w:t>
      </w:r>
      <w:r w:rsidR="00DE0A65" w:rsidRPr="006233D1">
        <w:rPr>
          <w:rFonts w:cstheme="minorHAnsi"/>
          <w:szCs w:val="24"/>
        </w:rPr>
        <w:t>ock®</w:t>
      </w:r>
      <w:r w:rsidR="00753E89">
        <w:rPr>
          <w:rFonts w:cstheme="minorHAnsi"/>
          <w:szCs w:val="24"/>
        </w:rPr>
        <w:t>. The PBAC also recommended the listing of two new strengths of enoxaparin, 120 mg in 0.</w:t>
      </w:r>
      <w:r w:rsidR="007E4ECE">
        <w:rPr>
          <w:rFonts w:cstheme="minorHAnsi"/>
          <w:szCs w:val="24"/>
        </w:rPr>
        <w:t>8 </w:t>
      </w:r>
      <w:r w:rsidR="00753E89">
        <w:rPr>
          <w:rFonts w:cstheme="minorHAnsi"/>
          <w:szCs w:val="24"/>
        </w:rPr>
        <w:t>mL and 150 mg in 1 mL (Exarane Forte</w:t>
      </w:r>
      <w:r w:rsidR="00F67F74">
        <w:rPr>
          <w:rFonts w:cstheme="minorHAnsi"/>
          <w:szCs w:val="24"/>
        </w:rPr>
        <w:t>™</w:t>
      </w:r>
      <w:r w:rsidR="00753E89">
        <w:rPr>
          <w:rFonts w:cstheme="minorHAnsi"/>
          <w:szCs w:val="24"/>
        </w:rPr>
        <w:t>)</w:t>
      </w:r>
      <w:r w:rsidR="00C37DB5">
        <w:rPr>
          <w:rFonts w:cstheme="minorHAnsi"/>
          <w:szCs w:val="24"/>
        </w:rPr>
        <w:t xml:space="preserve"> </w:t>
      </w:r>
      <w:r w:rsidRPr="00CE42B4">
        <w:rPr>
          <w:snapToGrid w:val="0"/>
          <w:lang w:val="en-GB"/>
        </w:rPr>
        <w:t xml:space="preserve">on </w:t>
      </w:r>
      <w:r w:rsidR="006306DF">
        <w:rPr>
          <w:snapToGrid w:val="0"/>
          <w:lang w:val="en-GB"/>
        </w:rPr>
        <w:t xml:space="preserve">a </w:t>
      </w:r>
      <w:r w:rsidR="00EA372D">
        <w:rPr>
          <w:snapToGrid w:val="0"/>
          <w:lang w:val="en-GB"/>
        </w:rPr>
        <w:t>cost-</w:t>
      </w:r>
      <w:r w:rsidR="006306DF">
        <w:rPr>
          <w:snapToGrid w:val="0"/>
          <w:lang w:val="en-GB"/>
        </w:rPr>
        <w:t>minimisation</w:t>
      </w:r>
      <w:r w:rsidR="00C37DB5">
        <w:rPr>
          <w:snapToGrid w:val="0"/>
          <w:lang w:val="en-GB"/>
        </w:rPr>
        <w:t xml:space="preserve"> basis</w:t>
      </w:r>
      <w:r w:rsidR="006306DF">
        <w:rPr>
          <w:snapToGrid w:val="0"/>
          <w:lang w:val="en-GB"/>
        </w:rPr>
        <w:t xml:space="preserve"> </w:t>
      </w:r>
      <w:r w:rsidR="00753E89">
        <w:rPr>
          <w:snapToGrid w:val="0"/>
          <w:lang w:val="en-GB"/>
        </w:rPr>
        <w:t xml:space="preserve">with the least costly alternative </w:t>
      </w:r>
      <w:r w:rsidR="00EA372D">
        <w:rPr>
          <w:snapToGrid w:val="0"/>
          <w:lang w:val="en-GB"/>
        </w:rPr>
        <w:t xml:space="preserve">enoxaparin </w:t>
      </w:r>
      <w:r w:rsidR="00753E89">
        <w:rPr>
          <w:snapToGrid w:val="0"/>
          <w:lang w:val="en-GB"/>
        </w:rPr>
        <w:t>presentation on a per milligram basis</w:t>
      </w:r>
      <w:r w:rsidR="00432DA2">
        <w:rPr>
          <w:snapToGrid w:val="0"/>
          <w:lang w:val="en-GB"/>
        </w:rPr>
        <w:t>.</w:t>
      </w:r>
      <w:r w:rsidR="00753E89">
        <w:rPr>
          <w:snapToGrid w:val="0"/>
          <w:lang w:val="en-GB"/>
        </w:rPr>
        <w:t xml:space="preserve"> </w:t>
      </w:r>
    </w:p>
    <w:p w14:paraId="32F949B0" w14:textId="14BA30C0" w:rsidR="00DE0A65" w:rsidRPr="00DE0A65" w:rsidRDefault="00432DA2" w:rsidP="005E2207">
      <w:pPr>
        <w:pStyle w:val="3Bodytext"/>
        <w:jc w:val="both"/>
        <w:rPr>
          <w:snapToGrid w:val="0"/>
          <w:lang w:val="en-GB"/>
        </w:rPr>
      </w:pPr>
      <w:r>
        <w:rPr>
          <w:rFonts w:cstheme="minorHAnsi"/>
          <w:szCs w:val="24"/>
        </w:rPr>
        <w:t>The PBAC considered that the nomination of Clexane-Safety Lock as</w:t>
      </w:r>
      <w:r w:rsidR="007B6E09">
        <w:rPr>
          <w:rFonts w:cstheme="minorHAnsi"/>
          <w:szCs w:val="24"/>
        </w:rPr>
        <w:t xml:space="preserve"> the</w:t>
      </w:r>
      <w:r>
        <w:rPr>
          <w:rFonts w:cstheme="minorHAnsi"/>
          <w:szCs w:val="24"/>
        </w:rPr>
        <w:t xml:space="preserve"> comparator was appropriate. </w:t>
      </w:r>
      <w:r w:rsidR="00F70850">
        <w:rPr>
          <w:rFonts w:cstheme="minorHAnsi"/>
          <w:szCs w:val="24"/>
        </w:rPr>
        <w:t xml:space="preserve">The PBAC </w:t>
      </w:r>
      <w:r>
        <w:rPr>
          <w:rFonts w:cstheme="minorHAnsi"/>
          <w:szCs w:val="24"/>
        </w:rPr>
        <w:t xml:space="preserve">noted and </w:t>
      </w:r>
      <w:r w:rsidR="00F70850">
        <w:rPr>
          <w:rFonts w:cstheme="minorHAnsi"/>
          <w:szCs w:val="24"/>
        </w:rPr>
        <w:t>considered that</w:t>
      </w:r>
      <w:r w:rsidR="00C37DB5">
        <w:rPr>
          <w:rFonts w:cstheme="minorHAnsi"/>
          <w:szCs w:val="24"/>
        </w:rPr>
        <w:t xml:space="preserve"> the</w:t>
      </w:r>
      <w:r>
        <w:rPr>
          <w:rFonts w:cstheme="minorHAnsi"/>
          <w:szCs w:val="24"/>
        </w:rPr>
        <w:t xml:space="preserve"> submission’s</w:t>
      </w:r>
      <w:r w:rsidR="00C37DB5">
        <w:rPr>
          <w:rFonts w:cstheme="minorHAnsi"/>
          <w:szCs w:val="24"/>
        </w:rPr>
        <w:t xml:space="preserve"> claim</w:t>
      </w:r>
      <w:r>
        <w:rPr>
          <w:rFonts w:cstheme="minorHAnsi"/>
          <w:szCs w:val="24"/>
        </w:rPr>
        <w:t xml:space="preserve"> that Exarane and Exarane Forte</w:t>
      </w:r>
      <w:r w:rsidR="00C37DB5">
        <w:rPr>
          <w:rFonts w:cstheme="minorHAnsi"/>
          <w:szCs w:val="24"/>
        </w:rPr>
        <w:t xml:space="preserve"> </w:t>
      </w:r>
      <w:r w:rsidR="007B6E09">
        <w:rPr>
          <w:rFonts w:cstheme="minorHAnsi"/>
          <w:szCs w:val="24"/>
        </w:rPr>
        <w:t>are</w:t>
      </w:r>
      <w:r>
        <w:rPr>
          <w:rFonts w:cstheme="minorHAnsi"/>
          <w:szCs w:val="24"/>
        </w:rPr>
        <w:t xml:space="preserve"> non-inferior in terms of efficacy and safety to the comparator,</w:t>
      </w:r>
      <w:r w:rsidR="00C37DB5">
        <w:rPr>
          <w:rFonts w:cstheme="minorHAnsi"/>
          <w:szCs w:val="24"/>
        </w:rPr>
        <w:t xml:space="preserve"> </w:t>
      </w:r>
      <w:r w:rsidR="00DE0A65">
        <w:rPr>
          <w:rFonts w:cstheme="minorHAnsi"/>
          <w:szCs w:val="24"/>
        </w:rPr>
        <w:t>Clexane Safety-Lock</w:t>
      </w:r>
      <w:r w:rsidR="007B6E09">
        <w:rPr>
          <w:rFonts w:cstheme="minorHAnsi"/>
          <w:szCs w:val="24"/>
        </w:rPr>
        <w:t>,</w:t>
      </w:r>
      <w:r w:rsidR="00DE0A65">
        <w:rPr>
          <w:rFonts w:cstheme="minorHAnsi"/>
          <w:szCs w:val="24"/>
        </w:rPr>
        <w:t xml:space="preserve"> </w:t>
      </w:r>
      <w:r>
        <w:rPr>
          <w:rFonts w:cstheme="minorHAnsi"/>
          <w:szCs w:val="24"/>
        </w:rPr>
        <w:t>to be</w:t>
      </w:r>
      <w:r w:rsidR="00C37DB5">
        <w:rPr>
          <w:rFonts w:cstheme="minorHAnsi"/>
          <w:szCs w:val="24"/>
        </w:rPr>
        <w:t xml:space="preserve"> </w:t>
      </w:r>
      <w:r w:rsidR="00DE0A65">
        <w:rPr>
          <w:rFonts w:cstheme="minorHAnsi"/>
          <w:szCs w:val="24"/>
        </w:rPr>
        <w:t>reasonable</w:t>
      </w:r>
      <w:r w:rsidR="004D4658">
        <w:rPr>
          <w:rFonts w:cstheme="minorHAnsi"/>
          <w:szCs w:val="24"/>
        </w:rPr>
        <w:t xml:space="preserve"> and </w:t>
      </w:r>
      <w:r w:rsidR="007B6E09">
        <w:rPr>
          <w:rFonts w:cstheme="minorHAnsi"/>
          <w:szCs w:val="24"/>
        </w:rPr>
        <w:t>consistent with</w:t>
      </w:r>
      <w:r w:rsidR="00C37DB5">
        <w:rPr>
          <w:rFonts w:cstheme="minorHAnsi"/>
          <w:szCs w:val="24"/>
        </w:rPr>
        <w:t xml:space="preserve"> the TGA Delegate’s Overview</w:t>
      </w:r>
      <w:r w:rsidR="00DE0A65">
        <w:rPr>
          <w:rFonts w:cstheme="minorHAnsi"/>
          <w:szCs w:val="24"/>
        </w:rPr>
        <w:t>.</w:t>
      </w:r>
    </w:p>
    <w:p w14:paraId="2C2459D3" w14:textId="74C2D5FF" w:rsidR="00F70850" w:rsidRPr="00F70850" w:rsidRDefault="00DE0A65" w:rsidP="005E2207">
      <w:pPr>
        <w:pStyle w:val="3Bodytext"/>
        <w:jc w:val="both"/>
        <w:rPr>
          <w:snapToGrid w:val="0"/>
          <w:lang w:val="en-GB"/>
        </w:rPr>
      </w:pPr>
      <w:r w:rsidRPr="00CE42B4">
        <w:rPr>
          <w:rFonts w:cs="Arial"/>
          <w:snapToGrid w:val="0"/>
          <w:szCs w:val="20"/>
        </w:rPr>
        <w:t xml:space="preserve">The PBAC </w:t>
      </w:r>
      <w:r w:rsidR="00432DA2">
        <w:rPr>
          <w:rFonts w:cs="Arial"/>
          <w:snapToGrid w:val="0"/>
          <w:szCs w:val="20"/>
        </w:rPr>
        <w:t>advised that the listing of the 20 mg/0.2 mL, 40 mg/0.4 mL, 60 mg/0.</w:t>
      </w:r>
      <w:r w:rsidR="007E4ECE">
        <w:rPr>
          <w:rFonts w:cs="Arial"/>
          <w:snapToGrid w:val="0"/>
          <w:szCs w:val="20"/>
        </w:rPr>
        <w:t>6 </w:t>
      </w:r>
      <w:r w:rsidR="00432DA2">
        <w:rPr>
          <w:rFonts w:cs="Arial"/>
          <w:snapToGrid w:val="0"/>
          <w:szCs w:val="20"/>
        </w:rPr>
        <w:t xml:space="preserve">mL 80 mg/0.8 mL and 100 mg/mL of Exarane be based on </w:t>
      </w:r>
      <w:r w:rsidR="00F70850">
        <w:rPr>
          <w:rFonts w:cstheme="minorHAnsi"/>
          <w:szCs w:val="24"/>
        </w:rPr>
        <w:t>equi-effective dose</w:t>
      </w:r>
      <w:r w:rsidR="00432DA2">
        <w:rPr>
          <w:rFonts w:cstheme="minorHAnsi"/>
          <w:szCs w:val="24"/>
        </w:rPr>
        <w:t>s</w:t>
      </w:r>
      <w:r w:rsidR="00F70850">
        <w:rPr>
          <w:rFonts w:cstheme="minorHAnsi"/>
          <w:szCs w:val="24"/>
        </w:rPr>
        <w:t xml:space="preserve"> of</w:t>
      </w:r>
      <w:r w:rsidR="00432DA2">
        <w:rPr>
          <w:rFonts w:cstheme="minorHAnsi"/>
          <w:szCs w:val="24"/>
        </w:rPr>
        <w:t xml:space="preserve"> each corresponding PBS listed formulation of Clexane Safety-Lock</w:t>
      </w:r>
      <w:r w:rsidR="00F70850">
        <w:rPr>
          <w:rFonts w:cstheme="minorHAnsi"/>
          <w:szCs w:val="24"/>
        </w:rPr>
        <w:t>:</w:t>
      </w:r>
    </w:p>
    <w:p w14:paraId="4CD0CF19" w14:textId="5E4B5D30" w:rsidR="00934473" w:rsidRPr="00CE42B4" w:rsidRDefault="00F70850" w:rsidP="00F70850">
      <w:pPr>
        <w:pStyle w:val="3Bodytext"/>
        <w:numPr>
          <w:ilvl w:val="0"/>
          <w:numId w:val="42"/>
        </w:numPr>
        <w:ind w:left="1134"/>
        <w:jc w:val="both"/>
        <w:rPr>
          <w:snapToGrid w:val="0"/>
          <w:lang w:val="en-GB"/>
        </w:rPr>
      </w:pPr>
      <w:r>
        <w:rPr>
          <w:rFonts w:cstheme="minorHAnsi"/>
          <w:szCs w:val="24"/>
        </w:rPr>
        <w:t>1 mg Exarane/Exarane Forte = 1 mg Clexane Safety-Lock.</w:t>
      </w:r>
    </w:p>
    <w:p w14:paraId="54793651" w14:textId="1889F57D" w:rsidR="00934473" w:rsidRPr="00CE42B4" w:rsidRDefault="00432DA2" w:rsidP="005E2207">
      <w:pPr>
        <w:pStyle w:val="3Bodytext"/>
        <w:jc w:val="both"/>
        <w:rPr>
          <w:snapToGrid w:val="0"/>
          <w:lang w:val="en-GB"/>
        </w:rPr>
      </w:pPr>
      <w:bookmarkStart w:id="24" w:name="_Hlk140572475"/>
      <w:r>
        <w:rPr>
          <w:snapToGrid w:val="0"/>
          <w:lang w:val="en-GB"/>
        </w:rPr>
        <w:t>In making its recommendation about the listing of the two new strengths (</w:t>
      </w:r>
      <w:r w:rsidR="007E4ECE">
        <w:rPr>
          <w:snapToGrid w:val="0"/>
          <w:lang w:val="en-GB"/>
        </w:rPr>
        <w:t>120 </w:t>
      </w:r>
      <w:r>
        <w:rPr>
          <w:snapToGrid w:val="0"/>
          <w:lang w:val="en-GB"/>
        </w:rPr>
        <w:t>mg/0.</w:t>
      </w:r>
      <w:r w:rsidR="007E4ECE">
        <w:rPr>
          <w:snapToGrid w:val="0"/>
          <w:lang w:val="en-GB"/>
        </w:rPr>
        <w:t>8 </w:t>
      </w:r>
      <w:r>
        <w:rPr>
          <w:snapToGrid w:val="0"/>
          <w:lang w:val="en-GB"/>
        </w:rPr>
        <w:t>mL and 150</w:t>
      </w:r>
      <w:r w:rsidR="004D4658">
        <w:rPr>
          <w:snapToGrid w:val="0"/>
          <w:lang w:val="en-GB"/>
        </w:rPr>
        <w:t> </w:t>
      </w:r>
      <w:r>
        <w:rPr>
          <w:snapToGrid w:val="0"/>
          <w:lang w:val="en-GB"/>
        </w:rPr>
        <w:t>mg/mL), t</w:t>
      </w:r>
      <w:r w:rsidR="00DE0A65">
        <w:rPr>
          <w:snapToGrid w:val="0"/>
          <w:lang w:val="en-GB"/>
        </w:rPr>
        <w:t>he PBAC acknowledged the c</w:t>
      </w:r>
      <w:r w:rsidR="00934473" w:rsidRPr="00CE42B4">
        <w:rPr>
          <w:snapToGrid w:val="0"/>
          <w:lang w:val="en-GB"/>
        </w:rPr>
        <w:t>linical need</w:t>
      </w:r>
      <w:r w:rsidR="00DE0A65">
        <w:rPr>
          <w:snapToGrid w:val="0"/>
          <w:lang w:val="en-GB"/>
        </w:rPr>
        <w:t xml:space="preserve"> for higher-strength enoxaparin</w:t>
      </w:r>
      <w:r>
        <w:rPr>
          <w:snapToGrid w:val="0"/>
          <w:lang w:val="en-GB"/>
        </w:rPr>
        <w:t xml:space="preserve"> that will reduce injection burden</w:t>
      </w:r>
      <w:r w:rsidR="00723104">
        <w:rPr>
          <w:snapToGrid w:val="0"/>
          <w:lang w:val="en-GB"/>
        </w:rPr>
        <w:t xml:space="preserve"> and may improve patient compliance</w:t>
      </w:r>
      <w:r w:rsidR="00F67F74">
        <w:rPr>
          <w:snapToGrid w:val="0"/>
          <w:lang w:val="en-GB"/>
        </w:rPr>
        <w:t>.</w:t>
      </w:r>
      <w:r>
        <w:rPr>
          <w:snapToGrid w:val="0"/>
          <w:lang w:val="en-GB"/>
        </w:rPr>
        <w:t xml:space="preserve"> </w:t>
      </w:r>
    </w:p>
    <w:bookmarkEnd w:id="24"/>
    <w:p w14:paraId="40373BE5" w14:textId="11EB63FA" w:rsidR="00934473" w:rsidRPr="00387F4F" w:rsidRDefault="00DE0A65" w:rsidP="00387F4F">
      <w:pPr>
        <w:pStyle w:val="3Bodytext"/>
        <w:jc w:val="both"/>
        <w:rPr>
          <w:snapToGrid w:val="0"/>
          <w:lang w:val="en-GB"/>
        </w:rPr>
      </w:pPr>
      <w:r>
        <w:rPr>
          <w:snapToGrid w:val="0"/>
          <w:lang w:val="en-GB"/>
        </w:rPr>
        <w:t xml:space="preserve">The PBAC considered that </w:t>
      </w:r>
      <w:r w:rsidR="007B05F7">
        <w:rPr>
          <w:snapToGrid w:val="0"/>
          <w:lang w:val="en-GB"/>
        </w:rPr>
        <w:t xml:space="preserve">Exarane Forte </w:t>
      </w:r>
      <w:r w:rsidR="00750976">
        <w:rPr>
          <w:snapToGrid w:val="0"/>
          <w:lang w:val="en-GB"/>
        </w:rPr>
        <w:t xml:space="preserve">should be </w:t>
      </w:r>
      <w:r>
        <w:rPr>
          <w:snapToGrid w:val="0"/>
          <w:lang w:val="en-GB"/>
        </w:rPr>
        <w:t>cost-minimis</w:t>
      </w:r>
      <w:r w:rsidR="00750976">
        <w:rPr>
          <w:snapToGrid w:val="0"/>
          <w:lang w:val="en-GB"/>
        </w:rPr>
        <w:t>ed</w:t>
      </w:r>
      <w:r>
        <w:rPr>
          <w:snapToGrid w:val="0"/>
          <w:lang w:val="en-GB"/>
        </w:rPr>
        <w:t xml:space="preserve"> </w:t>
      </w:r>
      <w:r w:rsidR="00817F2C">
        <w:rPr>
          <w:snapToGrid w:val="0"/>
          <w:lang w:val="en-GB"/>
        </w:rPr>
        <w:t xml:space="preserve">to the least costly alternative </w:t>
      </w:r>
      <w:r w:rsidR="00944B4C">
        <w:rPr>
          <w:snapToGrid w:val="0"/>
          <w:lang w:val="en-GB"/>
        </w:rPr>
        <w:t>on a mg/mL basis</w:t>
      </w:r>
      <w:r w:rsidR="00817F2C">
        <w:rPr>
          <w:snapToGrid w:val="0"/>
          <w:lang w:val="en-GB"/>
        </w:rPr>
        <w:t>.</w:t>
      </w:r>
    </w:p>
    <w:p w14:paraId="2201A50C" w14:textId="2B5A580C" w:rsidR="00934473" w:rsidRPr="00C37DB5" w:rsidRDefault="00944B4C" w:rsidP="005E2207">
      <w:pPr>
        <w:pStyle w:val="3Bodytext"/>
        <w:jc w:val="both"/>
      </w:pPr>
      <w:r>
        <w:rPr>
          <w:snapToGrid w:val="0"/>
          <w:lang w:val="en-GB"/>
        </w:rPr>
        <w:t>The PBAC</w:t>
      </w:r>
      <w:r w:rsidR="00432DA2">
        <w:rPr>
          <w:snapToGrid w:val="0"/>
          <w:lang w:val="en-GB"/>
        </w:rPr>
        <w:t xml:space="preserve"> </w:t>
      </w:r>
      <w:r w:rsidR="00FA2142">
        <w:rPr>
          <w:snapToGrid w:val="0"/>
          <w:lang w:val="en-GB"/>
        </w:rPr>
        <w:t>agreed</w:t>
      </w:r>
      <w:r w:rsidR="00432DA2" w:rsidRPr="00432DA2">
        <w:rPr>
          <w:snapToGrid w:val="0"/>
          <w:lang w:val="en-GB"/>
        </w:rPr>
        <w:t xml:space="preserve"> </w:t>
      </w:r>
      <w:r w:rsidR="00432DA2" w:rsidRPr="00CE42B4">
        <w:rPr>
          <w:snapToGrid w:val="0"/>
          <w:lang w:val="en-GB"/>
        </w:rPr>
        <w:t>th</w:t>
      </w:r>
      <w:r w:rsidR="00432DA2">
        <w:rPr>
          <w:snapToGrid w:val="0"/>
          <w:lang w:val="en-GB"/>
        </w:rPr>
        <w:t xml:space="preserve">at Exarane </w:t>
      </w:r>
      <w:r w:rsidR="00FA2142">
        <w:rPr>
          <w:snapToGrid w:val="0"/>
          <w:lang w:val="en-GB"/>
        </w:rPr>
        <w:t>would replace use within the existing enoxaparin market</w:t>
      </w:r>
      <w:r w:rsidR="00432DA2">
        <w:rPr>
          <w:snapToGrid w:val="0"/>
          <w:lang w:val="en-GB"/>
        </w:rPr>
        <w:t xml:space="preserve"> </w:t>
      </w:r>
      <w:r w:rsidR="00FA2142">
        <w:rPr>
          <w:snapToGrid w:val="0"/>
          <w:lang w:val="en-GB"/>
        </w:rPr>
        <w:t xml:space="preserve">and not </w:t>
      </w:r>
      <w:r w:rsidR="00432DA2">
        <w:rPr>
          <w:snapToGrid w:val="0"/>
          <w:lang w:val="en-GB"/>
        </w:rPr>
        <w:t xml:space="preserve">grow the current utilisation. Further, the PBAC noted that the listing of Exarane Forte would result in a minor save </w:t>
      </w:r>
      <w:r w:rsidR="00FA2142">
        <w:rPr>
          <w:snapToGrid w:val="0"/>
          <w:lang w:val="en-GB"/>
        </w:rPr>
        <w:t xml:space="preserve">if </w:t>
      </w:r>
      <w:r w:rsidR="00432DA2">
        <w:rPr>
          <w:snapToGrid w:val="0"/>
          <w:lang w:val="en-GB"/>
        </w:rPr>
        <w:t xml:space="preserve">these new strengths replace </w:t>
      </w:r>
      <w:r w:rsidR="00EA372D">
        <w:rPr>
          <w:snapToGrid w:val="0"/>
          <w:lang w:val="en-GB"/>
        </w:rPr>
        <w:t>combinations</w:t>
      </w:r>
      <w:r w:rsidR="00432DA2">
        <w:rPr>
          <w:snapToGrid w:val="0"/>
          <w:lang w:val="en-GB"/>
        </w:rPr>
        <w:t xml:space="preserve"> of lower strength</w:t>
      </w:r>
      <w:r w:rsidR="00EA372D">
        <w:rPr>
          <w:snapToGrid w:val="0"/>
          <w:lang w:val="en-GB"/>
        </w:rPr>
        <w:t xml:space="preserve"> presentation</w:t>
      </w:r>
      <w:r w:rsidR="00432DA2">
        <w:rPr>
          <w:snapToGrid w:val="0"/>
          <w:lang w:val="en-GB"/>
        </w:rPr>
        <w:t>s with a higher cost per</w:t>
      </w:r>
      <w:r w:rsidR="00F67F74">
        <w:rPr>
          <w:snapToGrid w:val="0"/>
          <w:lang w:val="en-GB"/>
        </w:rPr>
        <w:t xml:space="preserve"> </w:t>
      </w:r>
      <w:r w:rsidR="00432DA2">
        <w:rPr>
          <w:snapToGrid w:val="0"/>
          <w:lang w:val="en-GB"/>
        </w:rPr>
        <w:t>milligram to reach the required dose. The PBAC therefore considered</w:t>
      </w:r>
      <w:r>
        <w:rPr>
          <w:snapToGrid w:val="0"/>
          <w:lang w:val="en-GB"/>
        </w:rPr>
        <w:t xml:space="preserve"> the </w:t>
      </w:r>
      <w:proofErr w:type="gramStart"/>
      <w:r>
        <w:rPr>
          <w:snapToGrid w:val="0"/>
          <w:lang w:val="en-GB"/>
        </w:rPr>
        <w:t>financial</w:t>
      </w:r>
      <w:r w:rsidR="00934473" w:rsidRPr="00CE42B4">
        <w:rPr>
          <w:snapToGrid w:val="0"/>
          <w:lang w:val="en-GB"/>
        </w:rPr>
        <w:t xml:space="preserve"> </w:t>
      </w:r>
      <w:r w:rsidR="00432DA2">
        <w:rPr>
          <w:snapToGrid w:val="0"/>
          <w:lang w:val="en-GB"/>
        </w:rPr>
        <w:t>impact</w:t>
      </w:r>
      <w:proofErr w:type="gramEnd"/>
      <w:r w:rsidR="00432DA2">
        <w:rPr>
          <w:snapToGrid w:val="0"/>
          <w:lang w:val="en-GB"/>
        </w:rPr>
        <w:t xml:space="preserve"> to the PBS/RPBS for listing of Exarane and Exarane Forte to be</w:t>
      </w:r>
      <w:r w:rsidR="00934473" w:rsidRPr="00CE42B4">
        <w:rPr>
          <w:snapToGrid w:val="0"/>
          <w:lang w:val="en-GB"/>
        </w:rPr>
        <w:t xml:space="preserve"> reasonable</w:t>
      </w:r>
      <w:r w:rsidR="00432DA2">
        <w:rPr>
          <w:snapToGrid w:val="0"/>
          <w:lang w:val="en-GB"/>
        </w:rPr>
        <w:t>.</w:t>
      </w:r>
      <w:r w:rsidR="00934473" w:rsidRPr="00CE42B4">
        <w:rPr>
          <w:snapToGrid w:val="0"/>
          <w:lang w:val="en-GB"/>
        </w:rPr>
        <w:t xml:space="preserve"> </w:t>
      </w:r>
    </w:p>
    <w:p w14:paraId="015EBD86" w14:textId="5C27D834" w:rsidR="00C37DB5" w:rsidRPr="00CE42B4" w:rsidRDefault="00C37DB5" w:rsidP="005E2207">
      <w:pPr>
        <w:pStyle w:val="3Bodytext"/>
        <w:jc w:val="both"/>
      </w:pPr>
      <w:r w:rsidRPr="00C37DB5">
        <w:t xml:space="preserve">The PBAC advised that the addition of an administrative note to encourage the uptake of biosimilar prescribing for treatment naïve patients would be appropriate, in accordance with the </w:t>
      </w:r>
      <w:r w:rsidR="00586F54">
        <w:t>Government</w:t>
      </w:r>
      <w:r w:rsidR="00586F54" w:rsidRPr="00C37DB5">
        <w:t xml:space="preserve">’s </w:t>
      </w:r>
      <w:r w:rsidR="00586F54">
        <w:t>policy to encourage the use of biosimilar medicines</w:t>
      </w:r>
      <w:r w:rsidRPr="00C37DB5">
        <w:t>. The PBAC noted that it is not possible to implement the other biosimilar uptake driver of a less restrictive</w:t>
      </w:r>
      <w:r w:rsidR="00691166">
        <w:t xml:space="preserve"> Authority Required type</w:t>
      </w:r>
      <w:r w:rsidRPr="00C37DB5">
        <w:t xml:space="preserve"> listing in this instance</w:t>
      </w:r>
      <w:r w:rsidR="00817F2C">
        <w:t>, as enoxaparin has Restricted Benefit and Unrestricted listings</w:t>
      </w:r>
      <w:r w:rsidR="00691166">
        <w:t>.</w:t>
      </w:r>
    </w:p>
    <w:p w14:paraId="39C186FF" w14:textId="4A18AEC2" w:rsidR="00F44034" w:rsidRPr="00F44034" w:rsidRDefault="00F44034" w:rsidP="005E2207">
      <w:pPr>
        <w:pStyle w:val="3Bodytext"/>
        <w:jc w:val="both"/>
      </w:pPr>
      <w:r w:rsidRPr="00F44034">
        <w:t>The PBAC advise</w:t>
      </w:r>
      <w:r>
        <w:t>d</w:t>
      </w:r>
      <w:r w:rsidRPr="00F44034">
        <w:t xml:space="preserve">, under Section 101 (4AACD) of the </w:t>
      </w:r>
      <w:r w:rsidRPr="00F44034">
        <w:rPr>
          <w:i/>
          <w:iCs/>
        </w:rPr>
        <w:t>National Health Act 1953</w:t>
      </w:r>
      <w:r w:rsidR="00432DA2">
        <w:rPr>
          <w:i/>
          <w:iCs/>
        </w:rPr>
        <w:t>,</w:t>
      </w:r>
      <w:r w:rsidRPr="00F44034">
        <w:t xml:space="preserve"> </w:t>
      </w:r>
      <w:r>
        <w:t>that</w:t>
      </w:r>
      <w:r w:rsidRPr="00F44034">
        <w:t xml:space="preserve"> in the Schedule of Pharmaceutical Benefits</w:t>
      </w:r>
      <w:r w:rsidR="00432DA2">
        <w:t>,</w:t>
      </w:r>
      <w:r w:rsidRPr="00F44034">
        <w:t xml:space="preserve"> Exarane</w:t>
      </w:r>
      <w:r w:rsidR="00C37DB5">
        <w:t>, Exarane Forte</w:t>
      </w:r>
      <w:r w:rsidRPr="00F44034">
        <w:t xml:space="preserve"> and Clexane Safety-Lock should be </w:t>
      </w:r>
      <w:r>
        <w:t>considered</w:t>
      </w:r>
      <w:r w:rsidRPr="00F44034">
        <w:t xml:space="preserve"> equivalent for the purposes of substitution (i.e. ‘a’ flagged in the </w:t>
      </w:r>
      <w:r w:rsidR="00432DA2">
        <w:t>S</w:t>
      </w:r>
      <w:r w:rsidRPr="00F44034">
        <w:t>chedule</w:t>
      </w:r>
      <w:r w:rsidR="00432DA2">
        <w:t xml:space="preserve"> with a NOTE stating PBS brand of one form and PBS brand of another form are equivalent for the purposes of substitu</w:t>
      </w:r>
      <w:r w:rsidR="008803DE">
        <w:t>t</w:t>
      </w:r>
      <w:r w:rsidR="00432DA2">
        <w:t>ion</w:t>
      </w:r>
      <w:r>
        <w:rPr>
          <w:bCs/>
          <w:snapToGrid w:val="0"/>
          <w:lang w:val="en-GB"/>
        </w:rPr>
        <w:t>).</w:t>
      </w:r>
    </w:p>
    <w:p w14:paraId="6C659734" w14:textId="77777777" w:rsidR="00C37DB5" w:rsidRPr="00C37DB5" w:rsidRDefault="00C37DB5" w:rsidP="005E2207">
      <w:pPr>
        <w:pStyle w:val="3Bodytext"/>
        <w:jc w:val="both"/>
        <w:rPr>
          <w:b/>
          <w:bCs/>
          <w:lang w:val="en-GB"/>
        </w:rPr>
      </w:pPr>
      <w:r w:rsidRPr="00C37DB5">
        <w:rPr>
          <w:bCs/>
          <w:snapToGrid w:val="0"/>
          <w:lang w:val="en-GB"/>
        </w:rPr>
        <w:t>The PBAC advised no change to current arrangements for nurse practitioner prescribing or the Early Supply Rule for enoxaparin.</w:t>
      </w:r>
    </w:p>
    <w:p w14:paraId="3073379D" w14:textId="395426E9" w:rsidR="005E2207" w:rsidRPr="005E2207" w:rsidRDefault="00934473" w:rsidP="005E2207">
      <w:pPr>
        <w:pStyle w:val="3Bodytext"/>
        <w:jc w:val="both"/>
        <w:rPr>
          <w:b/>
          <w:bCs/>
          <w:lang w:val="en-GB"/>
        </w:rPr>
      </w:pPr>
      <w:r w:rsidRPr="00D121C5">
        <w:rPr>
          <w:lang w:val="en-GB"/>
        </w:rPr>
        <w:t>The PBAC noted that its recommendation was on a cost-minimisation basis and advised that, because</w:t>
      </w:r>
      <w:r w:rsidR="005E2207">
        <w:rPr>
          <w:lang w:val="en-GB"/>
        </w:rPr>
        <w:t xml:space="preserve"> enoxaparin</w:t>
      </w:r>
      <w:r w:rsidRPr="00D121C5">
        <w:rPr>
          <w:lang w:val="en-GB"/>
        </w:rPr>
        <w:t xml:space="preserve"> is not expected to provide a substantial</w:t>
      </w:r>
      <w:r w:rsidRPr="00D121C5">
        <w:rPr>
          <w:bCs/>
          <w:lang w:val="en-GB"/>
        </w:rPr>
        <w:t xml:space="preserve"> and</w:t>
      </w:r>
      <w:r w:rsidRPr="00531A05">
        <w:rPr>
          <w:bCs/>
          <w:lang w:val="en-GB"/>
        </w:rPr>
        <w:t xml:space="preserve"> clinically relevant improvement in efficacy, or reduction of toxicity, over the comparator, </w:t>
      </w:r>
      <w:r w:rsidR="005E2207">
        <w:rPr>
          <w:bCs/>
          <w:lang w:val="en-GB"/>
        </w:rPr>
        <w:t>and is</w:t>
      </w:r>
      <w:r w:rsidRPr="00531A05">
        <w:rPr>
          <w:bCs/>
          <w:lang w:val="en-GB"/>
        </w:rPr>
        <w:t xml:space="preserve"> not expected to address a high and urgent unmet clinical need given the presence of an alternative therapy, the criteria prescribed by the </w:t>
      </w:r>
      <w:r w:rsidRPr="007A5703">
        <w:rPr>
          <w:bCs/>
          <w:i/>
          <w:lang w:val="en-GB"/>
        </w:rPr>
        <w:t>National Health (Pharmaceuticals and Vaccines – Cost Recovery) Regulations 20</w:t>
      </w:r>
      <w:r>
        <w:rPr>
          <w:bCs/>
          <w:i/>
          <w:lang w:val="en-GB"/>
        </w:rPr>
        <w:t>22</w:t>
      </w:r>
      <w:r w:rsidRPr="00531A05">
        <w:rPr>
          <w:bCs/>
          <w:lang w:val="en-GB"/>
        </w:rPr>
        <w:t xml:space="preserve"> for Pricing Pathway A were not met.</w:t>
      </w:r>
    </w:p>
    <w:p w14:paraId="0F5E3558" w14:textId="141CE95F" w:rsidR="00934473" w:rsidRDefault="00934473" w:rsidP="005E2207">
      <w:pPr>
        <w:pStyle w:val="3Bodytext"/>
        <w:jc w:val="both"/>
        <w:rPr>
          <w:bCs/>
          <w:i/>
          <w:snapToGrid w:val="0"/>
          <w:lang w:val="en-GB"/>
        </w:rPr>
      </w:pPr>
      <w:r w:rsidRPr="00525B39">
        <w:rPr>
          <w:bCs/>
          <w:snapToGrid w:val="0"/>
          <w:lang w:val="en-GB"/>
        </w:rPr>
        <w:t xml:space="preserve">The PBAC noted that this submission is not eligible for an Independent Review. </w:t>
      </w:r>
      <w:r w:rsidRPr="005E2207">
        <w:rPr>
          <w:bCs/>
          <w:iCs/>
          <w:snapToGrid w:val="0"/>
          <w:lang w:val="en-GB"/>
        </w:rPr>
        <w:t>Independent Review is not available where</w:t>
      </w:r>
      <w:r w:rsidR="005E2207" w:rsidRPr="005E2207">
        <w:rPr>
          <w:bCs/>
          <w:iCs/>
          <w:snapToGrid w:val="0"/>
          <w:lang w:val="en-GB"/>
        </w:rPr>
        <w:t xml:space="preserve"> the</w:t>
      </w:r>
      <w:r w:rsidRPr="005E2207">
        <w:rPr>
          <w:bCs/>
          <w:iCs/>
          <w:snapToGrid w:val="0"/>
          <w:lang w:val="en-GB"/>
        </w:rPr>
        <w:t xml:space="preserve"> PBAC makes a positive recommendation</w:t>
      </w:r>
      <w:r w:rsidR="005E2207" w:rsidRPr="005E2207">
        <w:rPr>
          <w:bCs/>
          <w:iCs/>
          <w:snapToGrid w:val="0"/>
          <w:lang w:val="en-GB"/>
        </w:rPr>
        <w:t>.</w:t>
      </w:r>
    </w:p>
    <w:p w14:paraId="7771F700" w14:textId="77777777" w:rsidR="00934473" w:rsidRPr="00525B39" w:rsidRDefault="00934473" w:rsidP="00934473">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6A1DBBE0" w14:textId="57726362" w:rsidR="00934473" w:rsidRPr="00525B39" w:rsidRDefault="00934473" w:rsidP="00934473">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bookmarkEnd w:id="22"/>
    <w:p w14:paraId="5F6BE23A" w14:textId="77777777" w:rsidR="00934473" w:rsidRPr="00F237A4" w:rsidRDefault="00934473" w:rsidP="0012070D">
      <w:pPr>
        <w:pStyle w:val="2-SectionHeading"/>
        <w:rPr>
          <w:b w:val="0"/>
          <w:iCs/>
          <w:lang w:val="en-GB"/>
        </w:rPr>
      </w:pPr>
      <w:r w:rsidRPr="00525B39">
        <w:rPr>
          <w:lang w:val="en-GB"/>
        </w:rPr>
        <w:t>Recommended listing</w:t>
      </w:r>
    </w:p>
    <w:p w14:paraId="56905AE0" w14:textId="4696855F" w:rsidR="00B603EB" w:rsidRPr="00B1401E" w:rsidRDefault="00934473" w:rsidP="00B603EB">
      <w:pPr>
        <w:widowControl w:val="0"/>
        <w:numPr>
          <w:ilvl w:val="1"/>
          <w:numId w:val="2"/>
        </w:numPr>
        <w:spacing w:after="120"/>
        <w:contextualSpacing/>
        <w:rPr>
          <w:rFonts w:asciiTheme="minorHAnsi" w:hAnsiTheme="minorHAnsi" w:cs="Arial"/>
          <w:b/>
          <w:bCs/>
          <w:snapToGrid w:val="0"/>
        </w:rPr>
      </w:pPr>
      <w:r w:rsidRPr="00C7632F">
        <w:rPr>
          <w:rFonts w:asciiTheme="minorHAnsi" w:hAnsiTheme="minorHAnsi" w:cs="Arial"/>
          <w:bCs/>
          <w:snapToGrid w:val="0"/>
        </w:rPr>
        <w:t>Add new item</w:t>
      </w:r>
      <w:r w:rsidR="00B603EB">
        <w:rPr>
          <w:rFonts w:asciiTheme="minorHAnsi" w:hAnsiTheme="minorHAnsi" w:cs="Arial"/>
          <w:bCs/>
          <w:snapToGrid w:val="0"/>
        </w:rPr>
        <w:t xml:space="preserve"> and note as follows</w:t>
      </w:r>
      <w:r w:rsidRPr="00C7632F">
        <w:rPr>
          <w:rFonts w:asciiTheme="minorHAnsi" w:hAnsiTheme="minorHAnsi" w:cs="Arial"/>
          <w:bCs/>
          <w:snapToGrid w:val="0"/>
        </w:rPr>
        <w:t>:</w:t>
      </w:r>
      <w:bookmarkStart w:id="25" w:name="_Hlk76377978"/>
      <w:bookmarkEnd w:id="23"/>
    </w:p>
    <w:p w14:paraId="178765A1" w14:textId="77777777" w:rsidR="00FE2E74" w:rsidRPr="00B603EB" w:rsidRDefault="00FE2E74" w:rsidP="00B1401E">
      <w:pPr>
        <w:widowControl w:val="0"/>
        <w:spacing w:after="120"/>
        <w:ind w:left="720"/>
        <w:contextualSpacing/>
        <w:rPr>
          <w:rFonts w:asciiTheme="minorHAnsi" w:hAnsiTheme="minorHAnsi" w:cs="Arial"/>
          <w:b/>
          <w:bCs/>
          <w:snapToGrid w:val="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850"/>
        <w:gridCol w:w="851"/>
        <w:gridCol w:w="850"/>
        <w:gridCol w:w="709"/>
        <w:gridCol w:w="1843"/>
      </w:tblGrid>
      <w:tr w:rsidR="00B603EB" w:rsidRPr="0079778C" w14:paraId="681B8F6D" w14:textId="77777777" w:rsidTr="00203DF0">
        <w:trPr>
          <w:cantSplit/>
          <w:trHeight w:val="471"/>
        </w:trPr>
        <w:tc>
          <w:tcPr>
            <w:tcW w:w="3823" w:type="dxa"/>
          </w:tcPr>
          <w:p w14:paraId="7AFB1C03" w14:textId="77777777" w:rsidR="00B603EB" w:rsidRPr="0079778C" w:rsidRDefault="00B603EB" w:rsidP="00383ADB">
            <w:pPr>
              <w:keepNext/>
              <w:ind w:left="-108"/>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Name, Restriction,</w:t>
            </w:r>
          </w:p>
          <w:p w14:paraId="0E6E9ABA" w14:textId="77777777" w:rsidR="00B603EB" w:rsidRPr="0079778C" w:rsidRDefault="00B603EB" w:rsidP="00383ADB">
            <w:pPr>
              <w:keepNext/>
              <w:ind w:left="-108"/>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Manner of administration and form</w:t>
            </w:r>
          </w:p>
        </w:tc>
        <w:tc>
          <w:tcPr>
            <w:tcW w:w="850" w:type="dxa"/>
          </w:tcPr>
          <w:p w14:paraId="443279F5" w14:textId="77777777" w:rsidR="00B603EB" w:rsidRPr="0079778C" w:rsidRDefault="00B603EB" w:rsidP="00383ADB">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PBS item code</w:t>
            </w:r>
          </w:p>
        </w:tc>
        <w:tc>
          <w:tcPr>
            <w:tcW w:w="851" w:type="dxa"/>
          </w:tcPr>
          <w:p w14:paraId="5F7D822B" w14:textId="77777777" w:rsidR="00B603EB" w:rsidRPr="0079778C" w:rsidRDefault="00B603EB" w:rsidP="00383ADB">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Max. qty packs</w:t>
            </w:r>
          </w:p>
        </w:tc>
        <w:tc>
          <w:tcPr>
            <w:tcW w:w="850" w:type="dxa"/>
          </w:tcPr>
          <w:p w14:paraId="6CF7A77A" w14:textId="77777777" w:rsidR="00B603EB" w:rsidRPr="0079778C" w:rsidRDefault="00B603EB" w:rsidP="00383ADB">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Max. qty units</w:t>
            </w:r>
          </w:p>
        </w:tc>
        <w:tc>
          <w:tcPr>
            <w:tcW w:w="709" w:type="dxa"/>
          </w:tcPr>
          <w:p w14:paraId="73E0D6D2" w14:textId="77777777" w:rsidR="00B603EB" w:rsidRPr="0079778C" w:rsidRDefault="00B603EB" w:rsidP="00383ADB">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№.of</w:t>
            </w:r>
          </w:p>
          <w:p w14:paraId="139E3EE3" w14:textId="77777777" w:rsidR="00B603EB" w:rsidRPr="0079778C" w:rsidRDefault="00B603EB" w:rsidP="00383ADB">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Rpts</w:t>
            </w:r>
          </w:p>
        </w:tc>
        <w:tc>
          <w:tcPr>
            <w:tcW w:w="1843" w:type="dxa"/>
          </w:tcPr>
          <w:p w14:paraId="38DF4309" w14:textId="77777777" w:rsidR="00B603EB" w:rsidRPr="0079778C" w:rsidRDefault="00B603EB" w:rsidP="00383ADB">
            <w:pPr>
              <w:keepNext/>
              <w:jc w:val="left"/>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Available brands</w:t>
            </w:r>
          </w:p>
        </w:tc>
      </w:tr>
      <w:tr w:rsidR="00B603EB" w:rsidRPr="0079778C" w14:paraId="14164187" w14:textId="77777777" w:rsidTr="00203DF0">
        <w:trPr>
          <w:cantSplit/>
          <w:trHeight w:val="761"/>
        </w:trPr>
        <w:tc>
          <w:tcPr>
            <w:tcW w:w="3823" w:type="dxa"/>
          </w:tcPr>
          <w:p w14:paraId="045A3CAA" w14:textId="77777777" w:rsidR="00B603EB" w:rsidRPr="0079778C" w:rsidRDefault="00B603EB" w:rsidP="00383ADB">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 xml:space="preserve">ENOXAPARIN  </w:t>
            </w:r>
          </w:p>
          <w:p w14:paraId="14D60719" w14:textId="77777777" w:rsidR="00B603EB" w:rsidRPr="0079778C" w:rsidRDefault="00B603EB" w:rsidP="00383ADB">
            <w:pPr>
              <w:keepNext/>
              <w:ind w:left="-108"/>
              <w:rPr>
                <w:rFonts w:ascii="Arial Narrow" w:eastAsia="Calibri" w:hAnsi="Arial Narrow" w:cs="Arial"/>
                <w:sz w:val="20"/>
                <w:szCs w:val="20"/>
                <w:lang w:eastAsia="en-US"/>
              </w:rPr>
            </w:pPr>
          </w:p>
          <w:p w14:paraId="71DB0C8A" w14:textId="77777777" w:rsidR="00B603EB" w:rsidRPr="0079778C" w:rsidRDefault="00B603EB" w:rsidP="00383ADB">
            <w:pPr>
              <w:keepNext/>
              <w:ind w:left="-108"/>
              <w:rPr>
                <w:rFonts w:ascii="Arial Narrow" w:eastAsia="Calibri" w:hAnsi="Arial Narrow" w:cs="Arial"/>
                <w:sz w:val="20"/>
                <w:szCs w:val="20"/>
                <w:lang w:eastAsia="en-US"/>
              </w:rPr>
            </w:pPr>
            <w:r w:rsidRPr="003745E9">
              <w:rPr>
                <w:rFonts w:ascii="Arial Narrow" w:eastAsia="Calibri" w:hAnsi="Arial Narrow" w:cs="Arial"/>
                <w:sz w:val="20"/>
                <w:szCs w:val="20"/>
                <w:lang w:eastAsia="en-US"/>
              </w:rPr>
              <w:t>enoxaparin sodium 20 mg/0.2 mL injection, 10 x</w:t>
            </w:r>
            <w:r w:rsidRPr="0079778C">
              <w:rPr>
                <w:rFonts w:ascii="Arial Narrow" w:eastAsia="Calibri" w:hAnsi="Arial Narrow" w:cs="Arial"/>
                <w:sz w:val="20"/>
                <w:szCs w:val="20"/>
                <w:lang w:eastAsia="en-US"/>
              </w:rPr>
              <w:t xml:space="preserve"> 0.2</w:t>
            </w:r>
            <w:r>
              <w:rPr>
                <w:rFonts w:ascii="Arial Narrow" w:eastAsia="Calibri" w:hAnsi="Arial Narrow" w:cs="Arial"/>
                <w:sz w:val="20"/>
                <w:szCs w:val="20"/>
                <w:lang w:eastAsia="en-US"/>
              </w:rPr>
              <w:t> </w:t>
            </w:r>
            <w:r w:rsidRPr="0079778C">
              <w:rPr>
                <w:rFonts w:ascii="Arial Narrow" w:eastAsia="Calibri" w:hAnsi="Arial Narrow" w:cs="Arial"/>
                <w:sz w:val="20"/>
                <w:szCs w:val="20"/>
                <w:lang w:eastAsia="en-US"/>
              </w:rPr>
              <w:t>mL syringes</w:t>
            </w:r>
          </w:p>
        </w:tc>
        <w:tc>
          <w:tcPr>
            <w:tcW w:w="850" w:type="dxa"/>
          </w:tcPr>
          <w:p w14:paraId="7B7D0EC1" w14:textId="77777777" w:rsidR="00B603EB" w:rsidRPr="0079778C" w:rsidRDefault="00B603EB" w:rsidP="00383ADB">
            <w:pPr>
              <w:keepNext/>
              <w:jc w:val="center"/>
              <w:rPr>
                <w:rFonts w:ascii="Arial Narrow" w:eastAsia="Calibri" w:hAnsi="Arial Narrow" w:cs="Arial"/>
                <w:sz w:val="20"/>
                <w:szCs w:val="20"/>
                <w:lang w:eastAsia="en-US"/>
              </w:rPr>
            </w:pPr>
          </w:p>
          <w:p w14:paraId="07ABEF70" w14:textId="77777777" w:rsidR="00B603EB" w:rsidRPr="0079778C" w:rsidRDefault="00B603EB" w:rsidP="00383ADB">
            <w:pPr>
              <w:keepNext/>
              <w:ind w:left="-108"/>
              <w:jc w:val="center"/>
              <w:rPr>
                <w:rFonts w:ascii="Arial Narrow" w:eastAsia="Calibri" w:hAnsi="Arial Narrow" w:cs="Arial"/>
                <w:sz w:val="20"/>
                <w:szCs w:val="20"/>
                <w:lang w:eastAsia="en-US"/>
              </w:rPr>
            </w:pPr>
          </w:p>
          <w:p w14:paraId="6A0D4FC3" w14:textId="77777777" w:rsidR="00B603EB" w:rsidRPr="0079778C" w:rsidRDefault="00B603EB" w:rsidP="00383ADB">
            <w:pPr>
              <w:keepNext/>
              <w:ind w:left="-113"/>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8558K</w:t>
            </w:r>
          </w:p>
        </w:tc>
        <w:tc>
          <w:tcPr>
            <w:tcW w:w="851" w:type="dxa"/>
          </w:tcPr>
          <w:p w14:paraId="1BB9CEE6" w14:textId="77777777" w:rsidR="00B603EB" w:rsidRPr="0079778C" w:rsidRDefault="00B603EB" w:rsidP="00383ADB">
            <w:pPr>
              <w:keepNext/>
              <w:jc w:val="center"/>
              <w:rPr>
                <w:rFonts w:ascii="Arial Narrow" w:eastAsia="Calibri" w:hAnsi="Arial Narrow" w:cs="Arial"/>
                <w:sz w:val="20"/>
                <w:szCs w:val="20"/>
                <w:lang w:eastAsia="en-US"/>
              </w:rPr>
            </w:pPr>
          </w:p>
          <w:p w14:paraId="424305FA" w14:textId="77777777" w:rsidR="00B603EB" w:rsidRPr="0079778C" w:rsidRDefault="00B603EB" w:rsidP="00383ADB">
            <w:pPr>
              <w:keepNext/>
              <w:ind w:left="-108"/>
              <w:jc w:val="center"/>
              <w:rPr>
                <w:rFonts w:ascii="Arial Narrow" w:eastAsia="Calibri" w:hAnsi="Arial Narrow" w:cs="Arial"/>
                <w:sz w:val="20"/>
                <w:szCs w:val="20"/>
                <w:lang w:eastAsia="en-US"/>
              </w:rPr>
            </w:pPr>
          </w:p>
          <w:p w14:paraId="2049190B"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2F5290F1" w14:textId="77777777" w:rsidR="00B603EB" w:rsidRPr="0079778C" w:rsidRDefault="00B603EB" w:rsidP="00383ADB">
            <w:pPr>
              <w:keepNext/>
              <w:ind w:left="-108"/>
              <w:jc w:val="center"/>
              <w:rPr>
                <w:rFonts w:ascii="Arial Narrow" w:eastAsia="Calibri" w:hAnsi="Arial Narrow" w:cs="Arial"/>
                <w:sz w:val="20"/>
                <w:szCs w:val="20"/>
                <w:lang w:eastAsia="en-US"/>
              </w:rPr>
            </w:pPr>
          </w:p>
          <w:p w14:paraId="0D8F2E24" w14:textId="77777777" w:rsidR="00B603EB" w:rsidRDefault="00B603EB" w:rsidP="00383ADB">
            <w:pPr>
              <w:keepNext/>
              <w:jc w:val="center"/>
              <w:rPr>
                <w:rFonts w:ascii="Arial Narrow" w:eastAsia="Calibri" w:hAnsi="Arial Narrow" w:cs="Arial"/>
                <w:sz w:val="20"/>
                <w:szCs w:val="20"/>
                <w:lang w:eastAsia="en-US"/>
              </w:rPr>
            </w:pPr>
          </w:p>
          <w:p w14:paraId="48E9E495"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4FF3093C" w14:textId="77777777" w:rsidR="00B603EB" w:rsidRPr="0079778C" w:rsidRDefault="00B603EB" w:rsidP="00383ADB">
            <w:pPr>
              <w:keepNext/>
              <w:ind w:left="-108"/>
              <w:jc w:val="center"/>
              <w:rPr>
                <w:rFonts w:ascii="Arial Narrow" w:eastAsia="Calibri" w:hAnsi="Arial Narrow" w:cs="Arial"/>
                <w:sz w:val="20"/>
                <w:szCs w:val="20"/>
                <w:lang w:eastAsia="en-US"/>
              </w:rPr>
            </w:pPr>
          </w:p>
          <w:p w14:paraId="39B62C39" w14:textId="77777777" w:rsidR="00B603EB" w:rsidRPr="0079778C" w:rsidRDefault="00B603EB" w:rsidP="00383ADB">
            <w:pPr>
              <w:keepNext/>
              <w:ind w:left="-108"/>
              <w:jc w:val="center"/>
              <w:rPr>
                <w:rFonts w:ascii="Arial Narrow" w:eastAsia="Calibri" w:hAnsi="Arial Narrow" w:cs="Arial"/>
                <w:sz w:val="20"/>
                <w:szCs w:val="20"/>
                <w:lang w:eastAsia="en-US"/>
              </w:rPr>
            </w:pPr>
          </w:p>
          <w:p w14:paraId="1CCB4FFD"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843" w:type="dxa"/>
            <w:vAlign w:val="center"/>
          </w:tcPr>
          <w:p w14:paraId="3EC8691D" w14:textId="77777777" w:rsidR="00B603EB" w:rsidRPr="0079778C" w:rsidRDefault="00B603EB" w:rsidP="00383ADB">
            <w:pPr>
              <w:keepNext/>
              <w:jc w:val="left"/>
              <w:rPr>
                <w:rFonts w:ascii="Arial Narrow" w:eastAsia="Calibri" w:hAnsi="Arial Narrow" w:cs="Arial"/>
                <w:sz w:val="20"/>
                <w:szCs w:val="20"/>
                <w:vertAlign w:val="superscript"/>
                <w:lang w:eastAsia="en-US"/>
              </w:rPr>
            </w:pPr>
            <w:r w:rsidRPr="0079778C">
              <w:rPr>
                <w:rFonts w:ascii="Arial Narrow" w:eastAsia="Calibri" w:hAnsi="Arial Narrow" w:cs="Arial"/>
                <w:sz w:val="20"/>
                <w:szCs w:val="20"/>
                <w:lang w:eastAsia="en-US"/>
              </w:rPr>
              <w:t xml:space="preserve">Clexane Safety-Lock </w:t>
            </w:r>
            <w:r w:rsidRPr="0079778C">
              <w:rPr>
                <w:rFonts w:ascii="Arial Narrow" w:eastAsia="Calibri" w:hAnsi="Arial Narrow" w:cs="Arial"/>
                <w:sz w:val="20"/>
                <w:szCs w:val="20"/>
                <w:vertAlign w:val="superscript"/>
                <w:lang w:eastAsia="en-US"/>
              </w:rPr>
              <w:t>a</w:t>
            </w:r>
          </w:p>
          <w:p w14:paraId="29754CF6" w14:textId="77777777" w:rsidR="00B603EB" w:rsidRPr="0079778C" w:rsidRDefault="00B603EB" w:rsidP="00383ADB">
            <w:pPr>
              <w:keepNext/>
              <w:jc w:val="left"/>
              <w:rPr>
                <w:rFonts w:ascii="Arial Narrow" w:eastAsia="Calibri" w:hAnsi="Arial Narrow" w:cs="Arial"/>
                <w:i/>
                <w:sz w:val="20"/>
                <w:szCs w:val="20"/>
                <w:vertAlign w:val="superscript"/>
                <w:lang w:eastAsia="en-US"/>
              </w:rPr>
            </w:pPr>
            <w:r w:rsidRPr="00623B3D">
              <w:rPr>
                <w:rFonts w:ascii="Arial Narrow" w:eastAsia="Calibri" w:hAnsi="Arial Narrow" w:cs="Arial"/>
                <w:sz w:val="20"/>
                <w:szCs w:val="20"/>
                <w:lang w:eastAsia="en-US"/>
              </w:rPr>
              <w:t>Exarane</w:t>
            </w:r>
            <w:r w:rsidRPr="0079778C">
              <w:rPr>
                <w:rFonts w:ascii="Arial Narrow" w:eastAsia="Calibri" w:hAnsi="Arial Narrow" w:cs="Arial"/>
                <w:sz w:val="20"/>
                <w:szCs w:val="20"/>
                <w:lang w:eastAsia="en-US"/>
              </w:rPr>
              <w:t xml:space="preserve"> </w:t>
            </w:r>
            <w:r w:rsidRPr="0079778C">
              <w:rPr>
                <w:rFonts w:ascii="Arial Narrow" w:eastAsia="Calibri" w:hAnsi="Arial Narrow" w:cs="Arial"/>
                <w:sz w:val="20"/>
                <w:szCs w:val="20"/>
                <w:vertAlign w:val="superscript"/>
                <w:lang w:eastAsia="en-US"/>
              </w:rPr>
              <w:t>a</w:t>
            </w:r>
          </w:p>
        </w:tc>
      </w:tr>
      <w:tr w:rsidR="00B603EB" w:rsidRPr="0079778C" w14:paraId="4912F878" w14:textId="77777777" w:rsidTr="00203DF0">
        <w:trPr>
          <w:cantSplit/>
          <w:trHeight w:val="347"/>
        </w:trPr>
        <w:tc>
          <w:tcPr>
            <w:tcW w:w="3823" w:type="dxa"/>
          </w:tcPr>
          <w:p w14:paraId="34DC8873" w14:textId="77777777" w:rsidR="00B603EB" w:rsidRPr="0079778C" w:rsidRDefault="00B603EB" w:rsidP="00383ADB">
            <w:pPr>
              <w:keepNext/>
              <w:ind w:left="-115"/>
              <w:jc w:val="left"/>
              <w:rPr>
                <w:rFonts w:ascii="Arial Narrow" w:eastAsia="Calibri" w:hAnsi="Arial Narrow" w:cs="Arial"/>
                <w:sz w:val="20"/>
                <w:szCs w:val="20"/>
                <w:lang w:eastAsia="en-US"/>
              </w:rPr>
            </w:pPr>
            <w:r w:rsidRPr="003745E9">
              <w:rPr>
                <w:rFonts w:ascii="Arial Narrow" w:eastAsia="Calibri" w:hAnsi="Arial Narrow" w:cs="Arial"/>
                <w:sz w:val="20"/>
                <w:szCs w:val="20"/>
                <w:lang w:eastAsia="en-US"/>
              </w:rPr>
              <w:t>enoxaparin sodium 40 mg/0.4 mL injection, 10 x</w:t>
            </w:r>
            <w:r w:rsidRPr="0079778C">
              <w:rPr>
                <w:rFonts w:ascii="Arial Narrow" w:eastAsia="Calibri" w:hAnsi="Arial Narrow" w:cs="Arial"/>
                <w:sz w:val="20"/>
                <w:szCs w:val="20"/>
                <w:lang w:eastAsia="en-US"/>
              </w:rPr>
              <w:t xml:space="preserve"> 0.4 mL syringes</w:t>
            </w:r>
          </w:p>
        </w:tc>
        <w:tc>
          <w:tcPr>
            <w:tcW w:w="850" w:type="dxa"/>
          </w:tcPr>
          <w:p w14:paraId="0B6B644B" w14:textId="77777777" w:rsidR="00B603EB" w:rsidRPr="0079778C" w:rsidRDefault="00B603EB" w:rsidP="00383ADB">
            <w:pPr>
              <w:keepNext/>
              <w:ind w:left="31" w:hanging="31"/>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8510X</w:t>
            </w:r>
          </w:p>
        </w:tc>
        <w:tc>
          <w:tcPr>
            <w:tcW w:w="851" w:type="dxa"/>
          </w:tcPr>
          <w:p w14:paraId="31F353C9"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5EE204E2"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1FE23B27"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843" w:type="dxa"/>
            <w:vAlign w:val="center"/>
          </w:tcPr>
          <w:p w14:paraId="450413F8" w14:textId="77777777" w:rsidR="00B603EB" w:rsidRPr="0079778C" w:rsidRDefault="00B603EB" w:rsidP="00383ADB">
            <w:pPr>
              <w:keepNext/>
              <w:jc w:val="left"/>
              <w:rPr>
                <w:rFonts w:ascii="Arial Narrow" w:eastAsia="Calibri" w:hAnsi="Arial Narrow" w:cs="Arial"/>
                <w:sz w:val="20"/>
                <w:szCs w:val="20"/>
                <w:vertAlign w:val="superscript"/>
                <w:lang w:eastAsia="en-US"/>
              </w:rPr>
            </w:pPr>
            <w:r w:rsidRPr="0079778C">
              <w:rPr>
                <w:rFonts w:ascii="Arial Narrow" w:eastAsia="Calibri" w:hAnsi="Arial Narrow" w:cs="Arial"/>
                <w:sz w:val="20"/>
                <w:szCs w:val="20"/>
                <w:lang w:eastAsia="en-US"/>
              </w:rPr>
              <w:t xml:space="preserve">Clexane Safety-Lock </w:t>
            </w:r>
            <w:r w:rsidRPr="0079778C">
              <w:rPr>
                <w:rFonts w:ascii="Arial Narrow" w:eastAsia="Calibri" w:hAnsi="Arial Narrow" w:cs="Arial"/>
                <w:sz w:val="20"/>
                <w:szCs w:val="20"/>
                <w:vertAlign w:val="superscript"/>
                <w:lang w:eastAsia="en-US"/>
              </w:rPr>
              <w:t>a</w:t>
            </w:r>
          </w:p>
          <w:p w14:paraId="487EF1E7" w14:textId="77777777" w:rsidR="00B603EB" w:rsidRPr="0079778C" w:rsidRDefault="00B603EB" w:rsidP="00383ADB">
            <w:pPr>
              <w:keepNext/>
              <w:jc w:val="left"/>
              <w:rPr>
                <w:rFonts w:ascii="Arial Narrow" w:eastAsia="Calibri" w:hAnsi="Arial Narrow" w:cs="Arial"/>
                <w:i/>
                <w:sz w:val="20"/>
                <w:szCs w:val="20"/>
                <w:vertAlign w:val="superscript"/>
                <w:lang w:eastAsia="en-US"/>
              </w:rPr>
            </w:pPr>
            <w:r w:rsidRPr="00623B3D">
              <w:rPr>
                <w:rFonts w:ascii="Arial Narrow" w:eastAsia="Calibri" w:hAnsi="Arial Narrow" w:cs="Arial"/>
                <w:sz w:val="20"/>
                <w:szCs w:val="20"/>
                <w:lang w:eastAsia="en-US"/>
              </w:rPr>
              <w:t>Exarane</w:t>
            </w:r>
            <w:r w:rsidRPr="0079778C">
              <w:rPr>
                <w:rFonts w:ascii="Arial Narrow" w:eastAsia="Calibri" w:hAnsi="Arial Narrow" w:cs="Arial"/>
                <w:sz w:val="20"/>
                <w:szCs w:val="20"/>
                <w:lang w:eastAsia="en-US"/>
              </w:rPr>
              <w:t xml:space="preserve"> </w:t>
            </w:r>
            <w:r w:rsidRPr="0079778C">
              <w:rPr>
                <w:rFonts w:ascii="Arial Narrow" w:eastAsia="Calibri" w:hAnsi="Arial Narrow" w:cs="Arial"/>
                <w:sz w:val="20"/>
                <w:szCs w:val="20"/>
                <w:vertAlign w:val="superscript"/>
                <w:lang w:eastAsia="en-US"/>
              </w:rPr>
              <w:t>a</w:t>
            </w:r>
          </w:p>
        </w:tc>
      </w:tr>
      <w:tr w:rsidR="00B603EB" w:rsidRPr="0079778C" w14:paraId="47FA5603" w14:textId="77777777" w:rsidTr="00203DF0">
        <w:trPr>
          <w:cantSplit/>
          <w:trHeight w:val="347"/>
        </w:trPr>
        <w:tc>
          <w:tcPr>
            <w:tcW w:w="3823" w:type="dxa"/>
          </w:tcPr>
          <w:p w14:paraId="77D2ED5B" w14:textId="77777777" w:rsidR="00B603EB" w:rsidRPr="0079778C" w:rsidRDefault="00B603EB" w:rsidP="00383ADB">
            <w:pPr>
              <w:keepNext/>
              <w:ind w:left="-108"/>
              <w:jc w:val="left"/>
              <w:rPr>
                <w:rFonts w:ascii="Arial Narrow" w:eastAsia="Calibri" w:hAnsi="Arial Narrow" w:cs="Arial"/>
                <w:sz w:val="20"/>
                <w:szCs w:val="20"/>
                <w:lang w:eastAsia="en-US"/>
              </w:rPr>
            </w:pPr>
            <w:r w:rsidRPr="003745E9">
              <w:rPr>
                <w:rFonts w:ascii="Arial Narrow" w:eastAsia="Calibri" w:hAnsi="Arial Narrow" w:cs="Arial"/>
                <w:sz w:val="20"/>
                <w:szCs w:val="20"/>
                <w:lang w:eastAsia="en-US"/>
              </w:rPr>
              <w:t>enoxaparin sodium 60 mg/0.6 mL injection, 10 x</w:t>
            </w:r>
            <w:r w:rsidRPr="0079778C">
              <w:rPr>
                <w:rFonts w:ascii="Arial Narrow" w:eastAsia="Calibri" w:hAnsi="Arial Narrow" w:cs="Arial"/>
                <w:sz w:val="20"/>
                <w:szCs w:val="20"/>
                <w:lang w:eastAsia="en-US"/>
              </w:rPr>
              <w:t xml:space="preserve"> 0.6 mL syringes</w:t>
            </w:r>
          </w:p>
        </w:tc>
        <w:tc>
          <w:tcPr>
            <w:tcW w:w="850" w:type="dxa"/>
          </w:tcPr>
          <w:p w14:paraId="71E8AD1F" w14:textId="77777777" w:rsidR="00B603EB" w:rsidRPr="0079778C" w:rsidRDefault="00B603EB" w:rsidP="00383ADB">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8262W</w:t>
            </w:r>
          </w:p>
        </w:tc>
        <w:tc>
          <w:tcPr>
            <w:tcW w:w="851" w:type="dxa"/>
          </w:tcPr>
          <w:p w14:paraId="06468237"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59FE2682" w14:textId="77777777" w:rsidR="00B603EB" w:rsidRPr="0079778C" w:rsidRDefault="00B603EB" w:rsidP="00383ADB">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061841B7"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843" w:type="dxa"/>
            <w:vAlign w:val="center"/>
          </w:tcPr>
          <w:p w14:paraId="6B9DBFF3" w14:textId="77777777" w:rsidR="00B603EB" w:rsidRPr="0079778C" w:rsidRDefault="00B603EB" w:rsidP="00383ADB">
            <w:pPr>
              <w:keepNext/>
              <w:jc w:val="left"/>
              <w:rPr>
                <w:rFonts w:ascii="Arial Narrow" w:eastAsia="Calibri" w:hAnsi="Arial Narrow" w:cs="Arial"/>
                <w:sz w:val="20"/>
                <w:szCs w:val="20"/>
                <w:vertAlign w:val="superscript"/>
                <w:lang w:eastAsia="en-US"/>
              </w:rPr>
            </w:pPr>
            <w:r w:rsidRPr="0079778C">
              <w:rPr>
                <w:rFonts w:ascii="Arial Narrow" w:eastAsia="Calibri" w:hAnsi="Arial Narrow" w:cs="Arial"/>
                <w:sz w:val="20"/>
                <w:szCs w:val="20"/>
                <w:lang w:eastAsia="en-US"/>
              </w:rPr>
              <w:t xml:space="preserve">Clexane Safety-Lock </w:t>
            </w:r>
            <w:r w:rsidRPr="0079778C">
              <w:rPr>
                <w:rFonts w:ascii="Arial Narrow" w:eastAsia="Calibri" w:hAnsi="Arial Narrow" w:cs="Arial"/>
                <w:sz w:val="20"/>
                <w:szCs w:val="20"/>
                <w:vertAlign w:val="superscript"/>
                <w:lang w:eastAsia="en-US"/>
              </w:rPr>
              <w:t>a</w:t>
            </w:r>
          </w:p>
          <w:p w14:paraId="1DD9CF81" w14:textId="77777777" w:rsidR="00B603EB" w:rsidRPr="0079778C" w:rsidRDefault="00B603EB" w:rsidP="00383ADB">
            <w:pPr>
              <w:keepNext/>
              <w:jc w:val="left"/>
              <w:rPr>
                <w:rFonts w:ascii="Arial Narrow" w:eastAsia="Calibri" w:hAnsi="Arial Narrow" w:cs="Arial"/>
                <w:i/>
                <w:sz w:val="20"/>
                <w:szCs w:val="20"/>
                <w:vertAlign w:val="superscript"/>
                <w:lang w:eastAsia="en-US"/>
              </w:rPr>
            </w:pPr>
            <w:r w:rsidRPr="00623B3D">
              <w:rPr>
                <w:rFonts w:ascii="Arial Narrow" w:eastAsia="Calibri" w:hAnsi="Arial Narrow" w:cs="Arial"/>
                <w:sz w:val="20"/>
                <w:szCs w:val="20"/>
                <w:lang w:eastAsia="en-US"/>
              </w:rPr>
              <w:t>Exarane</w:t>
            </w:r>
            <w:r w:rsidRPr="0079778C">
              <w:rPr>
                <w:rFonts w:ascii="Arial Narrow" w:eastAsia="Calibri" w:hAnsi="Arial Narrow" w:cs="Arial"/>
                <w:sz w:val="20"/>
                <w:szCs w:val="20"/>
                <w:lang w:eastAsia="en-US"/>
              </w:rPr>
              <w:t xml:space="preserve"> </w:t>
            </w:r>
            <w:r w:rsidRPr="0079778C">
              <w:rPr>
                <w:rFonts w:ascii="Arial Narrow" w:eastAsia="Calibri" w:hAnsi="Arial Narrow" w:cs="Arial"/>
                <w:sz w:val="20"/>
                <w:szCs w:val="20"/>
                <w:vertAlign w:val="superscript"/>
                <w:lang w:eastAsia="en-US"/>
              </w:rPr>
              <w:t>a</w:t>
            </w:r>
          </w:p>
        </w:tc>
      </w:tr>
      <w:tr w:rsidR="00B603EB" w:rsidRPr="0079778C" w14:paraId="5FEA0E2A" w14:textId="77777777" w:rsidTr="00203DF0">
        <w:trPr>
          <w:cantSplit/>
          <w:trHeight w:val="327"/>
        </w:trPr>
        <w:tc>
          <w:tcPr>
            <w:tcW w:w="3823" w:type="dxa"/>
          </w:tcPr>
          <w:p w14:paraId="69C29C3C" w14:textId="77777777" w:rsidR="00B603EB" w:rsidRPr="0079778C" w:rsidRDefault="00B603EB" w:rsidP="00383ADB">
            <w:pPr>
              <w:keepNext/>
              <w:ind w:left="-108"/>
              <w:jc w:val="left"/>
              <w:rPr>
                <w:rFonts w:ascii="Arial Narrow" w:eastAsia="Calibri" w:hAnsi="Arial Narrow" w:cs="Arial"/>
                <w:sz w:val="20"/>
                <w:szCs w:val="20"/>
                <w:lang w:eastAsia="en-US"/>
              </w:rPr>
            </w:pPr>
            <w:r w:rsidRPr="003745E9">
              <w:rPr>
                <w:rFonts w:ascii="Arial Narrow" w:eastAsia="Calibri" w:hAnsi="Arial Narrow" w:cs="Arial"/>
                <w:sz w:val="20"/>
                <w:szCs w:val="20"/>
                <w:lang w:eastAsia="en-US"/>
              </w:rPr>
              <w:t>enoxaparin sodium 80 mg/0.8 mL injection, 10 x</w:t>
            </w:r>
            <w:r w:rsidRPr="0079778C">
              <w:rPr>
                <w:rFonts w:ascii="Arial Narrow" w:eastAsia="Calibri" w:hAnsi="Arial Narrow" w:cs="Arial"/>
                <w:sz w:val="20"/>
                <w:szCs w:val="20"/>
                <w:lang w:eastAsia="en-US"/>
              </w:rPr>
              <w:t xml:space="preserve"> 0.8 mL syringes</w:t>
            </w:r>
          </w:p>
        </w:tc>
        <w:tc>
          <w:tcPr>
            <w:tcW w:w="850" w:type="dxa"/>
          </w:tcPr>
          <w:p w14:paraId="69F0A042"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8263X</w:t>
            </w:r>
          </w:p>
        </w:tc>
        <w:tc>
          <w:tcPr>
            <w:tcW w:w="851" w:type="dxa"/>
          </w:tcPr>
          <w:p w14:paraId="4F40E47C"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078A4117" w14:textId="77777777" w:rsidR="00B603EB" w:rsidRPr="0079778C" w:rsidRDefault="00B603EB" w:rsidP="00383ADB">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5DEFD33D"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843" w:type="dxa"/>
            <w:vAlign w:val="center"/>
          </w:tcPr>
          <w:p w14:paraId="5487BABA" w14:textId="77777777" w:rsidR="00B603EB" w:rsidRPr="0079778C" w:rsidRDefault="00B603EB" w:rsidP="00383ADB">
            <w:pPr>
              <w:keepNext/>
              <w:jc w:val="left"/>
              <w:rPr>
                <w:rFonts w:ascii="Arial Narrow" w:eastAsia="Calibri" w:hAnsi="Arial Narrow" w:cs="Arial"/>
                <w:sz w:val="20"/>
                <w:szCs w:val="20"/>
                <w:vertAlign w:val="superscript"/>
                <w:lang w:eastAsia="en-US"/>
              </w:rPr>
            </w:pPr>
            <w:r w:rsidRPr="0079778C">
              <w:rPr>
                <w:rFonts w:ascii="Arial Narrow" w:eastAsia="Calibri" w:hAnsi="Arial Narrow" w:cs="Arial"/>
                <w:sz w:val="20"/>
                <w:szCs w:val="20"/>
                <w:lang w:eastAsia="en-US"/>
              </w:rPr>
              <w:t xml:space="preserve">Clexane Safety-Lock </w:t>
            </w:r>
            <w:r w:rsidRPr="0079778C">
              <w:rPr>
                <w:rFonts w:ascii="Arial Narrow" w:eastAsia="Calibri" w:hAnsi="Arial Narrow" w:cs="Arial"/>
                <w:sz w:val="20"/>
                <w:szCs w:val="20"/>
                <w:vertAlign w:val="superscript"/>
                <w:lang w:eastAsia="en-US"/>
              </w:rPr>
              <w:t>a</w:t>
            </w:r>
          </w:p>
          <w:p w14:paraId="76135D2A" w14:textId="77777777" w:rsidR="00B603EB" w:rsidRPr="0079778C" w:rsidRDefault="00B603EB" w:rsidP="00383ADB">
            <w:pPr>
              <w:keepNext/>
              <w:jc w:val="left"/>
              <w:rPr>
                <w:rFonts w:ascii="Arial Narrow" w:eastAsia="Calibri" w:hAnsi="Arial Narrow" w:cs="Arial"/>
                <w:i/>
                <w:sz w:val="20"/>
                <w:szCs w:val="20"/>
                <w:vertAlign w:val="superscript"/>
                <w:lang w:eastAsia="en-US"/>
              </w:rPr>
            </w:pPr>
            <w:r w:rsidRPr="00623B3D">
              <w:rPr>
                <w:rFonts w:ascii="Arial Narrow" w:eastAsia="Calibri" w:hAnsi="Arial Narrow" w:cs="Arial"/>
                <w:sz w:val="20"/>
                <w:szCs w:val="20"/>
                <w:lang w:eastAsia="en-US"/>
              </w:rPr>
              <w:t>Exarane</w:t>
            </w:r>
            <w:r w:rsidRPr="0079778C">
              <w:rPr>
                <w:rFonts w:ascii="Arial Narrow" w:eastAsia="Calibri" w:hAnsi="Arial Narrow" w:cs="Arial"/>
                <w:sz w:val="20"/>
                <w:szCs w:val="20"/>
                <w:lang w:eastAsia="en-US"/>
              </w:rPr>
              <w:t xml:space="preserve"> </w:t>
            </w:r>
            <w:r w:rsidRPr="0079778C">
              <w:rPr>
                <w:rFonts w:ascii="Arial Narrow" w:eastAsia="Calibri" w:hAnsi="Arial Narrow" w:cs="Arial"/>
                <w:sz w:val="20"/>
                <w:szCs w:val="20"/>
                <w:vertAlign w:val="superscript"/>
                <w:lang w:eastAsia="en-US"/>
              </w:rPr>
              <w:t>a</w:t>
            </w:r>
          </w:p>
        </w:tc>
      </w:tr>
      <w:tr w:rsidR="00B603EB" w:rsidRPr="0079778C" w14:paraId="751F788A" w14:textId="77777777" w:rsidTr="00203DF0">
        <w:trPr>
          <w:cantSplit/>
          <w:trHeight w:val="327"/>
        </w:trPr>
        <w:tc>
          <w:tcPr>
            <w:tcW w:w="3823" w:type="dxa"/>
          </w:tcPr>
          <w:p w14:paraId="312E4F7B" w14:textId="77777777" w:rsidR="00B603EB" w:rsidRPr="0079778C" w:rsidRDefault="00B603EB" w:rsidP="00383ADB">
            <w:pPr>
              <w:keepNext/>
              <w:ind w:left="-108"/>
              <w:jc w:val="left"/>
              <w:rPr>
                <w:rFonts w:ascii="Arial Narrow" w:eastAsia="Calibri" w:hAnsi="Arial Narrow" w:cs="Arial"/>
                <w:sz w:val="20"/>
                <w:szCs w:val="20"/>
                <w:lang w:eastAsia="en-US"/>
              </w:rPr>
            </w:pPr>
            <w:r w:rsidRPr="003745E9">
              <w:rPr>
                <w:rFonts w:ascii="Arial Narrow" w:eastAsia="Calibri" w:hAnsi="Arial Narrow" w:cs="Arial"/>
                <w:sz w:val="20"/>
                <w:szCs w:val="20"/>
                <w:lang w:eastAsia="en-US"/>
              </w:rPr>
              <w:t>enoxaparin sodium 100 mg/mL injection, 10 x 1 mL</w:t>
            </w:r>
            <w:r w:rsidRPr="0079778C">
              <w:rPr>
                <w:rFonts w:ascii="Arial Narrow" w:eastAsia="Calibri" w:hAnsi="Arial Narrow" w:cs="Arial"/>
                <w:sz w:val="20"/>
                <w:szCs w:val="20"/>
                <w:lang w:eastAsia="en-US"/>
              </w:rPr>
              <w:t xml:space="preserve"> syringes</w:t>
            </w:r>
          </w:p>
        </w:tc>
        <w:tc>
          <w:tcPr>
            <w:tcW w:w="850" w:type="dxa"/>
          </w:tcPr>
          <w:p w14:paraId="58ABDC93"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8264Y</w:t>
            </w:r>
          </w:p>
        </w:tc>
        <w:tc>
          <w:tcPr>
            <w:tcW w:w="851" w:type="dxa"/>
          </w:tcPr>
          <w:p w14:paraId="5439EAC3"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4CF0223E" w14:textId="77777777" w:rsidR="00B603EB" w:rsidRPr="0079778C" w:rsidRDefault="00B603EB" w:rsidP="00383ADB">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335E717A"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843" w:type="dxa"/>
            <w:vAlign w:val="center"/>
          </w:tcPr>
          <w:p w14:paraId="49341DB3" w14:textId="77777777" w:rsidR="00B603EB" w:rsidRPr="0079778C" w:rsidRDefault="00B603EB" w:rsidP="00383ADB">
            <w:pPr>
              <w:keepNext/>
              <w:jc w:val="left"/>
              <w:rPr>
                <w:rFonts w:ascii="Arial Narrow" w:eastAsia="Calibri" w:hAnsi="Arial Narrow" w:cs="Arial"/>
                <w:sz w:val="20"/>
                <w:szCs w:val="20"/>
                <w:vertAlign w:val="superscript"/>
                <w:lang w:eastAsia="en-US"/>
              </w:rPr>
            </w:pPr>
            <w:r w:rsidRPr="0079778C">
              <w:rPr>
                <w:rFonts w:ascii="Arial Narrow" w:eastAsia="Calibri" w:hAnsi="Arial Narrow" w:cs="Arial"/>
                <w:sz w:val="20"/>
                <w:szCs w:val="20"/>
                <w:lang w:eastAsia="en-US"/>
              </w:rPr>
              <w:t xml:space="preserve">Clexane Safety-Lock </w:t>
            </w:r>
            <w:r w:rsidRPr="0079778C">
              <w:rPr>
                <w:rFonts w:ascii="Arial Narrow" w:eastAsia="Calibri" w:hAnsi="Arial Narrow" w:cs="Arial"/>
                <w:sz w:val="20"/>
                <w:szCs w:val="20"/>
                <w:vertAlign w:val="superscript"/>
                <w:lang w:eastAsia="en-US"/>
              </w:rPr>
              <w:t>a</w:t>
            </w:r>
          </w:p>
          <w:p w14:paraId="6F6447B2" w14:textId="77777777" w:rsidR="00B603EB" w:rsidRPr="0079778C" w:rsidRDefault="00B603EB" w:rsidP="00383ADB">
            <w:pPr>
              <w:keepNext/>
              <w:jc w:val="left"/>
              <w:rPr>
                <w:rFonts w:ascii="Arial Narrow" w:eastAsia="Calibri" w:hAnsi="Arial Narrow" w:cs="Arial"/>
                <w:i/>
                <w:sz w:val="20"/>
                <w:szCs w:val="20"/>
                <w:vertAlign w:val="superscript"/>
                <w:lang w:eastAsia="en-US"/>
              </w:rPr>
            </w:pPr>
            <w:r w:rsidRPr="00623B3D">
              <w:rPr>
                <w:rFonts w:ascii="Arial Narrow" w:eastAsia="Calibri" w:hAnsi="Arial Narrow" w:cs="Arial"/>
                <w:sz w:val="20"/>
                <w:szCs w:val="20"/>
                <w:lang w:eastAsia="en-US"/>
              </w:rPr>
              <w:t>Exarane</w:t>
            </w:r>
            <w:r w:rsidRPr="0079778C">
              <w:rPr>
                <w:rFonts w:ascii="Arial Narrow" w:eastAsia="Calibri" w:hAnsi="Arial Narrow" w:cs="Arial"/>
                <w:sz w:val="20"/>
                <w:szCs w:val="20"/>
                <w:lang w:eastAsia="en-US"/>
              </w:rPr>
              <w:t xml:space="preserve"> </w:t>
            </w:r>
            <w:r w:rsidRPr="0079778C">
              <w:rPr>
                <w:rFonts w:ascii="Arial Narrow" w:eastAsia="Calibri" w:hAnsi="Arial Narrow" w:cs="Arial"/>
                <w:sz w:val="20"/>
                <w:szCs w:val="20"/>
                <w:vertAlign w:val="superscript"/>
                <w:lang w:eastAsia="en-US"/>
              </w:rPr>
              <w:t>a</w:t>
            </w:r>
          </w:p>
        </w:tc>
      </w:tr>
      <w:tr w:rsidR="00B603EB" w:rsidRPr="0079778C" w14:paraId="1475DBD6" w14:textId="77777777" w:rsidTr="00203DF0">
        <w:trPr>
          <w:cantSplit/>
          <w:trHeight w:val="327"/>
        </w:trPr>
        <w:tc>
          <w:tcPr>
            <w:tcW w:w="3823" w:type="dxa"/>
          </w:tcPr>
          <w:p w14:paraId="53603028" w14:textId="77777777" w:rsidR="00B603EB" w:rsidRPr="0079778C" w:rsidRDefault="00B603EB" w:rsidP="00383ADB">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120 mg/0.8 mL injection, 10 x 0.8 mL syringes</w:t>
            </w:r>
          </w:p>
        </w:tc>
        <w:tc>
          <w:tcPr>
            <w:tcW w:w="850" w:type="dxa"/>
          </w:tcPr>
          <w:p w14:paraId="2C244945" w14:textId="77777777" w:rsidR="00B603EB" w:rsidRPr="00F626D5" w:rsidRDefault="00B603EB" w:rsidP="00383ADB">
            <w:pPr>
              <w:keepNext/>
              <w:jc w:val="center"/>
              <w:rPr>
                <w:rFonts w:ascii="Arial Narrow" w:eastAsia="Calibri" w:hAnsi="Arial Narrow" w:cs="Arial"/>
                <w:i/>
                <w:iCs/>
                <w:sz w:val="20"/>
                <w:szCs w:val="20"/>
                <w:lang w:eastAsia="en-US"/>
              </w:rPr>
            </w:pPr>
            <w:r w:rsidRPr="00F626D5">
              <w:rPr>
                <w:rFonts w:ascii="Arial Narrow" w:eastAsia="Calibri" w:hAnsi="Arial Narrow" w:cs="Arial"/>
                <w:i/>
                <w:iCs/>
                <w:sz w:val="20"/>
                <w:szCs w:val="20"/>
                <w:lang w:eastAsia="en-US"/>
              </w:rPr>
              <w:t>NEW</w:t>
            </w:r>
          </w:p>
        </w:tc>
        <w:tc>
          <w:tcPr>
            <w:tcW w:w="851" w:type="dxa"/>
          </w:tcPr>
          <w:p w14:paraId="071BB4A3"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4CED7927" w14:textId="77777777" w:rsidR="00B603EB" w:rsidRPr="0079778C" w:rsidRDefault="00B603EB" w:rsidP="00383ADB">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4D4D9FE3"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843" w:type="dxa"/>
            <w:vAlign w:val="center"/>
          </w:tcPr>
          <w:p w14:paraId="35FBB5AF" w14:textId="77777777" w:rsidR="00B603EB" w:rsidRPr="0079778C" w:rsidRDefault="00B603EB" w:rsidP="00383ADB">
            <w:pPr>
              <w:keepNext/>
              <w:jc w:val="left"/>
              <w:rPr>
                <w:rFonts w:ascii="Arial Narrow" w:eastAsia="Calibri" w:hAnsi="Arial Narrow" w:cs="Arial"/>
                <w:sz w:val="20"/>
                <w:szCs w:val="20"/>
                <w:lang w:eastAsia="en-US"/>
              </w:rPr>
            </w:pPr>
            <w:r w:rsidRPr="00623B3D">
              <w:rPr>
                <w:rFonts w:ascii="Arial Narrow" w:eastAsia="Calibri" w:hAnsi="Arial Narrow" w:cs="Arial"/>
                <w:sz w:val="20"/>
                <w:szCs w:val="20"/>
                <w:lang w:eastAsia="en-US"/>
              </w:rPr>
              <w:t>Exarane</w:t>
            </w:r>
            <w:r>
              <w:rPr>
                <w:rFonts w:ascii="Arial Narrow" w:eastAsia="Calibri" w:hAnsi="Arial Narrow" w:cs="Arial"/>
                <w:sz w:val="20"/>
                <w:szCs w:val="20"/>
                <w:lang w:eastAsia="en-US"/>
              </w:rPr>
              <w:t xml:space="preserve"> Forte</w:t>
            </w:r>
          </w:p>
        </w:tc>
      </w:tr>
      <w:tr w:rsidR="00B603EB" w:rsidRPr="0079778C" w14:paraId="1A3A0F5D" w14:textId="77777777" w:rsidTr="00203DF0">
        <w:trPr>
          <w:cantSplit/>
          <w:trHeight w:val="327"/>
        </w:trPr>
        <w:tc>
          <w:tcPr>
            <w:tcW w:w="3823" w:type="dxa"/>
          </w:tcPr>
          <w:p w14:paraId="087F4B61" w14:textId="77777777" w:rsidR="00B603EB" w:rsidRPr="0079778C" w:rsidRDefault="00B603EB" w:rsidP="00383ADB">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150 mg/mL injection, 10 x 1</w:t>
            </w:r>
            <w:r>
              <w:rPr>
                <w:rFonts w:ascii="Arial Narrow" w:eastAsia="Calibri" w:hAnsi="Arial Narrow" w:cs="Arial"/>
                <w:sz w:val="20"/>
                <w:szCs w:val="20"/>
                <w:lang w:eastAsia="en-US"/>
              </w:rPr>
              <w:t> </w:t>
            </w:r>
            <w:r w:rsidRPr="0079778C">
              <w:rPr>
                <w:rFonts w:ascii="Arial Narrow" w:eastAsia="Calibri" w:hAnsi="Arial Narrow" w:cs="Arial"/>
                <w:sz w:val="20"/>
                <w:szCs w:val="20"/>
                <w:lang w:eastAsia="en-US"/>
              </w:rPr>
              <w:t>mL syringes</w:t>
            </w:r>
          </w:p>
        </w:tc>
        <w:tc>
          <w:tcPr>
            <w:tcW w:w="850" w:type="dxa"/>
          </w:tcPr>
          <w:p w14:paraId="167B8947" w14:textId="77777777" w:rsidR="00B603EB" w:rsidRPr="00F626D5" w:rsidRDefault="00B603EB" w:rsidP="00383ADB">
            <w:pPr>
              <w:keepNext/>
              <w:jc w:val="center"/>
              <w:rPr>
                <w:rFonts w:ascii="Arial Narrow" w:eastAsia="Calibri" w:hAnsi="Arial Narrow" w:cs="Arial"/>
                <w:i/>
                <w:iCs/>
                <w:sz w:val="20"/>
                <w:szCs w:val="20"/>
                <w:lang w:eastAsia="en-US"/>
              </w:rPr>
            </w:pPr>
            <w:r w:rsidRPr="00F626D5">
              <w:rPr>
                <w:rFonts w:ascii="Arial Narrow" w:eastAsia="Calibri" w:hAnsi="Arial Narrow" w:cs="Arial"/>
                <w:i/>
                <w:iCs/>
                <w:sz w:val="20"/>
                <w:szCs w:val="20"/>
                <w:lang w:eastAsia="en-US"/>
              </w:rPr>
              <w:t>NEW</w:t>
            </w:r>
          </w:p>
        </w:tc>
        <w:tc>
          <w:tcPr>
            <w:tcW w:w="851" w:type="dxa"/>
          </w:tcPr>
          <w:p w14:paraId="1C4E35BF"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7F70A8C4" w14:textId="77777777" w:rsidR="00B603EB" w:rsidRPr="0079778C" w:rsidRDefault="00B603EB" w:rsidP="00383ADB">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200752E1"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1843" w:type="dxa"/>
            <w:vAlign w:val="center"/>
          </w:tcPr>
          <w:p w14:paraId="540335F6" w14:textId="77777777" w:rsidR="00B603EB" w:rsidRPr="0079778C" w:rsidRDefault="00B603EB" w:rsidP="00383ADB">
            <w:pPr>
              <w:keepNext/>
              <w:jc w:val="left"/>
              <w:rPr>
                <w:rFonts w:ascii="Arial Narrow" w:eastAsia="Calibri" w:hAnsi="Arial Narrow" w:cs="Arial"/>
                <w:sz w:val="20"/>
                <w:szCs w:val="20"/>
                <w:lang w:eastAsia="en-US"/>
              </w:rPr>
            </w:pPr>
            <w:r w:rsidRPr="00623B3D">
              <w:rPr>
                <w:rFonts w:ascii="Arial Narrow" w:eastAsia="Calibri" w:hAnsi="Arial Narrow" w:cs="Arial"/>
                <w:sz w:val="20"/>
                <w:szCs w:val="20"/>
                <w:lang w:eastAsia="en-US"/>
              </w:rPr>
              <w:t>Exarane</w:t>
            </w:r>
            <w:r>
              <w:rPr>
                <w:rFonts w:ascii="Arial Narrow" w:eastAsia="Calibri" w:hAnsi="Arial Narrow" w:cs="Arial"/>
                <w:sz w:val="20"/>
                <w:szCs w:val="20"/>
                <w:lang w:eastAsia="en-US"/>
              </w:rPr>
              <w:t xml:space="preserve"> Forte</w:t>
            </w:r>
          </w:p>
        </w:tc>
      </w:tr>
    </w:tbl>
    <w:p w14:paraId="406C12F7" w14:textId="77777777" w:rsidR="00B603EB" w:rsidRPr="0079778C" w:rsidRDefault="00B603EB" w:rsidP="00B603EB">
      <w:pPr>
        <w:rPr>
          <w:rFonts w:asciiTheme="minorHAnsi" w:hAnsiTheme="minorHAnsi" w:cstheme="minorHAnsi"/>
          <w:b/>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1" w:type="dxa"/>
          <w:bottom w:w="28" w:type="dxa"/>
          <w:right w:w="51" w:type="dxa"/>
        </w:tblCellMar>
        <w:tblLook w:val="04A0" w:firstRow="1" w:lastRow="0" w:firstColumn="1" w:lastColumn="0" w:noHBand="0" w:noVBand="1"/>
      </w:tblPr>
      <w:tblGrid>
        <w:gridCol w:w="8926"/>
      </w:tblGrid>
      <w:tr w:rsidR="00B603EB" w:rsidRPr="0079778C" w14:paraId="2E044B4B" w14:textId="77777777" w:rsidTr="00203DF0">
        <w:tc>
          <w:tcPr>
            <w:tcW w:w="5000" w:type="pct"/>
            <w:tcBorders>
              <w:top w:val="single" w:sz="4" w:space="0" w:color="auto"/>
              <w:left w:val="single" w:sz="4" w:space="0" w:color="auto"/>
              <w:bottom w:val="single" w:sz="4" w:space="0" w:color="auto"/>
              <w:right w:val="single" w:sz="4" w:space="0" w:color="auto"/>
            </w:tcBorders>
          </w:tcPr>
          <w:p w14:paraId="0D205FB5" w14:textId="77777777" w:rsidR="00B603EB" w:rsidRPr="0079778C" w:rsidRDefault="00B603EB" w:rsidP="00383ADB">
            <w:pPr>
              <w:keepNext/>
              <w:keepLines/>
              <w:rPr>
                <w:rFonts w:ascii="Arial Narrow" w:eastAsia="Calibri" w:hAnsi="Arial Narrow" w:cs="Arial"/>
                <w:sz w:val="20"/>
                <w:szCs w:val="20"/>
                <w:lang w:eastAsia="en-US"/>
              </w:rPr>
            </w:pPr>
            <w:r w:rsidRPr="0079778C">
              <w:rPr>
                <w:rFonts w:ascii="Arial Narrow" w:eastAsia="Calibri" w:hAnsi="Arial Narrow" w:cs="Arial"/>
                <w:b/>
                <w:sz w:val="20"/>
                <w:szCs w:val="20"/>
                <w:lang w:eastAsia="en-US"/>
              </w:rPr>
              <w:t xml:space="preserve">Category / Program:   </w:t>
            </w:r>
            <w:r w:rsidRPr="0079778C">
              <w:rPr>
                <w:rFonts w:ascii="Arial Narrow" w:eastAsia="Calibri" w:hAnsi="Arial Narrow" w:cs="Arial"/>
                <w:sz w:val="20"/>
                <w:szCs w:val="20"/>
                <w:lang w:eastAsia="en-US"/>
              </w:rPr>
              <w:t xml:space="preserve">GENERAL – General Schedule (Code GE) </w:t>
            </w:r>
          </w:p>
        </w:tc>
      </w:tr>
      <w:tr w:rsidR="00B603EB" w:rsidRPr="0079778C" w14:paraId="43C26C29" w14:textId="77777777" w:rsidTr="00203DF0">
        <w:trPr>
          <w:trHeight w:val="240"/>
        </w:trPr>
        <w:tc>
          <w:tcPr>
            <w:tcW w:w="5000" w:type="pct"/>
            <w:tcBorders>
              <w:top w:val="single" w:sz="4" w:space="0" w:color="auto"/>
              <w:left w:val="single" w:sz="4" w:space="0" w:color="auto"/>
              <w:bottom w:val="single" w:sz="4" w:space="0" w:color="auto"/>
              <w:right w:val="single" w:sz="4" w:space="0" w:color="auto"/>
            </w:tcBorders>
          </w:tcPr>
          <w:p w14:paraId="75C939FC" w14:textId="77777777" w:rsidR="00B603EB" w:rsidRPr="0079778C" w:rsidRDefault="00B603EB" w:rsidP="00383ADB">
            <w:pP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 xml:space="preserve">Prescriber type:   </w:t>
            </w:r>
            <w:r w:rsidRPr="0079778C">
              <w:rPr>
                <w:rFonts w:ascii="Arial Narrow" w:eastAsia="Calibri" w:hAnsi="Arial Narrow" w:cs="Arial"/>
                <w:sz w:val="20"/>
                <w:szCs w:val="20"/>
                <w:lang w:eastAsia="en-US"/>
              </w:rPr>
              <w:fldChar w:fldCharType="begin" w:fldLock="1">
                <w:ffData>
                  <w:name w:val=""/>
                  <w:enabled/>
                  <w:calcOnExit w:val="0"/>
                  <w:checkBox>
                    <w:sizeAuto/>
                    <w:default w:val="1"/>
                  </w:checkBox>
                </w:ffData>
              </w:fldChar>
            </w:r>
            <w:r w:rsidRPr="0079778C">
              <w:rPr>
                <w:rFonts w:ascii="Arial Narrow" w:eastAsia="Calibri" w:hAnsi="Arial Narrow" w:cs="Arial"/>
                <w:sz w:val="20"/>
                <w:szCs w:val="20"/>
                <w:lang w:eastAsia="en-US"/>
              </w:rPr>
              <w:instrText xml:space="preserve"> FORMCHECKBOX </w:instrText>
            </w:r>
            <w:r w:rsidR="00047109">
              <w:rPr>
                <w:rFonts w:ascii="Arial Narrow" w:eastAsia="Calibri" w:hAnsi="Arial Narrow" w:cs="Arial"/>
                <w:sz w:val="20"/>
                <w:szCs w:val="20"/>
                <w:lang w:eastAsia="en-US"/>
              </w:rPr>
            </w:r>
            <w:r w:rsidR="00047109">
              <w:rPr>
                <w:rFonts w:ascii="Arial Narrow" w:eastAsia="Calibri" w:hAnsi="Arial Narrow" w:cs="Arial"/>
                <w:sz w:val="20"/>
                <w:szCs w:val="20"/>
                <w:lang w:eastAsia="en-US"/>
              </w:rPr>
              <w:fldChar w:fldCharType="separate"/>
            </w:r>
            <w:r w:rsidRPr="0079778C">
              <w:rPr>
                <w:rFonts w:ascii="Arial Narrow" w:eastAsia="Calibri" w:hAnsi="Arial Narrow" w:cs="Arial"/>
                <w:sz w:val="20"/>
                <w:szCs w:val="20"/>
                <w:lang w:eastAsia="en-US"/>
              </w:rPr>
              <w:fldChar w:fldCharType="end"/>
            </w:r>
            <w:r w:rsidRPr="0079778C">
              <w:rPr>
                <w:rFonts w:ascii="Arial Narrow" w:eastAsia="Calibri" w:hAnsi="Arial Narrow" w:cs="Arial"/>
                <w:sz w:val="20"/>
                <w:szCs w:val="20"/>
                <w:lang w:eastAsia="en-US"/>
              </w:rPr>
              <w:t xml:space="preserve">Medical Practitioners  </w:t>
            </w:r>
            <w:r w:rsidRPr="0079778C">
              <w:rPr>
                <w:rFonts w:ascii="Arial Narrow" w:eastAsia="Calibri" w:hAnsi="Arial Narrow" w:cs="Arial"/>
                <w:sz w:val="20"/>
                <w:szCs w:val="20"/>
                <w:lang w:eastAsia="en-US"/>
              </w:rPr>
              <w:fldChar w:fldCharType="begin" w:fldLock="1">
                <w:ffData>
                  <w:name w:val=""/>
                  <w:enabled/>
                  <w:calcOnExit w:val="0"/>
                  <w:checkBox>
                    <w:sizeAuto/>
                    <w:default w:val="1"/>
                  </w:checkBox>
                </w:ffData>
              </w:fldChar>
            </w:r>
            <w:r w:rsidRPr="0079778C">
              <w:rPr>
                <w:rFonts w:ascii="Arial Narrow" w:eastAsia="Calibri" w:hAnsi="Arial Narrow" w:cs="Arial"/>
                <w:sz w:val="20"/>
                <w:szCs w:val="20"/>
                <w:lang w:eastAsia="en-US"/>
              </w:rPr>
              <w:instrText xml:space="preserve"> FORMCHECKBOX </w:instrText>
            </w:r>
            <w:r w:rsidR="00047109">
              <w:rPr>
                <w:rFonts w:ascii="Arial Narrow" w:eastAsia="Calibri" w:hAnsi="Arial Narrow" w:cs="Arial"/>
                <w:sz w:val="20"/>
                <w:szCs w:val="20"/>
                <w:lang w:eastAsia="en-US"/>
              </w:rPr>
            </w:r>
            <w:r w:rsidR="00047109">
              <w:rPr>
                <w:rFonts w:ascii="Arial Narrow" w:eastAsia="Calibri" w:hAnsi="Arial Narrow" w:cs="Arial"/>
                <w:sz w:val="20"/>
                <w:szCs w:val="20"/>
                <w:lang w:eastAsia="en-US"/>
              </w:rPr>
              <w:fldChar w:fldCharType="separate"/>
            </w:r>
            <w:r w:rsidRPr="0079778C">
              <w:rPr>
                <w:rFonts w:ascii="Arial Narrow" w:eastAsia="Calibri" w:hAnsi="Arial Narrow" w:cs="Arial"/>
                <w:sz w:val="20"/>
                <w:szCs w:val="20"/>
                <w:lang w:eastAsia="en-US"/>
              </w:rPr>
              <w:fldChar w:fldCharType="end"/>
            </w:r>
            <w:r w:rsidRPr="0079778C">
              <w:rPr>
                <w:rFonts w:ascii="Arial Narrow" w:eastAsia="Calibri" w:hAnsi="Arial Narrow" w:cs="Arial"/>
                <w:sz w:val="20"/>
                <w:szCs w:val="20"/>
                <w:lang w:eastAsia="en-US"/>
              </w:rPr>
              <w:t>Nurse practitioners</w:t>
            </w:r>
          </w:p>
        </w:tc>
      </w:tr>
      <w:tr w:rsidR="00B603EB" w:rsidRPr="0079778C" w14:paraId="15B87DDE" w14:textId="77777777" w:rsidTr="00203DF0">
        <w:tc>
          <w:tcPr>
            <w:tcW w:w="5000" w:type="pct"/>
            <w:tcBorders>
              <w:top w:val="single" w:sz="4" w:space="0" w:color="auto"/>
              <w:left w:val="single" w:sz="4" w:space="0" w:color="auto"/>
              <w:bottom w:val="single" w:sz="4" w:space="0" w:color="auto"/>
              <w:right w:val="single" w:sz="4" w:space="0" w:color="auto"/>
            </w:tcBorders>
          </w:tcPr>
          <w:p w14:paraId="14BC453A" w14:textId="77777777" w:rsidR="00B603EB" w:rsidRPr="0079778C" w:rsidRDefault="00B603EB" w:rsidP="00383ADB">
            <w:pP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 xml:space="preserve">Benefit Type: </w:t>
            </w:r>
            <w:r w:rsidRPr="0079778C">
              <w:rPr>
                <w:rFonts w:ascii="Arial Narrow" w:eastAsia="Calibri" w:hAnsi="Arial Narrow" w:cs="Arial"/>
                <w:sz w:val="20"/>
                <w:szCs w:val="20"/>
                <w:lang w:eastAsia="en-US"/>
              </w:rPr>
              <w:fldChar w:fldCharType="begin" w:fldLock="1">
                <w:ffData>
                  <w:name w:val=""/>
                  <w:enabled/>
                  <w:calcOnExit w:val="0"/>
                  <w:checkBox>
                    <w:sizeAuto/>
                    <w:default w:val="1"/>
                  </w:checkBox>
                </w:ffData>
              </w:fldChar>
            </w:r>
            <w:r w:rsidRPr="0079778C">
              <w:rPr>
                <w:rFonts w:ascii="Arial Narrow" w:eastAsia="Calibri" w:hAnsi="Arial Narrow" w:cs="Arial"/>
                <w:sz w:val="20"/>
                <w:szCs w:val="20"/>
                <w:lang w:eastAsia="en-US"/>
              </w:rPr>
              <w:instrText xml:space="preserve"> FORMCHECKBOX </w:instrText>
            </w:r>
            <w:r w:rsidR="00047109">
              <w:rPr>
                <w:rFonts w:ascii="Arial Narrow" w:eastAsia="Calibri" w:hAnsi="Arial Narrow" w:cs="Arial"/>
                <w:sz w:val="20"/>
                <w:szCs w:val="20"/>
                <w:lang w:eastAsia="en-US"/>
              </w:rPr>
            </w:r>
            <w:r w:rsidR="00047109">
              <w:rPr>
                <w:rFonts w:ascii="Arial Narrow" w:eastAsia="Calibri" w:hAnsi="Arial Narrow" w:cs="Arial"/>
                <w:sz w:val="20"/>
                <w:szCs w:val="20"/>
                <w:lang w:eastAsia="en-US"/>
              </w:rPr>
              <w:fldChar w:fldCharType="separate"/>
            </w:r>
            <w:r w:rsidRPr="0079778C">
              <w:rPr>
                <w:rFonts w:ascii="Arial Narrow" w:eastAsia="Calibri" w:hAnsi="Arial Narrow" w:cs="Arial"/>
                <w:sz w:val="20"/>
                <w:szCs w:val="20"/>
                <w:lang w:eastAsia="en-US"/>
              </w:rPr>
              <w:fldChar w:fldCharType="end"/>
            </w:r>
            <w:r w:rsidRPr="0079778C">
              <w:rPr>
                <w:rFonts w:ascii="Arial Narrow" w:eastAsia="Calibri" w:hAnsi="Arial Narrow" w:cs="Arial"/>
                <w:sz w:val="20"/>
                <w:szCs w:val="20"/>
                <w:lang w:eastAsia="en-US"/>
              </w:rPr>
              <w:t xml:space="preserve"> Unrestricted benefit</w:t>
            </w:r>
          </w:p>
        </w:tc>
      </w:tr>
      <w:tr w:rsidR="00B603EB" w:rsidRPr="0079778C" w14:paraId="4C24005B" w14:textId="77777777" w:rsidTr="00203DF0">
        <w:tc>
          <w:tcPr>
            <w:tcW w:w="5000" w:type="pct"/>
            <w:tcBorders>
              <w:top w:val="single" w:sz="4" w:space="0" w:color="auto"/>
              <w:left w:val="single" w:sz="4" w:space="0" w:color="auto"/>
              <w:bottom w:val="single" w:sz="4" w:space="0" w:color="auto"/>
              <w:right w:val="single" w:sz="4" w:space="0" w:color="auto"/>
            </w:tcBorders>
          </w:tcPr>
          <w:p w14:paraId="61C15F2D" w14:textId="77777777" w:rsidR="00B603EB" w:rsidRPr="00B603EB" w:rsidRDefault="00B603EB" w:rsidP="00383ADB">
            <w:pPr>
              <w:rPr>
                <w:rFonts w:ascii="Arial Narrow" w:eastAsia="Calibri" w:hAnsi="Arial Narrow" w:cs="Arial"/>
                <w:b/>
                <w:iCs/>
                <w:sz w:val="20"/>
                <w:szCs w:val="20"/>
                <w:lang w:eastAsia="en-US"/>
              </w:rPr>
            </w:pPr>
            <w:r w:rsidRPr="00B603EB">
              <w:rPr>
                <w:rFonts w:ascii="Arial Narrow" w:eastAsia="Calibri" w:hAnsi="Arial Narrow" w:cs="Arial"/>
                <w:b/>
                <w:iCs/>
                <w:sz w:val="20"/>
                <w:szCs w:val="20"/>
                <w:lang w:eastAsia="en-US"/>
              </w:rPr>
              <w:t>Administrative Advice:</w:t>
            </w:r>
          </w:p>
          <w:p w14:paraId="526D1DA9" w14:textId="77777777" w:rsidR="00B603EB" w:rsidRPr="00B603EB" w:rsidRDefault="00B603EB" w:rsidP="00383ADB">
            <w:pPr>
              <w:rPr>
                <w:rFonts w:ascii="Arial Narrow" w:eastAsia="Calibri" w:hAnsi="Arial Narrow" w:cs="Arial"/>
                <w:iCs/>
                <w:sz w:val="20"/>
                <w:szCs w:val="20"/>
                <w:lang w:eastAsia="en-US"/>
              </w:rPr>
            </w:pPr>
            <w:r w:rsidRPr="00B603EB">
              <w:rPr>
                <w:rFonts w:ascii="Arial Narrow" w:eastAsia="Calibri" w:hAnsi="Arial Narrow" w:cs="Arial"/>
                <w:iCs/>
                <w:sz w:val="20"/>
                <w:szCs w:val="20"/>
                <w:lang w:eastAsia="en-US"/>
              </w:rPr>
              <w:t>Biosimilar prescribing policy</w:t>
            </w:r>
          </w:p>
          <w:p w14:paraId="3F17ADD8" w14:textId="77777777" w:rsidR="00B603EB" w:rsidRPr="00B603EB" w:rsidRDefault="00B603EB" w:rsidP="00383ADB">
            <w:pPr>
              <w:rPr>
                <w:rFonts w:ascii="Arial Narrow" w:eastAsia="Calibri" w:hAnsi="Arial Narrow" w:cs="Arial"/>
                <w:iCs/>
                <w:sz w:val="20"/>
                <w:szCs w:val="20"/>
                <w:lang w:eastAsia="en-US"/>
              </w:rPr>
            </w:pPr>
          </w:p>
          <w:p w14:paraId="0A74FBF5" w14:textId="498EC8BC" w:rsidR="00B603EB" w:rsidRPr="00B603EB" w:rsidRDefault="00B603EB" w:rsidP="00383ADB">
            <w:pPr>
              <w:rPr>
                <w:rFonts w:ascii="Arial Narrow" w:eastAsia="Calibri" w:hAnsi="Arial Narrow" w:cs="Arial"/>
                <w:iCs/>
                <w:sz w:val="20"/>
                <w:szCs w:val="20"/>
                <w:lang w:eastAsia="en-US"/>
              </w:rPr>
            </w:pPr>
            <w:r w:rsidRPr="00B603EB">
              <w:rPr>
                <w:rFonts w:ascii="Arial Narrow" w:eastAsia="Calibri" w:hAnsi="Arial Narrow" w:cs="Arial"/>
                <w:iCs/>
                <w:sz w:val="20"/>
                <w:szCs w:val="20"/>
                <w:lang w:eastAsia="en-US"/>
              </w:rPr>
              <w:t xml:space="preserve">Prescribing of the biosimilar brand Exarane </w:t>
            </w:r>
            <w:r w:rsidR="003745E9">
              <w:rPr>
                <w:rFonts w:ascii="Arial Narrow" w:eastAsia="Calibri" w:hAnsi="Arial Narrow" w:cs="Arial"/>
                <w:iCs/>
                <w:sz w:val="20"/>
                <w:szCs w:val="20"/>
                <w:lang w:eastAsia="en-US"/>
              </w:rPr>
              <w:t xml:space="preserve">and Exarane Forte </w:t>
            </w:r>
            <w:r w:rsidRPr="00B603EB">
              <w:rPr>
                <w:rFonts w:ascii="Arial Narrow" w:eastAsia="Calibri" w:hAnsi="Arial Narrow" w:cs="Arial"/>
                <w:iCs/>
                <w:sz w:val="20"/>
                <w:szCs w:val="20"/>
                <w:lang w:eastAsia="en-US"/>
              </w:rPr>
              <w:t>is encouraged for treatment naive patients.</w:t>
            </w:r>
          </w:p>
          <w:p w14:paraId="44F29A3B" w14:textId="77777777" w:rsidR="00B603EB" w:rsidRPr="00B603EB" w:rsidRDefault="00B603EB" w:rsidP="00383ADB">
            <w:pPr>
              <w:rPr>
                <w:rFonts w:ascii="Arial Narrow" w:eastAsia="Calibri" w:hAnsi="Arial Narrow" w:cs="Arial"/>
                <w:iCs/>
                <w:sz w:val="20"/>
                <w:szCs w:val="20"/>
                <w:lang w:eastAsia="en-US"/>
              </w:rPr>
            </w:pPr>
          </w:p>
          <w:p w14:paraId="2A139410" w14:textId="60F8420D" w:rsidR="00B603EB" w:rsidRPr="0079778C" w:rsidRDefault="00B603EB" w:rsidP="00383ADB">
            <w:pPr>
              <w:rPr>
                <w:rFonts w:ascii="Arial Narrow" w:eastAsia="Calibri" w:hAnsi="Arial Narrow" w:cs="Arial"/>
                <w:b/>
                <w:i/>
                <w:sz w:val="20"/>
                <w:szCs w:val="20"/>
                <w:lang w:eastAsia="en-US"/>
              </w:rPr>
            </w:pPr>
            <w:r w:rsidRPr="00B603EB">
              <w:rPr>
                <w:rFonts w:ascii="Arial Narrow" w:eastAsia="Calibri" w:hAnsi="Arial Narrow" w:cs="Arial"/>
                <w:iCs/>
                <w:sz w:val="20"/>
                <w:szCs w:val="20"/>
                <w:lang w:eastAsia="en-US"/>
              </w:rPr>
              <w:t xml:space="preserve">Encouraging biosimilar prescribing for treatment naive patients is Government policy. A viable biosimilar market is expected to result in reduced costs for biological medicines, allowing the Government to reinvest in new treatments. </w:t>
            </w:r>
            <w:r w:rsidR="00586F54" w:rsidRPr="00E4727A">
              <w:rPr>
                <w:rFonts w:ascii="Arial Narrow" w:eastAsia="Calibri" w:hAnsi="Arial Narrow" w:cs="Arial"/>
                <w:iCs/>
                <w:sz w:val="20"/>
                <w:szCs w:val="20"/>
                <w:lang w:eastAsia="en-US"/>
              </w:rPr>
              <w:t>Further information about Biosimilar Uptake Drivers can be found on the can be found on the PBS Biosimilars webpage (www.pbs.gov.au/info/general/biosimilars).</w:t>
            </w:r>
          </w:p>
        </w:tc>
      </w:tr>
    </w:tbl>
    <w:p w14:paraId="1C2E7508" w14:textId="77777777" w:rsidR="00B603EB" w:rsidRPr="0079778C" w:rsidRDefault="00B603EB" w:rsidP="00B603EB">
      <w:pPr>
        <w:rPr>
          <w:rFonts w:asciiTheme="minorHAnsi" w:hAnsiTheme="minorHAnsi" w:cstheme="minorHAnsi"/>
          <w:b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850"/>
        <w:gridCol w:w="851"/>
        <w:gridCol w:w="850"/>
        <w:gridCol w:w="709"/>
        <w:gridCol w:w="1843"/>
      </w:tblGrid>
      <w:tr w:rsidR="00B603EB" w:rsidRPr="0079778C" w14:paraId="16350311" w14:textId="77777777" w:rsidTr="00203DF0">
        <w:trPr>
          <w:cantSplit/>
          <w:trHeight w:val="471"/>
        </w:trPr>
        <w:tc>
          <w:tcPr>
            <w:tcW w:w="3823" w:type="dxa"/>
          </w:tcPr>
          <w:p w14:paraId="3D4C82CE" w14:textId="77777777" w:rsidR="00B603EB" w:rsidRPr="0079778C" w:rsidRDefault="00B603EB" w:rsidP="00383ADB">
            <w:pPr>
              <w:keepNext/>
              <w:ind w:left="-108"/>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Name, Restriction,</w:t>
            </w:r>
          </w:p>
          <w:p w14:paraId="3B42FCF1" w14:textId="77777777" w:rsidR="00B603EB" w:rsidRPr="0079778C" w:rsidRDefault="00B603EB" w:rsidP="00383ADB">
            <w:pPr>
              <w:keepNext/>
              <w:ind w:left="-108"/>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Manner of administration and form</w:t>
            </w:r>
          </w:p>
        </w:tc>
        <w:tc>
          <w:tcPr>
            <w:tcW w:w="850" w:type="dxa"/>
          </w:tcPr>
          <w:p w14:paraId="13EE76CE" w14:textId="77777777" w:rsidR="00B603EB" w:rsidRPr="0079778C" w:rsidRDefault="00B603EB" w:rsidP="00383ADB">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PBS item code</w:t>
            </w:r>
          </w:p>
        </w:tc>
        <w:tc>
          <w:tcPr>
            <w:tcW w:w="851" w:type="dxa"/>
          </w:tcPr>
          <w:p w14:paraId="3E507ABA" w14:textId="77777777" w:rsidR="00B603EB" w:rsidRPr="0079778C" w:rsidRDefault="00B603EB" w:rsidP="00383ADB">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Max. qty packs</w:t>
            </w:r>
          </w:p>
        </w:tc>
        <w:tc>
          <w:tcPr>
            <w:tcW w:w="850" w:type="dxa"/>
          </w:tcPr>
          <w:p w14:paraId="30810CC2" w14:textId="77777777" w:rsidR="00B603EB" w:rsidRPr="0079778C" w:rsidRDefault="00B603EB" w:rsidP="00383ADB">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Max. qty units</w:t>
            </w:r>
          </w:p>
        </w:tc>
        <w:tc>
          <w:tcPr>
            <w:tcW w:w="709" w:type="dxa"/>
          </w:tcPr>
          <w:p w14:paraId="61D34A7D" w14:textId="77777777" w:rsidR="00B603EB" w:rsidRPr="0079778C" w:rsidRDefault="00B603EB" w:rsidP="00383ADB">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№.of</w:t>
            </w:r>
          </w:p>
          <w:p w14:paraId="01DD795A" w14:textId="77777777" w:rsidR="00B603EB" w:rsidRPr="0079778C" w:rsidRDefault="00B603EB" w:rsidP="00383ADB">
            <w:pPr>
              <w:keepNext/>
              <w:ind w:left="-108"/>
              <w:jc w:val="center"/>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Rpts</w:t>
            </w:r>
          </w:p>
        </w:tc>
        <w:tc>
          <w:tcPr>
            <w:tcW w:w="1843" w:type="dxa"/>
          </w:tcPr>
          <w:p w14:paraId="2885204D" w14:textId="77777777" w:rsidR="00B603EB" w:rsidRPr="0079778C" w:rsidRDefault="00B603EB" w:rsidP="00383ADB">
            <w:pPr>
              <w:keepNext/>
              <w:jc w:val="left"/>
              <w:rPr>
                <w:rFonts w:ascii="Arial Narrow" w:eastAsia="Calibri" w:hAnsi="Arial Narrow" w:cs="Arial"/>
                <w:b/>
                <w:sz w:val="20"/>
                <w:szCs w:val="20"/>
                <w:lang w:eastAsia="en-US"/>
              </w:rPr>
            </w:pPr>
            <w:r w:rsidRPr="0079778C">
              <w:rPr>
                <w:rFonts w:ascii="Arial Narrow" w:eastAsia="Calibri" w:hAnsi="Arial Narrow" w:cs="Arial"/>
                <w:b/>
                <w:sz w:val="20"/>
                <w:szCs w:val="20"/>
                <w:lang w:eastAsia="en-US"/>
              </w:rPr>
              <w:t>Available brands</w:t>
            </w:r>
          </w:p>
        </w:tc>
      </w:tr>
      <w:tr w:rsidR="00B603EB" w:rsidRPr="0079778C" w14:paraId="415864C3" w14:textId="77777777" w:rsidTr="00203DF0">
        <w:trPr>
          <w:cantSplit/>
          <w:trHeight w:val="761"/>
        </w:trPr>
        <w:tc>
          <w:tcPr>
            <w:tcW w:w="3823" w:type="dxa"/>
          </w:tcPr>
          <w:p w14:paraId="0AC36C89" w14:textId="77777777" w:rsidR="00B603EB" w:rsidRPr="0079778C" w:rsidRDefault="00B603EB" w:rsidP="00383ADB">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 xml:space="preserve">ENOXAPARIN  </w:t>
            </w:r>
          </w:p>
          <w:p w14:paraId="06277095" w14:textId="77777777" w:rsidR="00B603EB" w:rsidRPr="0079778C" w:rsidRDefault="00B603EB" w:rsidP="00383ADB">
            <w:pPr>
              <w:keepNext/>
              <w:ind w:left="-108"/>
              <w:rPr>
                <w:rFonts w:ascii="Arial Narrow" w:eastAsia="Calibri" w:hAnsi="Arial Narrow" w:cs="Arial"/>
                <w:sz w:val="20"/>
                <w:szCs w:val="20"/>
                <w:lang w:eastAsia="en-US"/>
              </w:rPr>
            </w:pPr>
          </w:p>
          <w:p w14:paraId="3216A912" w14:textId="77777777" w:rsidR="00B603EB" w:rsidRPr="0079778C" w:rsidRDefault="00B603EB" w:rsidP="00383ADB">
            <w:pPr>
              <w:keepNext/>
              <w:ind w:left="-108"/>
              <w:rPr>
                <w:rFonts w:ascii="Arial Narrow" w:eastAsia="Calibri" w:hAnsi="Arial Narrow" w:cs="Arial"/>
                <w:sz w:val="20"/>
                <w:szCs w:val="20"/>
                <w:lang w:eastAsia="en-US"/>
              </w:rPr>
            </w:pPr>
            <w:r w:rsidRPr="003745E9">
              <w:rPr>
                <w:rFonts w:ascii="Arial Narrow" w:eastAsia="Calibri" w:hAnsi="Arial Narrow" w:cs="Arial"/>
                <w:sz w:val="20"/>
                <w:szCs w:val="20"/>
                <w:lang w:eastAsia="en-US"/>
              </w:rPr>
              <w:t>enoxaparin sodium 20 mg/0.2 mL injection, 10 x</w:t>
            </w:r>
            <w:r w:rsidRPr="0079778C">
              <w:rPr>
                <w:rFonts w:ascii="Arial Narrow" w:eastAsia="Calibri" w:hAnsi="Arial Narrow" w:cs="Arial"/>
                <w:sz w:val="20"/>
                <w:szCs w:val="20"/>
                <w:lang w:eastAsia="en-US"/>
              </w:rPr>
              <w:t xml:space="preserve"> 0.2</w:t>
            </w:r>
            <w:r>
              <w:rPr>
                <w:rFonts w:ascii="Arial Narrow" w:eastAsia="Calibri" w:hAnsi="Arial Narrow" w:cs="Arial"/>
                <w:sz w:val="20"/>
                <w:szCs w:val="20"/>
                <w:lang w:eastAsia="en-US"/>
              </w:rPr>
              <w:t> </w:t>
            </w:r>
            <w:r w:rsidRPr="0079778C">
              <w:rPr>
                <w:rFonts w:ascii="Arial Narrow" w:eastAsia="Calibri" w:hAnsi="Arial Narrow" w:cs="Arial"/>
                <w:sz w:val="20"/>
                <w:szCs w:val="20"/>
                <w:lang w:eastAsia="en-US"/>
              </w:rPr>
              <w:t>mL syringes</w:t>
            </w:r>
          </w:p>
        </w:tc>
        <w:tc>
          <w:tcPr>
            <w:tcW w:w="850" w:type="dxa"/>
          </w:tcPr>
          <w:p w14:paraId="2A60E012" w14:textId="77777777" w:rsidR="00B603EB" w:rsidRPr="0079778C" w:rsidRDefault="00B603EB" w:rsidP="00383ADB">
            <w:pPr>
              <w:keepNext/>
              <w:jc w:val="center"/>
              <w:rPr>
                <w:rFonts w:ascii="Arial Narrow" w:eastAsia="Calibri" w:hAnsi="Arial Narrow" w:cs="Arial"/>
                <w:sz w:val="20"/>
                <w:szCs w:val="20"/>
                <w:lang w:eastAsia="en-US"/>
              </w:rPr>
            </w:pPr>
          </w:p>
          <w:p w14:paraId="6180E5C8" w14:textId="77777777" w:rsidR="00B603EB" w:rsidRPr="0079778C" w:rsidRDefault="00B603EB" w:rsidP="00383ADB">
            <w:pPr>
              <w:keepNext/>
              <w:ind w:left="-108"/>
              <w:jc w:val="center"/>
              <w:rPr>
                <w:rFonts w:ascii="Arial Narrow" w:eastAsia="Calibri" w:hAnsi="Arial Narrow" w:cs="Arial"/>
                <w:sz w:val="20"/>
                <w:szCs w:val="20"/>
                <w:lang w:eastAsia="en-US"/>
              </w:rPr>
            </w:pPr>
          </w:p>
          <w:p w14:paraId="28FC224B" w14:textId="77777777" w:rsidR="00B603EB" w:rsidRPr="0079778C" w:rsidRDefault="00B603EB" w:rsidP="00383ADB">
            <w:pPr>
              <w:keepNext/>
              <w:ind w:left="-113"/>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 xml:space="preserve">  8716R</w:t>
            </w:r>
          </w:p>
        </w:tc>
        <w:tc>
          <w:tcPr>
            <w:tcW w:w="851" w:type="dxa"/>
          </w:tcPr>
          <w:p w14:paraId="6BBC5BA7" w14:textId="77777777" w:rsidR="00B603EB" w:rsidRPr="0079778C" w:rsidRDefault="00B603EB" w:rsidP="00383ADB">
            <w:pPr>
              <w:keepNext/>
              <w:jc w:val="center"/>
              <w:rPr>
                <w:rFonts w:ascii="Arial Narrow" w:eastAsia="Calibri" w:hAnsi="Arial Narrow" w:cs="Arial"/>
                <w:sz w:val="20"/>
                <w:szCs w:val="20"/>
                <w:lang w:eastAsia="en-US"/>
              </w:rPr>
            </w:pPr>
          </w:p>
          <w:p w14:paraId="34150FA7" w14:textId="77777777" w:rsidR="00B603EB" w:rsidRPr="0079778C" w:rsidRDefault="00B603EB" w:rsidP="00383ADB">
            <w:pPr>
              <w:keepNext/>
              <w:ind w:left="-108"/>
              <w:jc w:val="center"/>
              <w:rPr>
                <w:rFonts w:ascii="Arial Narrow" w:eastAsia="Calibri" w:hAnsi="Arial Narrow" w:cs="Arial"/>
                <w:sz w:val="20"/>
                <w:szCs w:val="20"/>
                <w:lang w:eastAsia="en-US"/>
              </w:rPr>
            </w:pPr>
          </w:p>
          <w:p w14:paraId="2706486B"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3715070A" w14:textId="77777777" w:rsidR="00B603EB" w:rsidRPr="0079778C" w:rsidRDefault="00B603EB" w:rsidP="00383ADB">
            <w:pPr>
              <w:keepNext/>
              <w:ind w:left="-108"/>
              <w:jc w:val="center"/>
              <w:rPr>
                <w:rFonts w:ascii="Arial Narrow" w:eastAsia="Calibri" w:hAnsi="Arial Narrow" w:cs="Arial"/>
                <w:sz w:val="20"/>
                <w:szCs w:val="20"/>
                <w:lang w:eastAsia="en-US"/>
              </w:rPr>
            </w:pPr>
          </w:p>
          <w:p w14:paraId="3CBBE020" w14:textId="77777777" w:rsidR="00B603EB" w:rsidRPr="0079778C" w:rsidRDefault="00B603EB" w:rsidP="00383ADB">
            <w:pPr>
              <w:keepNext/>
              <w:jc w:val="left"/>
              <w:rPr>
                <w:rFonts w:ascii="Arial Narrow" w:eastAsia="Calibri" w:hAnsi="Arial Narrow" w:cs="Arial"/>
                <w:sz w:val="20"/>
                <w:szCs w:val="20"/>
                <w:lang w:eastAsia="en-US"/>
              </w:rPr>
            </w:pPr>
          </w:p>
          <w:p w14:paraId="0E920F22"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145B4739" w14:textId="77777777" w:rsidR="00B603EB" w:rsidRPr="0079778C" w:rsidRDefault="00B603EB" w:rsidP="00383ADB">
            <w:pPr>
              <w:keepNext/>
              <w:ind w:left="-108"/>
              <w:jc w:val="center"/>
              <w:rPr>
                <w:rFonts w:ascii="Arial Narrow" w:eastAsia="Calibri" w:hAnsi="Arial Narrow" w:cs="Arial"/>
                <w:sz w:val="20"/>
                <w:szCs w:val="20"/>
                <w:lang w:eastAsia="en-US"/>
              </w:rPr>
            </w:pPr>
          </w:p>
          <w:p w14:paraId="0CC80E35" w14:textId="77777777" w:rsidR="00B603EB" w:rsidRPr="0079778C" w:rsidRDefault="00B603EB" w:rsidP="00383ADB">
            <w:pPr>
              <w:keepNext/>
              <w:ind w:left="-108"/>
              <w:jc w:val="center"/>
              <w:rPr>
                <w:rFonts w:ascii="Arial Narrow" w:eastAsia="Calibri" w:hAnsi="Arial Narrow" w:cs="Arial"/>
                <w:sz w:val="20"/>
                <w:szCs w:val="20"/>
                <w:lang w:eastAsia="en-US"/>
              </w:rPr>
            </w:pPr>
          </w:p>
          <w:p w14:paraId="71D5B914"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3</w:t>
            </w:r>
          </w:p>
          <w:p w14:paraId="2F2A2C74" w14:textId="77777777" w:rsidR="00B603EB" w:rsidRPr="0079778C" w:rsidRDefault="00B603EB" w:rsidP="00383ADB">
            <w:pPr>
              <w:keepNext/>
              <w:jc w:val="left"/>
              <w:rPr>
                <w:rFonts w:ascii="Arial Narrow" w:eastAsia="Calibri" w:hAnsi="Arial Narrow" w:cs="Arial"/>
                <w:sz w:val="20"/>
                <w:szCs w:val="20"/>
                <w:lang w:eastAsia="en-US"/>
              </w:rPr>
            </w:pPr>
          </w:p>
        </w:tc>
        <w:tc>
          <w:tcPr>
            <w:tcW w:w="1843" w:type="dxa"/>
            <w:vAlign w:val="center"/>
          </w:tcPr>
          <w:p w14:paraId="7FF81F1A" w14:textId="77777777" w:rsidR="00B603EB" w:rsidRDefault="00B603EB" w:rsidP="00383ADB">
            <w:pPr>
              <w:keepNext/>
              <w:jc w:val="left"/>
              <w:rPr>
                <w:rFonts w:ascii="Arial Narrow" w:eastAsia="Calibri" w:hAnsi="Arial Narrow" w:cs="Arial"/>
                <w:sz w:val="20"/>
                <w:szCs w:val="20"/>
                <w:lang w:eastAsia="en-US"/>
              </w:rPr>
            </w:pPr>
          </w:p>
          <w:p w14:paraId="6CCE14CA" w14:textId="77777777" w:rsidR="00B603EB" w:rsidRDefault="00B603EB" w:rsidP="00383ADB">
            <w:pPr>
              <w:keepNext/>
              <w:jc w:val="left"/>
              <w:rPr>
                <w:rFonts w:ascii="Arial Narrow" w:eastAsia="Calibri" w:hAnsi="Arial Narrow" w:cs="Arial"/>
                <w:sz w:val="20"/>
                <w:szCs w:val="20"/>
                <w:lang w:eastAsia="en-US"/>
              </w:rPr>
            </w:pPr>
          </w:p>
          <w:p w14:paraId="39007C66" w14:textId="77777777" w:rsidR="00B603EB" w:rsidRPr="0079778C" w:rsidRDefault="00B603EB" w:rsidP="00383ADB">
            <w:pPr>
              <w:keepNext/>
              <w:jc w:val="left"/>
              <w:rPr>
                <w:rFonts w:ascii="Arial Narrow" w:eastAsia="Calibri" w:hAnsi="Arial Narrow" w:cs="Arial"/>
                <w:sz w:val="20"/>
                <w:szCs w:val="20"/>
                <w:vertAlign w:val="superscript"/>
                <w:lang w:eastAsia="en-US"/>
              </w:rPr>
            </w:pPr>
            <w:r w:rsidRPr="0079778C">
              <w:rPr>
                <w:rFonts w:ascii="Arial Narrow" w:eastAsia="Calibri" w:hAnsi="Arial Narrow" w:cs="Arial"/>
                <w:sz w:val="20"/>
                <w:szCs w:val="20"/>
                <w:lang w:eastAsia="en-US"/>
              </w:rPr>
              <w:t xml:space="preserve">Clexane Safety-Lock </w:t>
            </w:r>
            <w:r w:rsidRPr="0079778C">
              <w:rPr>
                <w:rFonts w:ascii="Arial Narrow" w:eastAsia="Calibri" w:hAnsi="Arial Narrow" w:cs="Arial"/>
                <w:sz w:val="20"/>
                <w:szCs w:val="20"/>
                <w:vertAlign w:val="superscript"/>
                <w:lang w:eastAsia="en-US"/>
              </w:rPr>
              <w:t>a</w:t>
            </w:r>
          </w:p>
          <w:p w14:paraId="62B12800" w14:textId="77777777" w:rsidR="00B603EB" w:rsidRPr="0079778C" w:rsidRDefault="00B603EB" w:rsidP="00383ADB">
            <w:pPr>
              <w:keepNext/>
              <w:jc w:val="left"/>
              <w:rPr>
                <w:rFonts w:ascii="Arial Narrow" w:eastAsia="Calibri" w:hAnsi="Arial Narrow" w:cs="Arial"/>
                <w:i/>
                <w:sz w:val="20"/>
                <w:szCs w:val="20"/>
                <w:vertAlign w:val="superscript"/>
                <w:lang w:eastAsia="en-US"/>
              </w:rPr>
            </w:pPr>
            <w:r w:rsidRPr="00623B3D">
              <w:rPr>
                <w:rFonts w:ascii="Arial Narrow" w:eastAsia="Calibri" w:hAnsi="Arial Narrow" w:cs="Arial"/>
                <w:sz w:val="20"/>
                <w:szCs w:val="20"/>
                <w:lang w:eastAsia="en-US"/>
              </w:rPr>
              <w:t>Exarane</w:t>
            </w:r>
            <w:r w:rsidRPr="0079778C">
              <w:rPr>
                <w:rFonts w:ascii="Arial Narrow" w:eastAsia="Calibri" w:hAnsi="Arial Narrow" w:cs="Arial"/>
                <w:sz w:val="20"/>
                <w:szCs w:val="20"/>
                <w:lang w:eastAsia="en-US"/>
              </w:rPr>
              <w:t xml:space="preserve"> </w:t>
            </w:r>
            <w:r w:rsidRPr="0079778C">
              <w:rPr>
                <w:rFonts w:ascii="Arial Narrow" w:eastAsia="Calibri" w:hAnsi="Arial Narrow" w:cs="Arial"/>
                <w:sz w:val="20"/>
                <w:szCs w:val="20"/>
                <w:vertAlign w:val="superscript"/>
                <w:lang w:eastAsia="en-US"/>
              </w:rPr>
              <w:t xml:space="preserve">a </w:t>
            </w:r>
          </w:p>
        </w:tc>
      </w:tr>
      <w:tr w:rsidR="00B603EB" w:rsidRPr="0079778C" w14:paraId="7B56E932" w14:textId="77777777" w:rsidTr="00203DF0">
        <w:trPr>
          <w:cantSplit/>
          <w:trHeight w:val="347"/>
        </w:trPr>
        <w:tc>
          <w:tcPr>
            <w:tcW w:w="3823" w:type="dxa"/>
          </w:tcPr>
          <w:p w14:paraId="771E61BB" w14:textId="77777777" w:rsidR="00B603EB" w:rsidRPr="0079778C" w:rsidRDefault="00B603EB" w:rsidP="00383ADB">
            <w:pPr>
              <w:keepNext/>
              <w:ind w:left="-115"/>
              <w:jc w:val="left"/>
              <w:rPr>
                <w:rFonts w:ascii="Arial Narrow" w:eastAsia="Calibri" w:hAnsi="Arial Narrow" w:cs="Arial"/>
                <w:sz w:val="20"/>
                <w:szCs w:val="20"/>
                <w:lang w:eastAsia="en-US"/>
              </w:rPr>
            </w:pPr>
            <w:r w:rsidRPr="003745E9">
              <w:rPr>
                <w:rFonts w:ascii="Arial Narrow" w:eastAsia="Calibri" w:hAnsi="Arial Narrow" w:cs="Arial"/>
                <w:sz w:val="20"/>
                <w:szCs w:val="20"/>
                <w:lang w:eastAsia="en-US"/>
              </w:rPr>
              <w:t>enoxaparin sodium 40 mg/0.4 mL injection, 10 x</w:t>
            </w:r>
            <w:r w:rsidRPr="0079778C">
              <w:rPr>
                <w:rFonts w:ascii="Arial Narrow" w:eastAsia="Calibri" w:hAnsi="Arial Narrow" w:cs="Arial"/>
                <w:sz w:val="20"/>
                <w:szCs w:val="20"/>
                <w:lang w:eastAsia="en-US"/>
              </w:rPr>
              <w:t xml:space="preserve"> 0.4 mL syringes</w:t>
            </w:r>
          </w:p>
        </w:tc>
        <w:tc>
          <w:tcPr>
            <w:tcW w:w="850" w:type="dxa"/>
          </w:tcPr>
          <w:p w14:paraId="63983B6B" w14:textId="77777777" w:rsidR="00B603EB" w:rsidRPr="0079778C" w:rsidRDefault="00B603EB" w:rsidP="00383ADB">
            <w:pPr>
              <w:keepNext/>
              <w:ind w:left="31" w:hanging="31"/>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8639Q</w:t>
            </w:r>
          </w:p>
        </w:tc>
        <w:tc>
          <w:tcPr>
            <w:tcW w:w="851" w:type="dxa"/>
          </w:tcPr>
          <w:p w14:paraId="622C54B5"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59BA7F9D"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62BE9E66"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3</w:t>
            </w:r>
          </w:p>
          <w:p w14:paraId="45CF8C44" w14:textId="77777777" w:rsidR="00B603EB" w:rsidRPr="0079778C" w:rsidRDefault="00B603EB" w:rsidP="00383ADB">
            <w:pPr>
              <w:keepNext/>
              <w:ind w:left="-108"/>
              <w:jc w:val="center"/>
              <w:rPr>
                <w:rFonts w:ascii="Arial Narrow" w:eastAsia="Calibri" w:hAnsi="Arial Narrow" w:cs="Arial"/>
                <w:sz w:val="20"/>
                <w:szCs w:val="20"/>
                <w:lang w:eastAsia="en-US"/>
              </w:rPr>
            </w:pPr>
          </w:p>
        </w:tc>
        <w:tc>
          <w:tcPr>
            <w:tcW w:w="1843" w:type="dxa"/>
            <w:vAlign w:val="center"/>
          </w:tcPr>
          <w:p w14:paraId="4644E50B" w14:textId="77777777" w:rsidR="00B603EB" w:rsidRPr="0079778C" w:rsidRDefault="00B603EB" w:rsidP="00383ADB">
            <w:pPr>
              <w:keepNext/>
              <w:jc w:val="left"/>
              <w:rPr>
                <w:rFonts w:ascii="Arial Narrow" w:eastAsia="Calibri" w:hAnsi="Arial Narrow" w:cs="Arial"/>
                <w:sz w:val="20"/>
                <w:szCs w:val="20"/>
                <w:vertAlign w:val="superscript"/>
                <w:lang w:eastAsia="en-US"/>
              </w:rPr>
            </w:pPr>
            <w:r w:rsidRPr="0079778C">
              <w:rPr>
                <w:rFonts w:ascii="Arial Narrow" w:eastAsia="Calibri" w:hAnsi="Arial Narrow" w:cs="Arial"/>
                <w:sz w:val="20"/>
                <w:szCs w:val="20"/>
                <w:lang w:eastAsia="en-US"/>
              </w:rPr>
              <w:t xml:space="preserve">Clexane Safety-Lock </w:t>
            </w:r>
            <w:r w:rsidRPr="0079778C">
              <w:rPr>
                <w:rFonts w:ascii="Arial Narrow" w:eastAsia="Calibri" w:hAnsi="Arial Narrow" w:cs="Arial"/>
                <w:sz w:val="20"/>
                <w:szCs w:val="20"/>
                <w:vertAlign w:val="superscript"/>
                <w:lang w:eastAsia="en-US"/>
              </w:rPr>
              <w:t>a</w:t>
            </w:r>
          </w:p>
          <w:p w14:paraId="5C13B6C1" w14:textId="77777777" w:rsidR="00B603EB" w:rsidRPr="0079778C" w:rsidRDefault="00B603EB" w:rsidP="00383ADB">
            <w:pPr>
              <w:keepNext/>
              <w:jc w:val="left"/>
              <w:rPr>
                <w:rFonts w:ascii="Arial Narrow" w:eastAsia="Calibri" w:hAnsi="Arial Narrow" w:cs="Arial"/>
                <w:i/>
                <w:sz w:val="20"/>
                <w:szCs w:val="20"/>
                <w:vertAlign w:val="superscript"/>
                <w:lang w:eastAsia="en-US"/>
              </w:rPr>
            </w:pPr>
            <w:r w:rsidRPr="00623B3D">
              <w:rPr>
                <w:rFonts w:ascii="Arial Narrow" w:eastAsia="Calibri" w:hAnsi="Arial Narrow" w:cs="Arial"/>
                <w:sz w:val="20"/>
                <w:szCs w:val="20"/>
                <w:lang w:eastAsia="en-US"/>
              </w:rPr>
              <w:t>Exarane</w:t>
            </w:r>
            <w:r w:rsidRPr="0079778C">
              <w:rPr>
                <w:rFonts w:ascii="Arial Narrow" w:eastAsia="Calibri" w:hAnsi="Arial Narrow" w:cs="Arial"/>
                <w:sz w:val="20"/>
                <w:szCs w:val="20"/>
                <w:lang w:eastAsia="en-US"/>
              </w:rPr>
              <w:t xml:space="preserve"> </w:t>
            </w:r>
            <w:r w:rsidRPr="0079778C">
              <w:rPr>
                <w:rFonts w:ascii="Arial Narrow" w:eastAsia="Calibri" w:hAnsi="Arial Narrow" w:cs="Arial"/>
                <w:sz w:val="20"/>
                <w:szCs w:val="20"/>
                <w:vertAlign w:val="superscript"/>
                <w:lang w:eastAsia="en-US"/>
              </w:rPr>
              <w:t>a</w:t>
            </w:r>
          </w:p>
        </w:tc>
      </w:tr>
      <w:tr w:rsidR="00B603EB" w:rsidRPr="0079778C" w14:paraId="637A6C18" w14:textId="77777777" w:rsidTr="00203DF0">
        <w:trPr>
          <w:cantSplit/>
          <w:trHeight w:val="347"/>
        </w:trPr>
        <w:tc>
          <w:tcPr>
            <w:tcW w:w="3823" w:type="dxa"/>
          </w:tcPr>
          <w:p w14:paraId="503D1042" w14:textId="77777777" w:rsidR="00B603EB" w:rsidRPr="0079778C" w:rsidRDefault="00B603EB" w:rsidP="00383ADB">
            <w:pPr>
              <w:keepNext/>
              <w:ind w:left="-108"/>
              <w:jc w:val="left"/>
              <w:rPr>
                <w:rFonts w:ascii="Arial Narrow" w:eastAsia="Calibri" w:hAnsi="Arial Narrow" w:cs="Arial"/>
                <w:sz w:val="20"/>
                <w:szCs w:val="20"/>
                <w:lang w:eastAsia="en-US"/>
              </w:rPr>
            </w:pPr>
            <w:r w:rsidRPr="003745E9">
              <w:rPr>
                <w:rFonts w:ascii="Arial Narrow" w:eastAsia="Calibri" w:hAnsi="Arial Narrow" w:cs="Arial"/>
                <w:sz w:val="20"/>
                <w:szCs w:val="20"/>
                <w:lang w:eastAsia="en-US"/>
              </w:rPr>
              <w:t>enoxaparin sodium 60 mg/0.6 mL injection, 10 x</w:t>
            </w:r>
            <w:r w:rsidRPr="0079778C">
              <w:rPr>
                <w:rFonts w:ascii="Arial Narrow" w:eastAsia="Calibri" w:hAnsi="Arial Narrow" w:cs="Arial"/>
                <w:sz w:val="20"/>
                <w:szCs w:val="20"/>
                <w:lang w:eastAsia="en-US"/>
              </w:rPr>
              <w:t xml:space="preserve"> 0.6 mL syringes</w:t>
            </w:r>
          </w:p>
        </w:tc>
        <w:tc>
          <w:tcPr>
            <w:tcW w:w="850" w:type="dxa"/>
          </w:tcPr>
          <w:p w14:paraId="51A59FCC" w14:textId="77777777" w:rsidR="00B603EB" w:rsidRPr="0079778C" w:rsidRDefault="00B603EB" w:rsidP="00383ADB">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8640R</w:t>
            </w:r>
          </w:p>
        </w:tc>
        <w:tc>
          <w:tcPr>
            <w:tcW w:w="851" w:type="dxa"/>
          </w:tcPr>
          <w:p w14:paraId="59F03D8F"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707678BA" w14:textId="77777777" w:rsidR="00B603EB" w:rsidRPr="0079778C" w:rsidRDefault="00B603EB" w:rsidP="00383ADB">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0C027959"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3</w:t>
            </w:r>
          </w:p>
          <w:p w14:paraId="55F615E2" w14:textId="77777777" w:rsidR="00B603EB" w:rsidRPr="0079778C" w:rsidRDefault="00B603EB" w:rsidP="00383ADB">
            <w:pPr>
              <w:keepNext/>
              <w:ind w:left="-108"/>
              <w:jc w:val="center"/>
              <w:rPr>
                <w:rFonts w:ascii="Arial Narrow" w:eastAsia="Calibri" w:hAnsi="Arial Narrow" w:cs="Arial"/>
                <w:sz w:val="20"/>
                <w:szCs w:val="20"/>
                <w:lang w:eastAsia="en-US"/>
              </w:rPr>
            </w:pPr>
          </w:p>
        </w:tc>
        <w:tc>
          <w:tcPr>
            <w:tcW w:w="1843" w:type="dxa"/>
            <w:vAlign w:val="center"/>
          </w:tcPr>
          <w:p w14:paraId="5CB2750A" w14:textId="77777777" w:rsidR="00B603EB" w:rsidRPr="0079778C" w:rsidRDefault="00B603EB" w:rsidP="00383ADB">
            <w:pPr>
              <w:keepNext/>
              <w:jc w:val="left"/>
              <w:rPr>
                <w:rFonts w:ascii="Arial Narrow" w:eastAsia="Calibri" w:hAnsi="Arial Narrow" w:cs="Arial"/>
                <w:sz w:val="20"/>
                <w:szCs w:val="20"/>
                <w:vertAlign w:val="superscript"/>
                <w:lang w:eastAsia="en-US"/>
              </w:rPr>
            </w:pPr>
            <w:r w:rsidRPr="0079778C">
              <w:rPr>
                <w:rFonts w:ascii="Arial Narrow" w:eastAsia="Calibri" w:hAnsi="Arial Narrow" w:cs="Arial"/>
                <w:sz w:val="20"/>
                <w:szCs w:val="20"/>
                <w:lang w:eastAsia="en-US"/>
              </w:rPr>
              <w:t xml:space="preserve">Clexane Safety-Lock </w:t>
            </w:r>
            <w:r w:rsidRPr="0079778C">
              <w:rPr>
                <w:rFonts w:ascii="Arial Narrow" w:eastAsia="Calibri" w:hAnsi="Arial Narrow" w:cs="Arial"/>
                <w:sz w:val="20"/>
                <w:szCs w:val="20"/>
                <w:vertAlign w:val="superscript"/>
                <w:lang w:eastAsia="en-US"/>
              </w:rPr>
              <w:t>a</w:t>
            </w:r>
          </w:p>
          <w:p w14:paraId="4540D6BA" w14:textId="77777777" w:rsidR="00B603EB" w:rsidRPr="0079778C" w:rsidRDefault="00B603EB" w:rsidP="00383ADB">
            <w:pPr>
              <w:keepNext/>
              <w:jc w:val="left"/>
              <w:rPr>
                <w:rFonts w:ascii="Arial Narrow" w:eastAsia="Calibri" w:hAnsi="Arial Narrow" w:cs="Arial"/>
                <w:i/>
                <w:sz w:val="20"/>
                <w:szCs w:val="20"/>
                <w:vertAlign w:val="superscript"/>
                <w:lang w:eastAsia="en-US"/>
              </w:rPr>
            </w:pPr>
            <w:r w:rsidRPr="00623B3D">
              <w:rPr>
                <w:rFonts w:ascii="Arial Narrow" w:eastAsia="Calibri" w:hAnsi="Arial Narrow" w:cs="Arial"/>
                <w:sz w:val="20"/>
                <w:szCs w:val="20"/>
                <w:lang w:eastAsia="en-US"/>
              </w:rPr>
              <w:t>Exarane</w:t>
            </w:r>
            <w:r w:rsidRPr="0079778C">
              <w:rPr>
                <w:rFonts w:ascii="Arial Narrow" w:eastAsia="Calibri" w:hAnsi="Arial Narrow" w:cs="Arial"/>
                <w:sz w:val="20"/>
                <w:szCs w:val="20"/>
                <w:lang w:eastAsia="en-US"/>
              </w:rPr>
              <w:t xml:space="preserve"> </w:t>
            </w:r>
            <w:r w:rsidRPr="0079778C">
              <w:rPr>
                <w:rFonts w:ascii="Arial Narrow" w:eastAsia="Calibri" w:hAnsi="Arial Narrow" w:cs="Arial"/>
                <w:sz w:val="20"/>
                <w:szCs w:val="20"/>
                <w:vertAlign w:val="superscript"/>
                <w:lang w:eastAsia="en-US"/>
              </w:rPr>
              <w:t>a</w:t>
            </w:r>
          </w:p>
        </w:tc>
      </w:tr>
      <w:tr w:rsidR="00B603EB" w:rsidRPr="0079778C" w14:paraId="2ADA61CF" w14:textId="77777777" w:rsidTr="00203DF0">
        <w:trPr>
          <w:cantSplit/>
          <w:trHeight w:val="327"/>
        </w:trPr>
        <w:tc>
          <w:tcPr>
            <w:tcW w:w="3823" w:type="dxa"/>
          </w:tcPr>
          <w:p w14:paraId="6A91BC58" w14:textId="77777777" w:rsidR="00B603EB" w:rsidRPr="0079778C" w:rsidRDefault="00B603EB" w:rsidP="00383ADB">
            <w:pPr>
              <w:keepNext/>
              <w:ind w:left="-108"/>
              <w:jc w:val="left"/>
              <w:rPr>
                <w:rFonts w:ascii="Arial Narrow" w:eastAsia="Calibri" w:hAnsi="Arial Narrow" w:cs="Arial"/>
                <w:sz w:val="20"/>
                <w:szCs w:val="20"/>
                <w:lang w:eastAsia="en-US"/>
              </w:rPr>
            </w:pPr>
            <w:r w:rsidRPr="003745E9">
              <w:rPr>
                <w:rFonts w:ascii="Arial Narrow" w:eastAsia="Calibri" w:hAnsi="Arial Narrow" w:cs="Arial"/>
                <w:sz w:val="20"/>
                <w:szCs w:val="20"/>
                <w:lang w:eastAsia="en-US"/>
              </w:rPr>
              <w:t>enoxaparin sodium 80 mg/0.8 mL injection, 10 x</w:t>
            </w:r>
            <w:r w:rsidRPr="0079778C">
              <w:rPr>
                <w:rFonts w:ascii="Arial Narrow" w:eastAsia="Calibri" w:hAnsi="Arial Narrow" w:cs="Arial"/>
                <w:sz w:val="20"/>
                <w:szCs w:val="20"/>
                <w:lang w:eastAsia="en-US"/>
              </w:rPr>
              <w:t xml:space="preserve"> 0.8 mL syringes</w:t>
            </w:r>
          </w:p>
        </w:tc>
        <w:tc>
          <w:tcPr>
            <w:tcW w:w="850" w:type="dxa"/>
          </w:tcPr>
          <w:p w14:paraId="73F35DD2"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5434B</w:t>
            </w:r>
          </w:p>
        </w:tc>
        <w:tc>
          <w:tcPr>
            <w:tcW w:w="851" w:type="dxa"/>
          </w:tcPr>
          <w:p w14:paraId="5A634A08"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2E1C01C7" w14:textId="77777777" w:rsidR="00B603EB" w:rsidRPr="0079778C" w:rsidRDefault="00B603EB" w:rsidP="00383ADB">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037D0637"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3</w:t>
            </w:r>
          </w:p>
          <w:p w14:paraId="6E641411" w14:textId="77777777" w:rsidR="00B603EB" w:rsidRPr="0079778C" w:rsidRDefault="00B603EB" w:rsidP="00383ADB">
            <w:pPr>
              <w:keepNext/>
              <w:ind w:left="-108"/>
              <w:jc w:val="center"/>
              <w:rPr>
                <w:rFonts w:ascii="Arial Narrow" w:eastAsia="Calibri" w:hAnsi="Arial Narrow" w:cs="Arial"/>
                <w:sz w:val="20"/>
                <w:szCs w:val="20"/>
                <w:lang w:eastAsia="en-US"/>
              </w:rPr>
            </w:pPr>
          </w:p>
        </w:tc>
        <w:tc>
          <w:tcPr>
            <w:tcW w:w="1843" w:type="dxa"/>
            <w:vAlign w:val="center"/>
          </w:tcPr>
          <w:p w14:paraId="1062B0D6" w14:textId="77777777" w:rsidR="00B603EB" w:rsidRPr="0079778C" w:rsidRDefault="00B603EB" w:rsidP="00383ADB">
            <w:pPr>
              <w:keepNext/>
              <w:jc w:val="left"/>
              <w:rPr>
                <w:rFonts w:ascii="Arial Narrow" w:eastAsia="Calibri" w:hAnsi="Arial Narrow" w:cs="Arial"/>
                <w:sz w:val="20"/>
                <w:szCs w:val="20"/>
                <w:vertAlign w:val="superscript"/>
                <w:lang w:eastAsia="en-US"/>
              </w:rPr>
            </w:pPr>
            <w:r w:rsidRPr="0079778C">
              <w:rPr>
                <w:rFonts w:ascii="Arial Narrow" w:eastAsia="Calibri" w:hAnsi="Arial Narrow" w:cs="Arial"/>
                <w:sz w:val="20"/>
                <w:szCs w:val="20"/>
                <w:lang w:eastAsia="en-US"/>
              </w:rPr>
              <w:t xml:space="preserve">Clexane Safety-Lock </w:t>
            </w:r>
            <w:r w:rsidRPr="0079778C">
              <w:rPr>
                <w:rFonts w:ascii="Arial Narrow" w:eastAsia="Calibri" w:hAnsi="Arial Narrow" w:cs="Arial"/>
                <w:sz w:val="20"/>
                <w:szCs w:val="20"/>
                <w:vertAlign w:val="superscript"/>
                <w:lang w:eastAsia="en-US"/>
              </w:rPr>
              <w:t>a</w:t>
            </w:r>
          </w:p>
          <w:p w14:paraId="3526C182" w14:textId="77777777" w:rsidR="00B603EB" w:rsidRPr="0079778C" w:rsidRDefault="00B603EB" w:rsidP="00383ADB">
            <w:pPr>
              <w:keepNext/>
              <w:jc w:val="left"/>
              <w:rPr>
                <w:rFonts w:ascii="Arial Narrow" w:eastAsia="Calibri" w:hAnsi="Arial Narrow" w:cs="Arial"/>
                <w:i/>
                <w:sz w:val="20"/>
                <w:szCs w:val="20"/>
                <w:vertAlign w:val="superscript"/>
                <w:lang w:eastAsia="en-US"/>
              </w:rPr>
            </w:pPr>
            <w:r w:rsidRPr="00623B3D">
              <w:rPr>
                <w:rFonts w:ascii="Arial Narrow" w:eastAsia="Calibri" w:hAnsi="Arial Narrow" w:cs="Arial"/>
                <w:sz w:val="20"/>
                <w:szCs w:val="20"/>
                <w:lang w:eastAsia="en-US"/>
              </w:rPr>
              <w:t>Exarane</w:t>
            </w:r>
            <w:r w:rsidRPr="0079778C">
              <w:rPr>
                <w:rFonts w:ascii="Arial Narrow" w:eastAsia="Calibri" w:hAnsi="Arial Narrow" w:cs="Arial"/>
                <w:sz w:val="20"/>
                <w:szCs w:val="20"/>
                <w:lang w:eastAsia="en-US"/>
              </w:rPr>
              <w:t xml:space="preserve"> </w:t>
            </w:r>
            <w:r w:rsidRPr="0079778C">
              <w:rPr>
                <w:rFonts w:ascii="Arial Narrow" w:eastAsia="Calibri" w:hAnsi="Arial Narrow" w:cs="Arial"/>
                <w:sz w:val="20"/>
                <w:szCs w:val="20"/>
                <w:vertAlign w:val="superscript"/>
                <w:lang w:eastAsia="en-US"/>
              </w:rPr>
              <w:t xml:space="preserve">a </w:t>
            </w:r>
          </w:p>
        </w:tc>
      </w:tr>
      <w:tr w:rsidR="00B603EB" w:rsidRPr="0079778C" w14:paraId="25ACCBD0" w14:textId="77777777" w:rsidTr="00203DF0">
        <w:trPr>
          <w:cantSplit/>
          <w:trHeight w:val="327"/>
        </w:trPr>
        <w:tc>
          <w:tcPr>
            <w:tcW w:w="3823" w:type="dxa"/>
          </w:tcPr>
          <w:p w14:paraId="16E703EA" w14:textId="77777777" w:rsidR="00B603EB" w:rsidRPr="0079778C" w:rsidRDefault="00B603EB" w:rsidP="00383ADB">
            <w:pPr>
              <w:keepNext/>
              <w:ind w:left="-108"/>
              <w:jc w:val="left"/>
              <w:rPr>
                <w:rFonts w:ascii="Arial Narrow" w:eastAsia="Calibri" w:hAnsi="Arial Narrow" w:cs="Arial"/>
                <w:sz w:val="20"/>
                <w:szCs w:val="20"/>
                <w:lang w:eastAsia="en-US"/>
              </w:rPr>
            </w:pPr>
            <w:r w:rsidRPr="003745E9">
              <w:rPr>
                <w:rFonts w:ascii="Arial Narrow" w:eastAsia="Calibri" w:hAnsi="Arial Narrow" w:cs="Arial"/>
                <w:sz w:val="20"/>
                <w:szCs w:val="20"/>
                <w:lang w:eastAsia="en-US"/>
              </w:rPr>
              <w:t>enoxaparin sodium 100 mg/mL injection, 10 x 1 mL</w:t>
            </w:r>
            <w:r w:rsidRPr="0079778C">
              <w:rPr>
                <w:rFonts w:ascii="Arial Narrow" w:eastAsia="Calibri" w:hAnsi="Arial Narrow" w:cs="Arial"/>
                <w:sz w:val="20"/>
                <w:szCs w:val="20"/>
                <w:lang w:eastAsia="en-US"/>
              </w:rPr>
              <w:t xml:space="preserve"> syringes</w:t>
            </w:r>
          </w:p>
        </w:tc>
        <w:tc>
          <w:tcPr>
            <w:tcW w:w="850" w:type="dxa"/>
          </w:tcPr>
          <w:p w14:paraId="378DE6F3"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5435C</w:t>
            </w:r>
          </w:p>
        </w:tc>
        <w:tc>
          <w:tcPr>
            <w:tcW w:w="851" w:type="dxa"/>
          </w:tcPr>
          <w:p w14:paraId="59E1C1EE"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w:t>
            </w:r>
          </w:p>
        </w:tc>
        <w:tc>
          <w:tcPr>
            <w:tcW w:w="850" w:type="dxa"/>
          </w:tcPr>
          <w:p w14:paraId="44D9B681" w14:textId="77777777" w:rsidR="00B603EB" w:rsidRPr="0079778C" w:rsidRDefault="00B603EB" w:rsidP="00383ADB">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20</w:t>
            </w:r>
          </w:p>
        </w:tc>
        <w:tc>
          <w:tcPr>
            <w:tcW w:w="709" w:type="dxa"/>
          </w:tcPr>
          <w:p w14:paraId="6F3B540B"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3</w:t>
            </w:r>
          </w:p>
          <w:p w14:paraId="52141A63" w14:textId="77777777" w:rsidR="00B603EB" w:rsidRPr="0079778C" w:rsidRDefault="00B603EB" w:rsidP="00383ADB">
            <w:pPr>
              <w:keepNext/>
              <w:ind w:left="-108"/>
              <w:jc w:val="center"/>
              <w:rPr>
                <w:rFonts w:ascii="Arial Narrow" w:eastAsia="Calibri" w:hAnsi="Arial Narrow" w:cs="Arial"/>
                <w:sz w:val="20"/>
                <w:szCs w:val="20"/>
                <w:lang w:eastAsia="en-US"/>
              </w:rPr>
            </w:pPr>
          </w:p>
        </w:tc>
        <w:tc>
          <w:tcPr>
            <w:tcW w:w="1843" w:type="dxa"/>
            <w:vAlign w:val="center"/>
          </w:tcPr>
          <w:p w14:paraId="6845337C" w14:textId="77777777" w:rsidR="00B603EB" w:rsidRPr="0079778C" w:rsidRDefault="00B603EB" w:rsidP="00383ADB">
            <w:pPr>
              <w:keepNext/>
              <w:jc w:val="left"/>
              <w:rPr>
                <w:rFonts w:ascii="Arial Narrow" w:eastAsia="Calibri" w:hAnsi="Arial Narrow" w:cs="Arial"/>
                <w:sz w:val="20"/>
                <w:szCs w:val="20"/>
                <w:vertAlign w:val="superscript"/>
                <w:lang w:eastAsia="en-US"/>
              </w:rPr>
            </w:pPr>
            <w:r w:rsidRPr="0079778C">
              <w:rPr>
                <w:rFonts w:ascii="Arial Narrow" w:eastAsia="Calibri" w:hAnsi="Arial Narrow" w:cs="Arial"/>
                <w:sz w:val="20"/>
                <w:szCs w:val="20"/>
                <w:lang w:eastAsia="en-US"/>
              </w:rPr>
              <w:t xml:space="preserve">Clexane Safety-Lock </w:t>
            </w:r>
            <w:r w:rsidRPr="0079778C">
              <w:rPr>
                <w:rFonts w:ascii="Arial Narrow" w:eastAsia="Calibri" w:hAnsi="Arial Narrow" w:cs="Arial"/>
                <w:sz w:val="20"/>
                <w:szCs w:val="20"/>
                <w:vertAlign w:val="superscript"/>
                <w:lang w:eastAsia="en-US"/>
              </w:rPr>
              <w:t>a</w:t>
            </w:r>
          </w:p>
          <w:p w14:paraId="41D50EFD" w14:textId="77777777" w:rsidR="00B603EB" w:rsidRPr="0079778C" w:rsidRDefault="00B603EB" w:rsidP="00383ADB">
            <w:pPr>
              <w:keepNext/>
              <w:jc w:val="left"/>
              <w:rPr>
                <w:rFonts w:ascii="Arial Narrow" w:eastAsia="Calibri" w:hAnsi="Arial Narrow" w:cs="Arial"/>
                <w:i/>
                <w:sz w:val="20"/>
                <w:szCs w:val="20"/>
                <w:vertAlign w:val="superscript"/>
                <w:lang w:eastAsia="en-US"/>
              </w:rPr>
            </w:pPr>
            <w:r w:rsidRPr="00623B3D">
              <w:rPr>
                <w:rFonts w:ascii="Arial Narrow" w:eastAsia="Calibri" w:hAnsi="Arial Narrow" w:cs="Arial"/>
                <w:sz w:val="20"/>
                <w:szCs w:val="20"/>
                <w:lang w:eastAsia="en-US"/>
              </w:rPr>
              <w:t>Exarane</w:t>
            </w:r>
            <w:r w:rsidRPr="0079778C">
              <w:rPr>
                <w:rFonts w:ascii="Arial Narrow" w:eastAsia="Calibri" w:hAnsi="Arial Narrow" w:cs="Arial"/>
                <w:sz w:val="20"/>
                <w:szCs w:val="20"/>
                <w:lang w:eastAsia="en-US"/>
              </w:rPr>
              <w:t xml:space="preserve"> </w:t>
            </w:r>
            <w:r w:rsidRPr="0079778C">
              <w:rPr>
                <w:rFonts w:ascii="Arial Narrow" w:eastAsia="Calibri" w:hAnsi="Arial Narrow" w:cs="Arial"/>
                <w:sz w:val="20"/>
                <w:szCs w:val="20"/>
                <w:vertAlign w:val="superscript"/>
                <w:lang w:eastAsia="en-US"/>
              </w:rPr>
              <w:t>a</w:t>
            </w:r>
          </w:p>
        </w:tc>
      </w:tr>
      <w:tr w:rsidR="00B603EB" w:rsidRPr="0079778C" w14:paraId="658D7DD3" w14:textId="77777777" w:rsidTr="00203DF0">
        <w:trPr>
          <w:cantSplit/>
          <w:trHeight w:val="327"/>
        </w:trPr>
        <w:tc>
          <w:tcPr>
            <w:tcW w:w="3823" w:type="dxa"/>
          </w:tcPr>
          <w:p w14:paraId="7113C479" w14:textId="77777777" w:rsidR="00B603EB" w:rsidRPr="0079778C" w:rsidRDefault="00B603EB" w:rsidP="00383ADB">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120 mg/0.8 mL injection, 10 x 0.8 mL syringes</w:t>
            </w:r>
          </w:p>
        </w:tc>
        <w:tc>
          <w:tcPr>
            <w:tcW w:w="850" w:type="dxa"/>
          </w:tcPr>
          <w:p w14:paraId="1E6554F6"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NEW</w:t>
            </w:r>
          </w:p>
        </w:tc>
        <w:tc>
          <w:tcPr>
            <w:tcW w:w="851" w:type="dxa"/>
          </w:tcPr>
          <w:p w14:paraId="307936B6"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3534B9B0" w14:textId="77777777" w:rsidR="00B603EB" w:rsidRPr="0079778C" w:rsidRDefault="00B603EB" w:rsidP="00383ADB">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42C4590C" w14:textId="77777777" w:rsidR="00B603EB" w:rsidRPr="0079778C" w:rsidRDefault="00B603EB" w:rsidP="00383ADB">
            <w:pPr>
              <w:keepNext/>
              <w:jc w:val="center"/>
              <w:rPr>
                <w:rFonts w:ascii="Arial Narrow" w:eastAsia="Calibri" w:hAnsi="Arial Narrow" w:cs="Arial"/>
                <w:sz w:val="20"/>
                <w:szCs w:val="20"/>
                <w:lang w:eastAsia="en-US"/>
              </w:rPr>
            </w:pPr>
            <w:r>
              <w:rPr>
                <w:rFonts w:ascii="Arial Narrow" w:eastAsia="Calibri" w:hAnsi="Arial Narrow" w:cs="Arial"/>
                <w:sz w:val="20"/>
                <w:szCs w:val="20"/>
                <w:lang w:eastAsia="en-US"/>
              </w:rPr>
              <w:t>3</w:t>
            </w:r>
          </w:p>
        </w:tc>
        <w:tc>
          <w:tcPr>
            <w:tcW w:w="1843" w:type="dxa"/>
            <w:vAlign w:val="center"/>
          </w:tcPr>
          <w:p w14:paraId="0198FF79" w14:textId="77777777" w:rsidR="00B603EB" w:rsidRPr="0079778C" w:rsidRDefault="00B603EB" w:rsidP="00383ADB">
            <w:pPr>
              <w:keepNext/>
              <w:jc w:val="left"/>
              <w:rPr>
                <w:rFonts w:ascii="Arial Narrow" w:eastAsia="Calibri" w:hAnsi="Arial Narrow" w:cs="Arial"/>
                <w:sz w:val="20"/>
                <w:szCs w:val="20"/>
                <w:lang w:eastAsia="en-US"/>
              </w:rPr>
            </w:pPr>
            <w:r w:rsidRPr="00623B3D">
              <w:rPr>
                <w:rFonts w:ascii="Arial Narrow" w:eastAsia="Calibri" w:hAnsi="Arial Narrow" w:cs="Arial"/>
                <w:sz w:val="20"/>
                <w:szCs w:val="20"/>
                <w:lang w:eastAsia="en-US"/>
              </w:rPr>
              <w:t>Exarane</w:t>
            </w:r>
            <w:r>
              <w:rPr>
                <w:rFonts w:ascii="Arial Narrow" w:eastAsia="Calibri" w:hAnsi="Arial Narrow" w:cs="Arial"/>
                <w:sz w:val="20"/>
                <w:szCs w:val="20"/>
                <w:lang w:eastAsia="en-US"/>
              </w:rPr>
              <w:t xml:space="preserve"> Forte</w:t>
            </w:r>
          </w:p>
        </w:tc>
      </w:tr>
      <w:tr w:rsidR="00B603EB" w:rsidRPr="0079778C" w14:paraId="2AB69C04" w14:textId="77777777" w:rsidTr="00203DF0">
        <w:trPr>
          <w:cantSplit/>
          <w:trHeight w:val="327"/>
        </w:trPr>
        <w:tc>
          <w:tcPr>
            <w:tcW w:w="3823" w:type="dxa"/>
          </w:tcPr>
          <w:p w14:paraId="002102B1" w14:textId="77777777" w:rsidR="00B603EB" w:rsidRPr="0079778C" w:rsidRDefault="00B603EB" w:rsidP="00383ADB">
            <w:pPr>
              <w:keepNext/>
              <w:ind w:left="-108"/>
              <w:jc w:val="left"/>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enoxaparin sodium 150 mg/mL injection, 10 x 1</w:t>
            </w:r>
            <w:r>
              <w:rPr>
                <w:rFonts w:ascii="Arial Narrow" w:eastAsia="Calibri" w:hAnsi="Arial Narrow" w:cs="Arial"/>
                <w:sz w:val="20"/>
                <w:szCs w:val="20"/>
                <w:lang w:eastAsia="en-US"/>
              </w:rPr>
              <w:t> </w:t>
            </w:r>
            <w:r w:rsidRPr="0079778C">
              <w:rPr>
                <w:rFonts w:ascii="Arial Narrow" w:eastAsia="Calibri" w:hAnsi="Arial Narrow" w:cs="Arial"/>
                <w:sz w:val="20"/>
                <w:szCs w:val="20"/>
                <w:lang w:eastAsia="en-US"/>
              </w:rPr>
              <w:t>mL syringes</w:t>
            </w:r>
          </w:p>
        </w:tc>
        <w:tc>
          <w:tcPr>
            <w:tcW w:w="850" w:type="dxa"/>
          </w:tcPr>
          <w:p w14:paraId="0D70E29F"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NEW</w:t>
            </w:r>
          </w:p>
        </w:tc>
        <w:tc>
          <w:tcPr>
            <w:tcW w:w="851" w:type="dxa"/>
          </w:tcPr>
          <w:p w14:paraId="3EB2A895" w14:textId="77777777" w:rsidR="00B603EB" w:rsidRPr="0079778C" w:rsidRDefault="00B603EB" w:rsidP="00383ADB">
            <w:pPr>
              <w:keepNext/>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w:t>
            </w:r>
          </w:p>
        </w:tc>
        <w:tc>
          <w:tcPr>
            <w:tcW w:w="850" w:type="dxa"/>
          </w:tcPr>
          <w:p w14:paraId="66FA3486" w14:textId="77777777" w:rsidR="00B603EB" w:rsidRPr="0079778C" w:rsidRDefault="00B603EB" w:rsidP="00383ADB">
            <w:pPr>
              <w:keepNext/>
              <w:ind w:left="-108"/>
              <w:jc w:val="center"/>
              <w:rPr>
                <w:rFonts w:ascii="Arial Narrow" w:eastAsia="Calibri" w:hAnsi="Arial Narrow" w:cs="Arial"/>
                <w:sz w:val="20"/>
                <w:szCs w:val="20"/>
                <w:lang w:eastAsia="en-US"/>
              </w:rPr>
            </w:pPr>
            <w:r w:rsidRPr="0079778C">
              <w:rPr>
                <w:rFonts w:ascii="Arial Narrow" w:eastAsia="Calibri" w:hAnsi="Arial Narrow" w:cs="Arial"/>
                <w:sz w:val="20"/>
                <w:szCs w:val="20"/>
                <w:lang w:eastAsia="en-US"/>
              </w:rPr>
              <w:t>10</w:t>
            </w:r>
          </w:p>
        </w:tc>
        <w:tc>
          <w:tcPr>
            <w:tcW w:w="709" w:type="dxa"/>
          </w:tcPr>
          <w:p w14:paraId="27BDE747" w14:textId="77777777" w:rsidR="00B603EB" w:rsidRPr="0079778C" w:rsidRDefault="00B603EB" w:rsidP="00383ADB">
            <w:pPr>
              <w:keepNext/>
              <w:jc w:val="center"/>
              <w:rPr>
                <w:rFonts w:ascii="Arial Narrow" w:eastAsia="Calibri" w:hAnsi="Arial Narrow" w:cs="Arial"/>
                <w:sz w:val="20"/>
                <w:szCs w:val="20"/>
                <w:lang w:eastAsia="en-US"/>
              </w:rPr>
            </w:pPr>
            <w:r>
              <w:rPr>
                <w:rFonts w:ascii="Arial Narrow" w:eastAsia="Calibri" w:hAnsi="Arial Narrow" w:cs="Arial"/>
                <w:sz w:val="20"/>
                <w:szCs w:val="20"/>
                <w:lang w:eastAsia="en-US"/>
              </w:rPr>
              <w:t>3</w:t>
            </w:r>
          </w:p>
        </w:tc>
        <w:tc>
          <w:tcPr>
            <w:tcW w:w="1843" w:type="dxa"/>
            <w:vAlign w:val="center"/>
          </w:tcPr>
          <w:p w14:paraId="3B5E462A" w14:textId="77777777" w:rsidR="00B603EB" w:rsidRPr="0079778C" w:rsidRDefault="00B603EB" w:rsidP="00383ADB">
            <w:pPr>
              <w:keepNext/>
              <w:jc w:val="left"/>
              <w:rPr>
                <w:rFonts w:ascii="Arial Narrow" w:eastAsia="Calibri" w:hAnsi="Arial Narrow" w:cs="Arial"/>
                <w:sz w:val="20"/>
                <w:szCs w:val="20"/>
                <w:lang w:eastAsia="en-US"/>
              </w:rPr>
            </w:pPr>
            <w:r w:rsidRPr="00623B3D">
              <w:rPr>
                <w:rFonts w:ascii="Arial Narrow" w:eastAsia="Calibri" w:hAnsi="Arial Narrow" w:cs="Arial"/>
                <w:sz w:val="20"/>
                <w:szCs w:val="20"/>
                <w:lang w:eastAsia="en-US"/>
              </w:rPr>
              <w:t>Exarane</w:t>
            </w:r>
            <w:r>
              <w:rPr>
                <w:rFonts w:ascii="Arial Narrow" w:eastAsia="Calibri" w:hAnsi="Arial Narrow" w:cs="Arial"/>
                <w:sz w:val="20"/>
                <w:szCs w:val="20"/>
                <w:lang w:eastAsia="en-US"/>
              </w:rPr>
              <w:t xml:space="preserve"> Forte</w:t>
            </w:r>
          </w:p>
        </w:tc>
      </w:tr>
    </w:tbl>
    <w:p w14:paraId="3A8C085D" w14:textId="77777777" w:rsidR="00B603EB" w:rsidRPr="00623B3D" w:rsidRDefault="00B603EB" w:rsidP="00B603EB">
      <w:pPr>
        <w:rPr>
          <w:rFonts w:asciiTheme="minorHAnsi" w:hAnsiTheme="minorHAnsi" w:cstheme="minorHAnsi"/>
          <w:bCs/>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1" w:type="dxa"/>
          <w:bottom w:w="28" w:type="dxa"/>
          <w:right w:w="51" w:type="dxa"/>
        </w:tblCellMar>
        <w:tblLook w:val="04A0" w:firstRow="1" w:lastRow="0" w:firstColumn="1" w:lastColumn="0" w:noHBand="0" w:noVBand="1"/>
      </w:tblPr>
      <w:tblGrid>
        <w:gridCol w:w="8926"/>
      </w:tblGrid>
      <w:tr w:rsidR="00B603EB" w:rsidRPr="00623B3D" w14:paraId="40BDEB38" w14:textId="77777777" w:rsidTr="00203DF0">
        <w:tc>
          <w:tcPr>
            <w:tcW w:w="5000" w:type="pct"/>
            <w:tcBorders>
              <w:top w:val="single" w:sz="4" w:space="0" w:color="auto"/>
              <w:left w:val="single" w:sz="4" w:space="0" w:color="auto"/>
              <w:bottom w:val="single" w:sz="4" w:space="0" w:color="auto"/>
              <w:right w:val="single" w:sz="4" w:space="0" w:color="auto"/>
            </w:tcBorders>
          </w:tcPr>
          <w:p w14:paraId="2929B97E" w14:textId="77777777" w:rsidR="00B603EB" w:rsidRPr="00623B3D" w:rsidRDefault="00B603EB" w:rsidP="00383ADB">
            <w:pPr>
              <w:rPr>
                <w:rFonts w:ascii="Arial Narrow" w:eastAsia="Calibri" w:hAnsi="Arial Narrow" w:cs="Arial"/>
                <w:sz w:val="20"/>
                <w:szCs w:val="20"/>
                <w:lang w:eastAsia="en-US"/>
              </w:rPr>
            </w:pPr>
            <w:r w:rsidRPr="00623B3D">
              <w:rPr>
                <w:rFonts w:ascii="Arial Narrow" w:eastAsia="Calibri" w:hAnsi="Arial Narrow" w:cs="Arial"/>
                <w:b/>
                <w:sz w:val="20"/>
                <w:szCs w:val="20"/>
                <w:lang w:eastAsia="en-US"/>
              </w:rPr>
              <w:t xml:space="preserve">Category / Program:   </w:t>
            </w:r>
            <w:r w:rsidRPr="00623B3D">
              <w:rPr>
                <w:rFonts w:ascii="Arial Narrow" w:eastAsia="Calibri" w:hAnsi="Arial Narrow" w:cs="Arial"/>
                <w:sz w:val="20"/>
                <w:szCs w:val="20"/>
                <w:lang w:eastAsia="en-US"/>
              </w:rPr>
              <w:t>GENERAL – General Schedule (Code GE)</w:t>
            </w:r>
          </w:p>
        </w:tc>
      </w:tr>
      <w:tr w:rsidR="00B603EB" w:rsidRPr="00623B3D" w14:paraId="77EF9903" w14:textId="77777777" w:rsidTr="00203DF0">
        <w:trPr>
          <w:trHeight w:val="240"/>
        </w:trPr>
        <w:tc>
          <w:tcPr>
            <w:tcW w:w="5000" w:type="pct"/>
            <w:tcBorders>
              <w:top w:val="single" w:sz="4" w:space="0" w:color="auto"/>
              <w:left w:val="single" w:sz="4" w:space="0" w:color="auto"/>
              <w:bottom w:val="single" w:sz="4" w:space="0" w:color="auto"/>
              <w:right w:val="single" w:sz="4" w:space="0" w:color="auto"/>
            </w:tcBorders>
          </w:tcPr>
          <w:p w14:paraId="50F59205" w14:textId="77777777" w:rsidR="00B603EB" w:rsidRPr="00623B3D" w:rsidRDefault="00B603EB" w:rsidP="00383ADB">
            <w:pPr>
              <w:rPr>
                <w:rFonts w:ascii="Arial Narrow" w:eastAsia="Calibri" w:hAnsi="Arial Narrow" w:cs="Arial"/>
                <w:b/>
                <w:sz w:val="20"/>
                <w:szCs w:val="20"/>
                <w:lang w:eastAsia="en-US"/>
              </w:rPr>
            </w:pPr>
            <w:r w:rsidRPr="00623B3D">
              <w:rPr>
                <w:rFonts w:ascii="Arial Narrow" w:eastAsia="Calibri" w:hAnsi="Arial Narrow" w:cs="Arial"/>
                <w:b/>
                <w:sz w:val="20"/>
                <w:szCs w:val="20"/>
                <w:lang w:eastAsia="en-US"/>
              </w:rPr>
              <w:t xml:space="preserve">Prescriber type:   </w:t>
            </w:r>
            <w:r w:rsidRPr="00623B3D">
              <w:rPr>
                <w:rFonts w:ascii="Arial Narrow" w:eastAsia="Calibri" w:hAnsi="Arial Narrow" w:cs="Arial"/>
                <w:sz w:val="20"/>
                <w:szCs w:val="20"/>
                <w:lang w:eastAsia="en-US"/>
              </w:rPr>
              <w:fldChar w:fldCharType="begin" w:fldLock="1">
                <w:ffData>
                  <w:name w:val=""/>
                  <w:enabled/>
                  <w:calcOnExit w:val="0"/>
                  <w:checkBox>
                    <w:sizeAuto/>
                    <w:default w:val="1"/>
                  </w:checkBox>
                </w:ffData>
              </w:fldChar>
            </w:r>
            <w:r w:rsidRPr="00623B3D">
              <w:rPr>
                <w:rFonts w:ascii="Arial Narrow" w:eastAsia="Calibri" w:hAnsi="Arial Narrow" w:cs="Arial"/>
                <w:sz w:val="20"/>
                <w:szCs w:val="20"/>
                <w:lang w:eastAsia="en-US"/>
              </w:rPr>
              <w:instrText xml:space="preserve"> FORMCHECKBOX </w:instrText>
            </w:r>
            <w:r w:rsidR="00047109">
              <w:rPr>
                <w:rFonts w:ascii="Arial Narrow" w:eastAsia="Calibri" w:hAnsi="Arial Narrow" w:cs="Arial"/>
                <w:sz w:val="20"/>
                <w:szCs w:val="20"/>
                <w:lang w:eastAsia="en-US"/>
              </w:rPr>
            </w:r>
            <w:r w:rsidR="00047109">
              <w:rPr>
                <w:rFonts w:ascii="Arial Narrow" w:eastAsia="Calibri" w:hAnsi="Arial Narrow" w:cs="Arial"/>
                <w:sz w:val="20"/>
                <w:szCs w:val="20"/>
                <w:lang w:eastAsia="en-US"/>
              </w:rPr>
              <w:fldChar w:fldCharType="separate"/>
            </w:r>
            <w:r w:rsidRPr="00623B3D">
              <w:rPr>
                <w:rFonts w:ascii="Arial Narrow" w:eastAsia="Calibri" w:hAnsi="Arial Narrow" w:cs="Arial"/>
                <w:sz w:val="20"/>
                <w:szCs w:val="20"/>
                <w:lang w:eastAsia="en-US"/>
              </w:rPr>
              <w:fldChar w:fldCharType="end"/>
            </w:r>
            <w:r w:rsidRPr="00623B3D">
              <w:rPr>
                <w:rFonts w:ascii="Arial Narrow" w:eastAsia="Calibri" w:hAnsi="Arial Narrow" w:cs="Arial"/>
                <w:sz w:val="20"/>
                <w:szCs w:val="20"/>
                <w:lang w:eastAsia="en-US"/>
              </w:rPr>
              <w:t xml:space="preserve">Medical Practitioners  </w:t>
            </w:r>
            <w:r w:rsidRPr="00623B3D">
              <w:rPr>
                <w:rFonts w:ascii="Arial Narrow" w:eastAsia="Calibri" w:hAnsi="Arial Narrow" w:cs="Arial"/>
                <w:sz w:val="20"/>
                <w:szCs w:val="20"/>
                <w:lang w:eastAsia="en-US"/>
              </w:rPr>
              <w:fldChar w:fldCharType="begin" w:fldLock="1">
                <w:ffData>
                  <w:name w:val=""/>
                  <w:enabled/>
                  <w:calcOnExit w:val="0"/>
                  <w:checkBox>
                    <w:sizeAuto/>
                    <w:default w:val="1"/>
                  </w:checkBox>
                </w:ffData>
              </w:fldChar>
            </w:r>
            <w:r w:rsidRPr="00623B3D">
              <w:rPr>
                <w:rFonts w:ascii="Arial Narrow" w:eastAsia="Calibri" w:hAnsi="Arial Narrow" w:cs="Arial"/>
                <w:sz w:val="20"/>
                <w:szCs w:val="20"/>
                <w:lang w:eastAsia="en-US"/>
              </w:rPr>
              <w:instrText xml:space="preserve"> FORMCHECKBOX </w:instrText>
            </w:r>
            <w:r w:rsidR="00047109">
              <w:rPr>
                <w:rFonts w:ascii="Arial Narrow" w:eastAsia="Calibri" w:hAnsi="Arial Narrow" w:cs="Arial"/>
                <w:sz w:val="20"/>
                <w:szCs w:val="20"/>
                <w:lang w:eastAsia="en-US"/>
              </w:rPr>
            </w:r>
            <w:r w:rsidR="00047109">
              <w:rPr>
                <w:rFonts w:ascii="Arial Narrow" w:eastAsia="Calibri" w:hAnsi="Arial Narrow" w:cs="Arial"/>
                <w:sz w:val="20"/>
                <w:szCs w:val="20"/>
                <w:lang w:eastAsia="en-US"/>
              </w:rPr>
              <w:fldChar w:fldCharType="separate"/>
            </w:r>
            <w:r w:rsidRPr="00623B3D">
              <w:rPr>
                <w:rFonts w:ascii="Arial Narrow" w:eastAsia="Calibri" w:hAnsi="Arial Narrow" w:cs="Arial"/>
                <w:sz w:val="20"/>
                <w:szCs w:val="20"/>
                <w:lang w:eastAsia="en-US"/>
              </w:rPr>
              <w:fldChar w:fldCharType="end"/>
            </w:r>
            <w:r w:rsidRPr="00623B3D">
              <w:rPr>
                <w:rFonts w:ascii="Arial Narrow" w:eastAsia="Calibri" w:hAnsi="Arial Narrow" w:cs="Arial"/>
                <w:sz w:val="20"/>
                <w:szCs w:val="20"/>
                <w:lang w:eastAsia="en-US"/>
              </w:rPr>
              <w:t xml:space="preserve">Nurse practitioners </w:t>
            </w:r>
          </w:p>
        </w:tc>
      </w:tr>
      <w:tr w:rsidR="00B603EB" w:rsidRPr="00623B3D" w14:paraId="2418574F" w14:textId="77777777" w:rsidTr="00203DF0">
        <w:tc>
          <w:tcPr>
            <w:tcW w:w="5000" w:type="pct"/>
            <w:tcBorders>
              <w:top w:val="single" w:sz="4" w:space="0" w:color="auto"/>
              <w:left w:val="single" w:sz="4" w:space="0" w:color="auto"/>
              <w:bottom w:val="single" w:sz="4" w:space="0" w:color="auto"/>
              <w:right w:val="single" w:sz="4" w:space="0" w:color="auto"/>
            </w:tcBorders>
          </w:tcPr>
          <w:p w14:paraId="3DCE0811" w14:textId="77777777" w:rsidR="00B603EB" w:rsidRPr="00623B3D" w:rsidRDefault="00B603EB" w:rsidP="00383ADB">
            <w:pPr>
              <w:rPr>
                <w:rFonts w:ascii="Arial Narrow" w:eastAsia="Calibri" w:hAnsi="Arial Narrow" w:cs="Arial"/>
                <w:sz w:val="20"/>
                <w:szCs w:val="20"/>
                <w:lang w:eastAsia="en-US"/>
              </w:rPr>
            </w:pPr>
            <w:r w:rsidRPr="00623B3D">
              <w:rPr>
                <w:rFonts w:ascii="Arial Narrow" w:eastAsia="Calibri" w:hAnsi="Arial Narrow" w:cs="Arial"/>
                <w:b/>
                <w:sz w:val="20"/>
                <w:szCs w:val="20"/>
                <w:lang w:eastAsia="en-US"/>
              </w:rPr>
              <w:t xml:space="preserve">Benefit Type:  </w:t>
            </w:r>
            <w:r w:rsidRPr="00623B3D">
              <w:rPr>
                <w:rFonts w:ascii="Arial Narrow" w:eastAsia="Calibri" w:hAnsi="Arial Narrow" w:cs="Arial"/>
                <w:sz w:val="20"/>
                <w:szCs w:val="20"/>
                <w:lang w:eastAsia="en-US"/>
              </w:rPr>
              <w:fldChar w:fldCharType="begin" w:fldLock="1">
                <w:ffData>
                  <w:name w:val=""/>
                  <w:enabled/>
                  <w:calcOnExit w:val="0"/>
                  <w:checkBox>
                    <w:sizeAuto/>
                    <w:default w:val="1"/>
                  </w:checkBox>
                </w:ffData>
              </w:fldChar>
            </w:r>
            <w:r w:rsidRPr="00623B3D">
              <w:rPr>
                <w:rFonts w:ascii="Arial Narrow" w:eastAsia="Calibri" w:hAnsi="Arial Narrow" w:cs="Arial"/>
                <w:sz w:val="20"/>
                <w:szCs w:val="20"/>
                <w:lang w:eastAsia="en-US"/>
              </w:rPr>
              <w:instrText xml:space="preserve"> FORMCHECKBOX </w:instrText>
            </w:r>
            <w:r w:rsidR="00047109">
              <w:rPr>
                <w:rFonts w:ascii="Arial Narrow" w:eastAsia="Calibri" w:hAnsi="Arial Narrow" w:cs="Arial"/>
                <w:sz w:val="20"/>
                <w:szCs w:val="20"/>
                <w:lang w:eastAsia="en-US"/>
              </w:rPr>
            </w:r>
            <w:r w:rsidR="00047109">
              <w:rPr>
                <w:rFonts w:ascii="Arial Narrow" w:eastAsia="Calibri" w:hAnsi="Arial Narrow" w:cs="Arial"/>
                <w:sz w:val="20"/>
                <w:szCs w:val="20"/>
                <w:lang w:eastAsia="en-US"/>
              </w:rPr>
              <w:fldChar w:fldCharType="separate"/>
            </w:r>
            <w:r w:rsidRPr="00623B3D">
              <w:rPr>
                <w:rFonts w:ascii="Arial Narrow" w:eastAsia="Calibri" w:hAnsi="Arial Narrow" w:cs="Arial"/>
                <w:sz w:val="20"/>
                <w:szCs w:val="20"/>
                <w:lang w:eastAsia="en-US"/>
              </w:rPr>
              <w:fldChar w:fldCharType="end"/>
            </w:r>
            <w:r w:rsidRPr="00623B3D">
              <w:rPr>
                <w:rFonts w:ascii="Arial Narrow" w:eastAsia="Calibri" w:hAnsi="Arial Narrow" w:cs="Arial"/>
                <w:sz w:val="20"/>
                <w:szCs w:val="20"/>
                <w:lang w:eastAsia="en-US"/>
              </w:rPr>
              <w:t xml:space="preserve">   Restricted benefit</w:t>
            </w:r>
          </w:p>
        </w:tc>
      </w:tr>
      <w:tr w:rsidR="00B603EB" w:rsidRPr="00623B3D" w14:paraId="519A0C75" w14:textId="77777777" w:rsidTr="00203DF0">
        <w:tc>
          <w:tcPr>
            <w:tcW w:w="5000" w:type="pct"/>
            <w:vAlign w:val="center"/>
            <w:hideMark/>
          </w:tcPr>
          <w:p w14:paraId="54DA3116" w14:textId="77777777" w:rsidR="00B603EB" w:rsidRPr="00623B3D" w:rsidRDefault="00B603EB" w:rsidP="00383ADB">
            <w:pPr>
              <w:jc w:val="left"/>
              <w:rPr>
                <w:rFonts w:ascii="Arial Narrow" w:hAnsi="Arial Narrow"/>
                <w:color w:val="333333"/>
                <w:sz w:val="20"/>
                <w:szCs w:val="20"/>
              </w:rPr>
            </w:pPr>
            <w:r w:rsidRPr="00623B3D">
              <w:rPr>
                <w:rFonts w:ascii="Arial Narrow" w:hAnsi="Arial Narrow"/>
                <w:b/>
                <w:bCs/>
                <w:color w:val="333333"/>
                <w:sz w:val="20"/>
                <w:szCs w:val="20"/>
              </w:rPr>
              <w:t>Indication:</w:t>
            </w:r>
            <w:r w:rsidRPr="00623B3D">
              <w:rPr>
                <w:rFonts w:ascii="Arial Narrow" w:hAnsi="Arial Narrow"/>
                <w:color w:val="333333"/>
                <w:sz w:val="20"/>
                <w:szCs w:val="20"/>
              </w:rPr>
              <w:t xml:space="preserve"> Haemodialysis</w:t>
            </w:r>
          </w:p>
        </w:tc>
      </w:tr>
      <w:tr w:rsidR="00B603EB" w:rsidRPr="00623B3D" w14:paraId="5BF1D794" w14:textId="77777777" w:rsidTr="00203DF0">
        <w:tc>
          <w:tcPr>
            <w:tcW w:w="5000" w:type="pct"/>
            <w:tcBorders>
              <w:top w:val="single" w:sz="4" w:space="0" w:color="auto"/>
              <w:left w:val="single" w:sz="4" w:space="0" w:color="auto"/>
              <w:bottom w:val="single" w:sz="4" w:space="0" w:color="auto"/>
              <w:right w:val="single" w:sz="4" w:space="0" w:color="auto"/>
            </w:tcBorders>
          </w:tcPr>
          <w:p w14:paraId="1DDCBAD3" w14:textId="77777777" w:rsidR="00B603EB" w:rsidRPr="00B603EB" w:rsidRDefault="00B603EB" w:rsidP="00383ADB">
            <w:pPr>
              <w:rPr>
                <w:rFonts w:ascii="Arial Narrow" w:eastAsia="Calibri" w:hAnsi="Arial Narrow" w:cs="Arial"/>
                <w:b/>
                <w:iCs/>
                <w:sz w:val="20"/>
                <w:szCs w:val="20"/>
                <w:lang w:eastAsia="en-US"/>
              </w:rPr>
            </w:pPr>
            <w:r w:rsidRPr="00B603EB">
              <w:rPr>
                <w:rFonts w:ascii="Arial Narrow" w:eastAsia="Calibri" w:hAnsi="Arial Narrow" w:cs="Arial"/>
                <w:b/>
                <w:iCs/>
                <w:sz w:val="20"/>
                <w:szCs w:val="20"/>
                <w:lang w:eastAsia="en-US"/>
              </w:rPr>
              <w:t>Administrative Advice:</w:t>
            </w:r>
          </w:p>
          <w:p w14:paraId="37F7EDB8" w14:textId="77777777" w:rsidR="00B603EB" w:rsidRPr="00B603EB" w:rsidRDefault="00B603EB" w:rsidP="00383ADB">
            <w:pPr>
              <w:rPr>
                <w:rFonts w:ascii="Arial Narrow" w:eastAsia="Calibri" w:hAnsi="Arial Narrow" w:cs="Arial"/>
                <w:iCs/>
                <w:sz w:val="20"/>
                <w:szCs w:val="20"/>
                <w:lang w:eastAsia="en-US"/>
              </w:rPr>
            </w:pPr>
            <w:r w:rsidRPr="00B603EB">
              <w:rPr>
                <w:rFonts w:ascii="Arial Narrow" w:eastAsia="Calibri" w:hAnsi="Arial Narrow" w:cs="Arial"/>
                <w:iCs/>
                <w:sz w:val="20"/>
                <w:szCs w:val="20"/>
                <w:lang w:eastAsia="en-US"/>
              </w:rPr>
              <w:t>Biosimilar prescribing policy</w:t>
            </w:r>
          </w:p>
          <w:p w14:paraId="3D67871B" w14:textId="77777777" w:rsidR="00B603EB" w:rsidRPr="00B603EB" w:rsidRDefault="00B603EB" w:rsidP="00383ADB">
            <w:pPr>
              <w:rPr>
                <w:rFonts w:ascii="Arial Narrow" w:eastAsia="Calibri" w:hAnsi="Arial Narrow" w:cs="Arial"/>
                <w:iCs/>
                <w:sz w:val="20"/>
                <w:szCs w:val="20"/>
                <w:lang w:eastAsia="en-US"/>
              </w:rPr>
            </w:pPr>
          </w:p>
          <w:p w14:paraId="47B6F9CA" w14:textId="63614E55" w:rsidR="00B603EB" w:rsidRPr="00B603EB" w:rsidRDefault="00B603EB" w:rsidP="00383ADB">
            <w:pPr>
              <w:rPr>
                <w:rFonts w:ascii="Arial Narrow" w:eastAsia="Calibri" w:hAnsi="Arial Narrow" w:cs="Arial"/>
                <w:iCs/>
                <w:sz w:val="20"/>
                <w:szCs w:val="20"/>
                <w:lang w:eastAsia="en-US"/>
              </w:rPr>
            </w:pPr>
            <w:r w:rsidRPr="00B603EB">
              <w:rPr>
                <w:rFonts w:ascii="Arial Narrow" w:eastAsia="Calibri" w:hAnsi="Arial Narrow" w:cs="Arial"/>
                <w:iCs/>
                <w:sz w:val="20"/>
                <w:szCs w:val="20"/>
                <w:lang w:eastAsia="en-US"/>
              </w:rPr>
              <w:t xml:space="preserve">Prescribing of the biosimilar brand Exarane </w:t>
            </w:r>
            <w:r w:rsidR="003745E9">
              <w:rPr>
                <w:rFonts w:ascii="Arial Narrow" w:eastAsia="Calibri" w:hAnsi="Arial Narrow" w:cs="Arial"/>
                <w:iCs/>
                <w:sz w:val="20"/>
                <w:szCs w:val="20"/>
                <w:lang w:eastAsia="en-US"/>
              </w:rPr>
              <w:t xml:space="preserve">and Exarane Forte </w:t>
            </w:r>
            <w:r w:rsidRPr="00B603EB">
              <w:rPr>
                <w:rFonts w:ascii="Arial Narrow" w:eastAsia="Calibri" w:hAnsi="Arial Narrow" w:cs="Arial"/>
                <w:iCs/>
                <w:sz w:val="20"/>
                <w:szCs w:val="20"/>
                <w:lang w:eastAsia="en-US"/>
              </w:rPr>
              <w:t>is encouraged for treatment naive patients.</w:t>
            </w:r>
          </w:p>
          <w:p w14:paraId="51999233" w14:textId="77777777" w:rsidR="00B603EB" w:rsidRPr="00B603EB" w:rsidRDefault="00B603EB" w:rsidP="00383ADB">
            <w:pPr>
              <w:rPr>
                <w:rFonts w:ascii="Arial Narrow" w:eastAsia="Calibri" w:hAnsi="Arial Narrow" w:cs="Arial"/>
                <w:iCs/>
                <w:sz w:val="20"/>
                <w:szCs w:val="20"/>
                <w:lang w:eastAsia="en-US"/>
              </w:rPr>
            </w:pPr>
          </w:p>
          <w:p w14:paraId="0B8A83E0" w14:textId="0A7DC06F" w:rsidR="00B603EB" w:rsidRPr="00623B3D" w:rsidRDefault="00B603EB" w:rsidP="00383ADB">
            <w:pPr>
              <w:jc w:val="left"/>
              <w:rPr>
                <w:rFonts w:ascii="Arial Narrow" w:hAnsi="Arial Narrow"/>
                <w:b/>
                <w:bCs/>
                <w:color w:val="333333"/>
                <w:sz w:val="20"/>
                <w:szCs w:val="20"/>
              </w:rPr>
            </w:pPr>
            <w:r w:rsidRPr="00B603EB">
              <w:rPr>
                <w:rFonts w:ascii="Arial Narrow" w:eastAsia="Calibri" w:hAnsi="Arial Narrow" w:cs="Arial"/>
                <w:iCs/>
                <w:sz w:val="20"/>
                <w:szCs w:val="20"/>
                <w:lang w:eastAsia="en-US"/>
              </w:rPr>
              <w:t xml:space="preserve">Encouraging biosimilar prescribing for treatment naive patients is Government policy. A viable biosimilar market is expected to result in reduced costs for biological medicines, allowing the Government to reinvest in new treatments. </w:t>
            </w:r>
            <w:r w:rsidR="00586F54" w:rsidRPr="00B603EB">
              <w:rPr>
                <w:rFonts w:ascii="Arial Narrow" w:eastAsia="Calibri" w:hAnsi="Arial Narrow" w:cs="Arial"/>
                <w:iCs/>
                <w:sz w:val="20"/>
                <w:szCs w:val="20"/>
                <w:lang w:eastAsia="en-US"/>
              </w:rPr>
              <w:t xml:space="preserve">. </w:t>
            </w:r>
            <w:r w:rsidR="00586F54" w:rsidRPr="00E4727A">
              <w:rPr>
                <w:rFonts w:ascii="Arial Narrow" w:eastAsia="Calibri" w:hAnsi="Arial Narrow" w:cs="Arial"/>
                <w:iCs/>
                <w:sz w:val="20"/>
                <w:szCs w:val="20"/>
                <w:lang w:eastAsia="en-US"/>
              </w:rPr>
              <w:t xml:space="preserve">Further information about Biosimilar Uptake Drivers can be found on the can be found on </w:t>
            </w:r>
            <w:r w:rsidR="0012070D">
              <w:rPr>
                <w:rFonts w:ascii="Arial Narrow" w:eastAsia="Calibri" w:hAnsi="Arial Narrow" w:cs="Arial"/>
                <w:iCs/>
                <w:sz w:val="20"/>
                <w:szCs w:val="20"/>
                <w:lang w:eastAsia="en-US"/>
              </w:rPr>
              <w:t>the</w:t>
            </w:r>
            <w:r w:rsidR="00586F54" w:rsidRPr="00E4727A">
              <w:rPr>
                <w:rFonts w:ascii="Arial Narrow" w:eastAsia="Calibri" w:hAnsi="Arial Narrow" w:cs="Arial"/>
                <w:iCs/>
                <w:sz w:val="20"/>
                <w:szCs w:val="20"/>
                <w:lang w:eastAsia="en-US"/>
              </w:rPr>
              <w:t xml:space="preserve"> PBS Biosimilars webpage (www.pbs.gov.au/info/general/biosimilars).</w:t>
            </w:r>
          </w:p>
        </w:tc>
      </w:tr>
    </w:tbl>
    <w:p w14:paraId="6661F23E" w14:textId="77777777" w:rsidR="00B603EB" w:rsidRDefault="00B603EB" w:rsidP="00934473">
      <w:pPr>
        <w:pStyle w:val="ListParagraph"/>
        <w:ind w:left="360"/>
        <w:rPr>
          <w:rFonts w:ascii="Calibri" w:hAnsi="Calibri" w:cs="Calibri"/>
          <w:b/>
          <w:bCs/>
          <w:i/>
          <w:iCs/>
        </w:rPr>
      </w:pPr>
    </w:p>
    <w:p w14:paraId="6F783F35" w14:textId="39EA2388" w:rsidR="00934473" w:rsidRDefault="00B603EB" w:rsidP="00B603EB">
      <w:pPr>
        <w:pStyle w:val="ListParagraph"/>
        <w:ind w:left="0" w:firstLine="3"/>
        <w:rPr>
          <w:rFonts w:ascii="Calibri" w:hAnsi="Calibri" w:cs="Calibri"/>
        </w:rPr>
      </w:pPr>
      <w:r w:rsidRPr="00B603EB">
        <w:rPr>
          <w:rFonts w:ascii="Calibri" w:hAnsi="Calibri" w:cs="Calibri"/>
          <w:b/>
          <w:bCs/>
          <w:i/>
          <w:iCs/>
        </w:rPr>
        <w:t>This restriction may be subject to further review. Should there be any changes made to the restriction the Sponsor will be informed.</w:t>
      </w:r>
    </w:p>
    <w:p w14:paraId="2F1C201A" w14:textId="64553A5E" w:rsidR="009F5F2C" w:rsidRPr="009F5F2C" w:rsidRDefault="009F5F2C" w:rsidP="009F5F2C">
      <w:pPr>
        <w:pStyle w:val="2-SectionHeading"/>
        <w:rPr>
          <w:lang w:val="en-GB"/>
        </w:rPr>
      </w:pPr>
      <w:r w:rsidRPr="009F5F2C">
        <w:rPr>
          <w:lang w:val="en-GB"/>
        </w:rPr>
        <w:t>Context for Decision</w:t>
      </w:r>
    </w:p>
    <w:p w14:paraId="65084309" w14:textId="77777777" w:rsidR="009F5F2C" w:rsidRPr="007129F2" w:rsidRDefault="009F5F2C" w:rsidP="00326519">
      <w:pPr>
        <w:spacing w:after="120"/>
        <w:ind w:left="720"/>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7129F2">
        <w:rPr>
          <w:rFonts w:asciiTheme="minorHAnsi" w:hAnsiTheme="minorHAnsi" w:cs="Arial"/>
          <w:bCs/>
          <w:lang w:val="en-GB"/>
        </w:rPr>
        <w:t>be made</w:t>
      </w:r>
      <w:proofErr w:type="gramEnd"/>
      <w:r w:rsidRPr="007129F2">
        <w:rPr>
          <w:rFonts w:asciiTheme="minorHAnsi" w:hAnsiTheme="minorHAnsi" w:cs="Arial"/>
          <w:bCs/>
          <w:lang w:val="en-GB"/>
        </w:rPr>
        <w:t xml:space="preserve"> available through the PBS. The PBAC welcomes applications containing </w:t>
      </w:r>
      <w:proofErr w:type="gramStart"/>
      <w:r w:rsidRPr="007129F2">
        <w:rPr>
          <w:rFonts w:asciiTheme="minorHAnsi" w:hAnsiTheme="minorHAnsi" w:cs="Arial"/>
          <w:bCs/>
          <w:lang w:val="en-GB"/>
        </w:rPr>
        <w:t>new information</w:t>
      </w:r>
      <w:proofErr w:type="gramEnd"/>
      <w:r w:rsidRPr="007129F2">
        <w:rPr>
          <w:rFonts w:asciiTheme="minorHAnsi" w:hAnsiTheme="minorHAnsi" w:cs="Arial"/>
          <w:bCs/>
          <w:lang w:val="en-GB"/>
        </w:rPr>
        <w:t xml:space="preserve"> at any time.</w:t>
      </w:r>
    </w:p>
    <w:p w14:paraId="090095F3" w14:textId="24147BFD" w:rsidR="009F5F2C" w:rsidRPr="009F5F2C" w:rsidRDefault="009F5F2C" w:rsidP="009F5F2C">
      <w:pPr>
        <w:pStyle w:val="2-SectionHeading"/>
        <w:rPr>
          <w:lang w:val="en-GB"/>
        </w:rPr>
      </w:pPr>
      <w:r w:rsidRPr="009F5F2C">
        <w:rPr>
          <w:lang w:val="en-GB"/>
        </w:rPr>
        <w:t>Sponsor’s Comment</w:t>
      </w:r>
    </w:p>
    <w:p w14:paraId="73910395" w14:textId="77777777" w:rsidR="009F5F2C" w:rsidRPr="001179AC" w:rsidRDefault="009F5F2C" w:rsidP="00326519">
      <w:pPr>
        <w:spacing w:after="120"/>
        <w:ind w:left="426" w:firstLine="294"/>
        <w:rPr>
          <w:rFonts w:asciiTheme="minorHAnsi" w:hAnsiTheme="minorHAnsi" w:cs="Arial"/>
          <w:bCs/>
        </w:rPr>
      </w:pPr>
      <w:r w:rsidRPr="00C07617">
        <w:rPr>
          <w:rFonts w:asciiTheme="minorHAnsi" w:hAnsiTheme="minorHAnsi" w:cs="Arial"/>
          <w:bCs/>
        </w:rPr>
        <w:t>The sponsor had no comment.</w:t>
      </w:r>
    </w:p>
    <w:p w14:paraId="21511E42" w14:textId="4002828C" w:rsidR="00B603EB" w:rsidRDefault="00B603EB" w:rsidP="00B603EB">
      <w:pPr>
        <w:pStyle w:val="ListBullet"/>
        <w:numPr>
          <w:ilvl w:val="0"/>
          <w:numId w:val="0"/>
        </w:numPr>
        <w:ind w:left="360" w:hanging="360"/>
      </w:pPr>
    </w:p>
    <w:bookmarkEnd w:id="25"/>
    <w:sectPr w:rsidR="00B603EB" w:rsidSect="00C27B58">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5A186" w14:textId="77777777" w:rsidR="009B0062" w:rsidRDefault="009B0062">
      <w:r>
        <w:separator/>
      </w:r>
    </w:p>
    <w:p w14:paraId="69A2781B" w14:textId="77777777" w:rsidR="009B0062" w:rsidRDefault="009B0062"/>
  </w:endnote>
  <w:endnote w:type="continuationSeparator" w:id="0">
    <w:p w14:paraId="5F2CA6EE" w14:textId="77777777" w:rsidR="009B0062" w:rsidRDefault="009B0062">
      <w:r>
        <w:continuationSeparator/>
      </w:r>
    </w:p>
    <w:p w14:paraId="4F0CDF43" w14:textId="77777777" w:rsidR="009B0062" w:rsidRDefault="009B0062"/>
  </w:endnote>
  <w:endnote w:type="continuationNotice" w:id="1">
    <w:p w14:paraId="4C31136A" w14:textId="77777777" w:rsidR="009B0062" w:rsidRDefault="009B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86E5" w14:textId="77777777" w:rsidR="00A71CEA" w:rsidRDefault="00A71CEA">
    <w:pPr>
      <w:pStyle w:val="Footer"/>
      <w:jc w:val="center"/>
    </w:pPr>
  </w:p>
  <w:sdt>
    <w:sdtPr>
      <w:id w:val="379752640"/>
      <w:docPartObj>
        <w:docPartGallery w:val="Page Numbers (Bottom of Page)"/>
        <w:docPartUnique/>
      </w:docPartObj>
    </w:sdtPr>
    <w:sdtEndPr>
      <w:rPr>
        <w:b/>
        <w:bCs/>
        <w:noProof/>
      </w:rPr>
    </w:sdtEndPr>
    <w:sdtContent>
      <w:p w14:paraId="355827FE" w14:textId="72B25EAC" w:rsidR="009C26AA" w:rsidRPr="00A71CEA" w:rsidRDefault="00A71CEA" w:rsidP="00A71CEA">
        <w:pPr>
          <w:pStyle w:val="Footer"/>
          <w:jc w:val="center"/>
          <w:rPr>
            <w:b/>
            <w:bCs/>
          </w:rPr>
        </w:pPr>
        <w:r w:rsidRPr="00A71CEA">
          <w:rPr>
            <w:b/>
            <w:bCs/>
          </w:rPr>
          <w:fldChar w:fldCharType="begin"/>
        </w:r>
        <w:r w:rsidRPr="00A71CEA">
          <w:rPr>
            <w:b/>
            <w:bCs/>
          </w:rPr>
          <w:instrText xml:space="preserve"> PAGE   \* MERGEFORMAT </w:instrText>
        </w:r>
        <w:r w:rsidRPr="00A71CEA">
          <w:rPr>
            <w:b/>
            <w:bCs/>
          </w:rPr>
          <w:fldChar w:fldCharType="separate"/>
        </w:r>
        <w:r w:rsidRPr="00A71CEA">
          <w:rPr>
            <w:b/>
            <w:bCs/>
            <w:noProof/>
          </w:rPr>
          <w:t>2</w:t>
        </w:r>
        <w:r w:rsidRPr="00A71CEA">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D5181" w14:textId="77777777" w:rsidR="009B0062" w:rsidRDefault="009B0062">
      <w:r>
        <w:separator/>
      </w:r>
    </w:p>
    <w:p w14:paraId="3EFCBE2C" w14:textId="77777777" w:rsidR="009B0062" w:rsidRDefault="009B0062"/>
  </w:footnote>
  <w:footnote w:type="continuationSeparator" w:id="0">
    <w:p w14:paraId="2118DE14" w14:textId="77777777" w:rsidR="009B0062" w:rsidRDefault="009B0062">
      <w:r>
        <w:continuationSeparator/>
      </w:r>
    </w:p>
    <w:p w14:paraId="520C6E65" w14:textId="77777777" w:rsidR="009B0062" w:rsidRDefault="009B0062"/>
  </w:footnote>
  <w:footnote w:type="continuationNotice" w:id="1">
    <w:p w14:paraId="4A0346A4" w14:textId="77777777" w:rsidR="009B0062" w:rsidRDefault="009B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C1F8C" w14:textId="51A800A3" w:rsidR="00C56D78" w:rsidRDefault="009F5F2C" w:rsidP="009F5F2C">
    <w:pPr>
      <w:pStyle w:val="Header"/>
      <w:ind w:left="360"/>
      <w:rPr>
        <w:rFonts w:cs="Arial"/>
        <w:i/>
      </w:rPr>
    </w:pPr>
    <w:bookmarkStart w:id="26" w:name="_Hlk76375146"/>
    <w:r>
      <w:rPr>
        <w:rFonts w:cs="Arial"/>
        <w:i/>
      </w:rPr>
      <w:t>Public Summary Document</w:t>
    </w:r>
    <w:r w:rsidR="00A71CEA" w:rsidRPr="001352D6">
      <w:rPr>
        <w:rFonts w:cs="Arial"/>
        <w:i/>
      </w:rPr>
      <w:t xml:space="preserve"> – July 2023 PBAC Meeting</w:t>
    </w:r>
    <w:bookmarkEnd w:id="26"/>
  </w:p>
  <w:p w14:paraId="352D4B8D" w14:textId="77777777" w:rsidR="009F5F2C" w:rsidRPr="009F5F2C" w:rsidRDefault="009F5F2C" w:rsidP="009F5F2C">
    <w:pPr>
      <w:pStyle w:val="Header"/>
      <w:ind w:left="360"/>
      <w:rPr>
        <w:rFonts w:cs="Arial"/>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1DFB" w14:textId="77777777" w:rsidR="00C20896" w:rsidRDefault="00C20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7F43CD"/>
    <w:multiLevelType w:val="hybridMultilevel"/>
    <w:tmpl w:val="991EA5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D378EC"/>
    <w:multiLevelType w:val="hybridMultilevel"/>
    <w:tmpl w:val="638C7DAA"/>
    <w:lvl w:ilvl="0" w:tplc="5CC20480">
      <w:start w:val="1"/>
      <w:numFmt w:val="bullet"/>
      <w:pStyle w:val="Bulletpoints"/>
      <w:lvlText w:val=""/>
      <w:lvlJc w:val="left"/>
      <w:pPr>
        <w:ind w:left="1497" w:hanging="360"/>
      </w:pPr>
      <w:rPr>
        <w:rFonts w:ascii="Symbol" w:hAnsi="Symbol" w:hint="default"/>
      </w:rPr>
    </w:lvl>
    <w:lvl w:ilvl="1" w:tplc="0C090003" w:tentative="1">
      <w:start w:val="1"/>
      <w:numFmt w:val="bullet"/>
      <w:lvlText w:val="o"/>
      <w:lvlJc w:val="left"/>
      <w:pPr>
        <w:ind w:left="2217" w:hanging="360"/>
      </w:pPr>
      <w:rPr>
        <w:rFonts w:ascii="Courier New" w:hAnsi="Courier New" w:cs="Courier New" w:hint="default"/>
      </w:rPr>
    </w:lvl>
    <w:lvl w:ilvl="2" w:tplc="0C090005" w:tentative="1">
      <w:start w:val="1"/>
      <w:numFmt w:val="bullet"/>
      <w:lvlText w:val=""/>
      <w:lvlJc w:val="left"/>
      <w:pPr>
        <w:ind w:left="2937" w:hanging="360"/>
      </w:pPr>
      <w:rPr>
        <w:rFonts w:ascii="Wingdings" w:hAnsi="Wingdings" w:hint="default"/>
      </w:rPr>
    </w:lvl>
    <w:lvl w:ilvl="3" w:tplc="0C090001" w:tentative="1">
      <w:start w:val="1"/>
      <w:numFmt w:val="bullet"/>
      <w:lvlText w:val=""/>
      <w:lvlJc w:val="left"/>
      <w:pPr>
        <w:ind w:left="3657" w:hanging="360"/>
      </w:pPr>
      <w:rPr>
        <w:rFonts w:ascii="Symbol" w:hAnsi="Symbol" w:hint="default"/>
      </w:rPr>
    </w:lvl>
    <w:lvl w:ilvl="4" w:tplc="0C090003" w:tentative="1">
      <w:start w:val="1"/>
      <w:numFmt w:val="bullet"/>
      <w:lvlText w:val="o"/>
      <w:lvlJc w:val="left"/>
      <w:pPr>
        <w:ind w:left="4377" w:hanging="360"/>
      </w:pPr>
      <w:rPr>
        <w:rFonts w:ascii="Courier New" w:hAnsi="Courier New" w:cs="Courier New" w:hint="default"/>
      </w:rPr>
    </w:lvl>
    <w:lvl w:ilvl="5" w:tplc="0C090005" w:tentative="1">
      <w:start w:val="1"/>
      <w:numFmt w:val="bullet"/>
      <w:lvlText w:val=""/>
      <w:lvlJc w:val="left"/>
      <w:pPr>
        <w:ind w:left="5097" w:hanging="360"/>
      </w:pPr>
      <w:rPr>
        <w:rFonts w:ascii="Wingdings" w:hAnsi="Wingdings" w:hint="default"/>
      </w:rPr>
    </w:lvl>
    <w:lvl w:ilvl="6" w:tplc="0C090001" w:tentative="1">
      <w:start w:val="1"/>
      <w:numFmt w:val="bullet"/>
      <w:lvlText w:val=""/>
      <w:lvlJc w:val="left"/>
      <w:pPr>
        <w:ind w:left="5817" w:hanging="360"/>
      </w:pPr>
      <w:rPr>
        <w:rFonts w:ascii="Symbol" w:hAnsi="Symbol" w:hint="default"/>
      </w:rPr>
    </w:lvl>
    <w:lvl w:ilvl="7" w:tplc="0C090003" w:tentative="1">
      <w:start w:val="1"/>
      <w:numFmt w:val="bullet"/>
      <w:lvlText w:val="o"/>
      <w:lvlJc w:val="left"/>
      <w:pPr>
        <w:ind w:left="6537" w:hanging="360"/>
      </w:pPr>
      <w:rPr>
        <w:rFonts w:ascii="Courier New" w:hAnsi="Courier New" w:cs="Courier New" w:hint="default"/>
      </w:rPr>
    </w:lvl>
    <w:lvl w:ilvl="8" w:tplc="0C090005" w:tentative="1">
      <w:start w:val="1"/>
      <w:numFmt w:val="bullet"/>
      <w:lvlText w:val=""/>
      <w:lvlJc w:val="left"/>
      <w:pPr>
        <w:ind w:left="7257" w:hanging="360"/>
      </w:pPr>
      <w:rPr>
        <w:rFonts w:ascii="Wingdings" w:hAnsi="Wingdings" w:hint="default"/>
      </w:r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0"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4" w15:restartNumberingAfterBreak="0">
    <w:nsid w:val="76334B35"/>
    <w:multiLevelType w:val="hybridMultilevel"/>
    <w:tmpl w:val="0AB04D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54734686">
    <w:abstractNumId w:val="16"/>
  </w:num>
  <w:num w:numId="2" w16cid:durableId="1592617004">
    <w:abstractNumId w:val="35"/>
  </w:num>
  <w:num w:numId="3" w16cid:durableId="1646351182">
    <w:abstractNumId w:val="0"/>
  </w:num>
  <w:num w:numId="4" w16cid:durableId="537863709">
    <w:abstractNumId w:val="26"/>
  </w:num>
  <w:num w:numId="5" w16cid:durableId="1454711137">
    <w:abstractNumId w:val="37"/>
  </w:num>
  <w:num w:numId="6" w16cid:durableId="1620647393">
    <w:abstractNumId w:val="32"/>
  </w:num>
  <w:num w:numId="7" w16cid:durableId="1564752215">
    <w:abstractNumId w:val="21"/>
  </w:num>
  <w:num w:numId="8" w16cid:durableId="1438990684">
    <w:abstractNumId w:val="19"/>
  </w:num>
  <w:num w:numId="9" w16cid:durableId="279648458">
    <w:abstractNumId w:val="1"/>
  </w:num>
  <w:num w:numId="10" w16cid:durableId="260383866">
    <w:abstractNumId w:val="35"/>
  </w:num>
  <w:num w:numId="11" w16cid:durableId="1500080730">
    <w:abstractNumId w:val="30"/>
  </w:num>
  <w:num w:numId="12" w16cid:durableId="1113478792">
    <w:abstractNumId w:val="33"/>
  </w:num>
  <w:num w:numId="13" w16cid:durableId="1805193967">
    <w:abstractNumId w:val="15"/>
  </w:num>
  <w:num w:numId="14" w16cid:durableId="968705710">
    <w:abstractNumId w:val="9"/>
  </w:num>
  <w:num w:numId="15" w16cid:durableId="1293903452">
    <w:abstractNumId w:val="28"/>
  </w:num>
  <w:num w:numId="16" w16cid:durableId="918632003">
    <w:abstractNumId w:val="3"/>
  </w:num>
  <w:num w:numId="17" w16cid:durableId="15790559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620496">
    <w:abstractNumId w:val="36"/>
  </w:num>
  <w:num w:numId="19" w16cid:durableId="931933118">
    <w:abstractNumId w:val="25"/>
  </w:num>
  <w:num w:numId="20" w16cid:durableId="153878565">
    <w:abstractNumId w:val="7"/>
  </w:num>
  <w:num w:numId="21" w16cid:durableId="2058971062">
    <w:abstractNumId w:val="6"/>
  </w:num>
  <w:num w:numId="22" w16cid:durableId="845905734">
    <w:abstractNumId w:val="20"/>
  </w:num>
  <w:num w:numId="23" w16cid:durableId="513689260">
    <w:abstractNumId w:val="8"/>
  </w:num>
  <w:num w:numId="24" w16cid:durableId="1693530623">
    <w:abstractNumId w:val="5"/>
  </w:num>
  <w:num w:numId="25" w16cid:durableId="556477730">
    <w:abstractNumId w:val="17"/>
  </w:num>
  <w:num w:numId="26" w16cid:durableId="1892687512">
    <w:abstractNumId w:val="24"/>
  </w:num>
  <w:num w:numId="27" w16cid:durableId="470484594">
    <w:abstractNumId w:val="18"/>
  </w:num>
  <w:num w:numId="28" w16cid:durableId="432937262">
    <w:abstractNumId w:val="13"/>
  </w:num>
  <w:num w:numId="29" w16cid:durableId="6572717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6764221">
    <w:abstractNumId w:val="10"/>
  </w:num>
  <w:num w:numId="31" w16cid:durableId="2106992450">
    <w:abstractNumId w:val="35"/>
  </w:num>
  <w:num w:numId="32" w16cid:durableId="173426223">
    <w:abstractNumId w:val="35"/>
  </w:num>
  <w:num w:numId="33" w16cid:durableId="167334534">
    <w:abstractNumId w:val="22"/>
  </w:num>
  <w:num w:numId="34" w16cid:durableId="337271446">
    <w:abstractNumId w:val="23"/>
  </w:num>
  <w:num w:numId="35" w16cid:durableId="1264805581">
    <w:abstractNumId w:val="4"/>
  </w:num>
  <w:num w:numId="36" w16cid:durableId="225069276">
    <w:abstractNumId w:val="2"/>
  </w:num>
  <w:num w:numId="37" w16cid:durableId="993531264">
    <w:abstractNumId w:val="12"/>
  </w:num>
  <w:num w:numId="38" w16cid:durableId="574516024">
    <w:abstractNumId w:val="14"/>
  </w:num>
  <w:num w:numId="39" w16cid:durableId="1249536352">
    <w:abstractNumId w:val="11"/>
  </w:num>
  <w:num w:numId="40" w16cid:durableId="26315151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0176959">
    <w:abstractNumId w:val="31"/>
  </w:num>
  <w:num w:numId="42" w16cid:durableId="1304307720">
    <w:abstractNumId w:val="34"/>
  </w:num>
  <w:num w:numId="43" w16cid:durableId="1583295316">
    <w:abstractNumId w:val="35"/>
  </w:num>
  <w:num w:numId="44" w16cid:durableId="815101367">
    <w:abstractNumId w:val="35"/>
  </w:num>
  <w:num w:numId="45" w16cid:durableId="2136829044">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5519"/>
    <w:rsid w:val="00006782"/>
    <w:rsid w:val="0001179A"/>
    <w:rsid w:val="00011A59"/>
    <w:rsid w:val="00014D69"/>
    <w:rsid w:val="00016A41"/>
    <w:rsid w:val="000214D1"/>
    <w:rsid w:val="00021F20"/>
    <w:rsid w:val="00022981"/>
    <w:rsid w:val="0002464A"/>
    <w:rsid w:val="00025A04"/>
    <w:rsid w:val="0002693D"/>
    <w:rsid w:val="0003050E"/>
    <w:rsid w:val="0003106B"/>
    <w:rsid w:val="000335B9"/>
    <w:rsid w:val="00034905"/>
    <w:rsid w:val="00037906"/>
    <w:rsid w:val="00040A30"/>
    <w:rsid w:val="000421A1"/>
    <w:rsid w:val="0004240E"/>
    <w:rsid w:val="000425A2"/>
    <w:rsid w:val="00044E52"/>
    <w:rsid w:val="00044EC4"/>
    <w:rsid w:val="00045E26"/>
    <w:rsid w:val="00046903"/>
    <w:rsid w:val="00047ADC"/>
    <w:rsid w:val="000514B5"/>
    <w:rsid w:val="000521ED"/>
    <w:rsid w:val="000522D2"/>
    <w:rsid w:val="0005322E"/>
    <w:rsid w:val="00053A06"/>
    <w:rsid w:val="00054E2B"/>
    <w:rsid w:val="00060E64"/>
    <w:rsid w:val="000621AB"/>
    <w:rsid w:val="00062C03"/>
    <w:rsid w:val="00062E88"/>
    <w:rsid w:val="00066193"/>
    <w:rsid w:val="00066755"/>
    <w:rsid w:val="00071A5B"/>
    <w:rsid w:val="00072730"/>
    <w:rsid w:val="0007337F"/>
    <w:rsid w:val="00074320"/>
    <w:rsid w:val="0007582C"/>
    <w:rsid w:val="000763D5"/>
    <w:rsid w:val="00076C38"/>
    <w:rsid w:val="00077143"/>
    <w:rsid w:val="00077DF7"/>
    <w:rsid w:val="0008004F"/>
    <w:rsid w:val="0008050C"/>
    <w:rsid w:val="00082169"/>
    <w:rsid w:val="000834BE"/>
    <w:rsid w:val="00083F01"/>
    <w:rsid w:val="00087C4C"/>
    <w:rsid w:val="000918CB"/>
    <w:rsid w:val="00091B06"/>
    <w:rsid w:val="000951C4"/>
    <w:rsid w:val="00095ADA"/>
    <w:rsid w:val="00095F3A"/>
    <w:rsid w:val="000969AD"/>
    <w:rsid w:val="000975FB"/>
    <w:rsid w:val="000A02F8"/>
    <w:rsid w:val="000A3AA2"/>
    <w:rsid w:val="000A42EF"/>
    <w:rsid w:val="000A44B2"/>
    <w:rsid w:val="000A52F6"/>
    <w:rsid w:val="000A58B8"/>
    <w:rsid w:val="000B323F"/>
    <w:rsid w:val="000B44C3"/>
    <w:rsid w:val="000B558D"/>
    <w:rsid w:val="000B5A89"/>
    <w:rsid w:val="000B65F6"/>
    <w:rsid w:val="000B7767"/>
    <w:rsid w:val="000C180E"/>
    <w:rsid w:val="000C1AFF"/>
    <w:rsid w:val="000C5740"/>
    <w:rsid w:val="000C5EF2"/>
    <w:rsid w:val="000C5F95"/>
    <w:rsid w:val="000C6996"/>
    <w:rsid w:val="000C7C46"/>
    <w:rsid w:val="000D09E9"/>
    <w:rsid w:val="000D113F"/>
    <w:rsid w:val="000D23BA"/>
    <w:rsid w:val="000D365D"/>
    <w:rsid w:val="000D5C57"/>
    <w:rsid w:val="000D712F"/>
    <w:rsid w:val="000E11B6"/>
    <w:rsid w:val="000E19B7"/>
    <w:rsid w:val="000E20FC"/>
    <w:rsid w:val="000E3C1D"/>
    <w:rsid w:val="000E3DFB"/>
    <w:rsid w:val="000E5EA1"/>
    <w:rsid w:val="000E681E"/>
    <w:rsid w:val="000E696B"/>
    <w:rsid w:val="000E7A29"/>
    <w:rsid w:val="000E7E52"/>
    <w:rsid w:val="000E7E90"/>
    <w:rsid w:val="000EE1C7"/>
    <w:rsid w:val="000F0003"/>
    <w:rsid w:val="000F0840"/>
    <w:rsid w:val="000F3384"/>
    <w:rsid w:val="000F4E6A"/>
    <w:rsid w:val="000F6ABB"/>
    <w:rsid w:val="000F7354"/>
    <w:rsid w:val="000F7C27"/>
    <w:rsid w:val="00101ABE"/>
    <w:rsid w:val="00102202"/>
    <w:rsid w:val="00102700"/>
    <w:rsid w:val="00102A78"/>
    <w:rsid w:val="00103118"/>
    <w:rsid w:val="00103F1B"/>
    <w:rsid w:val="00104227"/>
    <w:rsid w:val="001053D5"/>
    <w:rsid w:val="00107409"/>
    <w:rsid w:val="001107BF"/>
    <w:rsid w:val="00113649"/>
    <w:rsid w:val="00113D5C"/>
    <w:rsid w:val="00116B03"/>
    <w:rsid w:val="0012070D"/>
    <w:rsid w:val="00120AA6"/>
    <w:rsid w:val="0012388F"/>
    <w:rsid w:val="001239DB"/>
    <w:rsid w:val="0012417C"/>
    <w:rsid w:val="00124BF2"/>
    <w:rsid w:val="00125837"/>
    <w:rsid w:val="0012597F"/>
    <w:rsid w:val="00126B19"/>
    <w:rsid w:val="00126D3A"/>
    <w:rsid w:val="0012749D"/>
    <w:rsid w:val="00127A23"/>
    <w:rsid w:val="001306A5"/>
    <w:rsid w:val="00130918"/>
    <w:rsid w:val="001311AE"/>
    <w:rsid w:val="0013188B"/>
    <w:rsid w:val="00134994"/>
    <w:rsid w:val="001352D6"/>
    <w:rsid w:val="001366C2"/>
    <w:rsid w:val="00136C17"/>
    <w:rsid w:val="00140B74"/>
    <w:rsid w:val="00140D94"/>
    <w:rsid w:val="00142395"/>
    <w:rsid w:val="0014250D"/>
    <w:rsid w:val="00142714"/>
    <w:rsid w:val="00144D09"/>
    <w:rsid w:val="00144E06"/>
    <w:rsid w:val="001452ED"/>
    <w:rsid w:val="00147D84"/>
    <w:rsid w:val="00151CBD"/>
    <w:rsid w:val="001533C3"/>
    <w:rsid w:val="001549C1"/>
    <w:rsid w:val="00156198"/>
    <w:rsid w:val="00156C8D"/>
    <w:rsid w:val="00160F4D"/>
    <w:rsid w:val="00162BDD"/>
    <w:rsid w:val="00162D4E"/>
    <w:rsid w:val="00163329"/>
    <w:rsid w:val="00164623"/>
    <w:rsid w:val="001652DE"/>
    <w:rsid w:val="001653EC"/>
    <w:rsid w:val="00165B64"/>
    <w:rsid w:val="00167C39"/>
    <w:rsid w:val="00176B9D"/>
    <w:rsid w:val="00180713"/>
    <w:rsid w:val="00180720"/>
    <w:rsid w:val="00180C92"/>
    <w:rsid w:val="001830CE"/>
    <w:rsid w:val="001836E3"/>
    <w:rsid w:val="00184659"/>
    <w:rsid w:val="001860E5"/>
    <w:rsid w:val="0018643B"/>
    <w:rsid w:val="00187A52"/>
    <w:rsid w:val="00196307"/>
    <w:rsid w:val="0019766E"/>
    <w:rsid w:val="00197C70"/>
    <w:rsid w:val="00197F03"/>
    <w:rsid w:val="001A0D10"/>
    <w:rsid w:val="001A33EA"/>
    <w:rsid w:val="001A3615"/>
    <w:rsid w:val="001A4413"/>
    <w:rsid w:val="001A4C4F"/>
    <w:rsid w:val="001A5A2B"/>
    <w:rsid w:val="001A76FB"/>
    <w:rsid w:val="001A7944"/>
    <w:rsid w:val="001B017F"/>
    <w:rsid w:val="001B0B79"/>
    <w:rsid w:val="001B19EA"/>
    <w:rsid w:val="001B2BBC"/>
    <w:rsid w:val="001B2BCD"/>
    <w:rsid w:val="001B37CC"/>
    <w:rsid w:val="001B3A40"/>
    <w:rsid w:val="001B3FFE"/>
    <w:rsid w:val="001B5129"/>
    <w:rsid w:val="001C0B4C"/>
    <w:rsid w:val="001C0EC4"/>
    <w:rsid w:val="001C1195"/>
    <w:rsid w:val="001C12AE"/>
    <w:rsid w:val="001C1E84"/>
    <w:rsid w:val="001C20E1"/>
    <w:rsid w:val="001C2A0F"/>
    <w:rsid w:val="001C2E42"/>
    <w:rsid w:val="001D1F5F"/>
    <w:rsid w:val="001E06D2"/>
    <w:rsid w:val="001E17C4"/>
    <w:rsid w:val="001E2D65"/>
    <w:rsid w:val="001F005B"/>
    <w:rsid w:val="001F1850"/>
    <w:rsid w:val="001F1FBF"/>
    <w:rsid w:val="001F2311"/>
    <w:rsid w:val="001F2B80"/>
    <w:rsid w:val="001F2F1C"/>
    <w:rsid w:val="001F3189"/>
    <w:rsid w:val="00200BEA"/>
    <w:rsid w:val="00201FB8"/>
    <w:rsid w:val="00203028"/>
    <w:rsid w:val="00203DF0"/>
    <w:rsid w:val="00203FAC"/>
    <w:rsid w:val="002133FB"/>
    <w:rsid w:val="00213CFB"/>
    <w:rsid w:val="0021553C"/>
    <w:rsid w:val="0021557B"/>
    <w:rsid w:val="00216B87"/>
    <w:rsid w:val="002174FD"/>
    <w:rsid w:val="00217BE1"/>
    <w:rsid w:val="00221361"/>
    <w:rsid w:val="002214B9"/>
    <w:rsid w:val="00222680"/>
    <w:rsid w:val="00223370"/>
    <w:rsid w:val="00224D1E"/>
    <w:rsid w:val="00226611"/>
    <w:rsid w:val="00226889"/>
    <w:rsid w:val="00227BC5"/>
    <w:rsid w:val="00230F63"/>
    <w:rsid w:val="00234252"/>
    <w:rsid w:val="0023466E"/>
    <w:rsid w:val="00237AC6"/>
    <w:rsid w:val="00242B64"/>
    <w:rsid w:val="00242BFD"/>
    <w:rsid w:val="00244139"/>
    <w:rsid w:val="00244490"/>
    <w:rsid w:val="00244BEC"/>
    <w:rsid w:val="00245B9C"/>
    <w:rsid w:val="00252587"/>
    <w:rsid w:val="00253499"/>
    <w:rsid w:val="00254367"/>
    <w:rsid w:val="002551A4"/>
    <w:rsid w:val="00257664"/>
    <w:rsid w:val="00260165"/>
    <w:rsid w:val="00265151"/>
    <w:rsid w:val="00265C2C"/>
    <w:rsid w:val="00266509"/>
    <w:rsid w:val="00267978"/>
    <w:rsid w:val="00271BA1"/>
    <w:rsid w:val="00272BEA"/>
    <w:rsid w:val="00273AC5"/>
    <w:rsid w:val="002762FA"/>
    <w:rsid w:val="00276BE3"/>
    <w:rsid w:val="00277505"/>
    <w:rsid w:val="00277873"/>
    <w:rsid w:val="0028158C"/>
    <w:rsid w:val="002823B6"/>
    <w:rsid w:val="00290C03"/>
    <w:rsid w:val="00292392"/>
    <w:rsid w:val="00292E3B"/>
    <w:rsid w:val="002933A8"/>
    <w:rsid w:val="00294274"/>
    <w:rsid w:val="0029458F"/>
    <w:rsid w:val="00297A63"/>
    <w:rsid w:val="002A018F"/>
    <w:rsid w:val="002A0E04"/>
    <w:rsid w:val="002A104C"/>
    <w:rsid w:val="002A1EF7"/>
    <w:rsid w:val="002A2B7B"/>
    <w:rsid w:val="002A3BDB"/>
    <w:rsid w:val="002A494D"/>
    <w:rsid w:val="002A4960"/>
    <w:rsid w:val="002A636A"/>
    <w:rsid w:val="002A755F"/>
    <w:rsid w:val="002A7DD7"/>
    <w:rsid w:val="002B0AE0"/>
    <w:rsid w:val="002B1AE6"/>
    <w:rsid w:val="002B1D51"/>
    <w:rsid w:val="002B2DE8"/>
    <w:rsid w:val="002B30F8"/>
    <w:rsid w:val="002B388A"/>
    <w:rsid w:val="002B3BFE"/>
    <w:rsid w:val="002B3C1A"/>
    <w:rsid w:val="002B4C2A"/>
    <w:rsid w:val="002B5596"/>
    <w:rsid w:val="002B77D7"/>
    <w:rsid w:val="002C0763"/>
    <w:rsid w:val="002C16DA"/>
    <w:rsid w:val="002C212F"/>
    <w:rsid w:val="002C2F35"/>
    <w:rsid w:val="002C6AA9"/>
    <w:rsid w:val="002C7485"/>
    <w:rsid w:val="002D2641"/>
    <w:rsid w:val="002D283A"/>
    <w:rsid w:val="002D4543"/>
    <w:rsid w:val="002D715F"/>
    <w:rsid w:val="002E022A"/>
    <w:rsid w:val="002E3153"/>
    <w:rsid w:val="002E4A02"/>
    <w:rsid w:val="002E5292"/>
    <w:rsid w:val="002E72CA"/>
    <w:rsid w:val="002E75DD"/>
    <w:rsid w:val="002F0B8B"/>
    <w:rsid w:val="002F1D07"/>
    <w:rsid w:val="002F5C5B"/>
    <w:rsid w:val="002F600D"/>
    <w:rsid w:val="002F6F0F"/>
    <w:rsid w:val="002F7E47"/>
    <w:rsid w:val="00300AD6"/>
    <w:rsid w:val="00300B1B"/>
    <w:rsid w:val="003019D0"/>
    <w:rsid w:val="003019DE"/>
    <w:rsid w:val="0030311E"/>
    <w:rsid w:val="003064AF"/>
    <w:rsid w:val="00307DC6"/>
    <w:rsid w:val="00310A8B"/>
    <w:rsid w:val="00310B68"/>
    <w:rsid w:val="003160D2"/>
    <w:rsid w:val="003165E3"/>
    <w:rsid w:val="00316C85"/>
    <w:rsid w:val="003173FC"/>
    <w:rsid w:val="00317C6C"/>
    <w:rsid w:val="00320B80"/>
    <w:rsid w:val="00320CD3"/>
    <w:rsid w:val="003215FF"/>
    <w:rsid w:val="00322667"/>
    <w:rsid w:val="00325F88"/>
    <w:rsid w:val="0032607C"/>
    <w:rsid w:val="00326519"/>
    <w:rsid w:val="00326E79"/>
    <w:rsid w:val="0032748A"/>
    <w:rsid w:val="003301B1"/>
    <w:rsid w:val="00331189"/>
    <w:rsid w:val="00332344"/>
    <w:rsid w:val="0033263D"/>
    <w:rsid w:val="00334E69"/>
    <w:rsid w:val="0033518A"/>
    <w:rsid w:val="00335535"/>
    <w:rsid w:val="003367EF"/>
    <w:rsid w:val="00341AE4"/>
    <w:rsid w:val="003425CA"/>
    <w:rsid w:val="00343FB7"/>
    <w:rsid w:val="0034545B"/>
    <w:rsid w:val="003476EE"/>
    <w:rsid w:val="003541DD"/>
    <w:rsid w:val="00356E5B"/>
    <w:rsid w:val="00360887"/>
    <w:rsid w:val="00361915"/>
    <w:rsid w:val="0036249F"/>
    <w:rsid w:val="0036619D"/>
    <w:rsid w:val="00371246"/>
    <w:rsid w:val="003736C9"/>
    <w:rsid w:val="003745E9"/>
    <w:rsid w:val="00383B77"/>
    <w:rsid w:val="00384988"/>
    <w:rsid w:val="00385289"/>
    <w:rsid w:val="003872CF"/>
    <w:rsid w:val="003874CB"/>
    <w:rsid w:val="00387F4F"/>
    <w:rsid w:val="00396E08"/>
    <w:rsid w:val="003970DD"/>
    <w:rsid w:val="0039782C"/>
    <w:rsid w:val="003A13A6"/>
    <w:rsid w:val="003A2165"/>
    <w:rsid w:val="003A3AF3"/>
    <w:rsid w:val="003A3FD4"/>
    <w:rsid w:val="003A5B4A"/>
    <w:rsid w:val="003A5D95"/>
    <w:rsid w:val="003A6510"/>
    <w:rsid w:val="003A74E2"/>
    <w:rsid w:val="003B0D3A"/>
    <w:rsid w:val="003B2302"/>
    <w:rsid w:val="003B23C5"/>
    <w:rsid w:val="003B2A75"/>
    <w:rsid w:val="003B49B2"/>
    <w:rsid w:val="003B6124"/>
    <w:rsid w:val="003B7960"/>
    <w:rsid w:val="003C0908"/>
    <w:rsid w:val="003C093A"/>
    <w:rsid w:val="003C1ECF"/>
    <w:rsid w:val="003C1F9E"/>
    <w:rsid w:val="003C2FB5"/>
    <w:rsid w:val="003C44B5"/>
    <w:rsid w:val="003C6B5B"/>
    <w:rsid w:val="003D24C5"/>
    <w:rsid w:val="003D4594"/>
    <w:rsid w:val="003D4AC4"/>
    <w:rsid w:val="003D5433"/>
    <w:rsid w:val="003D63B7"/>
    <w:rsid w:val="003D74C5"/>
    <w:rsid w:val="003E1002"/>
    <w:rsid w:val="003E4374"/>
    <w:rsid w:val="003E468B"/>
    <w:rsid w:val="003E62BD"/>
    <w:rsid w:val="003E658D"/>
    <w:rsid w:val="003F044F"/>
    <w:rsid w:val="003F0C3A"/>
    <w:rsid w:val="003F15F0"/>
    <w:rsid w:val="003F2AD9"/>
    <w:rsid w:val="003F3228"/>
    <w:rsid w:val="003F4491"/>
    <w:rsid w:val="003F5C8C"/>
    <w:rsid w:val="003F63CE"/>
    <w:rsid w:val="003F775A"/>
    <w:rsid w:val="00400E55"/>
    <w:rsid w:val="0040128E"/>
    <w:rsid w:val="00401640"/>
    <w:rsid w:val="0040216B"/>
    <w:rsid w:val="0040269A"/>
    <w:rsid w:val="00404852"/>
    <w:rsid w:val="0040590E"/>
    <w:rsid w:val="00407CC8"/>
    <w:rsid w:val="00414EB2"/>
    <w:rsid w:val="00414F0C"/>
    <w:rsid w:val="00415E0D"/>
    <w:rsid w:val="00420400"/>
    <w:rsid w:val="00423E78"/>
    <w:rsid w:val="004252EC"/>
    <w:rsid w:val="00430D39"/>
    <w:rsid w:val="00432DA2"/>
    <w:rsid w:val="00435FFF"/>
    <w:rsid w:val="004425E6"/>
    <w:rsid w:val="00442C91"/>
    <w:rsid w:val="0044380D"/>
    <w:rsid w:val="00444E9D"/>
    <w:rsid w:val="004465BD"/>
    <w:rsid w:val="00446938"/>
    <w:rsid w:val="004528FA"/>
    <w:rsid w:val="00452A6C"/>
    <w:rsid w:val="00461A44"/>
    <w:rsid w:val="00462D26"/>
    <w:rsid w:val="0046368B"/>
    <w:rsid w:val="0046385A"/>
    <w:rsid w:val="00464039"/>
    <w:rsid w:val="00466ADA"/>
    <w:rsid w:val="004702BB"/>
    <w:rsid w:val="0047494B"/>
    <w:rsid w:val="00476245"/>
    <w:rsid w:val="00477A9B"/>
    <w:rsid w:val="00482AE4"/>
    <w:rsid w:val="00483035"/>
    <w:rsid w:val="00485940"/>
    <w:rsid w:val="00486C95"/>
    <w:rsid w:val="004877C2"/>
    <w:rsid w:val="004904B9"/>
    <w:rsid w:val="00491EDC"/>
    <w:rsid w:val="004928E1"/>
    <w:rsid w:val="00492D8D"/>
    <w:rsid w:val="00496662"/>
    <w:rsid w:val="004A1431"/>
    <w:rsid w:val="004A2484"/>
    <w:rsid w:val="004A5A85"/>
    <w:rsid w:val="004A71D1"/>
    <w:rsid w:val="004A7C5B"/>
    <w:rsid w:val="004B1845"/>
    <w:rsid w:val="004B2348"/>
    <w:rsid w:val="004B2E01"/>
    <w:rsid w:val="004B2E98"/>
    <w:rsid w:val="004B403D"/>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2CD1"/>
    <w:rsid w:val="004D365C"/>
    <w:rsid w:val="004D4658"/>
    <w:rsid w:val="004D4FF6"/>
    <w:rsid w:val="004D5ADD"/>
    <w:rsid w:val="004E0CC3"/>
    <w:rsid w:val="004E524A"/>
    <w:rsid w:val="004E692D"/>
    <w:rsid w:val="004E7230"/>
    <w:rsid w:val="004E7D87"/>
    <w:rsid w:val="004F2553"/>
    <w:rsid w:val="004F306A"/>
    <w:rsid w:val="004F5B01"/>
    <w:rsid w:val="00501554"/>
    <w:rsid w:val="00502AFE"/>
    <w:rsid w:val="00502E64"/>
    <w:rsid w:val="00503AD7"/>
    <w:rsid w:val="00503E89"/>
    <w:rsid w:val="00504E0C"/>
    <w:rsid w:val="00504E13"/>
    <w:rsid w:val="005109D4"/>
    <w:rsid w:val="0051230A"/>
    <w:rsid w:val="00514CD7"/>
    <w:rsid w:val="005167EC"/>
    <w:rsid w:val="005170DA"/>
    <w:rsid w:val="0052022A"/>
    <w:rsid w:val="00520D6A"/>
    <w:rsid w:val="00522DB6"/>
    <w:rsid w:val="005264A7"/>
    <w:rsid w:val="0052792D"/>
    <w:rsid w:val="00527B24"/>
    <w:rsid w:val="005319B2"/>
    <w:rsid w:val="00532402"/>
    <w:rsid w:val="00532C74"/>
    <w:rsid w:val="00533239"/>
    <w:rsid w:val="00534E2E"/>
    <w:rsid w:val="00535133"/>
    <w:rsid w:val="0054064C"/>
    <w:rsid w:val="00544552"/>
    <w:rsid w:val="005445A0"/>
    <w:rsid w:val="00545130"/>
    <w:rsid w:val="00546B36"/>
    <w:rsid w:val="00552642"/>
    <w:rsid w:val="0055286A"/>
    <w:rsid w:val="00555745"/>
    <w:rsid w:val="00557D4F"/>
    <w:rsid w:val="0056122E"/>
    <w:rsid w:val="0056484E"/>
    <w:rsid w:val="00565999"/>
    <w:rsid w:val="00567D8A"/>
    <w:rsid w:val="00570231"/>
    <w:rsid w:val="005714B7"/>
    <w:rsid w:val="005764CD"/>
    <w:rsid w:val="00577C4D"/>
    <w:rsid w:val="00580532"/>
    <w:rsid w:val="00581932"/>
    <w:rsid w:val="00583002"/>
    <w:rsid w:val="00586F54"/>
    <w:rsid w:val="005903BB"/>
    <w:rsid w:val="00593893"/>
    <w:rsid w:val="00593DF6"/>
    <w:rsid w:val="005963BB"/>
    <w:rsid w:val="0059645C"/>
    <w:rsid w:val="00596D37"/>
    <w:rsid w:val="005A15D2"/>
    <w:rsid w:val="005A3173"/>
    <w:rsid w:val="005A3223"/>
    <w:rsid w:val="005A38C2"/>
    <w:rsid w:val="005A3A5D"/>
    <w:rsid w:val="005A3DA3"/>
    <w:rsid w:val="005A52C4"/>
    <w:rsid w:val="005A63A1"/>
    <w:rsid w:val="005B0486"/>
    <w:rsid w:val="005B1032"/>
    <w:rsid w:val="005B1473"/>
    <w:rsid w:val="005B36FA"/>
    <w:rsid w:val="005C1656"/>
    <w:rsid w:val="005C4F73"/>
    <w:rsid w:val="005D03AB"/>
    <w:rsid w:val="005D401D"/>
    <w:rsid w:val="005D5017"/>
    <w:rsid w:val="005D5708"/>
    <w:rsid w:val="005D63FA"/>
    <w:rsid w:val="005D643D"/>
    <w:rsid w:val="005D73C7"/>
    <w:rsid w:val="005E0C2D"/>
    <w:rsid w:val="005E0D82"/>
    <w:rsid w:val="005E0F59"/>
    <w:rsid w:val="005E1333"/>
    <w:rsid w:val="005E2207"/>
    <w:rsid w:val="005E3136"/>
    <w:rsid w:val="005E378E"/>
    <w:rsid w:val="005E507D"/>
    <w:rsid w:val="005F0340"/>
    <w:rsid w:val="005F0AD0"/>
    <w:rsid w:val="005F64AC"/>
    <w:rsid w:val="00601A91"/>
    <w:rsid w:val="00602BA3"/>
    <w:rsid w:val="006058B5"/>
    <w:rsid w:val="00605B63"/>
    <w:rsid w:val="00605F9A"/>
    <w:rsid w:val="00606442"/>
    <w:rsid w:val="00606EED"/>
    <w:rsid w:val="00607DDB"/>
    <w:rsid w:val="00612A95"/>
    <w:rsid w:val="00612E34"/>
    <w:rsid w:val="00613670"/>
    <w:rsid w:val="00614159"/>
    <w:rsid w:val="006158A3"/>
    <w:rsid w:val="00615D10"/>
    <w:rsid w:val="00616C5F"/>
    <w:rsid w:val="00616DAC"/>
    <w:rsid w:val="00617725"/>
    <w:rsid w:val="00617C00"/>
    <w:rsid w:val="00622870"/>
    <w:rsid w:val="006233D1"/>
    <w:rsid w:val="006235F5"/>
    <w:rsid w:val="00623750"/>
    <w:rsid w:val="00623B3D"/>
    <w:rsid w:val="006263BF"/>
    <w:rsid w:val="0062748A"/>
    <w:rsid w:val="00630546"/>
    <w:rsid w:val="006306DF"/>
    <w:rsid w:val="00630A2C"/>
    <w:rsid w:val="00634A75"/>
    <w:rsid w:val="0063682E"/>
    <w:rsid w:val="00640088"/>
    <w:rsid w:val="00640554"/>
    <w:rsid w:val="00642672"/>
    <w:rsid w:val="00642DA8"/>
    <w:rsid w:val="006436CD"/>
    <w:rsid w:val="00650976"/>
    <w:rsid w:val="00651169"/>
    <w:rsid w:val="00653D69"/>
    <w:rsid w:val="006552E6"/>
    <w:rsid w:val="00655794"/>
    <w:rsid w:val="00656F2F"/>
    <w:rsid w:val="00657C63"/>
    <w:rsid w:val="00661CBC"/>
    <w:rsid w:val="00662B85"/>
    <w:rsid w:val="006670B3"/>
    <w:rsid w:val="006670BE"/>
    <w:rsid w:val="00670A76"/>
    <w:rsid w:val="006711AA"/>
    <w:rsid w:val="00672B57"/>
    <w:rsid w:val="00673F1F"/>
    <w:rsid w:val="00675622"/>
    <w:rsid w:val="00675DEB"/>
    <w:rsid w:val="0067747D"/>
    <w:rsid w:val="006818D5"/>
    <w:rsid w:val="00681CA4"/>
    <w:rsid w:val="00686559"/>
    <w:rsid w:val="0069039D"/>
    <w:rsid w:val="006906DB"/>
    <w:rsid w:val="00691166"/>
    <w:rsid w:val="00691900"/>
    <w:rsid w:val="00691E6C"/>
    <w:rsid w:val="00693425"/>
    <w:rsid w:val="0069342D"/>
    <w:rsid w:val="00693DFB"/>
    <w:rsid w:val="00694FD5"/>
    <w:rsid w:val="0069501D"/>
    <w:rsid w:val="00696129"/>
    <w:rsid w:val="00697509"/>
    <w:rsid w:val="00697CF2"/>
    <w:rsid w:val="006A12A5"/>
    <w:rsid w:val="006A2515"/>
    <w:rsid w:val="006A4A14"/>
    <w:rsid w:val="006A572D"/>
    <w:rsid w:val="006A5E20"/>
    <w:rsid w:val="006B0D94"/>
    <w:rsid w:val="006B16B6"/>
    <w:rsid w:val="006B485D"/>
    <w:rsid w:val="006B7676"/>
    <w:rsid w:val="006B7DDA"/>
    <w:rsid w:val="006C0C45"/>
    <w:rsid w:val="006C2806"/>
    <w:rsid w:val="006C334C"/>
    <w:rsid w:val="006C6C10"/>
    <w:rsid w:val="006C708E"/>
    <w:rsid w:val="006D14E7"/>
    <w:rsid w:val="006D4444"/>
    <w:rsid w:val="006D6493"/>
    <w:rsid w:val="006D6EC7"/>
    <w:rsid w:val="006D7B05"/>
    <w:rsid w:val="006D7E45"/>
    <w:rsid w:val="006E1143"/>
    <w:rsid w:val="006E1BCD"/>
    <w:rsid w:val="006E2732"/>
    <w:rsid w:val="006E59CD"/>
    <w:rsid w:val="006F00ED"/>
    <w:rsid w:val="006F026F"/>
    <w:rsid w:val="006F0672"/>
    <w:rsid w:val="006F0A71"/>
    <w:rsid w:val="006F1C6B"/>
    <w:rsid w:val="006F40C2"/>
    <w:rsid w:val="006F5125"/>
    <w:rsid w:val="006F6179"/>
    <w:rsid w:val="006F733D"/>
    <w:rsid w:val="00700765"/>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BBB"/>
    <w:rsid w:val="007174BB"/>
    <w:rsid w:val="00720145"/>
    <w:rsid w:val="0072025D"/>
    <w:rsid w:val="00721AAE"/>
    <w:rsid w:val="00723104"/>
    <w:rsid w:val="00723328"/>
    <w:rsid w:val="007237DE"/>
    <w:rsid w:val="0072502E"/>
    <w:rsid w:val="007274FA"/>
    <w:rsid w:val="0073137C"/>
    <w:rsid w:val="00732D4C"/>
    <w:rsid w:val="007340B9"/>
    <w:rsid w:val="007353D3"/>
    <w:rsid w:val="00735FDB"/>
    <w:rsid w:val="0074121C"/>
    <w:rsid w:val="0074156B"/>
    <w:rsid w:val="00741619"/>
    <w:rsid w:val="00742885"/>
    <w:rsid w:val="00747092"/>
    <w:rsid w:val="007477FF"/>
    <w:rsid w:val="00750976"/>
    <w:rsid w:val="007526E6"/>
    <w:rsid w:val="00753E89"/>
    <w:rsid w:val="00754DF9"/>
    <w:rsid w:val="007555E8"/>
    <w:rsid w:val="00755CC5"/>
    <w:rsid w:val="00762862"/>
    <w:rsid w:val="0076420C"/>
    <w:rsid w:val="00771D07"/>
    <w:rsid w:val="00772526"/>
    <w:rsid w:val="00772649"/>
    <w:rsid w:val="00773BE3"/>
    <w:rsid w:val="007743DD"/>
    <w:rsid w:val="00774E2C"/>
    <w:rsid w:val="0077503C"/>
    <w:rsid w:val="0077518D"/>
    <w:rsid w:val="007753C2"/>
    <w:rsid w:val="00776068"/>
    <w:rsid w:val="007838B8"/>
    <w:rsid w:val="00785779"/>
    <w:rsid w:val="00787FD8"/>
    <w:rsid w:val="007915BA"/>
    <w:rsid w:val="00791844"/>
    <w:rsid w:val="007923F0"/>
    <w:rsid w:val="00793CE9"/>
    <w:rsid w:val="00796667"/>
    <w:rsid w:val="00797068"/>
    <w:rsid w:val="0079778C"/>
    <w:rsid w:val="007979BD"/>
    <w:rsid w:val="007A3D8E"/>
    <w:rsid w:val="007A5C88"/>
    <w:rsid w:val="007A6A2F"/>
    <w:rsid w:val="007B024E"/>
    <w:rsid w:val="007B05F7"/>
    <w:rsid w:val="007B3BAF"/>
    <w:rsid w:val="007B3DDC"/>
    <w:rsid w:val="007B6E09"/>
    <w:rsid w:val="007B72A6"/>
    <w:rsid w:val="007C06D2"/>
    <w:rsid w:val="007C08E0"/>
    <w:rsid w:val="007C0F57"/>
    <w:rsid w:val="007C2F4B"/>
    <w:rsid w:val="007C40B6"/>
    <w:rsid w:val="007C5975"/>
    <w:rsid w:val="007C7015"/>
    <w:rsid w:val="007C729F"/>
    <w:rsid w:val="007C72AD"/>
    <w:rsid w:val="007D1919"/>
    <w:rsid w:val="007D503D"/>
    <w:rsid w:val="007D59E7"/>
    <w:rsid w:val="007D5F2A"/>
    <w:rsid w:val="007E07AC"/>
    <w:rsid w:val="007E1014"/>
    <w:rsid w:val="007E12F8"/>
    <w:rsid w:val="007E1D28"/>
    <w:rsid w:val="007E4564"/>
    <w:rsid w:val="007E490F"/>
    <w:rsid w:val="007E4ECE"/>
    <w:rsid w:val="007E6533"/>
    <w:rsid w:val="007F0021"/>
    <w:rsid w:val="007F2641"/>
    <w:rsid w:val="007F3D76"/>
    <w:rsid w:val="007F7C36"/>
    <w:rsid w:val="007F7F45"/>
    <w:rsid w:val="0080001F"/>
    <w:rsid w:val="00801958"/>
    <w:rsid w:val="008031DA"/>
    <w:rsid w:val="008055AF"/>
    <w:rsid w:val="008057CD"/>
    <w:rsid w:val="008066B8"/>
    <w:rsid w:val="00806796"/>
    <w:rsid w:val="00810167"/>
    <w:rsid w:val="008104D0"/>
    <w:rsid w:val="00811CC0"/>
    <w:rsid w:val="00814276"/>
    <w:rsid w:val="008151D6"/>
    <w:rsid w:val="00815893"/>
    <w:rsid w:val="00817F2C"/>
    <w:rsid w:val="00820692"/>
    <w:rsid w:val="00820803"/>
    <w:rsid w:val="00821527"/>
    <w:rsid w:val="008225CE"/>
    <w:rsid w:val="00822696"/>
    <w:rsid w:val="00825A6C"/>
    <w:rsid w:val="0082617E"/>
    <w:rsid w:val="008268BB"/>
    <w:rsid w:val="00826F6D"/>
    <w:rsid w:val="008306F3"/>
    <w:rsid w:val="00830E40"/>
    <w:rsid w:val="00832D9A"/>
    <w:rsid w:val="00835C62"/>
    <w:rsid w:val="008368A1"/>
    <w:rsid w:val="00840EF7"/>
    <w:rsid w:val="00844C0A"/>
    <w:rsid w:val="00846056"/>
    <w:rsid w:val="0084681F"/>
    <w:rsid w:val="00847D08"/>
    <w:rsid w:val="00847EC0"/>
    <w:rsid w:val="00854506"/>
    <w:rsid w:val="00855FD6"/>
    <w:rsid w:val="00856DDD"/>
    <w:rsid w:val="00860233"/>
    <w:rsid w:val="00863E68"/>
    <w:rsid w:val="008647B5"/>
    <w:rsid w:val="00867D64"/>
    <w:rsid w:val="00871D57"/>
    <w:rsid w:val="00872E8F"/>
    <w:rsid w:val="00875DCB"/>
    <w:rsid w:val="00876050"/>
    <w:rsid w:val="00876FBF"/>
    <w:rsid w:val="0087755A"/>
    <w:rsid w:val="008803DE"/>
    <w:rsid w:val="00882085"/>
    <w:rsid w:val="00883188"/>
    <w:rsid w:val="00884A0C"/>
    <w:rsid w:val="00886ACA"/>
    <w:rsid w:val="00886B01"/>
    <w:rsid w:val="0089031E"/>
    <w:rsid w:val="0089109A"/>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2620"/>
    <w:rsid w:val="008B2EC0"/>
    <w:rsid w:val="008B41B1"/>
    <w:rsid w:val="008B6DCF"/>
    <w:rsid w:val="008C4D49"/>
    <w:rsid w:val="008C7DD2"/>
    <w:rsid w:val="008D0945"/>
    <w:rsid w:val="008D1409"/>
    <w:rsid w:val="008D15CC"/>
    <w:rsid w:val="008D1729"/>
    <w:rsid w:val="008D1B5C"/>
    <w:rsid w:val="008D3C82"/>
    <w:rsid w:val="008D447E"/>
    <w:rsid w:val="008D6ACF"/>
    <w:rsid w:val="008D7A41"/>
    <w:rsid w:val="008E20AA"/>
    <w:rsid w:val="008E2C72"/>
    <w:rsid w:val="008E3680"/>
    <w:rsid w:val="008E3A52"/>
    <w:rsid w:val="008E4F87"/>
    <w:rsid w:val="008E5870"/>
    <w:rsid w:val="008E6254"/>
    <w:rsid w:val="008E77E4"/>
    <w:rsid w:val="008F0213"/>
    <w:rsid w:val="008F07ED"/>
    <w:rsid w:val="008F11F8"/>
    <w:rsid w:val="008F1434"/>
    <w:rsid w:val="008F2BB9"/>
    <w:rsid w:val="008F3D6A"/>
    <w:rsid w:val="008F54C3"/>
    <w:rsid w:val="008F7355"/>
    <w:rsid w:val="009023DC"/>
    <w:rsid w:val="009027C5"/>
    <w:rsid w:val="00904413"/>
    <w:rsid w:val="009067B7"/>
    <w:rsid w:val="00906E7A"/>
    <w:rsid w:val="00906E7F"/>
    <w:rsid w:val="0090775A"/>
    <w:rsid w:val="00907DFD"/>
    <w:rsid w:val="00913C99"/>
    <w:rsid w:val="00917D69"/>
    <w:rsid w:val="00920B6D"/>
    <w:rsid w:val="00926560"/>
    <w:rsid w:val="00926B15"/>
    <w:rsid w:val="00930291"/>
    <w:rsid w:val="00930937"/>
    <w:rsid w:val="009324A6"/>
    <w:rsid w:val="00933B7D"/>
    <w:rsid w:val="00933E6C"/>
    <w:rsid w:val="00934473"/>
    <w:rsid w:val="00935A6E"/>
    <w:rsid w:val="00937958"/>
    <w:rsid w:val="009406E5"/>
    <w:rsid w:val="00941602"/>
    <w:rsid w:val="00942160"/>
    <w:rsid w:val="00944B4C"/>
    <w:rsid w:val="00946921"/>
    <w:rsid w:val="00947343"/>
    <w:rsid w:val="009505AC"/>
    <w:rsid w:val="0095146F"/>
    <w:rsid w:val="00951F2D"/>
    <w:rsid w:val="00952839"/>
    <w:rsid w:val="009534C7"/>
    <w:rsid w:val="00957944"/>
    <w:rsid w:val="00957DDB"/>
    <w:rsid w:val="009602C5"/>
    <w:rsid w:val="0096103A"/>
    <w:rsid w:val="00962223"/>
    <w:rsid w:val="0096252B"/>
    <w:rsid w:val="00962FC7"/>
    <w:rsid w:val="009644D9"/>
    <w:rsid w:val="00964A9F"/>
    <w:rsid w:val="00966D0D"/>
    <w:rsid w:val="00967732"/>
    <w:rsid w:val="0096783C"/>
    <w:rsid w:val="00970023"/>
    <w:rsid w:val="009722B3"/>
    <w:rsid w:val="00973E24"/>
    <w:rsid w:val="0097436F"/>
    <w:rsid w:val="00974C21"/>
    <w:rsid w:val="00974D5F"/>
    <w:rsid w:val="00975948"/>
    <w:rsid w:val="009772FD"/>
    <w:rsid w:val="00977BF3"/>
    <w:rsid w:val="009803E4"/>
    <w:rsid w:val="00980B0E"/>
    <w:rsid w:val="00982B39"/>
    <w:rsid w:val="009836A3"/>
    <w:rsid w:val="00984C58"/>
    <w:rsid w:val="009855A8"/>
    <w:rsid w:val="00985CBE"/>
    <w:rsid w:val="00985D1A"/>
    <w:rsid w:val="00990416"/>
    <w:rsid w:val="00990CF8"/>
    <w:rsid w:val="009913F4"/>
    <w:rsid w:val="00991782"/>
    <w:rsid w:val="009937F7"/>
    <w:rsid w:val="0099465B"/>
    <w:rsid w:val="009951A1"/>
    <w:rsid w:val="00997A44"/>
    <w:rsid w:val="009A0CDD"/>
    <w:rsid w:val="009A3168"/>
    <w:rsid w:val="009A4621"/>
    <w:rsid w:val="009A4BDF"/>
    <w:rsid w:val="009A586B"/>
    <w:rsid w:val="009A5D04"/>
    <w:rsid w:val="009A61CA"/>
    <w:rsid w:val="009B0062"/>
    <w:rsid w:val="009B0C64"/>
    <w:rsid w:val="009B0F67"/>
    <w:rsid w:val="009B208A"/>
    <w:rsid w:val="009B2756"/>
    <w:rsid w:val="009B3D56"/>
    <w:rsid w:val="009B3F8C"/>
    <w:rsid w:val="009B533B"/>
    <w:rsid w:val="009B546B"/>
    <w:rsid w:val="009C26AA"/>
    <w:rsid w:val="009C703C"/>
    <w:rsid w:val="009D0C29"/>
    <w:rsid w:val="009D206E"/>
    <w:rsid w:val="009D3CAA"/>
    <w:rsid w:val="009D507A"/>
    <w:rsid w:val="009D61E5"/>
    <w:rsid w:val="009D6532"/>
    <w:rsid w:val="009D71FD"/>
    <w:rsid w:val="009E06F0"/>
    <w:rsid w:val="009E0755"/>
    <w:rsid w:val="009E10AD"/>
    <w:rsid w:val="009E2588"/>
    <w:rsid w:val="009E2E8E"/>
    <w:rsid w:val="009E40E1"/>
    <w:rsid w:val="009F0EFA"/>
    <w:rsid w:val="009F4E46"/>
    <w:rsid w:val="009F5B65"/>
    <w:rsid w:val="009F5F2C"/>
    <w:rsid w:val="009F5F2E"/>
    <w:rsid w:val="009F6350"/>
    <w:rsid w:val="00A01432"/>
    <w:rsid w:val="00A06225"/>
    <w:rsid w:val="00A066E6"/>
    <w:rsid w:val="00A07CE2"/>
    <w:rsid w:val="00A110D1"/>
    <w:rsid w:val="00A12587"/>
    <w:rsid w:val="00A128E6"/>
    <w:rsid w:val="00A144D3"/>
    <w:rsid w:val="00A17EA7"/>
    <w:rsid w:val="00A21D7D"/>
    <w:rsid w:val="00A22AC3"/>
    <w:rsid w:val="00A2351E"/>
    <w:rsid w:val="00A23C4D"/>
    <w:rsid w:val="00A23F3F"/>
    <w:rsid w:val="00A24067"/>
    <w:rsid w:val="00A24A4B"/>
    <w:rsid w:val="00A2744D"/>
    <w:rsid w:val="00A27966"/>
    <w:rsid w:val="00A30554"/>
    <w:rsid w:val="00A30D16"/>
    <w:rsid w:val="00A3214D"/>
    <w:rsid w:val="00A33EB7"/>
    <w:rsid w:val="00A34E6C"/>
    <w:rsid w:val="00A34FD0"/>
    <w:rsid w:val="00A36398"/>
    <w:rsid w:val="00A3670E"/>
    <w:rsid w:val="00A37767"/>
    <w:rsid w:val="00A37C8D"/>
    <w:rsid w:val="00A4020E"/>
    <w:rsid w:val="00A40493"/>
    <w:rsid w:val="00A408E8"/>
    <w:rsid w:val="00A40C11"/>
    <w:rsid w:val="00A40FB5"/>
    <w:rsid w:val="00A42826"/>
    <w:rsid w:val="00A429B3"/>
    <w:rsid w:val="00A44EC1"/>
    <w:rsid w:val="00A510E4"/>
    <w:rsid w:val="00A51F8C"/>
    <w:rsid w:val="00A526F7"/>
    <w:rsid w:val="00A5273B"/>
    <w:rsid w:val="00A53A9D"/>
    <w:rsid w:val="00A55FEE"/>
    <w:rsid w:val="00A56D43"/>
    <w:rsid w:val="00A57422"/>
    <w:rsid w:val="00A62C1A"/>
    <w:rsid w:val="00A63CA2"/>
    <w:rsid w:val="00A6426D"/>
    <w:rsid w:val="00A665C1"/>
    <w:rsid w:val="00A673A4"/>
    <w:rsid w:val="00A7001A"/>
    <w:rsid w:val="00A70622"/>
    <w:rsid w:val="00A70977"/>
    <w:rsid w:val="00A70D58"/>
    <w:rsid w:val="00A71CEA"/>
    <w:rsid w:val="00A744F9"/>
    <w:rsid w:val="00A753A1"/>
    <w:rsid w:val="00A77613"/>
    <w:rsid w:val="00A77B87"/>
    <w:rsid w:val="00A801AD"/>
    <w:rsid w:val="00A80D82"/>
    <w:rsid w:val="00A81851"/>
    <w:rsid w:val="00A8390C"/>
    <w:rsid w:val="00A86AE0"/>
    <w:rsid w:val="00A912B0"/>
    <w:rsid w:val="00A91362"/>
    <w:rsid w:val="00A9151C"/>
    <w:rsid w:val="00A919C6"/>
    <w:rsid w:val="00A928BD"/>
    <w:rsid w:val="00A92D61"/>
    <w:rsid w:val="00A97DE9"/>
    <w:rsid w:val="00AA0D27"/>
    <w:rsid w:val="00AA12CD"/>
    <w:rsid w:val="00AA3EEE"/>
    <w:rsid w:val="00AA4D1C"/>
    <w:rsid w:val="00AA52FD"/>
    <w:rsid w:val="00AA7006"/>
    <w:rsid w:val="00AB3138"/>
    <w:rsid w:val="00AB4684"/>
    <w:rsid w:val="00AB5856"/>
    <w:rsid w:val="00AC081D"/>
    <w:rsid w:val="00AC0C6F"/>
    <w:rsid w:val="00AC1266"/>
    <w:rsid w:val="00AC193C"/>
    <w:rsid w:val="00AC30C1"/>
    <w:rsid w:val="00AC4DE5"/>
    <w:rsid w:val="00AC5206"/>
    <w:rsid w:val="00AC6695"/>
    <w:rsid w:val="00AD095B"/>
    <w:rsid w:val="00AD3106"/>
    <w:rsid w:val="00AD4322"/>
    <w:rsid w:val="00AE11A5"/>
    <w:rsid w:val="00AE13E2"/>
    <w:rsid w:val="00AE22D3"/>
    <w:rsid w:val="00AE5A49"/>
    <w:rsid w:val="00AF03E6"/>
    <w:rsid w:val="00AF11D8"/>
    <w:rsid w:val="00AF5867"/>
    <w:rsid w:val="00AF62DF"/>
    <w:rsid w:val="00AF68CC"/>
    <w:rsid w:val="00AF70D7"/>
    <w:rsid w:val="00B00086"/>
    <w:rsid w:val="00B00CD0"/>
    <w:rsid w:val="00B00E7F"/>
    <w:rsid w:val="00B01FF4"/>
    <w:rsid w:val="00B0326D"/>
    <w:rsid w:val="00B06037"/>
    <w:rsid w:val="00B06478"/>
    <w:rsid w:val="00B07533"/>
    <w:rsid w:val="00B07CFB"/>
    <w:rsid w:val="00B1059E"/>
    <w:rsid w:val="00B1401E"/>
    <w:rsid w:val="00B14A36"/>
    <w:rsid w:val="00B16273"/>
    <w:rsid w:val="00B170A5"/>
    <w:rsid w:val="00B1725F"/>
    <w:rsid w:val="00B176C8"/>
    <w:rsid w:val="00B17B93"/>
    <w:rsid w:val="00B17EE5"/>
    <w:rsid w:val="00B205AA"/>
    <w:rsid w:val="00B2100A"/>
    <w:rsid w:val="00B21A91"/>
    <w:rsid w:val="00B22E84"/>
    <w:rsid w:val="00B233AD"/>
    <w:rsid w:val="00B23E25"/>
    <w:rsid w:val="00B25F75"/>
    <w:rsid w:val="00B26B3F"/>
    <w:rsid w:val="00B2778F"/>
    <w:rsid w:val="00B327E2"/>
    <w:rsid w:val="00B33635"/>
    <w:rsid w:val="00B37A23"/>
    <w:rsid w:val="00B37CF8"/>
    <w:rsid w:val="00B42AF4"/>
    <w:rsid w:val="00B43E90"/>
    <w:rsid w:val="00B44308"/>
    <w:rsid w:val="00B45722"/>
    <w:rsid w:val="00B460F4"/>
    <w:rsid w:val="00B467DC"/>
    <w:rsid w:val="00B47A88"/>
    <w:rsid w:val="00B52303"/>
    <w:rsid w:val="00B532E3"/>
    <w:rsid w:val="00B5392A"/>
    <w:rsid w:val="00B539EF"/>
    <w:rsid w:val="00B56118"/>
    <w:rsid w:val="00B566E1"/>
    <w:rsid w:val="00B56AFB"/>
    <w:rsid w:val="00B602F6"/>
    <w:rsid w:val="00B603EB"/>
    <w:rsid w:val="00B62EC1"/>
    <w:rsid w:val="00B64A96"/>
    <w:rsid w:val="00B6533B"/>
    <w:rsid w:val="00B6773F"/>
    <w:rsid w:val="00B70EB3"/>
    <w:rsid w:val="00B72906"/>
    <w:rsid w:val="00B74ACB"/>
    <w:rsid w:val="00B74F48"/>
    <w:rsid w:val="00B7525E"/>
    <w:rsid w:val="00B75433"/>
    <w:rsid w:val="00B75F70"/>
    <w:rsid w:val="00B760FB"/>
    <w:rsid w:val="00B76765"/>
    <w:rsid w:val="00B767AB"/>
    <w:rsid w:val="00B801BA"/>
    <w:rsid w:val="00B812D6"/>
    <w:rsid w:val="00B846E6"/>
    <w:rsid w:val="00B84D5C"/>
    <w:rsid w:val="00B85AF6"/>
    <w:rsid w:val="00B902BB"/>
    <w:rsid w:val="00B92E46"/>
    <w:rsid w:val="00B941ED"/>
    <w:rsid w:val="00B956ED"/>
    <w:rsid w:val="00BA2DA8"/>
    <w:rsid w:val="00BA347C"/>
    <w:rsid w:val="00BA4C79"/>
    <w:rsid w:val="00BB298A"/>
    <w:rsid w:val="00BB3469"/>
    <w:rsid w:val="00BB364B"/>
    <w:rsid w:val="00BB5C49"/>
    <w:rsid w:val="00BB6240"/>
    <w:rsid w:val="00BB6285"/>
    <w:rsid w:val="00BB69F5"/>
    <w:rsid w:val="00BB6E48"/>
    <w:rsid w:val="00BB7EC3"/>
    <w:rsid w:val="00BC04B1"/>
    <w:rsid w:val="00BC470E"/>
    <w:rsid w:val="00BC4AF6"/>
    <w:rsid w:val="00BC4B9A"/>
    <w:rsid w:val="00BC4E30"/>
    <w:rsid w:val="00BD02C3"/>
    <w:rsid w:val="00BD3662"/>
    <w:rsid w:val="00BD7483"/>
    <w:rsid w:val="00BD784C"/>
    <w:rsid w:val="00BE020A"/>
    <w:rsid w:val="00BE076C"/>
    <w:rsid w:val="00BE13DF"/>
    <w:rsid w:val="00BE1EF0"/>
    <w:rsid w:val="00BE25D7"/>
    <w:rsid w:val="00BE41AA"/>
    <w:rsid w:val="00BF092C"/>
    <w:rsid w:val="00BF27A0"/>
    <w:rsid w:val="00BF4CB6"/>
    <w:rsid w:val="00BF51E1"/>
    <w:rsid w:val="00BF5D23"/>
    <w:rsid w:val="00BF6CBD"/>
    <w:rsid w:val="00C00DA7"/>
    <w:rsid w:val="00C03133"/>
    <w:rsid w:val="00C034FB"/>
    <w:rsid w:val="00C035E5"/>
    <w:rsid w:val="00C04CDE"/>
    <w:rsid w:val="00C059D5"/>
    <w:rsid w:val="00C068A6"/>
    <w:rsid w:val="00C10817"/>
    <w:rsid w:val="00C115AF"/>
    <w:rsid w:val="00C123C8"/>
    <w:rsid w:val="00C12768"/>
    <w:rsid w:val="00C12D70"/>
    <w:rsid w:val="00C16724"/>
    <w:rsid w:val="00C20896"/>
    <w:rsid w:val="00C21B09"/>
    <w:rsid w:val="00C25EFF"/>
    <w:rsid w:val="00C2673A"/>
    <w:rsid w:val="00C278CD"/>
    <w:rsid w:val="00C27B58"/>
    <w:rsid w:val="00C27C1C"/>
    <w:rsid w:val="00C3166C"/>
    <w:rsid w:val="00C33186"/>
    <w:rsid w:val="00C35996"/>
    <w:rsid w:val="00C37DB5"/>
    <w:rsid w:val="00C40A94"/>
    <w:rsid w:val="00C42BCD"/>
    <w:rsid w:val="00C4415F"/>
    <w:rsid w:val="00C4485F"/>
    <w:rsid w:val="00C46C13"/>
    <w:rsid w:val="00C4747E"/>
    <w:rsid w:val="00C5151E"/>
    <w:rsid w:val="00C52256"/>
    <w:rsid w:val="00C5342C"/>
    <w:rsid w:val="00C53B2B"/>
    <w:rsid w:val="00C54CC0"/>
    <w:rsid w:val="00C56D78"/>
    <w:rsid w:val="00C57465"/>
    <w:rsid w:val="00C60272"/>
    <w:rsid w:val="00C603D4"/>
    <w:rsid w:val="00C6256A"/>
    <w:rsid w:val="00C63FDA"/>
    <w:rsid w:val="00C64EBC"/>
    <w:rsid w:val="00C65129"/>
    <w:rsid w:val="00C664D2"/>
    <w:rsid w:val="00C677E1"/>
    <w:rsid w:val="00C70E6E"/>
    <w:rsid w:val="00C710E2"/>
    <w:rsid w:val="00C71C3F"/>
    <w:rsid w:val="00C72D3A"/>
    <w:rsid w:val="00C7409E"/>
    <w:rsid w:val="00C74D6D"/>
    <w:rsid w:val="00C755A7"/>
    <w:rsid w:val="00C7632F"/>
    <w:rsid w:val="00C76E76"/>
    <w:rsid w:val="00C77891"/>
    <w:rsid w:val="00C77B74"/>
    <w:rsid w:val="00C82062"/>
    <w:rsid w:val="00C829A9"/>
    <w:rsid w:val="00C87B80"/>
    <w:rsid w:val="00C90330"/>
    <w:rsid w:val="00C91449"/>
    <w:rsid w:val="00C92D10"/>
    <w:rsid w:val="00C92F79"/>
    <w:rsid w:val="00C95200"/>
    <w:rsid w:val="00C95444"/>
    <w:rsid w:val="00C969A4"/>
    <w:rsid w:val="00C96EC0"/>
    <w:rsid w:val="00CA06F9"/>
    <w:rsid w:val="00CA14BB"/>
    <w:rsid w:val="00CA230C"/>
    <w:rsid w:val="00CA48D9"/>
    <w:rsid w:val="00CA5403"/>
    <w:rsid w:val="00CB1193"/>
    <w:rsid w:val="00CB12B7"/>
    <w:rsid w:val="00CB4767"/>
    <w:rsid w:val="00CB493D"/>
    <w:rsid w:val="00CB57E8"/>
    <w:rsid w:val="00CC3B97"/>
    <w:rsid w:val="00CD6257"/>
    <w:rsid w:val="00CD75FA"/>
    <w:rsid w:val="00CD7C0B"/>
    <w:rsid w:val="00CE10C4"/>
    <w:rsid w:val="00CE2343"/>
    <w:rsid w:val="00CE27B5"/>
    <w:rsid w:val="00CE2BDF"/>
    <w:rsid w:val="00CE6D24"/>
    <w:rsid w:val="00CE6DAF"/>
    <w:rsid w:val="00CE76A5"/>
    <w:rsid w:val="00CF410A"/>
    <w:rsid w:val="00CF7528"/>
    <w:rsid w:val="00CF7FDE"/>
    <w:rsid w:val="00D012AF"/>
    <w:rsid w:val="00D0321E"/>
    <w:rsid w:val="00D05457"/>
    <w:rsid w:val="00D069EB"/>
    <w:rsid w:val="00D073C6"/>
    <w:rsid w:val="00D07A8A"/>
    <w:rsid w:val="00D10E31"/>
    <w:rsid w:val="00D10EEF"/>
    <w:rsid w:val="00D11199"/>
    <w:rsid w:val="00D126EE"/>
    <w:rsid w:val="00D1455A"/>
    <w:rsid w:val="00D14573"/>
    <w:rsid w:val="00D14A70"/>
    <w:rsid w:val="00D207EA"/>
    <w:rsid w:val="00D211FB"/>
    <w:rsid w:val="00D22093"/>
    <w:rsid w:val="00D31150"/>
    <w:rsid w:val="00D3138B"/>
    <w:rsid w:val="00D31FCE"/>
    <w:rsid w:val="00D3280C"/>
    <w:rsid w:val="00D3406A"/>
    <w:rsid w:val="00D34D24"/>
    <w:rsid w:val="00D40B11"/>
    <w:rsid w:val="00D42864"/>
    <w:rsid w:val="00D429EC"/>
    <w:rsid w:val="00D435AB"/>
    <w:rsid w:val="00D441F1"/>
    <w:rsid w:val="00D4572C"/>
    <w:rsid w:val="00D469B2"/>
    <w:rsid w:val="00D50DC7"/>
    <w:rsid w:val="00D52B24"/>
    <w:rsid w:val="00D52EAA"/>
    <w:rsid w:val="00D52ECF"/>
    <w:rsid w:val="00D54B09"/>
    <w:rsid w:val="00D567EF"/>
    <w:rsid w:val="00D6243E"/>
    <w:rsid w:val="00D65658"/>
    <w:rsid w:val="00D67EB2"/>
    <w:rsid w:val="00D70349"/>
    <w:rsid w:val="00D72B6F"/>
    <w:rsid w:val="00D741EB"/>
    <w:rsid w:val="00D74CEA"/>
    <w:rsid w:val="00D7679C"/>
    <w:rsid w:val="00D77C5A"/>
    <w:rsid w:val="00D817A9"/>
    <w:rsid w:val="00D820F3"/>
    <w:rsid w:val="00D83605"/>
    <w:rsid w:val="00D84934"/>
    <w:rsid w:val="00D866EB"/>
    <w:rsid w:val="00D87D1A"/>
    <w:rsid w:val="00D906DA"/>
    <w:rsid w:val="00D91271"/>
    <w:rsid w:val="00D919F5"/>
    <w:rsid w:val="00D945F6"/>
    <w:rsid w:val="00D94F03"/>
    <w:rsid w:val="00D950A1"/>
    <w:rsid w:val="00D95161"/>
    <w:rsid w:val="00D95C23"/>
    <w:rsid w:val="00DA0A82"/>
    <w:rsid w:val="00DA0D14"/>
    <w:rsid w:val="00DA1FC9"/>
    <w:rsid w:val="00DA2CB5"/>
    <w:rsid w:val="00DA358F"/>
    <w:rsid w:val="00DA383E"/>
    <w:rsid w:val="00DA4BAC"/>
    <w:rsid w:val="00DA722E"/>
    <w:rsid w:val="00DA792A"/>
    <w:rsid w:val="00DB0151"/>
    <w:rsid w:val="00DB0160"/>
    <w:rsid w:val="00DB04D7"/>
    <w:rsid w:val="00DB50E1"/>
    <w:rsid w:val="00DC0566"/>
    <w:rsid w:val="00DC05E1"/>
    <w:rsid w:val="00DC1499"/>
    <w:rsid w:val="00DC16CF"/>
    <w:rsid w:val="00DC19B5"/>
    <w:rsid w:val="00DC2C3E"/>
    <w:rsid w:val="00DC3137"/>
    <w:rsid w:val="00DC3A71"/>
    <w:rsid w:val="00DC4880"/>
    <w:rsid w:val="00DC5E90"/>
    <w:rsid w:val="00DD0BE9"/>
    <w:rsid w:val="00DD26F9"/>
    <w:rsid w:val="00DD2AD3"/>
    <w:rsid w:val="00DD350E"/>
    <w:rsid w:val="00DD42AB"/>
    <w:rsid w:val="00DE06AF"/>
    <w:rsid w:val="00DE0A65"/>
    <w:rsid w:val="00DE6D27"/>
    <w:rsid w:val="00DE76EA"/>
    <w:rsid w:val="00DF01F8"/>
    <w:rsid w:val="00DF021D"/>
    <w:rsid w:val="00DF14EE"/>
    <w:rsid w:val="00DF217D"/>
    <w:rsid w:val="00DF26A7"/>
    <w:rsid w:val="00DF3277"/>
    <w:rsid w:val="00DF6A31"/>
    <w:rsid w:val="00DF77A1"/>
    <w:rsid w:val="00DF7919"/>
    <w:rsid w:val="00E0207E"/>
    <w:rsid w:val="00E02AE6"/>
    <w:rsid w:val="00E02E68"/>
    <w:rsid w:val="00E03912"/>
    <w:rsid w:val="00E04748"/>
    <w:rsid w:val="00E060AF"/>
    <w:rsid w:val="00E078D9"/>
    <w:rsid w:val="00E10293"/>
    <w:rsid w:val="00E103A0"/>
    <w:rsid w:val="00E1043F"/>
    <w:rsid w:val="00E11F44"/>
    <w:rsid w:val="00E13E60"/>
    <w:rsid w:val="00E15627"/>
    <w:rsid w:val="00E164B3"/>
    <w:rsid w:val="00E16910"/>
    <w:rsid w:val="00E21164"/>
    <w:rsid w:val="00E239E2"/>
    <w:rsid w:val="00E24E09"/>
    <w:rsid w:val="00E25B84"/>
    <w:rsid w:val="00E27234"/>
    <w:rsid w:val="00E3495C"/>
    <w:rsid w:val="00E42BDB"/>
    <w:rsid w:val="00E524A9"/>
    <w:rsid w:val="00E53A79"/>
    <w:rsid w:val="00E53F1A"/>
    <w:rsid w:val="00E5726D"/>
    <w:rsid w:val="00E57EEB"/>
    <w:rsid w:val="00E62D94"/>
    <w:rsid w:val="00E62ECC"/>
    <w:rsid w:val="00E64F37"/>
    <w:rsid w:val="00E65091"/>
    <w:rsid w:val="00E65393"/>
    <w:rsid w:val="00E65E54"/>
    <w:rsid w:val="00E661C7"/>
    <w:rsid w:val="00E66679"/>
    <w:rsid w:val="00E732C4"/>
    <w:rsid w:val="00E74E41"/>
    <w:rsid w:val="00E80155"/>
    <w:rsid w:val="00E8134B"/>
    <w:rsid w:val="00E81E0D"/>
    <w:rsid w:val="00E81F28"/>
    <w:rsid w:val="00E82BD0"/>
    <w:rsid w:val="00E848C0"/>
    <w:rsid w:val="00E84BB8"/>
    <w:rsid w:val="00E86F92"/>
    <w:rsid w:val="00E87762"/>
    <w:rsid w:val="00E879D3"/>
    <w:rsid w:val="00E91B96"/>
    <w:rsid w:val="00E92F2E"/>
    <w:rsid w:val="00E935DA"/>
    <w:rsid w:val="00E93D1E"/>
    <w:rsid w:val="00E941A1"/>
    <w:rsid w:val="00E95CE3"/>
    <w:rsid w:val="00E95F9A"/>
    <w:rsid w:val="00EA0856"/>
    <w:rsid w:val="00EA1DC4"/>
    <w:rsid w:val="00EA252F"/>
    <w:rsid w:val="00EA2825"/>
    <w:rsid w:val="00EA372D"/>
    <w:rsid w:val="00EA37E4"/>
    <w:rsid w:val="00EA5027"/>
    <w:rsid w:val="00EA64C2"/>
    <w:rsid w:val="00EA6518"/>
    <w:rsid w:val="00EA71A2"/>
    <w:rsid w:val="00EA7466"/>
    <w:rsid w:val="00EA7EDE"/>
    <w:rsid w:val="00EB0B63"/>
    <w:rsid w:val="00EB1936"/>
    <w:rsid w:val="00EB3545"/>
    <w:rsid w:val="00EB37BE"/>
    <w:rsid w:val="00EB4BAE"/>
    <w:rsid w:val="00EB5088"/>
    <w:rsid w:val="00EB7210"/>
    <w:rsid w:val="00EC2726"/>
    <w:rsid w:val="00EC681C"/>
    <w:rsid w:val="00EC6C8C"/>
    <w:rsid w:val="00EC7B87"/>
    <w:rsid w:val="00ED1644"/>
    <w:rsid w:val="00ED2593"/>
    <w:rsid w:val="00ED3709"/>
    <w:rsid w:val="00ED7D55"/>
    <w:rsid w:val="00ED7D9C"/>
    <w:rsid w:val="00EE00A7"/>
    <w:rsid w:val="00EE14D4"/>
    <w:rsid w:val="00EE2F77"/>
    <w:rsid w:val="00EE3158"/>
    <w:rsid w:val="00EE31A2"/>
    <w:rsid w:val="00EE4329"/>
    <w:rsid w:val="00EE6203"/>
    <w:rsid w:val="00EF0069"/>
    <w:rsid w:val="00EF3C52"/>
    <w:rsid w:val="00EF44A0"/>
    <w:rsid w:val="00EF4580"/>
    <w:rsid w:val="00EF4FED"/>
    <w:rsid w:val="00EF5F45"/>
    <w:rsid w:val="00EF6843"/>
    <w:rsid w:val="00EF6941"/>
    <w:rsid w:val="00EF6FB3"/>
    <w:rsid w:val="00F004F4"/>
    <w:rsid w:val="00F0068B"/>
    <w:rsid w:val="00F007C6"/>
    <w:rsid w:val="00F0172E"/>
    <w:rsid w:val="00F050BD"/>
    <w:rsid w:val="00F05657"/>
    <w:rsid w:val="00F05AB0"/>
    <w:rsid w:val="00F063AE"/>
    <w:rsid w:val="00F12C74"/>
    <w:rsid w:val="00F13214"/>
    <w:rsid w:val="00F1559A"/>
    <w:rsid w:val="00F17ED6"/>
    <w:rsid w:val="00F20676"/>
    <w:rsid w:val="00F209E2"/>
    <w:rsid w:val="00F2398F"/>
    <w:rsid w:val="00F25578"/>
    <w:rsid w:val="00F25729"/>
    <w:rsid w:val="00F258E5"/>
    <w:rsid w:val="00F25B9C"/>
    <w:rsid w:val="00F2675A"/>
    <w:rsid w:val="00F267D1"/>
    <w:rsid w:val="00F26CC6"/>
    <w:rsid w:val="00F300BC"/>
    <w:rsid w:val="00F305FA"/>
    <w:rsid w:val="00F3263C"/>
    <w:rsid w:val="00F3334E"/>
    <w:rsid w:val="00F34412"/>
    <w:rsid w:val="00F3573A"/>
    <w:rsid w:val="00F36CCB"/>
    <w:rsid w:val="00F374E5"/>
    <w:rsid w:val="00F37B93"/>
    <w:rsid w:val="00F37BAD"/>
    <w:rsid w:val="00F37ECA"/>
    <w:rsid w:val="00F40A1C"/>
    <w:rsid w:val="00F43AF2"/>
    <w:rsid w:val="00F44034"/>
    <w:rsid w:val="00F45216"/>
    <w:rsid w:val="00F5007E"/>
    <w:rsid w:val="00F508F6"/>
    <w:rsid w:val="00F50EC4"/>
    <w:rsid w:val="00F52232"/>
    <w:rsid w:val="00F527B1"/>
    <w:rsid w:val="00F52DC2"/>
    <w:rsid w:val="00F54AF9"/>
    <w:rsid w:val="00F550CF"/>
    <w:rsid w:val="00F553D2"/>
    <w:rsid w:val="00F56A2D"/>
    <w:rsid w:val="00F57A6D"/>
    <w:rsid w:val="00F6044B"/>
    <w:rsid w:val="00F626D5"/>
    <w:rsid w:val="00F62E14"/>
    <w:rsid w:val="00F62F19"/>
    <w:rsid w:val="00F638CC"/>
    <w:rsid w:val="00F64C9E"/>
    <w:rsid w:val="00F64CC1"/>
    <w:rsid w:val="00F67F74"/>
    <w:rsid w:val="00F70850"/>
    <w:rsid w:val="00F708B1"/>
    <w:rsid w:val="00F72317"/>
    <w:rsid w:val="00F73DC1"/>
    <w:rsid w:val="00F75BB8"/>
    <w:rsid w:val="00F77714"/>
    <w:rsid w:val="00F80475"/>
    <w:rsid w:val="00F80E6E"/>
    <w:rsid w:val="00F81390"/>
    <w:rsid w:val="00F81F7A"/>
    <w:rsid w:val="00F8247A"/>
    <w:rsid w:val="00F82E5C"/>
    <w:rsid w:val="00F83E86"/>
    <w:rsid w:val="00F83F58"/>
    <w:rsid w:val="00F85206"/>
    <w:rsid w:val="00F87C7A"/>
    <w:rsid w:val="00F87CEA"/>
    <w:rsid w:val="00F9265D"/>
    <w:rsid w:val="00F9629A"/>
    <w:rsid w:val="00F97EFC"/>
    <w:rsid w:val="00FA0B04"/>
    <w:rsid w:val="00FA0C7C"/>
    <w:rsid w:val="00FA1BDD"/>
    <w:rsid w:val="00FA2142"/>
    <w:rsid w:val="00FA305C"/>
    <w:rsid w:val="00FA462E"/>
    <w:rsid w:val="00FA4DD5"/>
    <w:rsid w:val="00FA5883"/>
    <w:rsid w:val="00FA6055"/>
    <w:rsid w:val="00FA6BD1"/>
    <w:rsid w:val="00FB0B39"/>
    <w:rsid w:val="00FB322F"/>
    <w:rsid w:val="00FB442F"/>
    <w:rsid w:val="00FB5AFD"/>
    <w:rsid w:val="00FB68EB"/>
    <w:rsid w:val="00FC118C"/>
    <w:rsid w:val="00FC1929"/>
    <w:rsid w:val="00FC5B46"/>
    <w:rsid w:val="00FD1D4F"/>
    <w:rsid w:val="00FD24BF"/>
    <w:rsid w:val="00FD3B6E"/>
    <w:rsid w:val="00FD4140"/>
    <w:rsid w:val="00FD57EB"/>
    <w:rsid w:val="00FD6D8E"/>
    <w:rsid w:val="00FD717D"/>
    <w:rsid w:val="00FE0663"/>
    <w:rsid w:val="00FE0E94"/>
    <w:rsid w:val="00FE2E74"/>
    <w:rsid w:val="00FE369C"/>
    <w:rsid w:val="00FE3CD9"/>
    <w:rsid w:val="00FF00BD"/>
    <w:rsid w:val="00FF067C"/>
    <w:rsid w:val="00FF0B13"/>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55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Bullet Point,Bulletr List Paragraph,Content descriptions,FooterText,List Bullet 1,List Paragraph2"/>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 Char,Bullet Point Char,Content descriptions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063AE"/>
    <w:pPr>
      <w:numPr>
        <w:numId w:val="28"/>
      </w:numPr>
      <w:ind w:hanging="357"/>
      <w:jc w:val="both"/>
    </w:p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table" w:customStyle="1" w:styleId="Submissionstandard1">
    <w:name w:val="Submission standard1"/>
    <w:basedOn w:val="TableNormal"/>
    <w:uiPriority w:val="99"/>
    <w:qFormat/>
    <w:rsid w:val="00D567EF"/>
    <w:rPr>
      <w:rFonts w:ascii="Arial Narrow" w:eastAsiaTheme="majorEastAsia" w:hAnsi="Arial Narrow" w:cstheme="majorBidi"/>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Rounded MT Bold" w:hAnsi="Arial Rounded MT Bold" w:hint="default"/>
        <w:b/>
        <w:sz w:val="20"/>
        <w:szCs w:val="20"/>
      </w:rPr>
      <w:tblPr/>
      <w:tcPr>
        <w:shd w:val="clear" w:color="auto" w:fill="BFBFBF" w:themeFill="background1" w:themeFillShade="BF"/>
      </w:tcPr>
    </w:tblStylePr>
  </w:style>
  <w:style w:type="paragraph" w:styleId="NormalWeb">
    <w:name w:val="Normal (Web)"/>
    <w:basedOn w:val="Normal"/>
    <w:uiPriority w:val="99"/>
    <w:semiHidden/>
    <w:unhideWhenUsed/>
    <w:rsid w:val="00BB364B"/>
    <w:pPr>
      <w:spacing w:before="100" w:beforeAutospacing="1" w:after="100" w:afterAutospacing="1"/>
      <w:jc w:val="left"/>
    </w:pPr>
    <w:rPr>
      <w:rFonts w:ascii="Times New Roman" w:hAnsi="Times New Roman"/>
    </w:rPr>
  </w:style>
  <w:style w:type="paragraph" w:customStyle="1" w:styleId="3-SubsectionHeading">
    <w:name w:val="3-Subsection Heading"/>
    <w:basedOn w:val="Heading2"/>
    <w:next w:val="Normal"/>
    <w:link w:val="3-SubsectionHeadingChar"/>
    <w:qFormat/>
    <w:rsid w:val="00FD717D"/>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FD717D"/>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50388349">
      <w:bodyDiv w:val="1"/>
      <w:marLeft w:val="0"/>
      <w:marRight w:val="0"/>
      <w:marTop w:val="0"/>
      <w:marBottom w:val="0"/>
      <w:divBdr>
        <w:top w:val="none" w:sz="0" w:space="0" w:color="auto"/>
        <w:left w:val="none" w:sz="0" w:space="0" w:color="auto"/>
        <w:bottom w:val="none" w:sz="0" w:space="0" w:color="auto"/>
        <w:right w:val="none" w:sz="0" w:space="0" w:color="auto"/>
      </w:divBdr>
    </w:div>
    <w:div w:id="72826855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77799452">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8768476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3627964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gov.au/info/general/biosimila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bs.gov.au/info/general/biosimilar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3572</Words>
  <Characters>19166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2023-10-20T05:15:00Z</dcterms:created>
  <dcterms:modified xsi:type="dcterms:W3CDTF">2023-10-20T05:16:00Z</dcterms:modified>
</cp:coreProperties>
</file>