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39391196" w:rsidR="00B60939" w:rsidRPr="00392B10" w:rsidRDefault="004D7829" w:rsidP="00D63AB7">
      <w:pPr>
        <w:pStyle w:val="COMH1-non-numbered"/>
        <w:rPr>
          <w:sz w:val="36"/>
        </w:rPr>
      </w:pPr>
      <w:bookmarkStart w:id="0" w:name="_Toc135056592"/>
      <w:r w:rsidRPr="00392B10">
        <w:rPr>
          <w:sz w:val="36"/>
        </w:rPr>
        <w:t>5</w:t>
      </w:r>
      <w:r w:rsidR="00433044" w:rsidRPr="00392B10">
        <w:rPr>
          <w:sz w:val="36"/>
        </w:rPr>
        <w:t>.</w:t>
      </w:r>
      <w:r w:rsidRPr="00392B10">
        <w:rPr>
          <w:sz w:val="36"/>
        </w:rPr>
        <w:t>05</w:t>
      </w:r>
      <w:r w:rsidR="00163F66" w:rsidRPr="00392B10">
        <w:rPr>
          <w:sz w:val="36"/>
        </w:rPr>
        <w:tab/>
      </w:r>
      <w:r w:rsidR="008727A3" w:rsidRPr="00392B10">
        <w:rPr>
          <w:sz w:val="36"/>
        </w:rPr>
        <w:t>DAUNORUBICIN WITH CYTARABINE</w:t>
      </w:r>
      <w:r w:rsidR="00163F66" w:rsidRPr="00392B10">
        <w:rPr>
          <w:sz w:val="36"/>
        </w:rPr>
        <w:t>,</w:t>
      </w:r>
      <w:r w:rsidR="00163F66" w:rsidRPr="00392B10">
        <w:rPr>
          <w:sz w:val="36"/>
        </w:rPr>
        <w:br/>
      </w:r>
      <w:r w:rsidR="00D5706E" w:rsidRPr="00392B10">
        <w:rPr>
          <w:sz w:val="36"/>
        </w:rPr>
        <w:t>P</w:t>
      </w:r>
      <w:r w:rsidR="008727A3" w:rsidRPr="00392B10">
        <w:rPr>
          <w:sz w:val="36"/>
        </w:rPr>
        <w:t>owder for I.V. infusion</w:t>
      </w:r>
      <w:r w:rsidR="00FB7980" w:rsidRPr="00392B10">
        <w:rPr>
          <w:sz w:val="36"/>
        </w:rPr>
        <w:t xml:space="preserve"> containing d</w:t>
      </w:r>
      <w:r w:rsidR="008727A3" w:rsidRPr="00392B10">
        <w:rPr>
          <w:sz w:val="36"/>
        </w:rPr>
        <w:t>aunorubicin 44</w:t>
      </w:r>
      <w:r w:rsidR="00591AC0">
        <w:rPr>
          <w:sz w:val="36"/>
        </w:rPr>
        <w:t> </w:t>
      </w:r>
      <w:r w:rsidR="008727A3" w:rsidRPr="00392B10">
        <w:rPr>
          <w:sz w:val="36"/>
        </w:rPr>
        <w:t>mg and cytarabine 100 mg</w:t>
      </w:r>
      <w:r w:rsidR="00163F66" w:rsidRPr="00392B10">
        <w:rPr>
          <w:sz w:val="36"/>
        </w:rPr>
        <w:t>,</w:t>
      </w:r>
      <w:r w:rsidR="00D63AB7" w:rsidRPr="00392B10">
        <w:rPr>
          <w:sz w:val="36"/>
        </w:rPr>
        <w:br/>
      </w:r>
      <w:r w:rsidR="008727A3" w:rsidRPr="00392B10">
        <w:rPr>
          <w:sz w:val="36"/>
        </w:rPr>
        <w:t>Vyxeo</w:t>
      </w:r>
      <w:r w:rsidR="00587FF4" w:rsidRPr="00392B10">
        <w:rPr>
          <w:sz w:val="36"/>
        </w:rPr>
        <w:t>s</w:t>
      </w:r>
      <w:r w:rsidR="00B60939" w:rsidRPr="00392B10">
        <w:rPr>
          <w:sz w:val="36"/>
          <w:vertAlign w:val="superscript"/>
        </w:rPr>
        <w:t>®</w:t>
      </w:r>
      <w:r w:rsidR="004A6040" w:rsidRPr="00392B10">
        <w:rPr>
          <w:sz w:val="36"/>
        </w:rPr>
        <w:t>,</w:t>
      </w:r>
      <w:r w:rsidR="004A6040" w:rsidRPr="00392B10">
        <w:rPr>
          <w:sz w:val="36"/>
        </w:rPr>
        <w:br/>
      </w:r>
      <w:r w:rsidR="00587FF4" w:rsidRPr="00392B10">
        <w:rPr>
          <w:sz w:val="36"/>
        </w:rPr>
        <w:t>Jazz Pharmaceuticals ANZ Pty Ltd</w:t>
      </w:r>
      <w:r w:rsidR="00B60939" w:rsidRPr="00392B10">
        <w:rPr>
          <w:sz w:val="36"/>
        </w:rPr>
        <w:t>.</w:t>
      </w:r>
      <w:bookmarkEnd w:id="0"/>
    </w:p>
    <w:p w14:paraId="6B97B8F3" w14:textId="110BD85A" w:rsidR="00195452" w:rsidRPr="00392B10" w:rsidRDefault="00587FF4" w:rsidP="00195452">
      <w:pPr>
        <w:spacing w:before="160" w:after="160"/>
        <w:jc w:val="left"/>
        <w:rPr>
          <w:rFonts w:asciiTheme="minorHAnsi" w:hAnsiTheme="minorHAnsi"/>
          <w:b/>
          <w:sz w:val="28"/>
          <w:szCs w:val="28"/>
        </w:rPr>
      </w:pPr>
      <w:bookmarkStart w:id="1" w:name="_Toc22897637"/>
      <w:r w:rsidRPr="00392B10">
        <w:rPr>
          <w:rFonts w:asciiTheme="minorHAnsi" w:hAnsiTheme="minorHAnsi"/>
          <w:b/>
          <w:sz w:val="28"/>
          <w:szCs w:val="28"/>
        </w:rPr>
        <w:t>ACUTE MYELOID LEUKAEMIA</w:t>
      </w:r>
    </w:p>
    <w:p w14:paraId="11C00795" w14:textId="3DFB6D23" w:rsidR="00B50DB8" w:rsidRPr="00392B10" w:rsidRDefault="00B50DB8" w:rsidP="004A6040">
      <w:pPr>
        <w:pStyle w:val="COMH1numbered"/>
      </w:pPr>
      <w:bookmarkStart w:id="2" w:name="_Toc135056594"/>
      <w:bookmarkEnd w:id="1"/>
      <w:r w:rsidRPr="00392B10">
        <w:t xml:space="preserve">Purpose of </w:t>
      </w:r>
      <w:r w:rsidR="00CD7193" w:rsidRPr="00392B10">
        <w:t>s</w:t>
      </w:r>
      <w:r w:rsidR="00BB3A45" w:rsidRPr="00392B10">
        <w:t>ubmission</w:t>
      </w:r>
      <w:bookmarkEnd w:id="2"/>
    </w:p>
    <w:p w14:paraId="19414AA1" w14:textId="68D1AEB5" w:rsidR="002C2775" w:rsidRPr="00392B10" w:rsidRDefault="007170DA" w:rsidP="004E18E9">
      <w:pPr>
        <w:pStyle w:val="COMexecsumnumberedpara"/>
      </w:pPr>
      <w:r w:rsidRPr="00392B10">
        <w:t xml:space="preserve">The </w:t>
      </w:r>
      <w:r w:rsidR="00F73E08" w:rsidRPr="00392B10">
        <w:t xml:space="preserve">Category </w:t>
      </w:r>
      <w:r w:rsidR="00EB4E1E" w:rsidRPr="00392B10">
        <w:t>1</w:t>
      </w:r>
      <w:r w:rsidR="00F73E08" w:rsidRPr="00392B10">
        <w:t xml:space="preserve"> </w:t>
      </w:r>
      <w:r w:rsidRPr="00392B10">
        <w:t xml:space="preserve">submission requested </w:t>
      </w:r>
      <w:r w:rsidR="00B81942" w:rsidRPr="00392B10">
        <w:t xml:space="preserve">a </w:t>
      </w:r>
      <w:r w:rsidR="008B1757" w:rsidRPr="00392B10">
        <w:t>Section 10</w:t>
      </w:r>
      <w:r w:rsidR="00B81942" w:rsidRPr="00392B10">
        <w:t>0 (</w:t>
      </w:r>
      <w:r w:rsidR="00561C03" w:rsidRPr="00392B10">
        <w:t xml:space="preserve">Efficient Funding of Chemotherapy Program) </w:t>
      </w:r>
      <w:r w:rsidR="008B1757" w:rsidRPr="00392B10">
        <w:t xml:space="preserve">listing for </w:t>
      </w:r>
      <w:r w:rsidR="004E189C" w:rsidRPr="00392B10">
        <w:t>liposomal daunorubicin and cytarabine</w:t>
      </w:r>
      <w:r w:rsidR="008B1757" w:rsidRPr="00392B10">
        <w:t xml:space="preserve"> for </w:t>
      </w:r>
      <w:r w:rsidR="0050174E" w:rsidRPr="00392B10">
        <w:t xml:space="preserve">the </w:t>
      </w:r>
      <w:r w:rsidR="008B1757" w:rsidRPr="00392B10">
        <w:t xml:space="preserve">treatment of </w:t>
      </w:r>
      <w:r w:rsidR="00866D06" w:rsidRPr="00392B10">
        <w:t xml:space="preserve">therapy-related acute myeloid leukaemia (t-AML) or acute myeloid leukaemia with myelodysplasia-related changes (AML-MRC). </w:t>
      </w:r>
    </w:p>
    <w:p w14:paraId="4E9FBCB5" w14:textId="24BBE742" w:rsidR="00C2778B" w:rsidRPr="00392B10" w:rsidRDefault="005750C5" w:rsidP="004E18E9">
      <w:pPr>
        <w:pStyle w:val="COMexecsumnumberedpara"/>
      </w:pPr>
      <w:r w:rsidRPr="00392B10">
        <w:t xml:space="preserve">Listing was requested on the basis of a cost-effectiveness analysis versus </w:t>
      </w:r>
      <w:r w:rsidR="00C16FD8" w:rsidRPr="00392B10">
        <w:t>idarubicin and cytarabine</w:t>
      </w:r>
      <w:r w:rsidR="00392B10">
        <w:t xml:space="preserve">. </w:t>
      </w:r>
    </w:p>
    <w:p w14:paraId="3718DE61" w14:textId="599D4C80" w:rsidR="008B1757" w:rsidRPr="00392B10" w:rsidRDefault="00696EF9" w:rsidP="005F783B">
      <w:pPr>
        <w:pStyle w:val="COMtablefigcaption"/>
      </w:pPr>
      <w:r w:rsidRPr="00392B10">
        <w:t xml:space="preserve">Table </w:t>
      </w:r>
      <w:r w:rsidR="00795A1F">
        <w:fldChar w:fldCharType="begin" w:fldLock="1"/>
      </w:r>
      <w:r w:rsidR="00795A1F">
        <w:instrText xml:space="preserve"> SEQ Table \* ARABIC </w:instrText>
      </w:r>
      <w:r w:rsidR="00795A1F">
        <w:fldChar w:fldCharType="separate"/>
      </w:r>
      <w:r w:rsidR="00C24535" w:rsidRPr="000366BF">
        <w:t>1</w:t>
      </w:r>
      <w:r w:rsidR="00795A1F">
        <w:fldChar w:fldCharType="end"/>
      </w:r>
      <w:r w:rsidRPr="00392B10">
        <w:t>:</w:t>
      </w:r>
      <w:r w:rsidR="00BC591F" w:rsidRPr="00392B10">
        <w:t xml:space="preserve"> </w:t>
      </w:r>
      <w:r w:rsidR="008B1757" w:rsidRPr="00392B10">
        <w:t xml:space="preserve">Key components of the clinical issue addressed </w:t>
      </w:r>
      <w:r w:rsidR="00871C44" w:rsidRPr="00392B10">
        <w:t xml:space="preserve">in </w:t>
      </w:r>
      <w:r w:rsidR="008B1757" w:rsidRPr="00392B10">
        <w:t xml:space="preserve">the </w:t>
      </w:r>
      <w:proofErr w:type="gramStart"/>
      <w:r w:rsidR="008B1757" w:rsidRPr="00392B10">
        <w:t>submission</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7702"/>
      </w:tblGrid>
      <w:tr w:rsidR="008B1757" w:rsidRPr="00392B10" w14:paraId="569F5103" w14:textId="77777777" w:rsidTr="002B0CC3">
        <w:trPr>
          <w:cantSplit/>
          <w:tblHeader/>
        </w:trPr>
        <w:tc>
          <w:tcPr>
            <w:tcW w:w="729" w:type="pct"/>
            <w:shd w:val="clear" w:color="auto" w:fill="auto"/>
          </w:tcPr>
          <w:p w14:paraId="501803FB" w14:textId="77777777" w:rsidR="008B1757" w:rsidRPr="00392B10" w:rsidRDefault="008B1757" w:rsidP="004A6040">
            <w:pPr>
              <w:pStyle w:val="COMTableheadingrow"/>
              <w:rPr>
                <w:szCs w:val="20"/>
                <w:lang w:val="en-AU"/>
              </w:rPr>
            </w:pPr>
            <w:r w:rsidRPr="00392B10">
              <w:rPr>
                <w:lang w:val="en-AU"/>
              </w:rPr>
              <w:t>Component</w:t>
            </w:r>
          </w:p>
        </w:tc>
        <w:tc>
          <w:tcPr>
            <w:tcW w:w="4271" w:type="pct"/>
            <w:shd w:val="clear" w:color="auto" w:fill="auto"/>
          </w:tcPr>
          <w:p w14:paraId="445D9EBB" w14:textId="77777777" w:rsidR="008B1757" w:rsidRPr="00392B10" w:rsidRDefault="008B1757" w:rsidP="004A6040">
            <w:pPr>
              <w:pStyle w:val="COMTableheadingrow"/>
              <w:rPr>
                <w:lang w:val="en-AU"/>
              </w:rPr>
            </w:pPr>
            <w:r w:rsidRPr="00392B10">
              <w:rPr>
                <w:lang w:val="en-AU"/>
              </w:rPr>
              <w:t>Description</w:t>
            </w:r>
          </w:p>
        </w:tc>
      </w:tr>
      <w:tr w:rsidR="00871C44" w:rsidRPr="00392B10" w14:paraId="2EB546E2" w14:textId="77777777" w:rsidTr="002B0CC3">
        <w:trPr>
          <w:cantSplit/>
        </w:trPr>
        <w:tc>
          <w:tcPr>
            <w:tcW w:w="729" w:type="pct"/>
            <w:shd w:val="clear" w:color="auto" w:fill="auto"/>
            <w:vAlign w:val="center"/>
          </w:tcPr>
          <w:p w14:paraId="38F3BB34" w14:textId="4E4AB1A3" w:rsidR="00871C44" w:rsidRPr="00392B10" w:rsidRDefault="00871C44" w:rsidP="00871C44">
            <w:pPr>
              <w:pStyle w:val="COMTabletext"/>
            </w:pPr>
            <w:r w:rsidRPr="00392B10">
              <w:t>Population</w:t>
            </w:r>
          </w:p>
        </w:tc>
        <w:tc>
          <w:tcPr>
            <w:tcW w:w="4271" w:type="pct"/>
            <w:shd w:val="clear" w:color="auto" w:fill="auto"/>
            <w:vAlign w:val="center"/>
          </w:tcPr>
          <w:p w14:paraId="79618EEE" w14:textId="228D8705" w:rsidR="00871C44" w:rsidRPr="00392B10" w:rsidRDefault="00871C44" w:rsidP="00871C44">
            <w:pPr>
              <w:pStyle w:val="COMTabletext"/>
              <w:rPr>
                <w:szCs w:val="20"/>
              </w:rPr>
            </w:pPr>
            <w:r w:rsidRPr="00392B10">
              <w:t>Adults with newly diagnosed therapy-related acute myeloid leukaemia or acute myeloid leukaemia with myelodysplasia-related changes.</w:t>
            </w:r>
          </w:p>
        </w:tc>
      </w:tr>
      <w:tr w:rsidR="001E41E3" w:rsidRPr="00392B10" w14:paraId="0CA523AF" w14:textId="77777777" w:rsidTr="002B0CC3">
        <w:trPr>
          <w:cantSplit/>
        </w:trPr>
        <w:tc>
          <w:tcPr>
            <w:tcW w:w="729" w:type="pct"/>
            <w:shd w:val="clear" w:color="auto" w:fill="auto"/>
            <w:vAlign w:val="center"/>
          </w:tcPr>
          <w:p w14:paraId="7B6D20D8" w14:textId="2A818543" w:rsidR="001E41E3" w:rsidRPr="00392B10" w:rsidRDefault="001E41E3" w:rsidP="001E41E3">
            <w:pPr>
              <w:pStyle w:val="COMTabletext"/>
            </w:pPr>
            <w:r w:rsidRPr="00392B10">
              <w:t>Intervention</w:t>
            </w:r>
          </w:p>
        </w:tc>
        <w:tc>
          <w:tcPr>
            <w:tcW w:w="4271" w:type="pct"/>
            <w:shd w:val="clear" w:color="auto" w:fill="auto"/>
            <w:vAlign w:val="center"/>
          </w:tcPr>
          <w:p w14:paraId="538E6380" w14:textId="77777777" w:rsidR="001E41E3" w:rsidRPr="00392B10" w:rsidRDefault="001E41E3" w:rsidP="001E41E3">
            <w:pPr>
              <w:pStyle w:val="COMTabletext"/>
            </w:pPr>
            <w:r w:rsidRPr="00392B10">
              <w:t>First induction: liposomal daunorubicin 44 mg/m</w:t>
            </w:r>
            <w:r w:rsidRPr="00392B10">
              <w:rPr>
                <w:vertAlign w:val="superscript"/>
              </w:rPr>
              <w:t>2</w:t>
            </w:r>
            <w:r w:rsidRPr="00392B10">
              <w:t xml:space="preserve"> and cytarabine 100 mg/m</w:t>
            </w:r>
            <w:r w:rsidRPr="00392B10">
              <w:rPr>
                <w:vertAlign w:val="superscript"/>
              </w:rPr>
              <w:t>2</w:t>
            </w:r>
            <w:r w:rsidRPr="00392B10">
              <w:t xml:space="preserve"> via intravenous infusion on Days 1, 3 and 5.</w:t>
            </w:r>
          </w:p>
          <w:p w14:paraId="188C1033" w14:textId="77777777" w:rsidR="001E41E3" w:rsidRPr="00392B10" w:rsidRDefault="001E41E3" w:rsidP="001E41E3">
            <w:pPr>
              <w:pStyle w:val="COMTabletext"/>
            </w:pPr>
            <w:r w:rsidRPr="00392B10">
              <w:t>Second induction, as required: liposomal daunorubicin 44 mg/m</w:t>
            </w:r>
            <w:r w:rsidRPr="00392B10">
              <w:rPr>
                <w:vertAlign w:val="superscript"/>
              </w:rPr>
              <w:t>2</w:t>
            </w:r>
            <w:r w:rsidRPr="00392B10">
              <w:t xml:space="preserve"> and cytarabine 100 mg/m</w:t>
            </w:r>
            <w:r w:rsidRPr="00392B10">
              <w:rPr>
                <w:vertAlign w:val="superscript"/>
              </w:rPr>
              <w:t>2</w:t>
            </w:r>
            <w:r w:rsidRPr="00392B10">
              <w:t xml:space="preserve"> via intravenous infusion on Days 1 and 3.</w:t>
            </w:r>
          </w:p>
          <w:p w14:paraId="2491E905" w14:textId="5056412E" w:rsidR="001E41E3" w:rsidRPr="00392B10" w:rsidRDefault="001E41E3" w:rsidP="001E41E3">
            <w:pPr>
              <w:pStyle w:val="COMTabletext"/>
            </w:pPr>
            <w:r w:rsidRPr="00392B10">
              <w:t>Up to 2 consolidation cycles, as required: liposomal daunorubicin 29 mg/m</w:t>
            </w:r>
            <w:r w:rsidRPr="00392B10">
              <w:rPr>
                <w:vertAlign w:val="superscript"/>
              </w:rPr>
              <w:t>2</w:t>
            </w:r>
            <w:r w:rsidRPr="00392B10">
              <w:t xml:space="preserve"> and cytarabine 65 mg/m</w:t>
            </w:r>
            <w:r w:rsidRPr="00392B10">
              <w:rPr>
                <w:vertAlign w:val="superscript"/>
              </w:rPr>
              <w:t>2</w:t>
            </w:r>
            <w:r w:rsidRPr="00392B10">
              <w:t xml:space="preserve"> via intravenous infusion on Days 1 and 3.</w:t>
            </w:r>
          </w:p>
        </w:tc>
      </w:tr>
      <w:tr w:rsidR="001E41E3" w:rsidRPr="00392B10" w14:paraId="0F81EBE4" w14:textId="77777777" w:rsidTr="002B0CC3">
        <w:trPr>
          <w:cantSplit/>
        </w:trPr>
        <w:tc>
          <w:tcPr>
            <w:tcW w:w="729" w:type="pct"/>
            <w:shd w:val="clear" w:color="auto" w:fill="auto"/>
            <w:vAlign w:val="center"/>
          </w:tcPr>
          <w:p w14:paraId="3656B343" w14:textId="23E96DED" w:rsidR="001E41E3" w:rsidRPr="00392B10" w:rsidRDefault="001E41E3" w:rsidP="001E41E3">
            <w:pPr>
              <w:pStyle w:val="COMTabletext"/>
            </w:pPr>
            <w:r w:rsidRPr="00392B10">
              <w:t>Comparator</w:t>
            </w:r>
          </w:p>
        </w:tc>
        <w:tc>
          <w:tcPr>
            <w:tcW w:w="4271" w:type="pct"/>
            <w:shd w:val="clear" w:color="auto" w:fill="auto"/>
            <w:vAlign w:val="center"/>
          </w:tcPr>
          <w:p w14:paraId="1F2CADED" w14:textId="77777777" w:rsidR="001E41E3" w:rsidRPr="00392B10" w:rsidRDefault="001E41E3" w:rsidP="001E41E3">
            <w:pPr>
              <w:pStyle w:val="COMTabletext"/>
            </w:pPr>
            <w:r w:rsidRPr="00392B10">
              <w:t>First induction: idarubicin 12 mg/m</w:t>
            </w:r>
            <w:r w:rsidRPr="00392B10">
              <w:rPr>
                <w:vertAlign w:val="superscript"/>
              </w:rPr>
              <w:t>2</w:t>
            </w:r>
            <w:r w:rsidRPr="00392B10">
              <w:t xml:space="preserve"> via intravenous infusion on Days 1 to 3 + cytarabine 100 mg/m</w:t>
            </w:r>
            <w:r w:rsidRPr="00392B10">
              <w:rPr>
                <w:vertAlign w:val="superscript"/>
              </w:rPr>
              <w:t>2</w:t>
            </w:r>
            <w:r w:rsidRPr="00392B10">
              <w:t xml:space="preserve"> via continuous intravenous infusion on Days 1 to 7 (7+3 regimen). </w:t>
            </w:r>
          </w:p>
          <w:p w14:paraId="10190FC1" w14:textId="77777777" w:rsidR="001E41E3" w:rsidRPr="00392B10" w:rsidRDefault="001E41E3" w:rsidP="001E41E3">
            <w:pPr>
              <w:pStyle w:val="COMTabletext"/>
            </w:pPr>
            <w:r w:rsidRPr="00392B10">
              <w:t>Second induction, as required: idarubicin 12 mg/m</w:t>
            </w:r>
            <w:r w:rsidRPr="00392B10">
              <w:rPr>
                <w:vertAlign w:val="superscript"/>
              </w:rPr>
              <w:t>2</w:t>
            </w:r>
            <w:r w:rsidRPr="00392B10">
              <w:t xml:space="preserve"> on Days 1 and 2 + cytarabine 100 mg/m</w:t>
            </w:r>
            <w:r w:rsidRPr="00392B10">
              <w:rPr>
                <w:vertAlign w:val="superscript"/>
              </w:rPr>
              <w:t>2</w:t>
            </w:r>
            <w:r w:rsidRPr="00392B10">
              <w:t xml:space="preserve"> via on Days 1 to 5 (5+2 regimen).</w:t>
            </w:r>
          </w:p>
          <w:p w14:paraId="3727DE24" w14:textId="2C7E0A80" w:rsidR="001E41E3" w:rsidRPr="00392B10" w:rsidRDefault="001E41E3" w:rsidP="001E41E3">
            <w:pPr>
              <w:pStyle w:val="COMTabletext"/>
            </w:pPr>
            <w:r w:rsidRPr="00392B10">
              <w:t>Up to 2 consolidation cycles, as required: idarubicin 12 mg/m</w:t>
            </w:r>
            <w:r w:rsidRPr="00392B10">
              <w:rPr>
                <w:vertAlign w:val="superscript"/>
              </w:rPr>
              <w:t>2</w:t>
            </w:r>
            <w:r w:rsidRPr="00392B10">
              <w:t xml:space="preserve"> via intravenous infusion on Days 1 and 2 + cytarabine 100 mg/m</w:t>
            </w:r>
            <w:r w:rsidRPr="00392B10">
              <w:rPr>
                <w:vertAlign w:val="superscript"/>
              </w:rPr>
              <w:t>2</w:t>
            </w:r>
            <w:r w:rsidRPr="00392B10">
              <w:t xml:space="preserve"> via continuous intravenous infusion on Days 1 to 5 (5+2 regimen).</w:t>
            </w:r>
          </w:p>
        </w:tc>
      </w:tr>
      <w:tr w:rsidR="00871C44" w:rsidRPr="00392B10" w14:paraId="02F86F0D" w14:textId="77777777" w:rsidTr="002B0CC3">
        <w:trPr>
          <w:cantSplit/>
        </w:trPr>
        <w:tc>
          <w:tcPr>
            <w:tcW w:w="729" w:type="pct"/>
            <w:shd w:val="clear" w:color="auto" w:fill="auto"/>
            <w:vAlign w:val="center"/>
          </w:tcPr>
          <w:p w14:paraId="06433105" w14:textId="20961BF0" w:rsidR="00871C44" w:rsidRPr="00392B10" w:rsidRDefault="00871C44" w:rsidP="00871C44">
            <w:pPr>
              <w:pStyle w:val="COMTabletext"/>
            </w:pPr>
            <w:r w:rsidRPr="00392B10">
              <w:t>Outcomes</w:t>
            </w:r>
          </w:p>
        </w:tc>
        <w:tc>
          <w:tcPr>
            <w:tcW w:w="4271" w:type="pct"/>
            <w:shd w:val="clear" w:color="auto" w:fill="auto"/>
            <w:vAlign w:val="center"/>
          </w:tcPr>
          <w:p w14:paraId="5ABC4037" w14:textId="39BA808F" w:rsidR="00871C44" w:rsidRPr="00392B10" w:rsidRDefault="00871C44" w:rsidP="00871C44">
            <w:pPr>
              <w:pStyle w:val="COMTabletext"/>
              <w:rPr>
                <w:rFonts w:eastAsia="Times New Roman" w:cs="Arial"/>
                <w:bCs w:val="0"/>
                <w:snapToGrid w:val="0"/>
                <w:color w:val="0066FF"/>
                <w:szCs w:val="20"/>
              </w:rPr>
            </w:pPr>
            <w:r w:rsidRPr="00392B10">
              <w:t>Higher rates of complete remission, event-free survival and bridging to haematopoietic stem cell transplantation leading to improved overall survival</w:t>
            </w:r>
          </w:p>
        </w:tc>
      </w:tr>
      <w:tr w:rsidR="00871C44" w:rsidRPr="00392B10" w14:paraId="22223890" w14:textId="77777777" w:rsidTr="002B0CC3">
        <w:trPr>
          <w:cantSplit/>
        </w:trPr>
        <w:tc>
          <w:tcPr>
            <w:tcW w:w="729" w:type="pct"/>
            <w:shd w:val="clear" w:color="auto" w:fill="auto"/>
            <w:vAlign w:val="center"/>
          </w:tcPr>
          <w:p w14:paraId="0FC8FCE0" w14:textId="42E2B488" w:rsidR="00871C44" w:rsidRPr="00392B10" w:rsidRDefault="00871C44" w:rsidP="00871C44">
            <w:pPr>
              <w:pStyle w:val="COMTabletext"/>
            </w:pPr>
            <w:r w:rsidRPr="00392B10">
              <w:t>Clinical claim</w:t>
            </w:r>
          </w:p>
        </w:tc>
        <w:tc>
          <w:tcPr>
            <w:tcW w:w="4271" w:type="pct"/>
            <w:shd w:val="clear" w:color="auto" w:fill="auto"/>
            <w:vAlign w:val="center"/>
          </w:tcPr>
          <w:p w14:paraId="2C99C4DE" w14:textId="0E34A34B" w:rsidR="00871C44" w:rsidRPr="00392B10" w:rsidRDefault="00871C44" w:rsidP="00871C44">
            <w:pPr>
              <w:pStyle w:val="COMTabletext"/>
              <w:rPr>
                <w:rFonts w:eastAsia="Times New Roman" w:cs="Arial"/>
                <w:bCs w:val="0"/>
                <w:snapToGrid w:val="0"/>
                <w:color w:val="0066FF"/>
                <w:szCs w:val="20"/>
              </w:rPr>
            </w:pPr>
            <w:r w:rsidRPr="00392B10">
              <w:t>Liposomal daunorubicin + cytarabine is superior in terms of efficacy and non-inferior in terms of safety compared to idarubicin + cytarabine.</w:t>
            </w:r>
          </w:p>
        </w:tc>
      </w:tr>
    </w:tbl>
    <w:p w14:paraId="527CA7F0" w14:textId="47E3547D" w:rsidR="004E43B2" w:rsidRPr="00392B10" w:rsidRDefault="008B1757" w:rsidP="004A6040">
      <w:pPr>
        <w:pStyle w:val="COMTablefooter"/>
        <w:rPr>
          <w:sz w:val="20"/>
        </w:rPr>
      </w:pPr>
      <w:r w:rsidRPr="00392B10">
        <w:t xml:space="preserve">Source: </w:t>
      </w:r>
      <w:r w:rsidR="00563BD7" w:rsidRPr="00392B10">
        <w:t>Table 1-1, p4 of the submission</w:t>
      </w:r>
    </w:p>
    <w:p w14:paraId="6B4AB6C2" w14:textId="7F01D731" w:rsidR="005C25FF" w:rsidRPr="00392B10" w:rsidRDefault="005C25FF" w:rsidP="004A6040">
      <w:pPr>
        <w:pStyle w:val="COMH1numbered"/>
      </w:pPr>
      <w:bookmarkStart w:id="3" w:name="_Toc135056595"/>
      <w:r w:rsidRPr="00392B10">
        <w:t>Background</w:t>
      </w:r>
      <w:bookmarkEnd w:id="3"/>
    </w:p>
    <w:p w14:paraId="2C521D6D" w14:textId="78CF03EE" w:rsidR="005C25FF" w:rsidRPr="00392B10" w:rsidRDefault="005C25FF" w:rsidP="004A6040">
      <w:pPr>
        <w:pStyle w:val="COMH2-non-numbered"/>
      </w:pPr>
      <w:bookmarkStart w:id="4" w:name="_Toc22897638"/>
      <w:bookmarkStart w:id="5" w:name="_Toc135056596"/>
      <w:r w:rsidRPr="00392B10">
        <w:t>Registration status</w:t>
      </w:r>
      <w:bookmarkEnd w:id="4"/>
      <w:bookmarkEnd w:id="5"/>
    </w:p>
    <w:p w14:paraId="5687ECCD" w14:textId="04720FFF" w:rsidR="00BB424F" w:rsidRPr="00392B10" w:rsidRDefault="00BB424F" w:rsidP="00BB424F">
      <w:pPr>
        <w:pStyle w:val="COMexecsumnumberedpara"/>
      </w:pPr>
      <w:r w:rsidRPr="00392B10">
        <w:t>Liposomal daunorubicin and cytarabine was approved by the TGA on 3 June 2022 for the treatment of adults with newly diagnosed, therapy-related acute myeloid leukaemia (t AML) or AML with myelodysplasia-related changes (AML-MRC).</w:t>
      </w:r>
    </w:p>
    <w:p w14:paraId="26DC6009" w14:textId="0CCFA22A" w:rsidR="00BB424F" w:rsidRPr="00392B10" w:rsidRDefault="001E7F58" w:rsidP="00BB424F">
      <w:pPr>
        <w:pStyle w:val="COMexecsumnumberedpara"/>
      </w:pPr>
      <w:r w:rsidRPr="00392B10">
        <w:lastRenderedPageBreak/>
        <w:t xml:space="preserve">The sponsor initially proposed an additional indication for the treatment of paediatric and young patients aged 1 to 21 years old with relapsed or refractory </w:t>
      </w:r>
      <w:r w:rsidR="002B0CC3" w:rsidRPr="00392B10">
        <w:t>acute myeloid leukaemia (AML)</w:t>
      </w:r>
      <w:r w:rsidRPr="00392B10">
        <w:t>. However, the paediatric indication was withdrawn during the evaluation phase of the TGA application. Data relating to this indication were not considered by the TGA delegate.</w:t>
      </w:r>
    </w:p>
    <w:p w14:paraId="148CD0DE" w14:textId="3657C150" w:rsidR="001A0E96" w:rsidRPr="00392B10" w:rsidRDefault="001A0E96" w:rsidP="001A0E96">
      <w:pPr>
        <w:pStyle w:val="COMexecsumnumberedpara"/>
        <w:numPr>
          <w:ilvl w:val="0"/>
          <w:numId w:val="0"/>
        </w:numPr>
        <w:ind w:left="720"/>
        <w:rPr>
          <w:i/>
          <w:iCs/>
        </w:rPr>
      </w:pPr>
      <w:r w:rsidRPr="00392B10">
        <w:rPr>
          <w:i/>
          <w:iCs/>
        </w:rPr>
        <w:t>For more detail on PBAC’s view, see section 7 PBAC outcome.</w:t>
      </w:r>
    </w:p>
    <w:p w14:paraId="711DCC82" w14:textId="7BBA8A10" w:rsidR="00D30D5B" w:rsidRPr="00392B10" w:rsidRDefault="00B50DB8" w:rsidP="00E729DC">
      <w:pPr>
        <w:pStyle w:val="COMH1numbered"/>
      </w:pPr>
      <w:bookmarkStart w:id="6" w:name="_Toc107902078"/>
      <w:bookmarkStart w:id="7" w:name="_Toc135056597"/>
      <w:bookmarkEnd w:id="6"/>
      <w:r w:rsidRPr="00392B10">
        <w:t xml:space="preserve">Requested </w:t>
      </w:r>
      <w:proofErr w:type="gramStart"/>
      <w:r w:rsidRPr="00392B10">
        <w:t>listing</w:t>
      </w:r>
      <w:bookmarkEnd w:id="7"/>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3381"/>
        <w:gridCol w:w="1439"/>
        <w:gridCol w:w="1102"/>
      </w:tblGrid>
      <w:tr w:rsidR="00EA4A95" w:rsidRPr="00392B10" w14:paraId="7CBAAD93" w14:textId="77777777" w:rsidTr="00B77FB2">
        <w:trPr>
          <w:cantSplit/>
          <w:trHeight w:val="20"/>
        </w:trPr>
        <w:tc>
          <w:tcPr>
            <w:tcW w:w="1716" w:type="pct"/>
            <w:vAlign w:val="center"/>
          </w:tcPr>
          <w:p w14:paraId="74BE1814" w14:textId="77777777" w:rsidR="00EA4A95" w:rsidRPr="00392B10" w:rsidRDefault="00EA4A95" w:rsidP="00E75D09">
            <w:pPr>
              <w:pStyle w:val="COMTableheadingrow"/>
              <w:keepLines/>
              <w:rPr>
                <w:lang w:val="en-AU"/>
              </w:rPr>
            </w:pPr>
            <w:bookmarkStart w:id="8" w:name="_Hlk104809082"/>
            <w:r w:rsidRPr="00392B10">
              <w:rPr>
                <w:lang w:val="en-AU"/>
              </w:rPr>
              <w:t>MEDICINAL PRODUCT</w:t>
            </w:r>
          </w:p>
          <w:p w14:paraId="3BAEA004" w14:textId="77777777" w:rsidR="00EA4A95" w:rsidRPr="00392B10" w:rsidRDefault="00EA4A95" w:rsidP="00E75D09">
            <w:pPr>
              <w:pStyle w:val="COMTableheadingrow"/>
              <w:keepLines/>
              <w:rPr>
                <w:lang w:val="en-AU"/>
              </w:rPr>
            </w:pPr>
            <w:r w:rsidRPr="00392B10">
              <w:rPr>
                <w:lang w:val="en-AU"/>
              </w:rPr>
              <w:t>Form</w:t>
            </w:r>
          </w:p>
        </w:tc>
        <w:tc>
          <w:tcPr>
            <w:tcW w:w="1875" w:type="pct"/>
            <w:vAlign w:val="center"/>
          </w:tcPr>
          <w:p w14:paraId="353D90E5" w14:textId="77777777" w:rsidR="00EA4A95" w:rsidRPr="00392B10" w:rsidRDefault="00EA4A95" w:rsidP="00E75D09">
            <w:pPr>
              <w:pStyle w:val="COMTableheadingrow"/>
              <w:keepLines/>
              <w:jc w:val="center"/>
              <w:rPr>
                <w:lang w:val="en-AU"/>
              </w:rPr>
            </w:pPr>
            <w:r w:rsidRPr="00392B10">
              <w:rPr>
                <w:lang w:val="en-AU"/>
              </w:rPr>
              <w:t>Dispensed Price Max Amt</w:t>
            </w:r>
          </w:p>
        </w:tc>
        <w:tc>
          <w:tcPr>
            <w:tcW w:w="798" w:type="pct"/>
            <w:vAlign w:val="center"/>
          </w:tcPr>
          <w:p w14:paraId="15EC7A0F" w14:textId="77777777" w:rsidR="00EA4A95" w:rsidRPr="00392B10" w:rsidRDefault="00EA4A95" w:rsidP="00E75D09">
            <w:pPr>
              <w:pStyle w:val="COMTableheadingrow"/>
              <w:keepLines/>
              <w:jc w:val="center"/>
              <w:rPr>
                <w:lang w:val="en-AU"/>
              </w:rPr>
            </w:pPr>
            <w:r w:rsidRPr="00392B10">
              <w:rPr>
                <w:lang w:val="en-AU"/>
              </w:rPr>
              <w:t>Max. Amount</w:t>
            </w:r>
          </w:p>
        </w:tc>
        <w:tc>
          <w:tcPr>
            <w:tcW w:w="611" w:type="pct"/>
            <w:vAlign w:val="center"/>
          </w:tcPr>
          <w:p w14:paraId="2C135543" w14:textId="012A4567" w:rsidR="00EA4A95" w:rsidRPr="00392B10" w:rsidRDefault="00EA4A95" w:rsidP="00E75D09">
            <w:pPr>
              <w:pStyle w:val="COMTableheadingrow"/>
              <w:keepLines/>
              <w:jc w:val="center"/>
              <w:rPr>
                <w:lang w:val="en-AU"/>
              </w:rPr>
            </w:pPr>
            <w:r w:rsidRPr="00392B10">
              <w:rPr>
                <w:lang w:val="en-AU"/>
              </w:rPr>
              <w:t>№.</w:t>
            </w:r>
            <w:r w:rsidR="006066B5" w:rsidRPr="00392B10">
              <w:rPr>
                <w:lang w:val="en-AU"/>
              </w:rPr>
              <w:t xml:space="preserve"> </w:t>
            </w:r>
            <w:r w:rsidRPr="00392B10">
              <w:rPr>
                <w:lang w:val="en-AU"/>
              </w:rPr>
              <w:t>of Rpts</w:t>
            </w:r>
          </w:p>
        </w:tc>
      </w:tr>
      <w:tr w:rsidR="000B007B" w:rsidRPr="00392B10" w14:paraId="182AE5A9" w14:textId="77777777" w:rsidTr="000B007B">
        <w:trPr>
          <w:cantSplit/>
          <w:trHeight w:val="20"/>
        </w:trPr>
        <w:tc>
          <w:tcPr>
            <w:tcW w:w="5000" w:type="pct"/>
            <w:gridSpan w:val="4"/>
            <w:vAlign w:val="center"/>
          </w:tcPr>
          <w:p w14:paraId="6E38E80B" w14:textId="7C664EE1" w:rsidR="000B007B" w:rsidRPr="00392B10" w:rsidRDefault="000B007B" w:rsidP="00426B03">
            <w:pPr>
              <w:pStyle w:val="COMTabletext"/>
              <w:keepLines/>
              <w:rPr>
                <w:b/>
                <w:bCs w:val="0"/>
              </w:rPr>
            </w:pPr>
            <w:r w:rsidRPr="00392B10">
              <w:rPr>
                <w:b/>
                <w:bCs w:val="0"/>
              </w:rPr>
              <w:t>Induction therapy</w:t>
            </w:r>
          </w:p>
        </w:tc>
      </w:tr>
      <w:tr w:rsidR="00274202" w:rsidRPr="00392B10" w14:paraId="43B853A2" w14:textId="77777777" w:rsidTr="00B77FB2">
        <w:trPr>
          <w:cantSplit/>
          <w:trHeight w:val="20"/>
        </w:trPr>
        <w:tc>
          <w:tcPr>
            <w:tcW w:w="1716" w:type="pct"/>
            <w:vAlign w:val="center"/>
          </w:tcPr>
          <w:p w14:paraId="7334DBE1" w14:textId="496F2C6D" w:rsidR="00274202" w:rsidRPr="00392B10" w:rsidRDefault="00274202" w:rsidP="00274202">
            <w:pPr>
              <w:pStyle w:val="COMTabletext"/>
              <w:keepLines/>
            </w:pPr>
            <w:r w:rsidRPr="00392B10">
              <w:t>Daunorubicin and cytarabine liposomal</w:t>
            </w:r>
          </w:p>
        </w:tc>
        <w:tc>
          <w:tcPr>
            <w:tcW w:w="1875" w:type="pct"/>
            <w:vAlign w:val="center"/>
          </w:tcPr>
          <w:p w14:paraId="593DBBF2" w14:textId="0E1BBF63" w:rsidR="00274202" w:rsidRPr="00392B10" w:rsidRDefault="00274202" w:rsidP="00274202">
            <w:pPr>
              <w:pStyle w:val="COMTabletext"/>
              <w:keepLines/>
              <w:jc w:val="center"/>
            </w:pPr>
            <w:r w:rsidRPr="00392B10">
              <w:rPr>
                <w:u w:val="single"/>
              </w:rPr>
              <w:t>Published</w:t>
            </w:r>
            <w:r w:rsidR="00B77FB2" w:rsidRPr="00392B10">
              <w:rPr>
                <w:u w:val="single"/>
              </w:rPr>
              <w:t xml:space="preserve">: </w:t>
            </w:r>
            <w:r w:rsidRPr="00392B10">
              <w:t>$24,732.07 (public)</w:t>
            </w:r>
          </w:p>
          <w:p w14:paraId="30601200" w14:textId="35ACC8F1" w:rsidR="00274202" w:rsidRPr="00392B10" w:rsidRDefault="00B77FB2" w:rsidP="00274202">
            <w:pPr>
              <w:pStyle w:val="COMTabletext"/>
              <w:keepLines/>
              <w:jc w:val="center"/>
            </w:pPr>
            <w:r w:rsidRPr="00392B10">
              <w:t xml:space="preserve">                    </w:t>
            </w:r>
            <w:r w:rsidR="00274202" w:rsidRPr="00392B10">
              <w:t>$25,118.73 (private)</w:t>
            </w:r>
          </w:p>
          <w:p w14:paraId="2AE901C2" w14:textId="4B20863B" w:rsidR="00274202" w:rsidRPr="00392B10" w:rsidRDefault="00274202" w:rsidP="00274202">
            <w:pPr>
              <w:pStyle w:val="COMTabletext"/>
              <w:keepLines/>
              <w:jc w:val="center"/>
            </w:pPr>
            <w:r w:rsidRPr="00392B10">
              <w:rPr>
                <w:u w:val="single"/>
              </w:rPr>
              <w:t>Effective</w:t>
            </w:r>
            <w:r w:rsidR="00B77FB2" w:rsidRPr="00392B10">
              <w:rPr>
                <w:u w:val="single"/>
              </w:rPr>
              <w:t xml:space="preserve">: </w:t>
            </w:r>
            <w:r w:rsidRPr="00392B10">
              <w:t>$</w:t>
            </w:r>
            <w:r w:rsidR="00EA163B" w:rsidRPr="00EA163B">
              <w:rPr>
                <w:color w:val="000000"/>
                <w:shd w:val="solid" w:color="000000" w:fill="000000"/>
                <w14:textFill>
                  <w14:solidFill>
                    <w14:srgbClr w14:val="000000">
                      <w14:alpha w14:val="100000"/>
                    </w14:srgbClr>
                  </w14:solidFill>
                </w14:textFill>
              </w:rPr>
              <w:t>|</w:t>
            </w:r>
            <w:r w:rsidR="00EA163B" w:rsidRPr="00EA163B">
              <w:t xml:space="preserve"> </w:t>
            </w:r>
            <w:r w:rsidRPr="00392B10">
              <w:t>(public)</w:t>
            </w:r>
          </w:p>
          <w:p w14:paraId="4DE43A21" w14:textId="1FEE3E92" w:rsidR="00274202" w:rsidRPr="00392B10" w:rsidRDefault="00B77FB2" w:rsidP="00274202">
            <w:pPr>
              <w:pStyle w:val="COMTabletext"/>
              <w:keepLines/>
              <w:jc w:val="center"/>
            </w:pPr>
            <w:r w:rsidRPr="00392B10">
              <w:t xml:space="preserve">                 </w:t>
            </w:r>
            <w:r w:rsidR="00274202" w:rsidRPr="00392B10">
              <w:t>$</w:t>
            </w:r>
            <w:r w:rsidR="00EA163B" w:rsidRPr="00EA163B">
              <w:rPr>
                <w:color w:val="000000"/>
                <w:shd w:val="solid" w:color="000000" w:fill="000000"/>
                <w14:textFill>
                  <w14:solidFill>
                    <w14:srgbClr w14:val="000000">
                      <w14:alpha w14:val="100000"/>
                    </w14:srgbClr>
                  </w14:solidFill>
                </w14:textFill>
              </w:rPr>
              <w:t>|</w:t>
            </w:r>
            <w:r w:rsidR="00EA163B" w:rsidRPr="00EA163B">
              <w:t xml:space="preserve"> </w:t>
            </w:r>
            <w:r w:rsidR="00274202" w:rsidRPr="00392B10">
              <w:t>(private)</w:t>
            </w:r>
          </w:p>
        </w:tc>
        <w:tc>
          <w:tcPr>
            <w:tcW w:w="798" w:type="pct"/>
            <w:vAlign w:val="center"/>
          </w:tcPr>
          <w:p w14:paraId="16103506" w14:textId="77777777" w:rsidR="00274202" w:rsidRPr="00392B10" w:rsidRDefault="00274202" w:rsidP="00274202">
            <w:pPr>
              <w:pStyle w:val="COMTabletext"/>
              <w:jc w:val="center"/>
            </w:pPr>
            <w:r w:rsidRPr="00392B10">
              <w:t>132 mg/300 mg</w:t>
            </w:r>
          </w:p>
          <w:p w14:paraId="4796D356" w14:textId="06CEF21D" w:rsidR="00274202" w:rsidRPr="00392B10" w:rsidRDefault="00274202" w:rsidP="00274202">
            <w:pPr>
              <w:pStyle w:val="COMTabletext"/>
              <w:keepLines/>
              <w:jc w:val="center"/>
            </w:pPr>
            <w:r w:rsidRPr="00392B10">
              <w:t>(3 vials)</w:t>
            </w:r>
          </w:p>
        </w:tc>
        <w:tc>
          <w:tcPr>
            <w:tcW w:w="611" w:type="pct"/>
            <w:vAlign w:val="center"/>
          </w:tcPr>
          <w:p w14:paraId="003671CC" w14:textId="6CD5BC59" w:rsidR="00274202" w:rsidRPr="00392B10" w:rsidRDefault="00274202" w:rsidP="00274202">
            <w:pPr>
              <w:pStyle w:val="COMTabletext"/>
              <w:keepLines/>
              <w:jc w:val="center"/>
            </w:pPr>
            <w:r w:rsidRPr="00392B10">
              <w:t>4</w:t>
            </w:r>
          </w:p>
        </w:tc>
      </w:tr>
      <w:tr w:rsidR="00F514A9" w:rsidRPr="00392B10" w14:paraId="23D0E463" w14:textId="77777777" w:rsidTr="00F514A9">
        <w:trPr>
          <w:cantSplit/>
          <w:trHeight w:val="20"/>
        </w:trPr>
        <w:tc>
          <w:tcPr>
            <w:tcW w:w="5000" w:type="pct"/>
            <w:gridSpan w:val="4"/>
            <w:vAlign w:val="center"/>
          </w:tcPr>
          <w:p w14:paraId="1FD40502" w14:textId="610EE75B" w:rsidR="00F514A9" w:rsidRPr="00392B10" w:rsidRDefault="00F514A9" w:rsidP="00F514A9">
            <w:pPr>
              <w:pStyle w:val="COMTableheadingrow"/>
              <w:rPr>
                <w:lang w:val="en-AU"/>
              </w:rPr>
            </w:pPr>
            <w:r w:rsidRPr="00392B10">
              <w:rPr>
                <w:lang w:val="en-AU"/>
              </w:rPr>
              <w:t>Consolidation therapy</w:t>
            </w:r>
          </w:p>
        </w:tc>
      </w:tr>
      <w:tr w:rsidR="00274202" w:rsidRPr="00392B10" w14:paraId="3602D4A9" w14:textId="77777777" w:rsidTr="00B77FB2">
        <w:trPr>
          <w:cantSplit/>
          <w:trHeight w:val="20"/>
        </w:trPr>
        <w:tc>
          <w:tcPr>
            <w:tcW w:w="1716" w:type="pct"/>
            <w:vAlign w:val="center"/>
          </w:tcPr>
          <w:p w14:paraId="76063861" w14:textId="61311C08" w:rsidR="00274202" w:rsidRPr="00392B10" w:rsidRDefault="00274202" w:rsidP="00274202">
            <w:pPr>
              <w:pStyle w:val="COMTabletext"/>
              <w:keepLines/>
            </w:pPr>
            <w:r w:rsidRPr="00392B10">
              <w:t>Daunorubicin and cytarabine liposomal</w:t>
            </w:r>
          </w:p>
        </w:tc>
        <w:tc>
          <w:tcPr>
            <w:tcW w:w="1875" w:type="pct"/>
            <w:vAlign w:val="center"/>
          </w:tcPr>
          <w:p w14:paraId="7E7F986E" w14:textId="45E692B7" w:rsidR="00274202" w:rsidRPr="00392B10" w:rsidRDefault="00274202" w:rsidP="00274202">
            <w:pPr>
              <w:pStyle w:val="COMTabletext"/>
              <w:keepLines/>
              <w:jc w:val="center"/>
            </w:pPr>
            <w:r w:rsidRPr="00392B10">
              <w:rPr>
                <w:u w:val="single"/>
              </w:rPr>
              <w:t>Published</w:t>
            </w:r>
            <w:r w:rsidR="00B77FB2" w:rsidRPr="00392B10">
              <w:rPr>
                <w:u w:val="single"/>
              </w:rPr>
              <w:t xml:space="preserve">: </w:t>
            </w:r>
            <w:r w:rsidRPr="00392B10">
              <w:t>$16,517.07 (public)</w:t>
            </w:r>
          </w:p>
          <w:p w14:paraId="0007A4BB" w14:textId="458DD39E" w:rsidR="00274202" w:rsidRPr="00392B10" w:rsidRDefault="00B77FB2" w:rsidP="00274202">
            <w:pPr>
              <w:pStyle w:val="COMTabletext"/>
              <w:keepLines/>
              <w:jc w:val="center"/>
            </w:pPr>
            <w:r w:rsidRPr="00392B10">
              <w:t xml:space="preserve">                   </w:t>
            </w:r>
            <w:r w:rsidR="00274202" w:rsidRPr="00392B10">
              <w:t>$16,788.72 (private)</w:t>
            </w:r>
          </w:p>
          <w:p w14:paraId="0C93AE40" w14:textId="49B13D35" w:rsidR="00274202" w:rsidRPr="00392B10" w:rsidRDefault="00274202" w:rsidP="00274202">
            <w:pPr>
              <w:pStyle w:val="COMTabletext"/>
              <w:keepLines/>
              <w:jc w:val="center"/>
            </w:pPr>
            <w:r w:rsidRPr="00392B10">
              <w:rPr>
                <w:u w:val="single"/>
              </w:rPr>
              <w:t>Effective</w:t>
            </w:r>
            <w:r w:rsidR="00B77FB2" w:rsidRPr="00392B10">
              <w:rPr>
                <w:u w:val="single"/>
              </w:rPr>
              <w:t xml:space="preserve">: </w:t>
            </w:r>
            <w:r w:rsidRPr="00392B10">
              <w:t>$</w:t>
            </w:r>
            <w:r w:rsidR="00EA163B" w:rsidRPr="00EA163B">
              <w:rPr>
                <w:color w:val="000000"/>
                <w:shd w:val="solid" w:color="000000" w:fill="000000"/>
                <w14:textFill>
                  <w14:solidFill>
                    <w14:srgbClr w14:val="000000">
                      <w14:alpha w14:val="100000"/>
                    </w14:srgbClr>
                  </w14:solidFill>
                </w14:textFill>
              </w:rPr>
              <w:t>|</w:t>
            </w:r>
            <w:r w:rsidR="00EA163B" w:rsidRPr="00EA163B">
              <w:t xml:space="preserve"> </w:t>
            </w:r>
            <w:r w:rsidRPr="00392B10">
              <w:t>(public)</w:t>
            </w:r>
          </w:p>
          <w:p w14:paraId="67ADD59A" w14:textId="0E0626CE" w:rsidR="00274202" w:rsidRPr="00392B10" w:rsidRDefault="00B77FB2" w:rsidP="00274202">
            <w:pPr>
              <w:pStyle w:val="COMTabletext"/>
              <w:keepLines/>
              <w:jc w:val="center"/>
            </w:pPr>
            <w:r w:rsidRPr="00392B10">
              <w:t xml:space="preserve">                  </w:t>
            </w:r>
            <w:r w:rsidR="00274202" w:rsidRPr="00392B10">
              <w:t>$</w:t>
            </w:r>
            <w:r w:rsidR="00EA163B" w:rsidRPr="00EA163B">
              <w:rPr>
                <w:color w:val="000000"/>
                <w:shd w:val="solid" w:color="000000" w:fill="000000"/>
                <w14:textFill>
                  <w14:solidFill>
                    <w14:srgbClr w14:val="000000">
                      <w14:alpha w14:val="100000"/>
                    </w14:srgbClr>
                  </w14:solidFill>
                </w14:textFill>
              </w:rPr>
              <w:t>|</w:t>
            </w:r>
            <w:r w:rsidR="00EA163B" w:rsidRPr="00EA163B">
              <w:t xml:space="preserve"> </w:t>
            </w:r>
            <w:r w:rsidR="00274202" w:rsidRPr="00392B10">
              <w:t>(private)</w:t>
            </w:r>
          </w:p>
        </w:tc>
        <w:tc>
          <w:tcPr>
            <w:tcW w:w="798" w:type="pct"/>
            <w:vAlign w:val="center"/>
          </w:tcPr>
          <w:p w14:paraId="7A4575A3" w14:textId="77777777" w:rsidR="00274202" w:rsidRPr="00392B10" w:rsidRDefault="00274202" w:rsidP="00274202">
            <w:pPr>
              <w:pStyle w:val="COMTabletext"/>
              <w:jc w:val="center"/>
            </w:pPr>
            <w:r w:rsidRPr="00392B10">
              <w:t>88 mg/200 mg</w:t>
            </w:r>
          </w:p>
          <w:p w14:paraId="12E8523C" w14:textId="55BEE0A1" w:rsidR="00274202" w:rsidRPr="00392B10" w:rsidRDefault="00274202" w:rsidP="00274202">
            <w:pPr>
              <w:pStyle w:val="COMTabletext"/>
              <w:keepLines/>
              <w:jc w:val="center"/>
            </w:pPr>
            <w:r w:rsidRPr="00392B10">
              <w:t>(2 vials)</w:t>
            </w:r>
          </w:p>
        </w:tc>
        <w:tc>
          <w:tcPr>
            <w:tcW w:w="611" w:type="pct"/>
            <w:vAlign w:val="center"/>
          </w:tcPr>
          <w:p w14:paraId="75A780BD" w14:textId="16BC686B" w:rsidR="00274202" w:rsidRPr="00392B10" w:rsidRDefault="00274202" w:rsidP="00274202">
            <w:pPr>
              <w:pStyle w:val="COMTabletext"/>
              <w:keepLines/>
              <w:jc w:val="center"/>
            </w:pPr>
            <w:r w:rsidRPr="00392B10">
              <w:t>3</w:t>
            </w:r>
          </w:p>
        </w:tc>
      </w:tr>
      <w:tr w:rsidR="00EA4A95" w:rsidRPr="00392B10" w14:paraId="7F7216B5" w14:textId="77777777" w:rsidTr="00E75D09">
        <w:trPr>
          <w:cantSplit/>
          <w:trHeight w:val="20"/>
        </w:trPr>
        <w:tc>
          <w:tcPr>
            <w:tcW w:w="5000" w:type="pct"/>
            <w:gridSpan w:val="4"/>
            <w:vAlign w:val="center"/>
          </w:tcPr>
          <w:p w14:paraId="1FD66875" w14:textId="77777777" w:rsidR="00EA4A95" w:rsidRPr="00392B10" w:rsidRDefault="00EA4A95" w:rsidP="00E75D09">
            <w:pPr>
              <w:keepNext/>
              <w:keepLines/>
              <w:rPr>
                <w:b/>
              </w:rPr>
            </w:pPr>
            <w:r w:rsidRPr="00392B10">
              <w:rPr>
                <w:rFonts w:ascii="Arial Narrow" w:eastAsiaTheme="majorEastAsia" w:hAnsi="Arial Narrow" w:cs="Times New Roman"/>
                <w:b/>
                <w:sz w:val="20"/>
              </w:rPr>
              <w:t>Available brands</w:t>
            </w:r>
            <w:r w:rsidRPr="00392B10">
              <w:rPr>
                <w:b/>
              </w:rPr>
              <w:t xml:space="preserve"> </w:t>
            </w:r>
          </w:p>
        </w:tc>
      </w:tr>
      <w:tr w:rsidR="00EA4A95" w:rsidRPr="00392B10" w14:paraId="09F5DDDE" w14:textId="77777777" w:rsidTr="00E75D09">
        <w:trPr>
          <w:cantSplit/>
          <w:trHeight w:val="20"/>
        </w:trPr>
        <w:tc>
          <w:tcPr>
            <w:tcW w:w="5000" w:type="pct"/>
            <w:gridSpan w:val="4"/>
            <w:vAlign w:val="center"/>
          </w:tcPr>
          <w:p w14:paraId="33AA60B1" w14:textId="77777777" w:rsidR="00F514A9" w:rsidRPr="00392B10" w:rsidRDefault="00F514A9" w:rsidP="00F514A9">
            <w:pPr>
              <w:pStyle w:val="COMTabletext"/>
            </w:pPr>
            <w:r w:rsidRPr="00392B10">
              <w:t>Vyxeos</w:t>
            </w:r>
          </w:p>
          <w:p w14:paraId="2AEABA32" w14:textId="2A4C2B63" w:rsidR="00EA4A95" w:rsidRPr="00392B10" w:rsidRDefault="00F514A9" w:rsidP="00F514A9">
            <w:pPr>
              <w:pStyle w:val="COMTabletext"/>
              <w:keepLines/>
            </w:pPr>
            <w:r w:rsidRPr="00392B10">
              <w:t>(Powder for I.V. infusion containing daunorubicin 44 mg and cytarabine 100 mg)</w:t>
            </w:r>
          </w:p>
        </w:tc>
      </w:tr>
      <w:tr w:rsidR="00EA4A95" w:rsidRPr="00392B10" w14:paraId="7B53D4C5" w14:textId="77777777" w:rsidTr="00E75D09">
        <w:tblPrEx>
          <w:tblCellMar>
            <w:top w:w="15" w:type="dxa"/>
            <w:bottom w:w="15" w:type="dxa"/>
          </w:tblCellMar>
          <w:tblLook w:val="04A0" w:firstRow="1" w:lastRow="0" w:firstColumn="1" w:lastColumn="0" w:noHBand="0" w:noVBand="1"/>
        </w:tblPrEx>
        <w:trPr>
          <w:cantSplit/>
          <w:trHeight w:val="20"/>
        </w:trPr>
        <w:tc>
          <w:tcPr>
            <w:tcW w:w="5000" w:type="pct"/>
            <w:gridSpan w:val="4"/>
          </w:tcPr>
          <w:p w14:paraId="08DC0260" w14:textId="4F1569CD" w:rsidR="00EA4A95" w:rsidRPr="00392B10" w:rsidRDefault="00EA4A95" w:rsidP="008B53F3">
            <w:pPr>
              <w:pStyle w:val="COMTabletext"/>
              <w:keepNext w:val="0"/>
              <w:keepLines/>
              <w:widowControl w:val="0"/>
            </w:pPr>
            <w:bookmarkStart w:id="9" w:name="_Hlk104809470"/>
            <w:bookmarkEnd w:id="8"/>
            <w:r w:rsidRPr="00392B10">
              <w:rPr>
                <w:b/>
              </w:rPr>
              <w:t xml:space="preserve">Category / Program: </w:t>
            </w:r>
            <w:r w:rsidRPr="00392B10">
              <w:t>Section 100 – Efficient Funding of Chemotherapy</w:t>
            </w:r>
          </w:p>
        </w:tc>
      </w:tr>
      <w:tr w:rsidR="00EA4A95" w:rsidRPr="00392B10" w14:paraId="2AD5FD2A" w14:textId="77777777" w:rsidTr="00E75D09">
        <w:tblPrEx>
          <w:tblCellMar>
            <w:top w:w="15" w:type="dxa"/>
            <w:bottom w:w="15" w:type="dxa"/>
          </w:tblCellMar>
          <w:tblLook w:val="04A0" w:firstRow="1" w:lastRow="0" w:firstColumn="1" w:lastColumn="0" w:noHBand="0" w:noVBand="1"/>
        </w:tblPrEx>
        <w:trPr>
          <w:cantSplit/>
          <w:trHeight w:val="20"/>
        </w:trPr>
        <w:tc>
          <w:tcPr>
            <w:tcW w:w="5000" w:type="pct"/>
            <w:gridSpan w:val="4"/>
          </w:tcPr>
          <w:p w14:paraId="5A1676BC" w14:textId="48BBE012" w:rsidR="00EA4A95" w:rsidRPr="00392B10" w:rsidRDefault="00EA4A95" w:rsidP="008B53F3">
            <w:pPr>
              <w:pStyle w:val="COMTabletext"/>
              <w:keepNext w:val="0"/>
              <w:keepLines/>
              <w:widowControl w:val="0"/>
              <w:rPr>
                <w:b/>
              </w:rPr>
            </w:pPr>
            <w:r w:rsidRPr="00392B10">
              <w:rPr>
                <w:b/>
              </w:rPr>
              <w:t xml:space="preserve">Prescriber type: </w:t>
            </w:r>
            <w:r w:rsidR="002B071A" w:rsidRPr="00392B10">
              <w:fldChar w:fldCharType="begin" w:fldLock="1">
                <w:ffData>
                  <w:name w:val=""/>
                  <w:enabled/>
                  <w:calcOnExit w:val="0"/>
                  <w:checkBox>
                    <w:sizeAuto/>
                    <w:default w:val="1"/>
                  </w:checkBox>
                </w:ffData>
              </w:fldChar>
            </w:r>
            <w:r w:rsidR="002B071A" w:rsidRPr="00392B10">
              <w:instrText xml:space="preserve"> FORMCHECKBOX </w:instrText>
            </w:r>
            <w:r w:rsidR="00795A1F">
              <w:fldChar w:fldCharType="separate"/>
            </w:r>
            <w:r w:rsidR="002B071A" w:rsidRPr="00392B10">
              <w:fldChar w:fldCharType="end"/>
            </w:r>
            <w:r w:rsidR="002B071A" w:rsidRPr="00392B10">
              <w:t>Medical Practitioners</w:t>
            </w:r>
          </w:p>
        </w:tc>
      </w:tr>
      <w:tr w:rsidR="00EA4A95" w:rsidRPr="00392B10" w14:paraId="262DAAD6" w14:textId="77777777" w:rsidTr="00E75D09">
        <w:tblPrEx>
          <w:tblCellMar>
            <w:top w:w="15" w:type="dxa"/>
            <w:bottom w:w="15" w:type="dxa"/>
          </w:tblCellMar>
          <w:tblLook w:val="04A0" w:firstRow="1" w:lastRow="0" w:firstColumn="1" w:lastColumn="0" w:noHBand="0" w:noVBand="1"/>
        </w:tblPrEx>
        <w:trPr>
          <w:cantSplit/>
          <w:trHeight w:val="20"/>
        </w:trPr>
        <w:tc>
          <w:tcPr>
            <w:tcW w:w="5000" w:type="pct"/>
            <w:gridSpan w:val="4"/>
          </w:tcPr>
          <w:p w14:paraId="6E5DF930" w14:textId="716E49A9" w:rsidR="00EA4A95" w:rsidRPr="00392B10" w:rsidRDefault="00EA4A95" w:rsidP="008B53F3">
            <w:pPr>
              <w:pStyle w:val="COMTabletext"/>
              <w:keepNext w:val="0"/>
              <w:keepLines/>
              <w:widowControl w:val="0"/>
              <w:rPr>
                <w:rFonts w:eastAsia="Times New Roman"/>
              </w:rPr>
            </w:pPr>
            <w:r w:rsidRPr="00392B10">
              <w:rPr>
                <w:b/>
              </w:rPr>
              <w:t xml:space="preserve">Restriction type: </w:t>
            </w:r>
            <w:r w:rsidR="00A760CF" w:rsidRPr="00392B10">
              <w:rPr>
                <w:rFonts w:eastAsia="Times New Roman"/>
              </w:rPr>
              <w:fldChar w:fldCharType="begin" w:fldLock="1">
                <w:ffData>
                  <w:name w:val="Check3"/>
                  <w:enabled/>
                  <w:calcOnExit w:val="0"/>
                  <w:checkBox>
                    <w:sizeAuto/>
                    <w:default w:val="1"/>
                  </w:checkBox>
                </w:ffData>
              </w:fldChar>
            </w:r>
            <w:r w:rsidR="00A760CF" w:rsidRPr="00392B10">
              <w:rPr>
                <w:rFonts w:eastAsia="Times New Roman"/>
              </w:rPr>
              <w:instrText xml:space="preserve"> FORMCHECKBOX </w:instrText>
            </w:r>
            <w:r w:rsidR="00795A1F">
              <w:rPr>
                <w:rFonts w:eastAsia="Times New Roman"/>
              </w:rPr>
            </w:r>
            <w:r w:rsidR="00795A1F">
              <w:rPr>
                <w:rFonts w:eastAsia="Times New Roman"/>
              </w:rPr>
              <w:fldChar w:fldCharType="separate"/>
            </w:r>
            <w:r w:rsidR="00A760CF" w:rsidRPr="00392B10">
              <w:rPr>
                <w:rFonts w:eastAsia="Times New Roman"/>
              </w:rPr>
              <w:fldChar w:fldCharType="end"/>
            </w:r>
            <w:r w:rsidR="00A760CF" w:rsidRPr="00392B10">
              <w:rPr>
                <w:rFonts w:eastAsia="Times New Roman"/>
              </w:rPr>
              <w:t>Authority Required (telephone/online PBS Authorities system)</w:t>
            </w:r>
          </w:p>
        </w:tc>
      </w:tr>
      <w:tr w:rsidR="00EA4A95" w:rsidRPr="00392B10" w14:paraId="03A3B1FA" w14:textId="77777777" w:rsidTr="00E75D09">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07953F22" w14:textId="3B610BA5" w:rsidR="00EA4A95" w:rsidRPr="00392B10" w:rsidRDefault="00EA4A95" w:rsidP="008B53F3">
            <w:pPr>
              <w:pStyle w:val="COMTabletext"/>
              <w:keepNext w:val="0"/>
              <w:keepLines/>
              <w:widowControl w:val="0"/>
            </w:pPr>
            <w:r w:rsidRPr="00392B10">
              <w:rPr>
                <w:b/>
              </w:rPr>
              <w:t>Indication:</w:t>
            </w:r>
            <w:r w:rsidRPr="00392B10">
              <w:t xml:space="preserve"> </w:t>
            </w:r>
            <w:r w:rsidR="0074125F" w:rsidRPr="00392B10">
              <w:rPr>
                <w:bCs w:val="0"/>
              </w:rPr>
              <w:t>Acute myeloid leukaemia</w:t>
            </w:r>
          </w:p>
        </w:tc>
      </w:tr>
      <w:tr w:rsidR="000B007B" w:rsidRPr="00392B10" w14:paraId="12F68D3B" w14:textId="77777777" w:rsidTr="00E75D09">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4F4B3329" w14:textId="77777777" w:rsidR="000B007B" w:rsidRPr="00392B10" w:rsidRDefault="000B007B" w:rsidP="008B53F3">
            <w:pPr>
              <w:pStyle w:val="COMTabletext"/>
              <w:keepNext w:val="0"/>
              <w:keepLines/>
              <w:widowControl w:val="0"/>
              <w:rPr>
                <w:b/>
              </w:rPr>
            </w:pPr>
          </w:p>
        </w:tc>
      </w:tr>
      <w:tr w:rsidR="00542CF8" w:rsidRPr="00392B10" w14:paraId="457A78CF" w14:textId="77777777" w:rsidTr="00E75D09">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1C3557EA" w14:textId="77777777" w:rsidR="00542CF8" w:rsidRPr="00392B10" w:rsidRDefault="00542CF8" w:rsidP="00E75D09">
            <w:pPr>
              <w:pStyle w:val="COMTabletext"/>
              <w:keepNext w:val="0"/>
              <w:keepLines/>
              <w:widowControl w:val="0"/>
              <w:rPr>
                <w:b/>
              </w:rPr>
            </w:pPr>
            <w:r w:rsidRPr="00392B10">
              <w:rPr>
                <w:b/>
              </w:rPr>
              <w:t>CRITERIA FOR INDUCTION LISTING</w:t>
            </w:r>
          </w:p>
        </w:tc>
      </w:tr>
      <w:tr w:rsidR="00EA4A95" w:rsidRPr="00392B10" w14:paraId="3524B4BC" w14:textId="77777777" w:rsidTr="00E75D09">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39EF8742" w14:textId="31270001" w:rsidR="00EA4A95" w:rsidRPr="00392B10" w:rsidRDefault="00EA4A95" w:rsidP="008B53F3">
            <w:pPr>
              <w:pStyle w:val="COMTabletext"/>
              <w:keepNext w:val="0"/>
              <w:keepLines/>
              <w:widowControl w:val="0"/>
            </w:pPr>
            <w:r w:rsidRPr="00392B10">
              <w:rPr>
                <w:b/>
              </w:rPr>
              <w:t>Treatment Phase:</w:t>
            </w:r>
            <w:r w:rsidRPr="00392B10">
              <w:t xml:space="preserve"> </w:t>
            </w:r>
            <w:r w:rsidR="00C129C2" w:rsidRPr="00392B10">
              <w:t>Induction</w:t>
            </w:r>
          </w:p>
        </w:tc>
      </w:tr>
      <w:tr w:rsidR="00EA4A95" w:rsidRPr="00392B10" w14:paraId="2F30AB46" w14:textId="77777777" w:rsidTr="00E75D09">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5C366E41" w14:textId="77777777" w:rsidR="00EA4A95" w:rsidRPr="00392B10" w:rsidRDefault="00EA4A95" w:rsidP="008B53F3">
            <w:pPr>
              <w:pStyle w:val="COMTabletext"/>
              <w:keepNext w:val="0"/>
              <w:keepLines/>
              <w:widowControl w:val="0"/>
            </w:pPr>
            <w:r w:rsidRPr="00392B10">
              <w:rPr>
                <w:b/>
              </w:rPr>
              <w:t>Clinical criteria:</w:t>
            </w:r>
          </w:p>
        </w:tc>
      </w:tr>
      <w:tr w:rsidR="008B53F3" w:rsidRPr="00392B10" w14:paraId="7A66E16F" w14:textId="77777777" w:rsidTr="00E75D09">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79277956" w14:textId="68F47787" w:rsidR="008B53F3" w:rsidRPr="00392B10" w:rsidRDefault="008B53F3" w:rsidP="008B53F3">
            <w:pPr>
              <w:pStyle w:val="COMTabletext"/>
              <w:keepNext w:val="0"/>
              <w:keepLines/>
              <w:widowControl w:val="0"/>
            </w:pPr>
            <w:r w:rsidRPr="00392B10">
              <w:t>Patient must not have received prior chemotherapy as induction therapy for this condition</w:t>
            </w:r>
          </w:p>
        </w:tc>
      </w:tr>
      <w:tr w:rsidR="008B53F3" w:rsidRPr="00392B10" w14:paraId="46732B35" w14:textId="77777777" w:rsidTr="00E75D09">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57E34FA4" w14:textId="77777777" w:rsidR="008B53F3" w:rsidRPr="00392B10" w:rsidRDefault="008B53F3" w:rsidP="008B53F3">
            <w:pPr>
              <w:pStyle w:val="COMTabletext"/>
              <w:keepNext w:val="0"/>
              <w:keepLines/>
              <w:widowControl w:val="0"/>
            </w:pPr>
            <w:r w:rsidRPr="00392B10">
              <w:rPr>
                <w:b/>
              </w:rPr>
              <w:t>AND</w:t>
            </w:r>
          </w:p>
        </w:tc>
      </w:tr>
      <w:tr w:rsidR="008B53F3" w:rsidRPr="00392B10" w14:paraId="73989023" w14:textId="77777777" w:rsidTr="00E75D09">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4B4D67EB" w14:textId="77777777" w:rsidR="008B53F3" w:rsidRPr="00392B10" w:rsidRDefault="008B53F3" w:rsidP="008B53F3">
            <w:pPr>
              <w:pStyle w:val="COMTabletext"/>
              <w:keepNext w:val="0"/>
              <w:keepLines/>
              <w:widowControl w:val="0"/>
            </w:pPr>
            <w:r w:rsidRPr="00392B10">
              <w:rPr>
                <w:b/>
              </w:rPr>
              <w:t>Clinical criteria:</w:t>
            </w:r>
          </w:p>
        </w:tc>
      </w:tr>
      <w:tr w:rsidR="008B53F3" w:rsidRPr="00392B10" w14:paraId="7BB5F82F" w14:textId="77777777" w:rsidTr="00E75D09">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3EDE92E4" w14:textId="01050436" w:rsidR="008B53F3" w:rsidRPr="00392B10" w:rsidRDefault="008B53F3" w:rsidP="008B53F3">
            <w:pPr>
              <w:pStyle w:val="COMTabletext"/>
              <w:keepNext w:val="0"/>
              <w:keepLines/>
              <w:widowControl w:val="0"/>
              <w:rPr>
                <w:color w:val="0066FF"/>
              </w:rPr>
            </w:pPr>
            <w:r w:rsidRPr="00392B10">
              <w:t xml:space="preserve">The condition must be either (i) </w:t>
            </w:r>
            <w:proofErr w:type="gramStart"/>
            <w:r w:rsidRPr="00392B10">
              <w:t>newly-diagnosed</w:t>
            </w:r>
            <w:proofErr w:type="gramEnd"/>
            <w:r w:rsidRPr="00392B10">
              <w:t xml:space="preserve"> therapy-related acute myeloid leukaemia (AML), or (ii) newly-diagnosed AML with myelodysplasia-related changes (MRC) (prior myelodysplastic syndromes (MDS) or MDS-related cytogenetic or molecular abnormality)</w:t>
            </w:r>
          </w:p>
        </w:tc>
      </w:tr>
      <w:tr w:rsidR="008B53F3" w:rsidRPr="00392B10" w14:paraId="2EEE2425" w14:textId="77777777" w:rsidTr="00E75D09">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3B22539B" w14:textId="17816F84" w:rsidR="008B53F3" w:rsidRPr="00392B10" w:rsidRDefault="008B53F3" w:rsidP="008B53F3">
            <w:pPr>
              <w:pStyle w:val="COMTabletext"/>
              <w:keepNext w:val="0"/>
              <w:keepLines/>
              <w:widowControl w:val="0"/>
            </w:pPr>
            <w:r w:rsidRPr="00392B10">
              <w:rPr>
                <w:b/>
              </w:rPr>
              <w:t>AND</w:t>
            </w:r>
          </w:p>
        </w:tc>
      </w:tr>
      <w:tr w:rsidR="008B53F3" w:rsidRPr="00392B10" w14:paraId="25D9542F" w14:textId="77777777" w:rsidTr="00E75D09">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6934B38F" w14:textId="54BD1A1A" w:rsidR="008B53F3" w:rsidRPr="00392B10" w:rsidRDefault="008B53F3" w:rsidP="008B53F3">
            <w:pPr>
              <w:pStyle w:val="COMTabletext"/>
              <w:keepNext w:val="0"/>
              <w:keepLines/>
              <w:widowControl w:val="0"/>
            </w:pPr>
            <w:r w:rsidRPr="00392B10">
              <w:rPr>
                <w:b/>
              </w:rPr>
              <w:t>Clinical criteria:</w:t>
            </w:r>
          </w:p>
        </w:tc>
      </w:tr>
      <w:tr w:rsidR="008B53F3" w:rsidRPr="00392B10" w14:paraId="4AC47F18" w14:textId="77777777" w:rsidTr="00E75D09">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5DF2E83E" w14:textId="3C3FEF89" w:rsidR="008B53F3" w:rsidRPr="00392B10" w:rsidRDefault="008B53F3" w:rsidP="008B53F3">
            <w:pPr>
              <w:pStyle w:val="COMTabletext"/>
              <w:keepNext w:val="0"/>
              <w:keepLines/>
              <w:widowControl w:val="0"/>
            </w:pPr>
            <w:r w:rsidRPr="00392B10">
              <w:rPr>
                <w:rFonts w:eastAsia="Times New Roman" w:cs="Times New Roman"/>
                <w:snapToGrid w:val="0"/>
              </w:rPr>
              <w:t>Patient must not be suitable for treatment with midostaurin</w:t>
            </w:r>
          </w:p>
        </w:tc>
      </w:tr>
      <w:tr w:rsidR="008B53F3" w:rsidRPr="00392B10" w14:paraId="023BFEB2" w14:textId="77777777" w:rsidTr="00E75D09">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47F7A32E" w14:textId="44FD39FF" w:rsidR="008B53F3" w:rsidRPr="00392B10" w:rsidRDefault="008B53F3" w:rsidP="008B53F3">
            <w:pPr>
              <w:pStyle w:val="COMTabletext"/>
              <w:keepNext w:val="0"/>
              <w:keepLines/>
              <w:widowControl w:val="0"/>
            </w:pPr>
            <w:r w:rsidRPr="00392B10">
              <w:rPr>
                <w:b/>
              </w:rPr>
              <w:t>AND</w:t>
            </w:r>
          </w:p>
        </w:tc>
      </w:tr>
      <w:tr w:rsidR="008B53F3" w:rsidRPr="00392B10" w14:paraId="14C983CE" w14:textId="77777777" w:rsidTr="00E75D09">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6E2822BC" w14:textId="41A6C507" w:rsidR="008B53F3" w:rsidRPr="00392B10" w:rsidRDefault="008B53F3" w:rsidP="008B53F3">
            <w:pPr>
              <w:pStyle w:val="COMTabletext"/>
              <w:keepNext w:val="0"/>
              <w:keepLines/>
              <w:widowControl w:val="0"/>
            </w:pPr>
            <w:r w:rsidRPr="00392B10">
              <w:rPr>
                <w:b/>
              </w:rPr>
              <w:t>Clinical criteria:</w:t>
            </w:r>
          </w:p>
        </w:tc>
      </w:tr>
      <w:tr w:rsidR="008B53F3" w:rsidRPr="00392B10" w14:paraId="077E2EB8" w14:textId="77777777" w:rsidTr="00E75D09">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532D2F58" w14:textId="1139B450" w:rsidR="008B53F3" w:rsidRPr="00392B10" w:rsidRDefault="008B53F3" w:rsidP="008B53F3">
            <w:pPr>
              <w:pStyle w:val="COMTabletext"/>
              <w:keepNext w:val="0"/>
              <w:keepLines/>
              <w:widowControl w:val="0"/>
              <w:rPr>
                <w:b/>
              </w:rPr>
            </w:pPr>
            <w:r w:rsidRPr="00392B10">
              <w:rPr>
                <w:rFonts w:eastAsia="Times New Roman" w:cs="Times New Roman"/>
                <w:snapToGrid w:val="0"/>
              </w:rPr>
              <w:t>Patient must have a World Health Organization (WHO) performance status of 2 or less</w:t>
            </w:r>
          </w:p>
        </w:tc>
      </w:tr>
      <w:tr w:rsidR="008B53F3" w:rsidRPr="00392B10" w14:paraId="6EAB3915" w14:textId="77777777" w:rsidTr="00E75D09">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0EFF2E98" w14:textId="77777777" w:rsidR="008B53F3" w:rsidRPr="00392B10" w:rsidRDefault="008B53F3" w:rsidP="008B53F3">
            <w:pPr>
              <w:pStyle w:val="COMTabletext"/>
              <w:keepNext w:val="0"/>
              <w:keepLines/>
              <w:widowControl w:val="0"/>
            </w:pPr>
            <w:r w:rsidRPr="00392B10">
              <w:rPr>
                <w:b/>
              </w:rPr>
              <w:t>Treatment criteria:</w:t>
            </w:r>
          </w:p>
        </w:tc>
      </w:tr>
      <w:tr w:rsidR="008B53F3" w:rsidRPr="00392B10" w14:paraId="2ACD868A" w14:textId="77777777" w:rsidTr="00E75D09">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39B9DFDA" w14:textId="69EC88C5" w:rsidR="008B53F3" w:rsidRPr="00392B10" w:rsidRDefault="008B53F3" w:rsidP="008B53F3">
            <w:pPr>
              <w:pStyle w:val="COMTabletext"/>
              <w:keepNext w:val="0"/>
              <w:keepLines/>
              <w:widowControl w:val="0"/>
              <w:rPr>
                <w:i/>
                <w:iCs/>
              </w:rPr>
            </w:pPr>
            <w:r w:rsidRPr="00392B10">
              <w:rPr>
                <w:rFonts w:eastAsia="Times New Roman" w:cs="Times New Roman"/>
                <w:snapToGrid w:val="0"/>
              </w:rPr>
              <w:t>The treatment must not exceed two cycles of induction therapy under this restriction</w:t>
            </w:r>
          </w:p>
        </w:tc>
      </w:tr>
      <w:tr w:rsidR="008B53F3" w:rsidRPr="00392B10" w14:paraId="3CD9BB21" w14:textId="77777777" w:rsidTr="00E75D09">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29AF1588" w14:textId="77777777" w:rsidR="008B53F3" w:rsidRPr="00392B10" w:rsidRDefault="008B53F3" w:rsidP="008B53F3">
            <w:pPr>
              <w:pStyle w:val="COMTabletext"/>
              <w:keepNext w:val="0"/>
              <w:keepLines/>
              <w:widowControl w:val="0"/>
            </w:pPr>
            <w:r w:rsidRPr="00392B10">
              <w:rPr>
                <w:b/>
              </w:rPr>
              <w:t>Population criteria:</w:t>
            </w:r>
          </w:p>
        </w:tc>
      </w:tr>
      <w:tr w:rsidR="00EF1EC5" w:rsidRPr="00392B10" w14:paraId="1CEB29AB" w14:textId="77777777" w:rsidTr="00924DCF">
        <w:tblPrEx>
          <w:tblCellMar>
            <w:top w:w="15" w:type="dxa"/>
            <w:bottom w:w="15" w:type="dxa"/>
          </w:tblCellMar>
          <w:tblLook w:val="04A0" w:firstRow="1" w:lastRow="0" w:firstColumn="1" w:lastColumn="0" w:noHBand="0" w:noVBand="1"/>
        </w:tblPrEx>
        <w:trPr>
          <w:cantSplit/>
          <w:trHeight w:val="20"/>
        </w:trPr>
        <w:tc>
          <w:tcPr>
            <w:tcW w:w="5000" w:type="pct"/>
            <w:gridSpan w:val="4"/>
          </w:tcPr>
          <w:p w14:paraId="07ECA7B9" w14:textId="6FEF514A" w:rsidR="00EF1EC5" w:rsidRPr="00392B10" w:rsidRDefault="00EF1EC5" w:rsidP="00EF1EC5">
            <w:pPr>
              <w:pStyle w:val="COMTabletext"/>
              <w:keepNext w:val="0"/>
              <w:keepLines/>
              <w:widowControl w:val="0"/>
              <w:rPr>
                <w:color w:val="0066FF"/>
              </w:rPr>
            </w:pPr>
            <w:r w:rsidRPr="00392B10">
              <w:rPr>
                <w:rFonts w:eastAsia="Times New Roman" w:cs="Times New Roman"/>
                <w:snapToGrid w:val="0"/>
                <w:szCs w:val="20"/>
              </w:rPr>
              <w:t>Patient must be at least 18 years of age</w:t>
            </w:r>
          </w:p>
        </w:tc>
      </w:tr>
      <w:tr w:rsidR="008B53F3" w:rsidRPr="00392B10" w14:paraId="137A9E0A" w14:textId="77777777" w:rsidTr="00E75D09">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04AA4736" w14:textId="2FF84670" w:rsidR="008B53F3" w:rsidRPr="00392B10" w:rsidRDefault="008B53F3" w:rsidP="008B53F3">
            <w:pPr>
              <w:pStyle w:val="COMTabletext"/>
              <w:keepNext w:val="0"/>
              <w:keepLines/>
              <w:widowControl w:val="0"/>
            </w:pPr>
            <w:r w:rsidRPr="00392B10">
              <w:rPr>
                <w:b/>
              </w:rPr>
              <w:lastRenderedPageBreak/>
              <w:t xml:space="preserve">Prescribing Instructions: </w:t>
            </w:r>
            <w:r w:rsidR="00EF1EC5" w:rsidRPr="00392B10">
              <w:rPr>
                <w:rFonts w:eastAsia="Times New Roman" w:cs="Times New Roman"/>
                <w:snapToGrid w:val="0"/>
                <w:szCs w:val="20"/>
              </w:rPr>
              <w:t>This product is not PBS-subsidised if it is administered to an inpatient in a public hospital setting</w:t>
            </w:r>
          </w:p>
        </w:tc>
      </w:tr>
      <w:tr w:rsidR="008B53F3" w:rsidRPr="00392B10" w14:paraId="3EF3F621" w14:textId="77777777" w:rsidTr="00E75D09">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620D9AAE" w14:textId="184AB645" w:rsidR="008B53F3" w:rsidRPr="00392B10" w:rsidRDefault="008B53F3" w:rsidP="008B53F3">
            <w:pPr>
              <w:pStyle w:val="COMTabletext"/>
              <w:keepNext w:val="0"/>
              <w:keepLines/>
              <w:widowControl w:val="0"/>
            </w:pPr>
            <w:r w:rsidRPr="00392B10">
              <w:rPr>
                <w:b/>
              </w:rPr>
              <w:t xml:space="preserve">Administrative Advice: </w:t>
            </w:r>
            <w:r w:rsidR="00EF1EC5" w:rsidRPr="00392B10">
              <w:rPr>
                <w:rFonts w:eastAsia="Times New Roman" w:cs="Times New Roman"/>
                <w:snapToGrid w:val="0"/>
              </w:rPr>
              <w:t>No increase in the maximum number of repeats may be authorised</w:t>
            </w:r>
          </w:p>
        </w:tc>
      </w:tr>
      <w:tr w:rsidR="00EF1EC5" w:rsidRPr="00392B10" w14:paraId="4FE85721" w14:textId="77777777" w:rsidTr="00E75D09">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1A8A8A4C" w14:textId="77777777" w:rsidR="00EF1EC5" w:rsidRPr="00392B10" w:rsidRDefault="00EF1EC5" w:rsidP="00E75D09">
            <w:pPr>
              <w:pStyle w:val="COMTabletext"/>
              <w:keepNext w:val="0"/>
              <w:keepLines/>
              <w:widowControl w:val="0"/>
              <w:rPr>
                <w:b/>
              </w:rPr>
            </w:pPr>
            <w:r w:rsidRPr="00392B10">
              <w:rPr>
                <w:b/>
              </w:rPr>
              <w:t xml:space="preserve">Administrative Advice: </w:t>
            </w:r>
            <w:r w:rsidRPr="00392B10">
              <w:rPr>
                <w:rFonts w:eastAsia="Times New Roman" w:cs="Times New Roman"/>
                <w:snapToGrid w:val="0"/>
              </w:rPr>
              <w:t>Special Pricing Arrangements apply</w:t>
            </w:r>
          </w:p>
        </w:tc>
      </w:tr>
      <w:tr w:rsidR="000B007B" w:rsidRPr="00392B10" w14:paraId="213C0C8D" w14:textId="77777777" w:rsidTr="00E75D09">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40E4B68D" w14:textId="77777777" w:rsidR="000B007B" w:rsidRPr="00392B10" w:rsidRDefault="000B007B" w:rsidP="008B53F3">
            <w:pPr>
              <w:pStyle w:val="COMTabletext"/>
              <w:keepNext w:val="0"/>
              <w:keepLines/>
              <w:widowControl w:val="0"/>
              <w:rPr>
                <w:b/>
              </w:rPr>
            </w:pPr>
          </w:p>
        </w:tc>
      </w:tr>
      <w:tr w:rsidR="00EF1EC5" w:rsidRPr="00392B10" w14:paraId="20FACDB7" w14:textId="77777777" w:rsidTr="00E75D09">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67757AF4" w14:textId="79E7F414" w:rsidR="00EF1EC5" w:rsidRPr="00392B10" w:rsidRDefault="00051390" w:rsidP="008B53F3">
            <w:pPr>
              <w:pStyle w:val="COMTabletext"/>
              <w:keepNext w:val="0"/>
              <w:keepLines/>
              <w:widowControl w:val="0"/>
              <w:rPr>
                <w:b/>
              </w:rPr>
            </w:pPr>
            <w:r w:rsidRPr="00392B10">
              <w:rPr>
                <w:b/>
              </w:rPr>
              <w:t>CRITERIA FOR CONSOLIDATION LISTING</w:t>
            </w:r>
          </w:p>
        </w:tc>
      </w:tr>
      <w:tr w:rsidR="008B53F3" w:rsidRPr="00392B10" w14:paraId="2765AD68" w14:textId="77777777" w:rsidTr="00E75D09">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30361F90" w14:textId="0BBC36FF" w:rsidR="008B53F3" w:rsidRPr="00392B10" w:rsidRDefault="00542CF8" w:rsidP="008B53F3">
            <w:pPr>
              <w:pStyle w:val="COMTabletext"/>
              <w:keepNext w:val="0"/>
              <w:keepLines/>
              <w:widowControl w:val="0"/>
            </w:pPr>
            <w:r w:rsidRPr="00392B10">
              <w:rPr>
                <w:b/>
              </w:rPr>
              <w:t>Treatment Phase:</w:t>
            </w:r>
            <w:r w:rsidRPr="00392B10">
              <w:t xml:space="preserve"> Consolidation</w:t>
            </w:r>
          </w:p>
        </w:tc>
      </w:tr>
      <w:tr w:rsidR="00542CF8" w:rsidRPr="00392B10" w14:paraId="6762536A" w14:textId="77777777" w:rsidTr="00E75D09">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56286973" w14:textId="0DD839CC" w:rsidR="00542CF8" w:rsidRPr="00392B10" w:rsidRDefault="00542CF8" w:rsidP="00542CF8">
            <w:pPr>
              <w:pStyle w:val="COMTabletext"/>
              <w:keepNext w:val="0"/>
              <w:keepLines/>
              <w:widowControl w:val="0"/>
              <w:rPr>
                <w:b/>
              </w:rPr>
            </w:pPr>
            <w:r w:rsidRPr="00392B10">
              <w:rPr>
                <w:b/>
              </w:rPr>
              <w:t>Clinical criteria:</w:t>
            </w:r>
          </w:p>
        </w:tc>
      </w:tr>
      <w:tr w:rsidR="00542CF8" w:rsidRPr="00392B10" w14:paraId="3D4AAF7B" w14:textId="77777777" w:rsidTr="00BA4D34">
        <w:tblPrEx>
          <w:tblCellMar>
            <w:top w:w="15" w:type="dxa"/>
            <w:bottom w:w="15" w:type="dxa"/>
          </w:tblCellMar>
          <w:tblLook w:val="04A0" w:firstRow="1" w:lastRow="0" w:firstColumn="1" w:lastColumn="0" w:noHBand="0" w:noVBand="1"/>
        </w:tblPrEx>
        <w:trPr>
          <w:cantSplit/>
          <w:trHeight w:val="20"/>
        </w:trPr>
        <w:tc>
          <w:tcPr>
            <w:tcW w:w="5000" w:type="pct"/>
            <w:gridSpan w:val="4"/>
          </w:tcPr>
          <w:p w14:paraId="67BF9F2F" w14:textId="3B2E1290" w:rsidR="00542CF8" w:rsidRPr="00392B10" w:rsidRDefault="00542CF8" w:rsidP="00542CF8">
            <w:pPr>
              <w:pStyle w:val="COMTabletext"/>
              <w:keepNext w:val="0"/>
              <w:keepLines/>
              <w:widowControl w:val="0"/>
              <w:rPr>
                <w:b/>
              </w:rPr>
            </w:pPr>
            <w:r w:rsidRPr="00392B10">
              <w:rPr>
                <w:rFonts w:eastAsia="Times New Roman" w:cs="Times New Roman"/>
                <w:snapToGrid w:val="0"/>
              </w:rPr>
              <w:t>The treatment must be for consolidation treatment following induction treatment with this product</w:t>
            </w:r>
          </w:p>
        </w:tc>
      </w:tr>
      <w:tr w:rsidR="00542CF8" w:rsidRPr="00392B10" w14:paraId="28350E17" w14:textId="77777777" w:rsidTr="00E75D09">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3DB6C875" w14:textId="718AF4C7" w:rsidR="00542CF8" w:rsidRPr="00392B10" w:rsidRDefault="00542CF8" w:rsidP="00542CF8">
            <w:pPr>
              <w:pStyle w:val="COMTabletext"/>
              <w:keepNext w:val="0"/>
              <w:keepLines/>
              <w:widowControl w:val="0"/>
              <w:rPr>
                <w:b/>
              </w:rPr>
            </w:pPr>
            <w:r w:rsidRPr="00392B10">
              <w:rPr>
                <w:b/>
              </w:rPr>
              <w:t>AND</w:t>
            </w:r>
          </w:p>
        </w:tc>
      </w:tr>
      <w:tr w:rsidR="00542CF8" w:rsidRPr="00392B10" w14:paraId="10B5CD1C" w14:textId="77777777" w:rsidTr="00E75D09">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43FB09DA" w14:textId="7ADD67A8" w:rsidR="00542CF8" w:rsidRPr="00392B10" w:rsidRDefault="00542CF8" w:rsidP="00542CF8">
            <w:pPr>
              <w:pStyle w:val="COMTabletext"/>
              <w:keepNext w:val="0"/>
              <w:keepLines/>
              <w:widowControl w:val="0"/>
              <w:rPr>
                <w:b/>
              </w:rPr>
            </w:pPr>
            <w:r w:rsidRPr="00392B10">
              <w:rPr>
                <w:b/>
              </w:rPr>
              <w:t>Clinical criteria:</w:t>
            </w:r>
          </w:p>
        </w:tc>
      </w:tr>
      <w:tr w:rsidR="00542CF8" w:rsidRPr="00392B10" w14:paraId="3F03D8B0" w14:textId="77777777" w:rsidTr="00E75D09">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03FA93C7" w14:textId="1ADE917E" w:rsidR="00542CF8" w:rsidRPr="00392B10" w:rsidRDefault="00542CF8" w:rsidP="00542CF8">
            <w:pPr>
              <w:pStyle w:val="COMTabletext"/>
              <w:keepNext w:val="0"/>
              <w:keepLines/>
              <w:widowControl w:val="0"/>
              <w:rPr>
                <w:b/>
              </w:rPr>
            </w:pPr>
            <w:r w:rsidRPr="00392B10">
              <w:t xml:space="preserve">The condition must be either (i) </w:t>
            </w:r>
            <w:proofErr w:type="gramStart"/>
            <w:r w:rsidRPr="00392B10">
              <w:t>newly-diagnosed</w:t>
            </w:r>
            <w:proofErr w:type="gramEnd"/>
            <w:r w:rsidRPr="00392B10">
              <w:t xml:space="preserve"> therapy-related acute myeloid leukaemia (AML), or (ii) newly-diagnosed AML with myelodysplasia-related changes (MRC) (prior myelodysplastic syndromes (MDS) or MDS-related cytogenetic or molecular abnormality)</w:t>
            </w:r>
          </w:p>
        </w:tc>
      </w:tr>
      <w:tr w:rsidR="00542CF8" w:rsidRPr="00392B10" w14:paraId="66F8BE98" w14:textId="77777777" w:rsidTr="00E75D09">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7B82E0D8" w14:textId="6780532E" w:rsidR="00542CF8" w:rsidRPr="00392B10" w:rsidRDefault="00542CF8" w:rsidP="00542CF8">
            <w:pPr>
              <w:pStyle w:val="COMTabletext"/>
              <w:keepNext w:val="0"/>
              <w:keepLines/>
              <w:widowControl w:val="0"/>
              <w:rPr>
                <w:b/>
              </w:rPr>
            </w:pPr>
            <w:r w:rsidRPr="00392B10">
              <w:rPr>
                <w:b/>
              </w:rPr>
              <w:t>AND</w:t>
            </w:r>
          </w:p>
        </w:tc>
      </w:tr>
      <w:tr w:rsidR="00542CF8" w:rsidRPr="00392B10" w14:paraId="46FC55D1" w14:textId="77777777" w:rsidTr="00E75D09">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0E0A94D5" w14:textId="410405B2" w:rsidR="00542CF8" w:rsidRPr="00392B10" w:rsidRDefault="00542CF8" w:rsidP="00542CF8">
            <w:pPr>
              <w:pStyle w:val="COMTabletext"/>
              <w:keepNext w:val="0"/>
              <w:keepLines/>
              <w:widowControl w:val="0"/>
              <w:rPr>
                <w:b/>
              </w:rPr>
            </w:pPr>
            <w:r w:rsidRPr="00392B10">
              <w:rPr>
                <w:b/>
              </w:rPr>
              <w:t>Clinical criteria:</w:t>
            </w:r>
          </w:p>
        </w:tc>
      </w:tr>
      <w:tr w:rsidR="00542CF8" w:rsidRPr="00392B10" w14:paraId="558FF193" w14:textId="77777777" w:rsidTr="00BA4D34">
        <w:tblPrEx>
          <w:tblCellMar>
            <w:top w:w="15" w:type="dxa"/>
            <w:bottom w:w="15" w:type="dxa"/>
          </w:tblCellMar>
          <w:tblLook w:val="04A0" w:firstRow="1" w:lastRow="0" w:firstColumn="1" w:lastColumn="0" w:noHBand="0" w:noVBand="1"/>
        </w:tblPrEx>
        <w:trPr>
          <w:cantSplit/>
          <w:trHeight w:val="20"/>
        </w:trPr>
        <w:tc>
          <w:tcPr>
            <w:tcW w:w="5000" w:type="pct"/>
            <w:gridSpan w:val="4"/>
          </w:tcPr>
          <w:p w14:paraId="251FF1E7" w14:textId="525B4C6A" w:rsidR="00542CF8" w:rsidRPr="00392B10" w:rsidRDefault="00542CF8" w:rsidP="00542CF8">
            <w:pPr>
              <w:pStyle w:val="COMTabletext"/>
              <w:keepNext w:val="0"/>
              <w:keepLines/>
              <w:widowControl w:val="0"/>
              <w:rPr>
                <w:b/>
              </w:rPr>
            </w:pPr>
            <w:r w:rsidRPr="00392B10">
              <w:rPr>
                <w:rFonts w:eastAsia="Times New Roman" w:cs="Times New Roman"/>
                <w:snapToGrid w:val="0"/>
              </w:rPr>
              <w:t>Patient must have had either (i) a complete response, or (ii) complete response with incomplete platelet or neutrophil recovery, to induction treatment</w:t>
            </w:r>
          </w:p>
        </w:tc>
      </w:tr>
      <w:tr w:rsidR="00542CF8" w:rsidRPr="00392B10" w14:paraId="103464AA" w14:textId="77777777" w:rsidTr="00E75D09">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0E3B3386" w14:textId="138F54AE" w:rsidR="00542CF8" w:rsidRPr="00392B10" w:rsidRDefault="00542CF8" w:rsidP="00542CF8">
            <w:pPr>
              <w:pStyle w:val="COMTabletext"/>
              <w:keepNext w:val="0"/>
              <w:keepLines/>
              <w:widowControl w:val="0"/>
              <w:rPr>
                <w:b/>
              </w:rPr>
            </w:pPr>
            <w:r w:rsidRPr="00392B10">
              <w:rPr>
                <w:b/>
              </w:rPr>
              <w:t>Treatment criteria:</w:t>
            </w:r>
          </w:p>
        </w:tc>
      </w:tr>
      <w:tr w:rsidR="00542CF8" w:rsidRPr="00392B10" w14:paraId="15C91E22" w14:textId="77777777" w:rsidTr="00BA4D34">
        <w:tblPrEx>
          <w:tblCellMar>
            <w:top w:w="15" w:type="dxa"/>
            <w:bottom w:w="15" w:type="dxa"/>
          </w:tblCellMar>
          <w:tblLook w:val="04A0" w:firstRow="1" w:lastRow="0" w:firstColumn="1" w:lastColumn="0" w:noHBand="0" w:noVBand="1"/>
        </w:tblPrEx>
        <w:trPr>
          <w:cantSplit/>
          <w:trHeight w:val="20"/>
        </w:trPr>
        <w:tc>
          <w:tcPr>
            <w:tcW w:w="5000" w:type="pct"/>
            <w:gridSpan w:val="4"/>
          </w:tcPr>
          <w:p w14:paraId="24817743" w14:textId="7CB04656" w:rsidR="00542CF8" w:rsidRPr="00392B10" w:rsidRDefault="00542CF8" w:rsidP="00542CF8">
            <w:pPr>
              <w:pStyle w:val="COMTabletext"/>
              <w:keepNext w:val="0"/>
              <w:keepLines/>
              <w:widowControl w:val="0"/>
              <w:rPr>
                <w:b/>
              </w:rPr>
            </w:pPr>
            <w:r w:rsidRPr="00392B10">
              <w:rPr>
                <w:rFonts w:eastAsia="Times New Roman" w:cs="Times New Roman"/>
                <w:snapToGrid w:val="0"/>
              </w:rPr>
              <w:t>The treatment must not exceed two cycles of consolidation therapy under this restriction</w:t>
            </w:r>
          </w:p>
        </w:tc>
      </w:tr>
      <w:tr w:rsidR="00542CF8" w:rsidRPr="00392B10" w14:paraId="49B0F6EA" w14:textId="77777777" w:rsidTr="00E75D09">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30E48437" w14:textId="11875B1D" w:rsidR="00542CF8" w:rsidRPr="00392B10" w:rsidRDefault="00542CF8" w:rsidP="00542CF8">
            <w:pPr>
              <w:pStyle w:val="COMTabletext"/>
              <w:keepNext w:val="0"/>
              <w:keepLines/>
              <w:widowControl w:val="0"/>
              <w:rPr>
                <w:b/>
              </w:rPr>
            </w:pPr>
            <w:r w:rsidRPr="00392B10">
              <w:rPr>
                <w:b/>
              </w:rPr>
              <w:t>Population criteria:</w:t>
            </w:r>
          </w:p>
        </w:tc>
      </w:tr>
      <w:tr w:rsidR="00542CF8" w:rsidRPr="00392B10" w14:paraId="322D96DA" w14:textId="77777777" w:rsidTr="00BA4D34">
        <w:tblPrEx>
          <w:tblCellMar>
            <w:top w:w="15" w:type="dxa"/>
            <w:bottom w:w="15" w:type="dxa"/>
          </w:tblCellMar>
          <w:tblLook w:val="04A0" w:firstRow="1" w:lastRow="0" w:firstColumn="1" w:lastColumn="0" w:noHBand="0" w:noVBand="1"/>
        </w:tblPrEx>
        <w:trPr>
          <w:cantSplit/>
          <w:trHeight w:val="20"/>
        </w:trPr>
        <w:tc>
          <w:tcPr>
            <w:tcW w:w="5000" w:type="pct"/>
            <w:gridSpan w:val="4"/>
          </w:tcPr>
          <w:p w14:paraId="1094A93F" w14:textId="10BF2368" w:rsidR="00542CF8" w:rsidRPr="00392B10" w:rsidRDefault="00542CF8" w:rsidP="00542CF8">
            <w:pPr>
              <w:pStyle w:val="COMTabletext"/>
              <w:keepNext w:val="0"/>
              <w:keepLines/>
              <w:widowControl w:val="0"/>
              <w:rPr>
                <w:b/>
              </w:rPr>
            </w:pPr>
            <w:r w:rsidRPr="00392B10">
              <w:rPr>
                <w:rFonts w:eastAsia="Times New Roman" w:cs="Times New Roman"/>
                <w:snapToGrid w:val="0"/>
                <w:szCs w:val="20"/>
              </w:rPr>
              <w:t>Patient must be at least 18 years of age</w:t>
            </w:r>
          </w:p>
        </w:tc>
      </w:tr>
      <w:tr w:rsidR="00542CF8" w:rsidRPr="00392B10" w14:paraId="117A3F91" w14:textId="77777777" w:rsidTr="00E75D09">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0254FCFE" w14:textId="0FBE0548" w:rsidR="00542CF8" w:rsidRPr="00392B10" w:rsidRDefault="00542CF8" w:rsidP="00542CF8">
            <w:pPr>
              <w:pStyle w:val="COMTabletext"/>
              <w:keepNext w:val="0"/>
              <w:keepLines/>
              <w:widowControl w:val="0"/>
              <w:rPr>
                <w:b/>
              </w:rPr>
            </w:pPr>
            <w:r w:rsidRPr="00392B10">
              <w:rPr>
                <w:b/>
              </w:rPr>
              <w:t xml:space="preserve">Prescribing Instructions: </w:t>
            </w:r>
            <w:r w:rsidRPr="00392B10">
              <w:rPr>
                <w:rFonts w:eastAsia="Times New Roman" w:cs="Times New Roman"/>
                <w:snapToGrid w:val="0"/>
                <w:szCs w:val="20"/>
              </w:rPr>
              <w:t>This product is not PBS-subsidised if it is administered to an inpatient in a public hospital setting</w:t>
            </w:r>
          </w:p>
        </w:tc>
      </w:tr>
      <w:tr w:rsidR="00542CF8" w:rsidRPr="00392B10" w14:paraId="75E57711" w14:textId="77777777" w:rsidTr="00E75D09">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360EEEA1" w14:textId="07DD4CFD" w:rsidR="00542CF8" w:rsidRPr="00392B10" w:rsidRDefault="00542CF8" w:rsidP="00542CF8">
            <w:pPr>
              <w:pStyle w:val="COMTabletext"/>
              <w:keepNext w:val="0"/>
              <w:keepLines/>
              <w:widowControl w:val="0"/>
              <w:rPr>
                <w:b/>
              </w:rPr>
            </w:pPr>
            <w:r w:rsidRPr="00392B10">
              <w:rPr>
                <w:b/>
              </w:rPr>
              <w:t xml:space="preserve">Administrative Advice: </w:t>
            </w:r>
            <w:r w:rsidRPr="00392B10">
              <w:rPr>
                <w:rFonts w:eastAsia="Times New Roman" w:cs="Times New Roman"/>
                <w:snapToGrid w:val="0"/>
              </w:rPr>
              <w:t>No increase in the maximum number of repeats may be authorised</w:t>
            </w:r>
          </w:p>
        </w:tc>
      </w:tr>
      <w:tr w:rsidR="00542CF8" w:rsidRPr="00392B10" w14:paraId="19968261" w14:textId="77777777" w:rsidTr="00E75D09">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4E2C6E76" w14:textId="4FDF315E" w:rsidR="00542CF8" w:rsidRPr="00392B10" w:rsidRDefault="00542CF8" w:rsidP="00542CF8">
            <w:pPr>
              <w:pStyle w:val="COMTabletext"/>
              <w:keepNext w:val="0"/>
              <w:keepLines/>
              <w:widowControl w:val="0"/>
              <w:rPr>
                <w:b/>
              </w:rPr>
            </w:pPr>
            <w:r w:rsidRPr="00392B10">
              <w:rPr>
                <w:b/>
              </w:rPr>
              <w:t>Administrative Advice:</w:t>
            </w:r>
            <w:r w:rsidRPr="00392B10">
              <w:rPr>
                <w:rFonts w:eastAsia="Times New Roman" w:cs="Times New Roman"/>
                <w:snapToGrid w:val="0"/>
              </w:rPr>
              <w:t xml:space="preserve"> Special Pricing Arrangements apply</w:t>
            </w:r>
          </w:p>
        </w:tc>
      </w:tr>
      <w:bookmarkEnd w:id="9"/>
    </w:tbl>
    <w:p w14:paraId="77AA3379" w14:textId="3E021847" w:rsidR="00B77FB2" w:rsidRPr="00392B10" w:rsidRDefault="00B77FB2" w:rsidP="00B77FB2">
      <w:pPr>
        <w:pStyle w:val="COMexecsumnumberedpara"/>
        <w:numPr>
          <w:ilvl w:val="0"/>
          <w:numId w:val="0"/>
        </w:numPr>
        <w:ind w:left="720" w:hanging="720"/>
      </w:pPr>
    </w:p>
    <w:p w14:paraId="03BE9E9C" w14:textId="59064E4D" w:rsidR="00614414" w:rsidRPr="00392B10" w:rsidRDefault="00E729DC" w:rsidP="001903F6">
      <w:pPr>
        <w:pStyle w:val="COMexecsumnumberedpara"/>
      </w:pPr>
      <w:r w:rsidRPr="00392B10">
        <w:t>The submission claimed th</w:t>
      </w:r>
      <w:r w:rsidR="00B77FB2" w:rsidRPr="00392B10">
        <w:t>at as the</w:t>
      </w:r>
      <w:r w:rsidRPr="00392B10">
        <w:t xml:space="preserve"> majority of patients will initiate treatment in the public hospital inpatient setting, the funding of liposomal daunorubicin and cytarabine is expected to largely fall within the budget of public hospitals and not the Australian Government. However, the submission argued that it is important for the treatment to be PBS-listed as some patients may be treated in the private hospital setting. </w:t>
      </w:r>
      <w:r w:rsidR="00264E92" w:rsidRPr="00392B10">
        <w:t xml:space="preserve">The ESC agreed, noting that with the exception of Queensland, the majority of AML induction and consolidation therapy is provided in the public hospital setting. In Queensland, much of this treatment is provided in the private hospital setting. </w:t>
      </w:r>
      <w:r w:rsidRPr="00392B10">
        <w:t>In addition, the submission claimed that treatment administration of liposomal daunorubicin and cytarabine involves shorter and less frequent infusions which increases the potential for administration of consolidation therapy in the outpatient setting.</w:t>
      </w:r>
      <w:r w:rsidR="00AB3287" w:rsidRPr="00392B10">
        <w:t xml:space="preserve"> </w:t>
      </w:r>
    </w:p>
    <w:p w14:paraId="1BF5B038" w14:textId="05B02E12" w:rsidR="001903F6" w:rsidRPr="00392B10" w:rsidRDefault="001903F6" w:rsidP="001903F6">
      <w:pPr>
        <w:pStyle w:val="COMexecsumnumberedpara"/>
      </w:pPr>
      <w:r w:rsidRPr="00392B10">
        <w:t xml:space="preserve">The submission proposed a special pricing arrangement for induction and consolidation, with an effective </w:t>
      </w:r>
      <w:r w:rsidR="002B0CC3" w:rsidRPr="00392B10">
        <w:t>approved ex-manufacturer price (AEMP)</w:t>
      </w:r>
      <w:r w:rsidRPr="00392B10">
        <w:t xml:space="preserve"> of $</w:t>
      </w:r>
      <w:r w:rsidR="00EA163B" w:rsidRPr="00795A1F">
        <w:rPr>
          <w:color w:val="000000"/>
          <w:w w:val="15"/>
          <w:shd w:val="solid" w:color="000000" w:fill="000000"/>
          <w:fitText w:val="-20" w:id="-1171540480"/>
          <w14:textFill>
            <w14:solidFill>
              <w14:srgbClr w14:val="000000">
                <w14:alpha w14:val="100000"/>
              </w14:srgbClr>
            </w14:solidFill>
          </w14:textFill>
        </w:rPr>
        <w:t xml:space="preserve">|  </w:t>
      </w:r>
      <w:r w:rsidR="00EA163B" w:rsidRPr="00795A1F">
        <w:rPr>
          <w:color w:val="000000"/>
          <w:spacing w:val="-69"/>
          <w:w w:val="15"/>
          <w:shd w:val="solid" w:color="000000" w:fill="000000"/>
          <w:fitText w:val="-20" w:id="-1171540480"/>
          <w14:textFill>
            <w14:solidFill>
              <w14:srgbClr w14:val="000000">
                <w14:alpha w14:val="100000"/>
              </w14:srgbClr>
            </w14:solidFill>
          </w14:textFill>
        </w:rPr>
        <w:t>|</w:t>
      </w:r>
      <w:r w:rsidRPr="00392B10">
        <w:t xml:space="preserve"> per vial and a published AEMP of $</w:t>
      </w:r>
      <w:r w:rsidRPr="004115B7">
        <w:t>8,215 per vial.</w:t>
      </w:r>
    </w:p>
    <w:p w14:paraId="730A97B2" w14:textId="300AF04A" w:rsidR="001B6ACE" w:rsidRPr="00392B10" w:rsidRDefault="001B6ACE" w:rsidP="001903F6">
      <w:pPr>
        <w:pStyle w:val="COMexecsumnumberedpara"/>
      </w:pPr>
      <w:r w:rsidRPr="00392B10">
        <w:t xml:space="preserve">The requested PBS restrictions </w:t>
      </w:r>
      <w:r w:rsidR="00B77FB2" w:rsidRPr="00392B10">
        <w:t xml:space="preserve">were </w:t>
      </w:r>
      <w:r w:rsidRPr="00392B10">
        <w:t>narrower than the TGA indication, which does not restrict treatment on the basis of prior chemotherapy, suitability for midostaurin treatment or WHO performance status.</w:t>
      </w:r>
    </w:p>
    <w:p w14:paraId="677B49A6" w14:textId="1BF6569D" w:rsidR="00AC5A84" w:rsidRPr="00392B10" w:rsidRDefault="00AC5A84" w:rsidP="001903F6">
      <w:pPr>
        <w:pStyle w:val="COMexecsumnumberedpara"/>
      </w:pPr>
      <w:r w:rsidRPr="00392B10">
        <w:lastRenderedPageBreak/>
        <w:t>DUSC noted that the proposed restriction aligns with the current World Health Organization (WHO) classification scheme for AML which is currently under review and may need to be updated in the future to account for any change in the classification scheme.</w:t>
      </w:r>
    </w:p>
    <w:p w14:paraId="3B6D5D82" w14:textId="10114FF3" w:rsidR="00AC5A84" w:rsidRPr="00392B10" w:rsidRDefault="00AC5A84" w:rsidP="001903F6">
      <w:pPr>
        <w:pStyle w:val="COMexecsumnumberedpara"/>
      </w:pPr>
      <w:r w:rsidRPr="00392B10">
        <w:t>The requested maximum amounts provide sufficient quantities for induction and consolidation for a patient with a body surface area (BSA) up to 2.2 m</w:t>
      </w:r>
      <w:r w:rsidRPr="00392B10">
        <w:rPr>
          <w:vertAlign w:val="superscript"/>
        </w:rPr>
        <w:t>2</w:t>
      </w:r>
      <w:r w:rsidRPr="00392B10">
        <w:t xml:space="preserve"> which was consistent with listings under the Efficient Funding of Chemotherapy (EFC) program.</w:t>
      </w:r>
    </w:p>
    <w:p w14:paraId="472ACE5C" w14:textId="46066827" w:rsidR="00ED162E" w:rsidRPr="00392B10" w:rsidRDefault="00ED162E" w:rsidP="00B77FB2">
      <w:pPr>
        <w:pStyle w:val="COMexecsumnumberedpara"/>
      </w:pPr>
      <w:r w:rsidRPr="00392B10">
        <w:t xml:space="preserve">The requested restriction does not exclude patients who are FLT3 mutation positive but instead stipulates patients must be unsuitable for treatment with midostaurin. The approach was inconsistent with guideline recommendations of separate pathways and treatment options depending on FLT3 mutation status. It </w:t>
      </w:r>
      <w:r w:rsidR="00264E92" w:rsidRPr="00392B10">
        <w:t>wa</w:t>
      </w:r>
      <w:r w:rsidRPr="00392B10">
        <w:t>s also unclear what defining characteristics would prevent treatment with midostaurin, in FLT3 positive patients otherwise suitable for intensive induction.</w:t>
      </w:r>
      <w:r w:rsidR="00AC5A84" w:rsidRPr="00392B10">
        <w:t xml:space="preserve"> DUSC noted the subjective nature of the phrase ‘not suitable for treatment with midostaurin’ and considered that there was a possibility that midostaurin could be used in addition to liposomal daunorubicin and cytarabine</w:t>
      </w:r>
      <w:r w:rsidR="00B77FB2" w:rsidRPr="00392B10">
        <w:t xml:space="preserve">. </w:t>
      </w:r>
      <w:r w:rsidR="00264E92" w:rsidRPr="00392B10">
        <w:t>The ESC considered that it would</w:t>
      </w:r>
      <w:r w:rsidR="00046CDF" w:rsidRPr="00392B10">
        <w:t xml:space="preserve"> be more appropriate to replace the clinical criterion of ‘unsuitable for treatment with midostaurin’ with the exclusion of patients who are FLT3 mutation positive. This approach is better aligned with the increasing prioritisation of genetic aberrations in determining treatment options and also consistent with cytogenetic and molecular risk criteria included in other listings for newly diagnosed AML patients who are eligible for intensive induction chemotherapy (midostaurin, gemtuzumab).</w:t>
      </w:r>
      <w:r w:rsidR="00264E92" w:rsidRPr="00392B10">
        <w:t xml:space="preserve"> </w:t>
      </w:r>
    </w:p>
    <w:p w14:paraId="5316A518" w14:textId="7339A9D3" w:rsidR="00046CDF" w:rsidRPr="00392B10" w:rsidRDefault="00046CDF" w:rsidP="001903F6">
      <w:pPr>
        <w:pStyle w:val="COMexecsumnumberedpara"/>
      </w:pPr>
      <w:r w:rsidRPr="00392B10">
        <w:t xml:space="preserve">The proposed restriction was agnostic to cytogenetic risk. This was inconsistent with the key trial that excluded patients with favourable cytogenetic risk. </w:t>
      </w:r>
      <w:r w:rsidR="00264E92" w:rsidRPr="00392B10">
        <w:t>The evaluators suggested that i</w:t>
      </w:r>
      <w:r w:rsidRPr="00392B10">
        <w:t>t may be appropriate to include cytogenetic risk criteria based on patients with intermediate or poor risk only, as per the key trial.</w:t>
      </w:r>
    </w:p>
    <w:p w14:paraId="4604E247" w14:textId="3AED39CA" w:rsidR="00AB68EF" w:rsidRPr="00392B10" w:rsidRDefault="00AB68EF" w:rsidP="00AB68EF">
      <w:pPr>
        <w:pStyle w:val="COMexecsumnumberedpara"/>
      </w:pPr>
      <w:r w:rsidRPr="00392B10">
        <w:t xml:space="preserve">Data from the key trial indicated no difference in treatment benefit with liposomal daunorubicin and cytarabine versus daunorubicin and cytarabine in patients who had prior exposure to hypomethylating agents (HMAs e.g. azacitidine or decitabine). </w:t>
      </w:r>
      <w:r w:rsidR="00264E92" w:rsidRPr="00392B10">
        <w:t>The evaluators suggested that i</w:t>
      </w:r>
      <w:r w:rsidRPr="00392B10">
        <w:t xml:space="preserve">t may be appropriate to exclude these patients in the restriction, consistent with the place in therapy of liposomal daunorubicin and cytarabine in the NCCN guidelines. </w:t>
      </w:r>
    </w:p>
    <w:p w14:paraId="28549A3E" w14:textId="39CECA42" w:rsidR="009367B1" w:rsidRPr="00392B10" w:rsidRDefault="009367B1" w:rsidP="001903F6">
      <w:pPr>
        <w:pStyle w:val="COMexecsumnumberedpara"/>
      </w:pPr>
      <w:r w:rsidRPr="00392B10">
        <w:t xml:space="preserve">The proposed restriction was agnostic to TP53 mutation status. A </w:t>
      </w:r>
      <w:r w:rsidRPr="00392B10">
        <w:rPr>
          <w:i/>
          <w:iCs/>
        </w:rPr>
        <w:t>post hoc</w:t>
      </w:r>
      <w:r w:rsidRPr="00392B10">
        <w:t xml:space="preserve"> subgroup analysis suggested poor outcomes in patients with poor cytogenetic risk who have TP53 mutation in both arms of the key trial, with no apparent benefit in patients treated with liposomal daunorubicin and cytarabine versus daunorubicin and cytarabine. The authors of the </w:t>
      </w:r>
      <w:r w:rsidR="00087CE1" w:rsidRPr="00392B10">
        <w:t>published analysis</w:t>
      </w:r>
      <w:r w:rsidRPr="00392B10">
        <w:t xml:space="preserve"> noted that the use of standard intensive induction (7+3 daunorubicin and cytarabine) in these patients is not recommended by the NCCN guidelines due to poor outcomes, therefore it is not unexpected that the liposomal formulation also had limited benefit in patients with </w:t>
      </w:r>
      <w:r w:rsidRPr="00392B10">
        <w:lastRenderedPageBreak/>
        <w:t xml:space="preserve">TP53 mutations (Cortes 2022). </w:t>
      </w:r>
      <w:r w:rsidR="00264E92" w:rsidRPr="00392B10">
        <w:t>The evaluators suggested that i</w:t>
      </w:r>
      <w:r w:rsidRPr="00392B10">
        <w:t>t may be appropriate to exclude patients with TP53 mutations, consistent with guideline recommendations.</w:t>
      </w:r>
      <w:r w:rsidR="00264E92" w:rsidRPr="00392B10">
        <w:t xml:space="preserve"> </w:t>
      </w:r>
    </w:p>
    <w:p w14:paraId="65302B55" w14:textId="75CAC36B" w:rsidR="00AB68EF" w:rsidRPr="00392B10" w:rsidRDefault="00AB68EF" w:rsidP="001903F6">
      <w:pPr>
        <w:pStyle w:val="COMexecsumnumberedpara"/>
      </w:pPr>
      <w:r w:rsidRPr="00392B10">
        <w:t xml:space="preserve">The </w:t>
      </w:r>
      <w:r w:rsidR="00AA2874">
        <w:t>Pre-Sub-Committee Response (</w:t>
      </w:r>
      <w:r w:rsidRPr="00392B10">
        <w:t>PSCR</w:t>
      </w:r>
      <w:r w:rsidR="00AA2874">
        <w:t>)</w:t>
      </w:r>
      <w:r w:rsidRPr="00392B10">
        <w:t xml:space="preserve"> noted that although the effect of liposomal daunorubicin and cytarabine did not demonstrate a statistically significant benefit in patients previously treated with HMAs, given the multiplicity of subgroup analyses performed there was a risk of spurious statistical associations arising due to chance alone. Therefore, the PSCR stated that it would be premature to exclude subgroups of patients (e.g. those with prior HMA exposure or TP53 mutation) in the absence of demonstration that these factors are modifiers of treatment effect.</w:t>
      </w:r>
      <w:r w:rsidR="00264E92" w:rsidRPr="00392B10">
        <w:t xml:space="preserve"> The ESC considered that the restriction should remain agnostic as to TP53 mutation</w:t>
      </w:r>
      <w:r w:rsidR="00467C9C" w:rsidRPr="00392B10">
        <w:t xml:space="preserve"> and prior HMA exposure</w:t>
      </w:r>
      <w:r w:rsidR="00264E92" w:rsidRPr="00392B10">
        <w:t xml:space="preserve"> to allow clinician choice.</w:t>
      </w:r>
    </w:p>
    <w:p w14:paraId="00A30DAA" w14:textId="77777777" w:rsidR="001A0E96" w:rsidRPr="00392B10" w:rsidRDefault="00033F8C" w:rsidP="001A0E96">
      <w:pPr>
        <w:pStyle w:val="COMexecsumnumberedpara"/>
      </w:pPr>
      <w:r w:rsidRPr="00392B10">
        <w:t xml:space="preserve">It may be reasonable to include prescribing instructions </w:t>
      </w:r>
      <w:r w:rsidR="00B2695A" w:rsidRPr="00392B10">
        <w:t xml:space="preserve">regarding the non-interchangeability of </w:t>
      </w:r>
      <w:r w:rsidRPr="00392B10">
        <w:t>liposomal daunorubicin and cytarabine with non-liposomal daunorubicin or cytarabine. It may also be appropriate to note that the liposomal formulation should not be used in combination with other chemotherapy agents given the lack of data and conventional use of non-liposomal products as backbone therapy.</w:t>
      </w:r>
    </w:p>
    <w:p w14:paraId="412B628D" w14:textId="77777777" w:rsidR="00EA163B" w:rsidRPr="00EA163B" w:rsidRDefault="001A0E96" w:rsidP="001A0E96">
      <w:pPr>
        <w:pStyle w:val="COMexecsumnumberedpara"/>
        <w:numPr>
          <w:ilvl w:val="0"/>
          <w:numId w:val="0"/>
        </w:numPr>
        <w:ind w:left="720"/>
        <w:rPr>
          <w:i/>
          <w:iCs/>
        </w:rPr>
      </w:pPr>
      <w:r w:rsidRPr="00392B10">
        <w:rPr>
          <w:i/>
          <w:iCs/>
        </w:rPr>
        <w:t>For more detail on PBAC’s view, see section 7 PBAC outcome.</w:t>
      </w:r>
    </w:p>
    <w:p w14:paraId="7075B85C" w14:textId="6D391018" w:rsidR="00B50DB8" w:rsidRPr="00392B10" w:rsidDel="00195452" w:rsidRDefault="00203181" w:rsidP="004E18E9">
      <w:pPr>
        <w:pStyle w:val="COMH1numbered"/>
      </w:pPr>
      <w:bookmarkStart w:id="10" w:name="_Toc135056598"/>
      <w:r w:rsidRPr="00392B10" w:rsidDel="00195452">
        <w:t xml:space="preserve">Population and </w:t>
      </w:r>
      <w:r w:rsidR="008E0D3C" w:rsidRPr="00392B10" w:rsidDel="00195452">
        <w:t>d</w:t>
      </w:r>
      <w:r w:rsidRPr="00392B10" w:rsidDel="00195452">
        <w:t>isease</w:t>
      </w:r>
      <w:bookmarkEnd w:id="10"/>
    </w:p>
    <w:p w14:paraId="21FDD135" w14:textId="1B8E6BF6" w:rsidR="00894489" w:rsidRPr="00392B10" w:rsidRDefault="0076364F" w:rsidP="0076364F">
      <w:pPr>
        <w:pStyle w:val="COMexecsumnumberedpara"/>
      </w:pPr>
      <w:r w:rsidRPr="00392B10">
        <w:t>AML is a type of cancer that affects the blood and bone marrow. It is characterised by the rapid growth of abnormal white blood cells, also known as myeloid blasts, that interfere with the production of normal blood cells. AML can cause symptoms such as fatigue, fever, easy bruising or bleeding and an increased risk of infections. AML is a relatively rare form of cancer in Australia, with slightly more males affected than females. The incidence of AML tends to increase with age, with the majority of cases occurring in people over the age of 60 years.</w:t>
      </w:r>
    </w:p>
    <w:p w14:paraId="41D0832D" w14:textId="7ADA0209" w:rsidR="0076364F" w:rsidRPr="00392B10" w:rsidRDefault="0076364F" w:rsidP="0076364F">
      <w:pPr>
        <w:pStyle w:val="COMexecsumnumberedpara"/>
      </w:pPr>
      <w:r w:rsidRPr="00392B10">
        <w:t xml:space="preserve">The diagnosis of AML is complex and typically confirmed using blood tests, bone marrow examination, immunophenotyping, cytogenetics and molecular testing. The disease is conventionally classified as either </w:t>
      </w:r>
      <w:r w:rsidRPr="00392B10">
        <w:rPr>
          <w:i/>
          <w:iCs/>
        </w:rPr>
        <w:t>de novo</w:t>
      </w:r>
      <w:r w:rsidRPr="00392B10">
        <w:t xml:space="preserve"> AML (spontaneous mutation) or secondary AML due to predisposing features (e.g. therapy-related, prior myelodysplastic syndrome or myelodysplasia-related abnormalities). However, the classification of AML subtypes is rapidly changing, with international guidelines recommending that genetic characteristics be prioritised over clinical history because of increasing evidence of the impact of genetic aberrations on disease outcome (European Leukemia Net; Dohner 2022).</w:t>
      </w:r>
    </w:p>
    <w:p w14:paraId="188CFFEB" w14:textId="312EAA9A" w:rsidR="00A147F6" w:rsidRPr="00392B10" w:rsidRDefault="00A147F6" w:rsidP="009D285C">
      <w:pPr>
        <w:pStyle w:val="COMexecsumnumberedpara"/>
        <w:spacing w:after="60"/>
      </w:pPr>
      <w:r w:rsidRPr="00392B10">
        <w:t>The submission is targeted at patients with two</w:t>
      </w:r>
      <w:r w:rsidR="00AB68EF" w:rsidRPr="00392B10">
        <w:t xml:space="preserve"> rare,</w:t>
      </w:r>
      <w:r w:rsidRPr="00392B10">
        <w:t xml:space="preserve"> high-risk subtypes of AML that are associated with poor survival outcomes:</w:t>
      </w:r>
    </w:p>
    <w:p w14:paraId="63B13A0B" w14:textId="77777777" w:rsidR="00A147F6" w:rsidRPr="00392B10" w:rsidRDefault="00A147F6" w:rsidP="00A147F6">
      <w:pPr>
        <w:pStyle w:val="COMexecsummbulletlist"/>
      </w:pPr>
      <w:r w:rsidRPr="00392B10">
        <w:t>t-AML which may develop in patients after previous exposure to DNA damaging agents such as cytotoxic chemotherapy or radiation therapy.</w:t>
      </w:r>
    </w:p>
    <w:p w14:paraId="462FA0C0" w14:textId="316AFAF8" w:rsidR="00A147F6" w:rsidRPr="00392B10" w:rsidDel="00195452" w:rsidRDefault="00A147F6" w:rsidP="00E92AD1">
      <w:pPr>
        <w:pStyle w:val="COMexecsummbulletlist"/>
      </w:pPr>
      <w:r w:rsidRPr="00392B10">
        <w:lastRenderedPageBreak/>
        <w:t>AML-MRC</w:t>
      </w:r>
      <w:r w:rsidR="00E92AD1" w:rsidRPr="00392B10">
        <w:t xml:space="preserve"> in patients who have a history of myelodysplasia syndrome (MDS) or myelodysplastic/myeloproliferative neoplasms such as chronic myelomonocytic leukaemia (CMMoL), or MDS-related cytogenetic or molecular abnormalities. </w:t>
      </w:r>
    </w:p>
    <w:p w14:paraId="75D78769" w14:textId="61E7C8F8" w:rsidR="00D2488E" w:rsidRPr="00392B10" w:rsidRDefault="00D2488E" w:rsidP="00D2488E">
      <w:pPr>
        <w:pStyle w:val="COMexecsumnumberedpara"/>
      </w:pPr>
      <w:r w:rsidRPr="00392B10">
        <w:t>The proposed intervention consists of a liposomal fixed dose combination of daunorubicin and cytarabine</w:t>
      </w:r>
      <w:r w:rsidR="00E04CC5" w:rsidRPr="00392B10">
        <w:t>. S</w:t>
      </w:r>
      <w:r w:rsidRPr="00392B10">
        <w:t xml:space="preserve">tandard formulations of </w:t>
      </w:r>
      <w:r w:rsidR="001B0D16" w:rsidRPr="00392B10">
        <w:t>daunorubicin and cytarabine are</w:t>
      </w:r>
      <w:r w:rsidRPr="00392B10">
        <w:t xml:space="preserve"> commonly </w:t>
      </w:r>
      <w:r w:rsidR="001B0D16" w:rsidRPr="00392B10">
        <w:t xml:space="preserve">used </w:t>
      </w:r>
      <w:r w:rsidRPr="00392B10">
        <w:t>as chemotherapy for the treatment of various types of cancer including AML.</w:t>
      </w:r>
      <w:r w:rsidR="00D4157B" w:rsidRPr="00392B10">
        <w:t xml:space="preserve"> The </w:t>
      </w:r>
      <w:r w:rsidR="0004697E" w:rsidRPr="00392B10">
        <w:t>liposomal formulation is not interchangeable with standard formulations of daunorubicin and cytarabine due to differences in dose</w:t>
      </w:r>
      <w:r w:rsidR="005B01D5" w:rsidRPr="00392B10">
        <w:t xml:space="preserve"> and dosing schedule. Additional monitoring and use of supportive treatments may also be required with liposomal daunorubicin and cytarabine due to its prolonged half-life</w:t>
      </w:r>
      <w:r w:rsidR="009E5210" w:rsidRPr="00392B10">
        <w:t>,</w:t>
      </w:r>
      <w:r w:rsidR="005B01D5" w:rsidRPr="00392B10">
        <w:t xml:space="preserve"> leading to </w:t>
      </w:r>
      <w:r w:rsidR="009E5210" w:rsidRPr="00392B10">
        <w:t>prolonged recovery of neutrophils and platelets after treatment.</w:t>
      </w:r>
    </w:p>
    <w:p w14:paraId="34F9A011" w14:textId="7E70C22B" w:rsidR="002C2775" w:rsidRPr="00392B10" w:rsidRDefault="006B7736" w:rsidP="001B0D16">
      <w:pPr>
        <w:pStyle w:val="COMexecsumnumberedpara"/>
        <w:spacing w:after="60"/>
      </w:pPr>
      <w:r w:rsidRPr="00392B10">
        <w:t xml:space="preserve">The </w:t>
      </w:r>
      <w:r w:rsidR="00727C4A" w:rsidRPr="00392B10">
        <w:t xml:space="preserve">target population for </w:t>
      </w:r>
      <w:r w:rsidRPr="00392B10">
        <w:t xml:space="preserve">liposomal daunorubicin and cytarabine </w:t>
      </w:r>
      <w:r w:rsidR="006F7EED" w:rsidRPr="00392B10">
        <w:t>is for the treatment of</w:t>
      </w:r>
      <w:r w:rsidRPr="00392B10">
        <w:t xml:space="preserve"> adults with newly diagnosed t-AML or AML-MRC in the following patient groups:</w:t>
      </w:r>
    </w:p>
    <w:p w14:paraId="033A70E5" w14:textId="77777777" w:rsidR="006B7736" w:rsidRPr="00392B10" w:rsidRDefault="006B7736" w:rsidP="001B0D16">
      <w:pPr>
        <w:pStyle w:val="COMexecsummbulletlist"/>
        <w:spacing w:after="60"/>
      </w:pPr>
      <w:r w:rsidRPr="00392B10">
        <w:t>Patients without FLT3 mutation who are suitable for intensive chemotherapy.</w:t>
      </w:r>
    </w:p>
    <w:p w14:paraId="7243E9F4" w14:textId="472080BD" w:rsidR="00DD30EA" w:rsidRPr="00392B10" w:rsidDel="00195452" w:rsidRDefault="006B7736" w:rsidP="00DD30EA">
      <w:pPr>
        <w:pStyle w:val="COMexecsummbulletlist"/>
      </w:pPr>
      <w:r w:rsidRPr="00392B10">
        <w:t>Patients who are FLT3 mutation positive who are suitable for intensive chemotherapy but are unsuitable for treatment with midostaurin.</w:t>
      </w:r>
    </w:p>
    <w:p w14:paraId="329AD13B" w14:textId="77777777" w:rsidR="00532ACD" w:rsidRPr="00392B10" w:rsidRDefault="00DD30EA" w:rsidP="00730EE1">
      <w:pPr>
        <w:pStyle w:val="COMexecsumnumberedpara"/>
      </w:pPr>
      <w:r w:rsidRPr="00392B10">
        <w:t xml:space="preserve">The clinical management of AML is rapidly changing, with updated international guidelines prioritising cytogenetic and molecular aberrations over more classic features (e.g. </w:t>
      </w:r>
      <w:r w:rsidRPr="00392B10">
        <w:rPr>
          <w:i/>
          <w:iCs/>
        </w:rPr>
        <w:t>de novo</w:t>
      </w:r>
      <w:r w:rsidRPr="00392B10">
        <w:t xml:space="preserve">, </w:t>
      </w:r>
      <w:proofErr w:type="gramStart"/>
      <w:r w:rsidRPr="00392B10">
        <w:t>therapy-related</w:t>
      </w:r>
      <w:proofErr w:type="gramEnd"/>
      <w:r w:rsidRPr="00392B10">
        <w:t xml:space="preserve">, prior MDS) for treatment decisions. In patients who are eligible for intensive induction therapy, the latest guidelines (NCCN v2.2023) recommend </w:t>
      </w:r>
      <w:r w:rsidR="00C47713" w:rsidRPr="00392B10">
        <w:t>a wide variety of treatment</w:t>
      </w:r>
      <w:r w:rsidRPr="00392B10">
        <w:t xml:space="preserve"> regimens stratified by FLT3 mutation status, cytogenetic risk, presence of secondary clinical features and TP53/del17p mutation status</w:t>
      </w:r>
      <w:r w:rsidR="00C47713" w:rsidRPr="00392B10">
        <w:t xml:space="preserve">. </w:t>
      </w:r>
    </w:p>
    <w:p w14:paraId="11FCAAEE" w14:textId="225D34E5" w:rsidR="007627BE" w:rsidRPr="00392B10" w:rsidRDefault="00C47713" w:rsidP="00730EE1">
      <w:pPr>
        <w:pStyle w:val="COMexecsumnumberedpara"/>
      </w:pPr>
      <w:r w:rsidRPr="00392B10">
        <w:t>The</w:t>
      </w:r>
      <w:r w:rsidR="00532ACD" w:rsidRPr="00392B10">
        <w:t xml:space="preserve"> NCCN</w:t>
      </w:r>
      <w:r w:rsidRPr="00392B10">
        <w:t xml:space="preserve"> </w:t>
      </w:r>
      <w:r w:rsidR="00F10E34" w:rsidRPr="00392B10">
        <w:t>guidelines recommend liposomal daunorubicin and cytarabine</w:t>
      </w:r>
      <w:r w:rsidR="007E57C2" w:rsidRPr="00392B10">
        <w:t xml:space="preserve"> as induction therapy</w:t>
      </w:r>
      <w:r w:rsidR="00F10E34" w:rsidRPr="00392B10">
        <w:t xml:space="preserve"> for patients who are FLT3 </w:t>
      </w:r>
      <w:r w:rsidR="004A03CE" w:rsidRPr="00392B10">
        <w:t>mutation negative, with poor cytogenetic risk and secondary features (</w:t>
      </w:r>
      <w:r w:rsidR="002C67B8" w:rsidRPr="00392B10">
        <w:t xml:space="preserve">t-AML, AML-MRC, antecedent MDS/CMMoL). </w:t>
      </w:r>
      <w:r w:rsidR="009B0F83" w:rsidRPr="00392B10">
        <w:t>The guidelines also noted that liposomal daunorubicin and cytarabine is not recommended in AML-MRC patients with prior exposure to hypomethylating agents (e.g. decitabine, azacitidine)</w:t>
      </w:r>
      <w:r w:rsidR="00730EE1" w:rsidRPr="00392B10">
        <w:t>.</w:t>
      </w:r>
      <w:r w:rsidR="00532ACD" w:rsidRPr="00392B10">
        <w:t xml:space="preserve"> Overall, the recommended place in therapy for liposomal daunorubicin and cytarabine for induction appears narrower than </w:t>
      </w:r>
      <w:r w:rsidR="000B007B" w:rsidRPr="00392B10">
        <w:t xml:space="preserve">that </w:t>
      </w:r>
      <w:r w:rsidR="00532ACD" w:rsidRPr="00392B10">
        <w:t xml:space="preserve">proposed in the </w:t>
      </w:r>
      <w:r w:rsidR="000B007B" w:rsidRPr="00392B10">
        <w:t>restriction</w:t>
      </w:r>
      <w:r w:rsidR="00532ACD" w:rsidRPr="00392B10">
        <w:t>.</w:t>
      </w:r>
    </w:p>
    <w:p w14:paraId="5B4EDDC1" w14:textId="7ED68D2F" w:rsidR="001A0E96" w:rsidRPr="00392B10" w:rsidRDefault="00611280" w:rsidP="001A0E96">
      <w:pPr>
        <w:pStyle w:val="COMexecsumnumberedpara"/>
      </w:pPr>
      <w:r w:rsidRPr="00392B10">
        <w:t xml:space="preserve">The algorithm did not reflect treatment pathways beyond induction therapy, particularly in patients considered unsuitable for </w:t>
      </w:r>
      <w:r w:rsidR="00AB68EF" w:rsidRPr="00392B10">
        <w:t>haematopoietic stem cell transplant (</w:t>
      </w:r>
      <w:r w:rsidRPr="00392B10">
        <w:t>HSCT</w:t>
      </w:r>
      <w:r w:rsidR="00AB68EF" w:rsidRPr="00392B10">
        <w:t>)</w:t>
      </w:r>
      <w:r w:rsidRPr="00392B10">
        <w:t>. The choice of second induction and consolidation therapies is multifactorial, typically based on the first induction received, treatment response and other patient-related factors (age, fitness, toxicity). International guidelines (NCCN, ELN, ESMO) recommend the use of high dose cytarabine (HiDAC), intermediate dose cytarabine (</w:t>
      </w:r>
      <w:r w:rsidR="00C95597" w:rsidRPr="00392B10">
        <w:t>I</w:t>
      </w:r>
      <w:r w:rsidRPr="00392B10">
        <w:t xml:space="preserve">DAC), standard cytarabine and </w:t>
      </w:r>
      <w:r w:rsidR="0041337A" w:rsidRPr="00392B10">
        <w:t xml:space="preserve">an </w:t>
      </w:r>
      <w:r w:rsidRPr="00392B10">
        <w:t xml:space="preserve">anthracycline (idarubicin or daunorubicin) or liposomal daunorubicin and cytarabine if given in first induction. Australian-specific data are limited, however, the </w:t>
      </w:r>
      <w:r w:rsidR="002B0CC3" w:rsidRPr="00392B10">
        <w:t>Australasian Leukaemia and Lymphoma Group National Blood Cancer Registry (</w:t>
      </w:r>
      <w:r w:rsidRPr="00392B10">
        <w:t>ALLG NBCR</w:t>
      </w:r>
      <w:r w:rsidR="002B0CC3" w:rsidRPr="00392B10">
        <w:t>)</w:t>
      </w:r>
      <w:r w:rsidRPr="00392B10">
        <w:t xml:space="preserve"> dataset and expert opinion provided with the submission (KOL survey) indicated that HiDAC/</w:t>
      </w:r>
      <w:r w:rsidR="00C95597" w:rsidRPr="00392B10">
        <w:t>I</w:t>
      </w:r>
      <w:r w:rsidRPr="00392B10">
        <w:t xml:space="preserve">DAC are the most commonly used </w:t>
      </w:r>
      <w:r w:rsidRPr="00392B10">
        <w:lastRenderedPageBreak/>
        <w:t xml:space="preserve">consolidation therapies in Australia. The KOL survey also indicated that </w:t>
      </w:r>
      <w:r w:rsidR="008016C4" w:rsidRPr="00392B10">
        <w:rPr>
          <w:snapToGrid/>
        </w:rPr>
        <w:t>fludarabine, cytarabine, idarubicin, granulocyte colony-stimulating factor</w:t>
      </w:r>
      <w:r w:rsidR="002B0CC3" w:rsidRPr="00392B10">
        <w:rPr>
          <w:snapToGrid/>
        </w:rPr>
        <w:t xml:space="preserve"> (</w:t>
      </w:r>
      <w:r w:rsidR="002B0CC3" w:rsidRPr="00392B10">
        <w:t>FLAG-Ida</w:t>
      </w:r>
      <w:r w:rsidR="008016C4" w:rsidRPr="00392B10">
        <w:rPr>
          <w:snapToGrid/>
        </w:rPr>
        <w:t xml:space="preserve">) </w:t>
      </w:r>
      <w:r w:rsidRPr="00392B10">
        <w:t xml:space="preserve">is most commonly used for </w:t>
      </w:r>
      <w:r w:rsidR="00593219" w:rsidRPr="00392B10">
        <w:t xml:space="preserve">second </w:t>
      </w:r>
      <w:r w:rsidRPr="00392B10">
        <w:t>induction, although it was unclear whether treatment was for residual or relapsed/refractory disease.</w:t>
      </w:r>
    </w:p>
    <w:p w14:paraId="2F51857E" w14:textId="0FBCDBF4" w:rsidR="001A0E96" w:rsidRPr="00392B10" w:rsidDel="00195452" w:rsidRDefault="001A0E96" w:rsidP="001A0E96">
      <w:pPr>
        <w:pStyle w:val="COMexecsumnumberedpara"/>
        <w:numPr>
          <w:ilvl w:val="0"/>
          <w:numId w:val="0"/>
        </w:numPr>
        <w:ind w:left="720"/>
        <w:rPr>
          <w:i/>
          <w:iCs/>
        </w:rPr>
      </w:pPr>
      <w:r w:rsidRPr="00392B10">
        <w:rPr>
          <w:i/>
          <w:iCs/>
        </w:rPr>
        <w:t>For more detail on PBAC’s view, see section 7 PBAC outcome.</w:t>
      </w:r>
    </w:p>
    <w:p w14:paraId="51E5AE96" w14:textId="136A63B1" w:rsidR="00B50DB8" w:rsidRPr="00392B10" w:rsidRDefault="00B50DB8" w:rsidP="004E18E9">
      <w:pPr>
        <w:pStyle w:val="COMH1numbered"/>
      </w:pPr>
      <w:bookmarkStart w:id="11" w:name="_Toc135056599"/>
      <w:r w:rsidRPr="00392B10">
        <w:t>Comparator</w:t>
      </w:r>
      <w:bookmarkEnd w:id="11"/>
    </w:p>
    <w:p w14:paraId="747A75CC" w14:textId="65F5B8C6" w:rsidR="00A05472" w:rsidRPr="00392B10" w:rsidRDefault="00A00807" w:rsidP="00882E3C">
      <w:pPr>
        <w:pStyle w:val="COMexecsumnumberedpara"/>
        <w:rPr>
          <w:snapToGrid/>
        </w:rPr>
      </w:pPr>
      <w:r w:rsidRPr="00392B10">
        <w:rPr>
          <w:snapToGrid/>
        </w:rPr>
        <w:t xml:space="preserve">The submission nominated </w:t>
      </w:r>
      <w:r w:rsidR="00264E92" w:rsidRPr="00392B10">
        <w:rPr>
          <w:snapToGrid/>
        </w:rPr>
        <w:t xml:space="preserve">idarubicin and </w:t>
      </w:r>
      <w:r w:rsidRPr="00392B10">
        <w:rPr>
          <w:snapToGrid/>
        </w:rPr>
        <w:t xml:space="preserve">cytarabine (7+3 regimen) as the main comparator for induction chemotherapy, as the therapy most likely to be replaced in the Australian setting. </w:t>
      </w:r>
      <w:r w:rsidR="00264E92" w:rsidRPr="00392B10">
        <w:t>The PSCR stated that idarubicin is used more commonly as it is PBS-listed and has a substantially lower price than daunorubicin in Australia. The ESC considered that the nomination of idarubicin and cytarabine (7+3 regimen) as the main comparator in the induction setting was appropriate.</w:t>
      </w:r>
    </w:p>
    <w:p w14:paraId="6853514D" w14:textId="53AB214A" w:rsidR="002B0CC3" w:rsidRPr="00392B10" w:rsidRDefault="00926E87" w:rsidP="003B7D82">
      <w:pPr>
        <w:pStyle w:val="COMexecsumnumberedpara"/>
        <w:rPr>
          <w:snapToGrid/>
        </w:rPr>
      </w:pPr>
      <w:r w:rsidRPr="00392B10">
        <w:rPr>
          <w:snapToGrid/>
        </w:rPr>
        <w:t xml:space="preserve">The submission nominated </w:t>
      </w:r>
      <w:r w:rsidR="00264E92" w:rsidRPr="00392B10">
        <w:rPr>
          <w:snapToGrid/>
        </w:rPr>
        <w:t xml:space="preserve">idarubicin and </w:t>
      </w:r>
      <w:r w:rsidRPr="00392B10">
        <w:rPr>
          <w:snapToGrid/>
        </w:rPr>
        <w:t xml:space="preserve">cytarabine (5+2 regimen) as the main comparator for second induction and consolidation chemotherapy. </w:t>
      </w:r>
      <w:r w:rsidR="003D1ED8" w:rsidRPr="00392B10">
        <w:rPr>
          <w:snapToGrid/>
        </w:rPr>
        <w:t>As noted above, the limited Australian data available suggest that HiDAC/</w:t>
      </w:r>
      <w:r w:rsidR="00C95597" w:rsidRPr="00392B10">
        <w:rPr>
          <w:snapToGrid/>
        </w:rPr>
        <w:t>I</w:t>
      </w:r>
      <w:r w:rsidR="003D1ED8" w:rsidRPr="00392B10">
        <w:rPr>
          <w:snapToGrid/>
        </w:rPr>
        <w:t xml:space="preserve">DAC are the most commonly used consolidation therapies in Australia and FLAG-Ida is most commonly used for </w:t>
      </w:r>
      <w:r w:rsidR="00593219" w:rsidRPr="00392B10">
        <w:rPr>
          <w:snapToGrid/>
        </w:rPr>
        <w:t xml:space="preserve">second </w:t>
      </w:r>
      <w:r w:rsidR="003D1ED8" w:rsidRPr="00392B10">
        <w:rPr>
          <w:snapToGrid/>
        </w:rPr>
        <w:t>induction.</w:t>
      </w:r>
      <w:r w:rsidR="00AB68EF" w:rsidRPr="00392B10">
        <w:rPr>
          <w:snapToGrid/>
        </w:rPr>
        <w:t xml:space="preserve"> </w:t>
      </w:r>
      <w:r w:rsidR="00AB68EF" w:rsidRPr="00392B10">
        <w:t xml:space="preserve">The PSCR stated that although FLAD-Ida and HiDAC/IDAC can be used for </w:t>
      </w:r>
      <w:r w:rsidR="00593219" w:rsidRPr="00392B10">
        <w:t xml:space="preserve">second </w:t>
      </w:r>
      <w:r w:rsidR="00AB68EF" w:rsidRPr="00392B10">
        <w:t xml:space="preserve">induction therapy, there are no trials comparing liposomal daunorubicin and cytarabine with these regimens. </w:t>
      </w:r>
      <w:r w:rsidR="00264E92" w:rsidRPr="00392B10">
        <w:t xml:space="preserve">The ESC considered that the nomination of idarubicin and cytarabine (5+2 regimen) in the </w:t>
      </w:r>
      <w:r w:rsidR="00593219" w:rsidRPr="00392B10">
        <w:t xml:space="preserve">second </w:t>
      </w:r>
      <w:r w:rsidR="00264E92" w:rsidRPr="00392B10">
        <w:t>induction and consolidation settings was inadequately justified given the range of treatment options available</w:t>
      </w:r>
      <w:r w:rsidR="00264E92" w:rsidRPr="00392B10">
        <w:rPr>
          <w:snapToGrid/>
        </w:rPr>
        <w:t xml:space="preserve">. Further, the ESC </w:t>
      </w:r>
      <w:r w:rsidR="00264E92" w:rsidRPr="00392B10">
        <w:t xml:space="preserve">advised that clinicians would not re-use idarubicin and cytarabine </w:t>
      </w:r>
      <w:r w:rsidR="00264E92" w:rsidRPr="00392B10">
        <w:rPr>
          <w:snapToGrid/>
        </w:rPr>
        <w:t xml:space="preserve">at lower doses if patients had failed </w:t>
      </w:r>
      <w:r w:rsidR="00264E92" w:rsidRPr="00392B10">
        <w:t>on these agents</w:t>
      </w:r>
      <w:r w:rsidR="00264E92" w:rsidRPr="00392B10">
        <w:rPr>
          <w:snapToGrid/>
        </w:rPr>
        <w:t xml:space="preserve"> in the first induction setting</w:t>
      </w:r>
      <w:r w:rsidR="00264E92" w:rsidRPr="00392B10">
        <w:t>.</w:t>
      </w:r>
      <w:r w:rsidR="00264E92" w:rsidRPr="00392B10">
        <w:rPr>
          <w:snapToGrid/>
        </w:rPr>
        <w:t xml:space="preserve"> </w:t>
      </w:r>
    </w:p>
    <w:p w14:paraId="51AADE53" w14:textId="5B721D54" w:rsidR="001A0E96" w:rsidRPr="00392B10" w:rsidRDefault="006D338F" w:rsidP="001A0E96">
      <w:pPr>
        <w:pStyle w:val="COMexecsumnumberedpara"/>
        <w:rPr>
          <w:snapToGrid/>
        </w:rPr>
      </w:pPr>
      <w:r w:rsidRPr="00392B10">
        <w:rPr>
          <w:snapToGrid/>
        </w:rPr>
        <w:t xml:space="preserve">The submission acknowledged that the clinical evidence in the submission was based on a direct comparison of liposomal daunorubicin and cytarabine against daunorubicin and cytarabine. However, daunorubicin is not PBS-listed and is used less commonly than idarubicin in Australia. The submission claimed that daunorubicin is a reasonable proxy for idarubicin when used in combination with cytarabine. </w:t>
      </w:r>
    </w:p>
    <w:p w14:paraId="7D0631E6" w14:textId="7586DBCB" w:rsidR="001A0E96" w:rsidRPr="00392B10" w:rsidRDefault="001A0E96" w:rsidP="001A0E96">
      <w:pPr>
        <w:pStyle w:val="COMexecsumnumberedpara"/>
        <w:numPr>
          <w:ilvl w:val="0"/>
          <w:numId w:val="0"/>
        </w:numPr>
        <w:ind w:left="720"/>
        <w:rPr>
          <w:i/>
          <w:iCs/>
          <w:snapToGrid/>
        </w:rPr>
      </w:pPr>
      <w:r w:rsidRPr="00392B10">
        <w:rPr>
          <w:i/>
          <w:iCs/>
        </w:rPr>
        <w:t>For more detail on PBAC’s view, see section 7 PBAC outcome.</w:t>
      </w:r>
    </w:p>
    <w:p w14:paraId="7F9C27C8" w14:textId="77777777" w:rsidR="00223D5A" w:rsidRPr="00392B10" w:rsidRDefault="00223D5A" w:rsidP="00223D5A">
      <w:pPr>
        <w:pStyle w:val="COMH1numbered"/>
        <w:numPr>
          <w:ilvl w:val="0"/>
          <w:numId w:val="1"/>
        </w:numPr>
      </w:pPr>
      <w:bookmarkStart w:id="12" w:name="_Toc135056600"/>
      <w:bookmarkStart w:id="13" w:name="_Toc22897640"/>
      <w:r w:rsidRPr="00392B10">
        <w:t>Consideration of the evidence</w:t>
      </w:r>
      <w:bookmarkEnd w:id="12"/>
    </w:p>
    <w:p w14:paraId="693DEE68" w14:textId="77777777" w:rsidR="001A0E96" w:rsidRPr="00392B10" w:rsidRDefault="001A0E96" w:rsidP="001A0E96">
      <w:pPr>
        <w:pStyle w:val="COMH2-numbered"/>
      </w:pPr>
      <w:bookmarkStart w:id="14" w:name="_Hlk76375935"/>
      <w:bookmarkEnd w:id="13"/>
      <w:r w:rsidRPr="00392B10">
        <w:t>Sponsor hearing</w:t>
      </w:r>
    </w:p>
    <w:p w14:paraId="00859EED" w14:textId="3E7BFCE9" w:rsidR="001A0E96" w:rsidRPr="00392B10" w:rsidRDefault="001A0E96" w:rsidP="00AC5A84">
      <w:pPr>
        <w:widowControl w:val="0"/>
        <w:numPr>
          <w:ilvl w:val="1"/>
          <w:numId w:val="1"/>
        </w:numPr>
        <w:spacing w:after="120"/>
        <w:ind w:left="720" w:hanging="720"/>
        <w:rPr>
          <w:rFonts w:asciiTheme="minorHAnsi" w:hAnsiTheme="minorHAnsi"/>
          <w:bCs/>
          <w:snapToGrid w:val="0"/>
        </w:rPr>
      </w:pPr>
      <w:bookmarkStart w:id="15" w:name="_Hlk76382586"/>
      <w:r w:rsidRPr="00392B10">
        <w:rPr>
          <w:rFonts w:asciiTheme="minorHAnsi" w:hAnsiTheme="minorHAnsi"/>
          <w:bCs/>
          <w:snapToGrid w:val="0"/>
        </w:rPr>
        <w:t>The sponsor requested a hearing for this item</w:t>
      </w:r>
      <w:r w:rsidR="00392B10">
        <w:rPr>
          <w:rFonts w:asciiTheme="minorHAnsi" w:hAnsiTheme="minorHAnsi"/>
          <w:bCs/>
          <w:snapToGrid w:val="0"/>
        </w:rPr>
        <w:t xml:space="preserve">. </w:t>
      </w:r>
      <w:r w:rsidRPr="00392B10">
        <w:rPr>
          <w:rFonts w:asciiTheme="minorHAnsi" w:hAnsiTheme="minorHAnsi"/>
          <w:bCs/>
          <w:snapToGrid w:val="0"/>
        </w:rPr>
        <w:t>The clinician discussed the natural history of the disease</w:t>
      </w:r>
      <w:r w:rsidR="00AC5A84" w:rsidRPr="00392B10">
        <w:rPr>
          <w:rFonts w:asciiTheme="minorHAnsi" w:hAnsiTheme="minorHAnsi"/>
          <w:bCs/>
          <w:snapToGrid w:val="0"/>
        </w:rPr>
        <w:t xml:space="preserve">, the poor prognosis for patients with t-AML or AML-MRC and </w:t>
      </w:r>
      <w:r w:rsidRPr="00392B10">
        <w:rPr>
          <w:rFonts w:asciiTheme="minorHAnsi" w:hAnsiTheme="minorHAnsi"/>
          <w:bCs/>
          <w:snapToGrid w:val="0"/>
        </w:rPr>
        <w:t>how the drug would be used in practice.</w:t>
      </w:r>
      <w:r w:rsidR="00AC5A84" w:rsidRPr="00392B10">
        <w:rPr>
          <w:rFonts w:asciiTheme="minorHAnsi" w:hAnsiTheme="minorHAnsi"/>
          <w:bCs/>
          <w:snapToGrid w:val="0"/>
        </w:rPr>
        <w:t xml:space="preserve"> The clinician focussed on the comparison between idarubicin and daunorubicin, noting that the Australasian Leukaemia and Lymphoma Group Acute Leukaemia Working Party AML guidelines utilise idarubicin </w:t>
      </w:r>
      <w:r w:rsidR="00AC5A84" w:rsidRPr="00392B10">
        <w:rPr>
          <w:rFonts w:asciiTheme="minorHAnsi" w:hAnsiTheme="minorHAnsi"/>
          <w:bCs/>
          <w:snapToGrid w:val="0"/>
        </w:rPr>
        <w:lastRenderedPageBreak/>
        <w:t xml:space="preserve">and daunorubicin interchangeably and that daunorubicin is used internationally. </w:t>
      </w:r>
      <w:r w:rsidRPr="00392B10">
        <w:rPr>
          <w:rFonts w:asciiTheme="minorHAnsi" w:hAnsiTheme="minorHAnsi"/>
          <w:bCs/>
          <w:snapToGrid w:val="0"/>
        </w:rPr>
        <w:t>The PBAC considered that the hearing was informative as it provided a clinical perspective on treating this uncommon disease.</w:t>
      </w:r>
      <w:bookmarkEnd w:id="15"/>
    </w:p>
    <w:p w14:paraId="212E976E" w14:textId="77777777" w:rsidR="001A0E96" w:rsidRPr="00392B10" w:rsidRDefault="001A0E96" w:rsidP="001A0E96">
      <w:pPr>
        <w:pStyle w:val="COMH2-numbered"/>
      </w:pPr>
      <w:r w:rsidRPr="00392B10">
        <w:t>Consumer comments</w:t>
      </w:r>
    </w:p>
    <w:p w14:paraId="13742CAF" w14:textId="6D5FEF49" w:rsidR="001A0E96" w:rsidRPr="00392B10" w:rsidRDefault="001A0E96" w:rsidP="001A0E96">
      <w:pPr>
        <w:widowControl w:val="0"/>
        <w:numPr>
          <w:ilvl w:val="1"/>
          <w:numId w:val="1"/>
        </w:numPr>
        <w:spacing w:after="120"/>
        <w:ind w:left="720" w:hanging="720"/>
        <w:rPr>
          <w:rFonts w:asciiTheme="minorHAnsi" w:hAnsiTheme="minorHAnsi"/>
          <w:bCs/>
          <w:snapToGrid w:val="0"/>
        </w:rPr>
      </w:pPr>
      <w:bookmarkStart w:id="16" w:name="_Hlk76382618"/>
      <w:r w:rsidRPr="00392B10">
        <w:rPr>
          <w:rFonts w:asciiTheme="minorHAnsi" w:hAnsiTheme="minorHAnsi"/>
          <w:bCs/>
          <w:snapToGrid w:val="0"/>
        </w:rPr>
        <w:t>The PBAC noted and welcomed the input from health care professionals (1</w:t>
      </w:r>
      <w:r w:rsidR="00AC5A84" w:rsidRPr="00392B10">
        <w:rPr>
          <w:rFonts w:asciiTheme="minorHAnsi" w:hAnsiTheme="minorHAnsi"/>
          <w:bCs/>
          <w:snapToGrid w:val="0"/>
        </w:rPr>
        <w:t>3</w:t>
      </w:r>
      <w:r w:rsidRPr="00392B10">
        <w:rPr>
          <w:rFonts w:asciiTheme="minorHAnsi" w:hAnsiTheme="minorHAnsi"/>
          <w:bCs/>
          <w:snapToGrid w:val="0"/>
        </w:rPr>
        <w:t>) and organisations (</w:t>
      </w:r>
      <w:r w:rsidR="00AC5A84" w:rsidRPr="00392B10">
        <w:rPr>
          <w:rFonts w:asciiTheme="minorHAnsi" w:hAnsiTheme="minorHAnsi"/>
          <w:bCs/>
          <w:snapToGrid w:val="0"/>
        </w:rPr>
        <w:t>2</w:t>
      </w:r>
      <w:r w:rsidRPr="00392B10">
        <w:rPr>
          <w:rFonts w:asciiTheme="minorHAnsi" w:hAnsiTheme="minorHAnsi"/>
          <w:bCs/>
          <w:snapToGrid w:val="0"/>
        </w:rPr>
        <w:t>) via the Consumer Comments facility on the PBS website</w:t>
      </w:r>
      <w:r w:rsidR="00392B10">
        <w:rPr>
          <w:rFonts w:asciiTheme="minorHAnsi" w:hAnsiTheme="minorHAnsi"/>
          <w:bCs/>
          <w:snapToGrid w:val="0"/>
        </w:rPr>
        <w:t xml:space="preserve">. </w:t>
      </w:r>
      <w:r w:rsidRPr="00392B10">
        <w:rPr>
          <w:rFonts w:asciiTheme="minorHAnsi" w:hAnsiTheme="minorHAnsi"/>
          <w:bCs/>
          <w:snapToGrid w:val="0"/>
        </w:rPr>
        <w:t xml:space="preserve">The comments described a range of benefits of treatment with </w:t>
      </w:r>
      <w:r w:rsidR="00AC5A84" w:rsidRPr="00392B10">
        <w:rPr>
          <w:rFonts w:asciiTheme="minorHAnsi" w:hAnsiTheme="minorHAnsi"/>
          <w:bCs/>
          <w:snapToGrid w:val="0"/>
        </w:rPr>
        <w:t xml:space="preserve">liposomal daunorubicin and cytarabine </w:t>
      </w:r>
      <w:r w:rsidRPr="00392B10">
        <w:rPr>
          <w:rFonts w:asciiTheme="minorHAnsi" w:hAnsiTheme="minorHAnsi"/>
          <w:bCs/>
          <w:snapToGrid w:val="0"/>
        </w:rPr>
        <w:t xml:space="preserve">including the </w:t>
      </w:r>
      <w:r w:rsidR="00AC5A84" w:rsidRPr="00392B10">
        <w:rPr>
          <w:rFonts w:asciiTheme="minorHAnsi" w:hAnsiTheme="minorHAnsi"/>
          <w:bCs/>
          <w:snapToGrid w:val="0"/>
        </w:rPr>
        <w:t>improved response rate and overall survival, particularly in patients who subsequently underwent a HSCT. The comments also described the shorter administration time associated with liposomal daunorubicin and cytarabine. The comments did note the short expiration once compounded which meant this treatment could not be administered in rural settings.</w:t>
      </w:r>
    </w:p>
    <w:p w14:paraId="55318EBE" w14:textId="26CF5BCC" w:rsidR="001A0E96" w:rsidRPr="00392B10" w:rsidRDefault="001A0E96" w:rsidP="00AC5A84">
      <w:pPr>
        <w:widowControl w:val="0"/>
        <w:numPr>
          <w:ilvl w:val="1"/>
          <w:numId w:val="1"/>
        </w:numPr>
        <w:spacing w:after="120"/>
        <w:ind w:left="720" w:hanging="720"/>
        <w:rPr>
          <w:rFonts w:asciiTheme="minorHAnsi" w:hAnsiTheme="minorHAnsi"/>
          <w:bCs/>
          <w:snapToGrid w:val="0"/>
        </w:rPr>
      </w:pPr>
      <w:r w:rsidRPr="00392B10">
        <w:rPr>
          <w:rFonts w:asciiTheme="minorHAnsi" w:hAnsiTheme="minorHAnsi"/>
          <w:bCs/>
          <w:snapToGrid w:val="0"/>
        </w:rPr>
        <w:t xml:space="preserve">The PBAC noted the advice received from </w:t>
      </w:r>
      <w:r w:rsidR="00AC5A84" w:rsidRPr="00392B10">
        <w:rPr>
          <w:rFonts w:asciiTheme="minorHAnsi" w:hAnsiTheme="minorHAnsi"/>
          <w:bCs/>
          <w:snapToGrid w:val="0"/>
        </w:rPr>
        <w:t>Rare Cancers Australia and the Leukaemia Foundation, both which supported the submission and noted the unmet need for alternative and effective AML treatments.</w:t>
      </w:r>
      <w:bookmarkEnd w:id="14"/>
      <w:bookmarkEnd w:id="16"/>
      <w:r w:rsidR="00AC5A84" w:rsidRPr="00392B10">
        <w:rPr>
          <w:rFonts w:asciiTheme="minorHAnsi" w:hAnsiTheme="minorHAnsi"/>
          <w:bCs/>
          <w:snapToGrid w:val="0"/>
        </w:rPr>
        <w:t xml:space="preserve"> </w:t>
      </w:r>
    </w:p>
    <w:p w14:paraId="4580243F" w14:textId="77777777" w:rsidR="001A0E96" w:rsidRPr="00392B10" w:rsidRDefault="001A0E96" w:rsidP="001A0E96">
      <w:pPr>
        <w:pStyle w:val="COMH2-numbered"/>
      </w:pPr>
      <w:bookmarkStart w:id="17" w:name="_Toc135056601"/>
      <w:r w:rsidRPr="00392B10">
        <w:t>Clinical trials</w:t>
      </w:r>
      <w:bookmarkEnd w:id="17"/>
    </w:p>
    <w:p w14:paraId="17DE34DC" w14:textId="304C1FE7" w:rsidR="007F1017" w:rsidRPr="00392B10" w:rsidRDefault="0062072D" w:rsidP="0062072D">
      <w:pPr>
        <w:pStyle w:val="COMexecsumnumberedpara"/>
      </w:pPr>
      <w:r w:rsidRPr="00392B10">
        <w:t>The submission was based on a head-to-head trial comparing liposomal daunorubicin and cytarabine with daunorubicin and cytarabine (as a proxy for idarubicin and cytarabine) for the treatment of newly diagnosed t-AML or AML-MRC in patients aged 60-75 years (Study 301).</w:t>
      </w:r>
    </w:p>
    <w:p w14:paraId="04417708" w14:textId="6860FB5E" w:rsidR="00EE223E" w:rsidRPr="00392B10" w:rsidRDefault="00EE223E" w:rsidP="0062072D">
      <w:pPr>
        <w:pStyle w:val="COMexecsumnumberedpara"/>
      </w:pPr>
      <w:r w:rsidRPr="00392B10">
        <w:t>No head-to-head trials were identified comparing liposomal daunorubicin and cytarabine with the nominated comparator, idarubicin and cytarabine. The submission also claimed an indirect comparison of liposomal daunorubicin and cytarabine versus idarubicin and cytarabine was not possible as there were no head-to-head trials of idarubicin and cytarabine against daunorubicin and cytarabine (7+3 induction regimens).</w:t>
      </w:r>
    </w:p>
    <w:p w14:paraId="6B983E74" w14:textId="5F62EEEE" w:rsidR="00EE223E" w:rsidRPr="00392B10" w:rsidRDefault="00264E92" w:rsidP="0062072D">
      <w:pPr>
        <w:pStyle w:val="COMexecsumnumberedpara"/>
      </w:pPr>
      <w:r w:rsidRPr="00392B10">
        <w:t>T</w:t>
      </w:r>
      <w:r w:rsidR="00EE223E" w:rsidRPr="00392B10">
        <w:t>he submission argued that daunorubicin is a reasonable proxy for idarubicin based on the assumption that daunorubicin and idarubicin are equi-effective at the daunorubicin dose used in the trial (60 mg/m</w:t>
      </w:r>
      <w:r w:rsidR="00EE223E" w:rsidRPr="00392B10">
        <w:rPr>
          <w:vertAlign w:val="superscript"/>
        </w:rPr>
        <w:t>2</w:t>
      </w:r>
      <w:r w:rsidR="00EE223E" w:rsidRPr="00392B10">
        <w:t>) and recommended dose of idarubicin (12 mg/m</w:t>
      </w:r>
      <w:r w:rsidR="00EE223E" w:rsidRPr="00392B10">
        <w:rPr>
          <w:vertAlign w:val="superscript"/>
        </w:rPr>
        <w:t>2</w:t>
      </w:r>
      <w:r w:rsidR="00EE223E" w:rsidRPr="00392B10">
        <w:t>) when used in combination with cytarabine as a 7+3 induction regimen. As supportive evidence, the submission presented a comprehensive review of trials comparing daunorubicin- and idarubicin-containing regimens for the treatment of AML, not restricted by dose or dosing schedule.</w:t>
      </w:r>
    </w:p>
    <w:p w14:paraId="2B59ABAC" w14:textId="7B95F7DB" w:rsidR="00862502" w:rsidRPr="00392B10" w:rsidRDefault="00A73134" w:rsidP="00B920BA">
      <w:pPr>
        <w:pStyle w:val="COMexecsumnumberedpara"/>
      </w:pPr>
      <w:r w:rsidRPr="00392B10">
        <w:t>Details of the</w:t>
      </w:r>
      <w:r w:rsidR="00B920BA" w:rsidRPr="00392B10">
        <w:t xml:space="preserve"> key trial presented in the submission are in </w:t>
      </w:r>
      <w:r w:rsidR="00DE7D72" w:rsidRPr="00392B10">
        <w:fldChar w:fldCharType="begin" w:fldLock="1"/>
      </w:r>
      <w:r w:rsidR="00DE7D72" w:rsidRPr="00392B10">
        <w:instrText xml:space="preserve"> REF _Ref104803956 \h </w:instrText>
      </w:r>
      <w:r w:rsidR="000D5FB6" w:rsidRPr="00392B10">
        <w:instrText xml:space="preserve"> \* MERGEFORMAT </w:instrText>
      </w:r>
      <w:r w:rsidR="00DE7D72" w:rsidRPr="00392B10">
        <w:fldChar w:fldCharType="separate"/>
      </w:r>
      <w:r w:rsidR="00C24535" w:rsidRPr="00392B10">
        <w:t xml:space="preserve">Table </w:t>
      </w:r>
      <w:r w:rsidR="00C24535" w:rsidRPr="000366BF">
        <w:t>2</w:t>
      </w:r>
      <w:r w:rsidR="00DE7D72" w:rsidRPr="00392B10">
        <w:fldChar w:fldCharType="end"/>
      </w:r>
      <w:r w:rsidR="00DE7D72" w:rsidRPr="00392B10">
        <w:t xml:space="preserve"> </w:t>
      </w:r>
      <w:r w:rsidR="00B920BA" w:rsidRPr="00392B10">
        <w:t>below.</w:t>
      </w:r>
    </w:p>
    <w:p w14:paraId="7DE3A286" w14:textId="635C2189" w:rsidR="008E0D3C" w:rsidRPr="00392B10" w:rsidRDefault="00696EF9" w:rsidP="005F783B">
      <w:pPr>
        <w:pStyle w:val="COMtablefigcaption"/>
      </w:pPr>
      <w:bookmarkStart w:id="18" w:name="_Ref104803956"/>
      <w:bookmarkStart w:id="19" w:name="_Ref134018758"/>
      <w:r w:rsidRPr="00392B10">
        <w:lastRenderedPageBreak/>
        <w:t xml:space="preserve">Table </w:t>
      </w:r>
      <w:r w:rsidR="00795A1F">
        <w:fldChar w:fldCharType="begin" w:fldLock="1"/>
      </w:r>
      <w:r w:rsidR="00795A1F">
        <w:instrText xml:space="preserve"> SEQ Table \* ARABIC </w:instrText>
      </w:r>
      <w:r w:rsidR="00795A1F">
        <w:fldChar w:fldCharType="separate"/>
      </w:r>
      <w:r w:rsidR="00C24535" w:rsidRPr="000366BF">
        <w:t>2</w:t>
      </w:r>
      <w:r w:rsidR="00795A1F">
        <w:fldChar w:fldCharType="end"/>
      </w:r>
      <w:bookmarkEnd w:id="18"/>
      <w:r w:rsidRPr="00392B10">
        <w:t>:</w:t>
      </w:r>
      <w:r w:rsidR="00BC591F" w:rsidRPr="00392B10">
        <w:t xml:space="preserve"> </w:t>
      </w:r>
      <w:r w:rsidR="008E0D3C" w:rsidRPr="00392B10">
        <w:t xml:space="preserve">Trials and associated reports presented in the </w:t>
      </w:r>
      <w:proofErr w:type="gramStart"/>
      <w:r w:rsidR="008E0D3C" w:rsidRPr="00392B10">
        <w:t>submission</w:t>
      </w:r>
      <w:bookmarkEnd w:id="19"/>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752783" w:rsidRPr="00392B10" w14:paraId="433407E2" w14:textId="77777777" w:rsidTr="00E75D09">
        <w:trPr>
          <w:tblHeader/>
        </w:trPr>
        <w:tc>
          <w:tcPr>
            <w:tcW w:w="796" w:type="pct"/>
            <w:vAlign w:val="center"/>
          </w:tcPr>
          <w:p w14:paraId="3A80C37C" w14:textId="77777777" w:rsidR="00752783" w:rsidRPr="00392B10" w:rsidRDefault="00752783" w:rsidP="00E75D09">
            <w:pPr>
              <w:pStyle w:val="COMTableheadingrow"/>
              <w:rPr>
                <w:lang w:val="en-AU"/>
              </w:rPr>
            </w:pPr>
            <w:r w:rsidRPr="00392B10">
              <w:rPr>
                <w:lang w:val="en-AU"/>
              </w:rPr>
              <w:t>Trial ID</w:t>
            </w:r>
          </w:p>
        </w:tc>
        <w:tc>
          <w:tcPr>
            <w:tcW w:w="3027" w:type="pct"/>
            <w:tcBorders>
              <w:bottom w:val="single" w:sz="4" w:space="0" w:color="auto"/>
            </w:tcBorders>
            <w:vAlign w:val="center"/>
          </w:tcPr>
          <w:p w14:paraId="78D84DAD" w14:textId="77777777" w:rsidR="00752783" w:rsidRPr="00392B10" w:rsidRDefault="00752783" w:rsidP="00E75D09">
            <w:pPr>
              <w:pStyle w:val="COMTableheadingrow"/>
              <w:rPr>
                <w:lang w:val="en-AU"/>
              </w:rPr>
            </w:pPr>
            <w:r w:rsidRPr="00392B10">
              <w:rPr>
                <w:lang w:val="en-AU"/>
              </w:rPr>
              <w:t>Protocol title/ Publication title</w:t>
            </w:r>
          </w:p>
        </w:tc>
        <w:tc>
          <w:tcPr>
            <w:tcW w:w="1177" w:type="pct"/>
            <w:vAlign w:val="center"/>
          </w:tcPr>
          <w:p w14:paraId="1D28D9B0" w14:textId="77777777" w:rsidR="00752783" w:rsidRPr="00392B10" w:rsidRDefault="00752783" w:rsidP="00E75D09">
            <w:pPr>
              <w:pStyle w:val="COMTableheadingrow"/>
              <w:rPr>
                <w:lang w:val="en-AU"/>
              </w:rPr>
            </w:pPr>
            <w:r w:rsidRPr="00392B10">
              <w:rPr>
                <w:lang w:val="en-AU"/>
              </w:rPr>
              <w:t>Publication citation</w:t>
            </w:r>
          </w:p>
        </w:tc>
      </w:tr>
      <w:tr w:rsidR="00752783" w:rsidRPr="00392B10" w14:paraId="5CE9BBD7" w14:textId="77777777" w:rsidTr="00E75D09">
        <w:trPr>
          <w:trHeight w:val="356"/>
        </w:trPr>
        <w:tc>
          <w:tcPr>
            <w:tcW w:w="796" w:type="pct"/>
            <w:vMerge w:val="restart"/>
          </w:tcPr>
          <w:p w14:paraId="3E1F45DD" w14:textId="77777777" w:rsidR="00752783" w:rsidRPr="00392B10" w:rsidRDefault="00752783" w:rsidP="00E75D09">
            <w:pPr>
              <w:pStyle w:val="COMTabletext"/>
            </w:pPr>
            <w:r w:rsidRPr="00392B10">
              <w:t>Study 301</w:t>
            </w:r>
          </w:p>
          <w:p w14:paraId="50C8042E" w14:textId="77777777" w:rsidR="00752783" w:rsidRPr="00392B10" w:rsidRDefault="00752783" w:rsidP="00E75D09">
            <w:pPr>
              <w:pStyle w:val="COMTabletext"/>
            </w:pPr>
            <w:r w:rsidRPr="00392B10">
              <w:t>NCT01696084</w:t>
            </w:r>
          </w:p>
        </w:tc>
        <w:tc>
          <w:tcPr>
            <w:tcW w:w="3027" w:type="pct"/>
            <w:tcBorders>
              <w:bottom w:val="nil"/>
            </w:tcBorders>
          </w:tcPr>
          <w:p w14:paraId="24552AD6" w14:textId="77777777" w:rsidR="00752783" w:rsidRPr="00392B10" w:rsidRDefault="00752783" w:rsidP="00E75D09">
            <w:pPr>
              <w:pStyle w:val="COMTabletext"/>
            </w:pPr>
            <w:r w:rsidRPr="00392B10">
              <w:t>Study CLTR0310-301. Phase III, Multicenter, Randomized, Trial of CPX-351 (Cytarabine: Daunorubicin) Liposome Injection versus Cytarabine and Daunorubicin in Patients 60 -75 years of Age with Untreated High Risk (Secondary) AML.</w:t>
            </w:r>
          </w:p>
        </w:tc>
        <w:tc>
          <w:tcPr>
            <w:tcW w:w="1177" w:type="pct"/>
            <w:tcBorders>
              <w:bottom w:val="nil"/>
            </w:tcBorders>
          </w:tcPr>
          <w:p w14:paraId="72590A36" w14:textId="77777777" w:rsidR="00752783" w:rsidRPr="00392B10" w:rsidRDefault="00752783" w:rsidP="00E75D09">
            <w:pPr>
              <w:pStyle w:val="COMTabletext"/>
            </w:pPr>
            <w:r w:rsidRPr="00392B10">
              <w:t>Clinical Study Report, February 2017</w:t>
            </w:r>
          </w:p>
        </w:tc>
      </w:tr>
      <w:tr w:rsidR="00752783" w:rsidRPr="00392B10" w14:paraId="11B7D884" w14:textId="77777777" w:rsidTr="00E75D09">
        <w:trPr>
          <w:trHeight w:val="115"/>
        </w:trPr>
        <w:tc>
          <w:tcPr>
            <w:tcW w:w="796" w:type="pct"/>
            <w:vMerge/>
          </w:tcPr>
          <w:p w14:paraId="0DD81B9F" w14:textId="77777777" w:rsidR="00752783" w:rsidRPr="00392B10" w:rsidRDefault="00752783" w:rsidP="00E75D09">
            <w:pPr>
              <w:pStyle w:val="COMTabletext"/>
            </w:pPr>
          </w:p>
        </w:tc>
        <w:tc>
          <w:tcPr>
            <w:tcW w:w="3027" w:type="pct"/>
            <w:tcBorders>
              <w:top w:val="nil"/>
              <w:bottom w:val="nil"/>
            </w:tcBorders>
          </w:tcPr>
          <w:p w14:paraId="36A8678C" w14:textId="77777777" w:rsidR="00752783" w:rsidRPr="00392B10" w:rsidRDefault="00752783" w:rsidP="00E75D09">
            <w:pPr>
              <w:pStyle w:val="COMTabletext"/>
            </w:pPr>
            <w:r w:rsidRPr="00392B10">
              <w:t>Study CLTR0310-301 Addendum 1. Phase III, Multicenter, Randomized, Trial of CPX-351 (Cytarabine: Daunorubicin) Liposome Injection versus Cytarabine and Daunorubicin in Patients 60 -75 years of Age with Untreated High Risk (Secondary) AML.</w:t>
            </w:r>
          </w:p>
        </w:tc>
        <w:tc>
          <w:tcPr>
            <w:tcW w:w="1177" w:type="pct"/>
            <w:tcBorders>
              <w:top w:val="nil"/>
              <w:bottom w:val="nil"/>
            </w:tcBorders>
          </w:tcPr>
          <w:p w14:paraId="759935F4" w14:textId="77777777" w:rsidR="00752783" w:rsidRPr="00392B10" w:rsidRDefault="00752783" w:rsidP="00E75D09">
            <w:pPr>
              <w:pStyle w:val="COMTabletext"/>
            </w:pPr>
            <w:r w:rsidRPr="00392B10">
              <w:t>Clinical Study Report Addendum 1, April 2020</w:t>
            </w:r>
          </w:p>
        </w:tc>
      </w:tr>
      <w:tr w:rsidR="00752783" w:rsidRPr="00392B10" w14:paraId="67011CA5" w14:textId="77777777" w:rsidTr="00E75D09">
        <w:trPr>
          <w:trHeight w:val="352"/>
        </w:trPr>
        <w:tc>
          <w:tcPr>
            <w:tcW w:w="796" w:type="pct"/>
            <w:vMerge/>
          </w:tcPr>
          <w:p w14:paraId="54F9F1A1" w14:textId="77777777" w:rsidR="00752783" w:rsidRPr="00392B10" w:rsidRDefault="00752783" w:rsidP="00E75D09">
            <w:pPr>
              <w:pStyle w:val="COMTabletext"/>
            </w:pPr>
          </w:p>
        </w:tc>
        <w:tc>
          <w:tcPr>
            <w:tcW w:w="3027" w:type="pct"/>
            <w:tcBorders>
              <w:top w:val="nil"/>
              <w:bottom w:val="nil"/>
            </w:tcBorders>
          </w:tcPr>
          <w:p w14:paraId="13B797BD" w14:textId="77777777" w:rsidR="00752783" w:rsidRPr="00392B10" w:rsidRDefault="00752783" w:rsidP="00E75D09">
            <w:pPr>
              <w:pStyle w:val="COMTabletext"/>
            </w:pPr>
            <w:r w:rsidRPr="00392B10">
              <w:t>Kim M, Williams S, Daunorubicin and Cytarabine Liposome in Newly Diagnosed Therapy-Related Acute Myeloid Leukemia (AML) or AML with Myelodysplasia-Related Changes</w:t>
            </w:r>
          </w:p>
        </w:tc>
        <w:tc>
          <w:tcPr>
            <w:tcW w:w="1177" w:type="pct"/>
            <w:tcBorders>
              <w:top w:val="nil"/>
              <w:bottom w:val="nil"/>
            </w:tcBorders>
          </w:tcPr>
          <w:p w14:paraId="0544F6DE" w14:textId="77777777" w:rsidR="00752783" w:rsidRPr="00392B10" w:rsidRDefault="00752783" w:rsidP="00E75D09">
            <w:pPr>
              <w:pStyle w:val="COMTabletext"/>
            </w:pPr>
            <w:r w:rsidRPr="00392B10">
              <w:t>Ann Pharmacother 2018; 52:8 (792-800)</w:t>
            </w:r>
          </w:p>
          <w:p w14:paraId="41BF67E2" w14:textId="6F3091E9" w:rsidR="00752783" w:rsidRPr="00392B10" w:rsidRDefault="00752783" w:rsidP="00E75D09">
            <w:pPr>
              <w:pStyle w:val="COMTabletext"/>
            </w:pPr>
          </w:p>
        </w:tc>
      </w:tr>
      <w:tr w:rsidR="00752783" w:rsidRPr="00392B10" w14:paraId="6F2A2174" w14:textId="77777777" w:rsidTr="00E75D09">
        <w:trPr>
          <w:trHeight w:val="352"/>
        </w:trPr>
        <w:tc>
          <w:tcPr>
            <w:tcW w:w="796" w:type="pct"/>
            <w:vMerge/>
          </w:tcPr>
          <w:p w14:paraId="30B4D416" w14:textId="77777777" w:rsidR="00752783" w:rsidRPr="00392B10" w:rsidRDefault="00752783" w:rsidP="00E75D09">
            <w:pPr>
              <w:pStyle w:val="COMTabletext"/>
            </w:pPr>
          </w:p>
        </w:tc>
        <w:tc>
          <w:tcPr>
            <w:tcW w:w="3027" w:type="pct"/>
            <w:tcBorders>
              <w:top w:val="nil"/>
              <w:bottom w:val="nil"/>
            </w:tcBorders>
          </w:tcPr>
          <w:p w14:paraId="24392A48" w14:textId="77777777" w:rsidR="00752783" w:rsidRPr="00392B10" w:rsidRDefault="00752783" w:rsidP="00E75D09">
            <w:pPr>
              <w:pStyle w:val="COMTabletext"/>
            </w:pPr>
            <w:r w:rsidRPr="00392B10">
              <w:t>Kolitz JE, Strickland SA, Cortes JE, et al, Consolidation outcomes in CPX-351 versus cytarabine/daunorubicin-treated older patients with high-risk/secondary acute myeloid leukemia</w:t>
            </w:r>
          </w:p>
        </w:tc>
        <w:tc>
          <w:tcPr>
            <w:tcW w:w="1177" w:type="pct"/>
            <w:tcBorders>
              <w:top w:val="nil"/>
              <w:bottom w:val="nil"/>
            </w:tcBorders>
          </w:tcPr>
          <w:p w14:paraId="4017E146" w14:textId="77777777" w:rsidR="00752783" w:rsidRPr="00392B10" w:rsidRDefault="00752783" w:rsidP="00E75D09">
            <w:pPr>
              <w:pStyle w:val="COMTabletext"/>
            </w:pPr>
            <w:r w:rsidRPr="00392B10">
              <w:t>Leuk Lymphoma, 2020, 61:3 (631-640)</w:t>
            </w:r>
          </w:p>
        </w:tc>
      </w:tr>
      <w:tr w:rsidR="00752783" w:rsidRPr="00392B10" w14:paraId="5E1782E7" w14:textId="77777777" w:rsidTr="00E75D09">
        <w:trPr>
          <w:trHeight w:val="352"/>
        </w:trPr>
        <w:tc>
          <w:tcPr>
            <w:tcW w:w="796" w:type="pct"/>
            <w:vMerge/>
          </w:tcPr>
          <w:p w14:paraId="3E5255FA" w14:textId="77777777" w:rsidR="00752783" w:rsidRPr="00392B10" w:rsidRDefault="00752783" w:rsidP="00E75D09">
            <w:pPr>
              <w:pStyle w:val="COMTabletext"/>
            </w:pPr>
          </w:p>
        </w:tc>
        <w:tc>
          <w:tcPr>
            <w:tcW w:w="3027" w:type="pct"/>
            <w:tcBorders>
              <w:top w:val="nil"/>
              <w:bottom w:val="nil"/>
            </w:tcBorders>
          </w:tcPr>
          <w:p w14:paraId="77B934F4" w14:textId="77777777" w:rsidR="00752783" w:rsidRPr="00392B10" w:rsidRDefault="00752783" w:rsidP="00E75D09">
            <w:pPr>
              <w:pStyle w:val="COMTabletext"/>
            </w:pPr>
            <w:r w:rsidRPr="00392B10">
              <w:t>Lancet JE, Uy GL, Cortes JE, et al, CPX-351 (cytarabine and daunorubicin) liposome for injection versus conventional cytarabine plus daunorubicin in older patients with newly diagnosed secondary acute myeloid leukemia</w:t>
            </w:r>
          </w:p>
        </w:tc>
        <w:tc>
          <w:tcPr>
            <w:tcW w:w="1177" w:type="pct"/>
            <w:tcBorders>
              <w:top w:val="nil"/>
              <w:bottom w:val="nil"/>
            </w:tcBorders>
          </w:tcPr>
          <w:p w14:paraId="17316C61" w14:textId="77777777" w:rsidR="00752783" w:rsidRPr="00392B10" w:rsidRDefault="00752783" w:rsidP="00E75D09">
            <w:pPr>
              <w:pStyle w:val="COMTabletext"/>
            </w:pPr>
            <w:r w:rsidRPr="00392B10">
              <w:t>J Clin Oncol (2018) 36:26 (2684-2692)</w:t>
            </w:r>
          </w:p>
        </w:tc>
      </w:tr>
      <w:tr w:rsidR="00752783" w:rsidRPr="00392B10" w14:paraId="02E1E74A" w14:textId="77777777" w:rsidTr="00E75D09">
        <w:trPr>
          <w:trHeight w:val="352"/>
        </w:trPr>
        <w:tc>
          <w:tcPr>
            <w:tcW w:w="796" w:type="pct"/>
            <w:vMerge/>
          </w:tcPr>
          <w:p w14:paraId="4705C490" w14:textId="77777777" w:rsidR="00752783" w:rsidRPr="00392B10" w:rsidRDefault="00752783" w:rsidP="00E75D09">
            <w:pPr>
              <w:pStyle w:val="COMTabletext"/>
            </w:pPr>
          </w:p>
        </w:tc>
        <w:tc>
          <w:tcPr>
            <w:tcW w:w="3027" w:type="pct"/>
            <w:tcBorders>
              <w:top w:val="nil"/>
              <w:bottom w:val="nil"/>
            </w:tcBorders>
          </w:tcPr>
          <w:p w14:paraId="4352B0B0" w14:textId="77777777" w:rsidR="00752783" w:rsidRPr="00392B10" w:rsidRDefault="00752783" w:rsidP="00E75D09">
            <w:pPr>
              <w:pStyle w:val="COMTabletext"/>
            </w:pPr>
            <w:r w:rsidRPr="00392B10">
              <w:t>Lancet JE, Uy GL, Newell LF, et al, CPX-351 versus 7+3 cytarabine and daunorubicin chemotherapy in older adults with newly diagnosed high-risk or secondary acute myeloid leukaemia: 5-year results of a randomised, open-label, multicentre, phase 3 trial</w:t>
            </w:r>
          </w:p>
        </w:tc>
        <w:tc>
          <w:tcPr>
            <w:tcW w:w="1177" w:type="pct"/>
            <w:tcBorders>
              <w:top w:val="nil"/>
              <w:bottom w:val="nil"/>
            </w:tcBorders>
          </w:tcPr>
          <w:p w14:paraId="56512AC0" w14:textId="77777777" w:rsidR="00752783" w:rsidRPr="00392B10" w:rsidRDefault="00752783" w:rsidP="00E75D09">
            <w:pPr>
              <w:pStyle w:val="COMTabletext"/>
            </w:pPr>
            <w:r w:rsidRPr="00392B10">
              <w:t>Lancet Haematol, 2021, 8:7 (e481-e491)</w:t>
            </w:r>
          </w:p>
        </w:tc>
      </w:tr>
      <w:tr w:rsidR="00752783" w:rsidRPr="00392B10" w14:paraId="7E13A450" w14:textId="77777777" w:rsidTr="00E75D09">
        <w:trPr>
          <w:trHeight w:val="352"/>
        </w:trPr>
        <w:tc>
          <w:tcPr>
            <w:tcW w:w="796" w:type="pct"/>
            <w:vMerge/>
          </w:tcPr>
          <w:p w14:paraId="2F72A5B3" w14:textId="77777777" w:rsidR="00752783" w:rsidRPr="00392B10" w:rsidRDefault="00752783" w:rsidP="00E75D09">
            <w:pPr>
              <w:pStyle w:val="COMTabletext"/>
            </w:pPr>
          </w:p>
        </w:tc>
        <w:tc>
          <w:tcPr>
            <w:tcW w:w="3027" w:type="pct"/>
            <w:tcBorders>
              <w:top w:val="nil"/>
              <w:bottom w:val="nil"/>
            </w:tcBorders>
          </w:tcPr>
          <w:p w14:paraId="5C4B9720" w14:textId="77777777" w:rsidR="00752783" w:rsidRPr="00392B10" w:rsidRDefault="00752783" w:rsidP="00E75D09">
            <w:pPr>
              <w:pStyle w:val="COMTabletext"/>
            </w:pPr>
            <w:r w:rsidRPr="00392B10">
              <w:t xml:space="preserve">Lin TL, Rizzieri DA, Ryan DH, et al, Older adults with newly diagnosed high-risk/secondary AML who achieved remission with CPX-351: Phase 3 </w:t>
            </w:r>
            <w:r w:rsidRPr="00392B10">
              <w:rPr>
                <w:i/>
                <w:iCs/>
              </w:rPr>
              <w:t>post hoc</w:t>
            </w:r>
            <w:r w:rsidRPr="00392B10">
              <w:t xml:space="preserve"> analyses</w:t>
            </w:r>
          </w:p>
        </w:tc>
        <w:tc>
          <w:tcPr>
            <w:tcW w:w="1177" w:type="pct"/>
            <w:tcBorders>
              <w:top w:val="nil"/>
              <w:bottom w:val="nil"/>
            </w:tcBorders>
          </w:tcPr>
          <w:p w14:paraId="5AF181F6" w14:textId="77777777" w:rsidR="00752783" w:rsidRPr="00392B10" w:rsidRDefault="00752783" w:rsidP="00E75D09">
            <w:pPr>
              <w:pStyle w:val="COMTabletext"/>
            </w:pPr>
            <w:r w:rsidRPr="00392B10">
              <w:t>Blood Adv, 2021, 5:6 (1719-1728)</w:t>
            </w:r>
          </w:p>
        </w:tc>
      </w:tr>
      <w:tr w:rsidR="00752783" w:rsidRPr="00392B10" w14:paraId="076CEB32" w14:textId="77777777" w:rsidTr="00E75D09">
        <w:trPr>
          <w:trHeight w:val="708"/>
        </w:trPr>
        <w:tc>
          <w:tcPr>
            <w:tcW w:w="796" w:type="pct"/>
            <w:vMerge/>
            <w:tcBorders>
              <w:bottom w:val="single" w:sz="4" w:space="0" w:color="auto"/>
            </w:tcBorders>
          </w:tcPr>
          <w:p w14:paraId="52938B1F" w14:textId="77777777" w:rsidR="00752783" w:rsidRPr="00392B10" w:rsidRDefault="00752783" w:rsidP="00E75D09">
            <w:pPr>
              <w:pStyle w:val="COMTabletext"/>
            </w:pPr>
          </w:p>
        </w:tc>
        <w:tc>
          <w:tcPr>
            <w:tcW w:w="3027" w:type="pct"/>
            <w:tcBorders>
              <w:top w:val="nil"/>
              <w:bottom w:val="single" w:sz="4" w:space="0" w:color="auto"/>
            </w:tcBorders>
          </w:tcPr>
          <w:p w14:paraId="014CFA0F" w14:textId="77777777" w:rsidR="00752783" w:rsidRPr="00392B10" w:rsidRDefault="00752783" w:rsidP="00E75D09">
            <w:pPr>
              <w:pStyle w:val="COMTabletext"/>
            </w:pPr>
            <w:r w:rsidRPr="00392B10">
              <w:t>Villa KF, Ryan RJ, Chiarella M, Louie AC, Healthcare resource utilization in a phase 3 study of CPX-351 in patients with newly diagnosed high-risk/secondary acute myeloid leukemia</w:t>
            </w:r>
          </w:p>
        </w:tc>
        <w:tc>
          <w:tcPr>
            <w:tcW w:w="1177" w:type="pct"/>
            <w:tcBorders>
              <w:top w:val="nil"/>
              <w:bottom w:val="single" w:sz="4" w:space="0" w:color="auto"/>
            </w:tcBorders>
          </w:tcPr>
          <w:p w14:paraId="0121C41B" w14:textId="77777777" w:rsidR="00752783" w:rsidRPr="00392B10" w:rsidRDefault="00752783" w:rsidP="00E75D09">
            <w:pPr>
              <w:pStyle w:val="COMTabletext"/>
              <w:rPr>
                <w:iCs/>
              </w:rPr>
            </w:pPr>
            <w:r w:rsidRPr="00392B10">
              <w:rPr>
                <w:iCs/>
              </w:rPr>
              <w:t>J Med Econ, 2020, 23:7 (714-720)</w:t>
            </w:r>
          </w:p>
        </w:tc>
      </w:tr>
    </w:tbl>
    <w:p w14:paraId="51D8173A" w14:textId="2F146730" w:rsidR="008E0D3C" w:rsidRPr="00392B10" w:rsidRDefault="008E0D3C" w:rsidP="00EC5836">
      <w:pPr>
        <w:pStyle w:val="COMTablefooter"/>
        <w:rPr>
          <w:sz w:val="20"/>
        </w:rPr>
      </w:pPr>
      <w:r w:rsidRPr="00392B10">
        <w:t xml:space="preserve">Source: </w:t>
      </w:r>
      <w:r w:rsidR="003E4DC2" w:rsidRPr="00392B10">
        <w:t>Table 2.1, p35 of the submission</w:t>
      </w:r>
    </w:p>
    <w:p w14:paraId="1DD06D7D" w14:textId="72DF069E" w:rsidR="007F1017" w:rsidRPr="00392B10" w:rsidRDefault="008F120A" w:rsidP="00EC5836">
      <w:pPr>
        <w:pStyle w:val="COMexecsumnumberedpara"/>
        <w:rPr>
          <w:color w:val="0066FF"/>
        </w:rPr>
      </w:pPr>
      <w:r w:rsidRPr="00392B10">
        <w:t xml:space="preserve">The key features of </w:t>
      </w:r>
      <w:r w:rsidR="00E1018A" w:rsidRPr="00392B10">
        <w:t>Study 301</w:t>
      </w:r>
      <w:r w:rsidRPr="00392B10">
        <w:t xml:space="preserve"> are summarised in</w:t>
      </w:r>
      <w:r w:rsidR="00D6076E" w:rsidRPr="00392B10">
        <w:t xml:space="preserve"> </w:t>
      </w:r>
      <w:r w:rsidR="00D6076E" w:rsidRPr="00392B10">
        <w:fldChar w:fldCharType="begin" w:fldLock="1"/>
      </w:r>
      <w:r w:rsidR="00D6076E" w:rsidRPr="00392B10">
        <w:instrText xml:space="preserve"> REF _Ref104804098 \h  \* MERGEFORMAT </w:instrText>
      </w:r>
      <w:r w:rsidR="00D6076E" w:rsidRPr="00392B10">
        <w:fldChar w:fldCharType="separate"/>
      </w:r>
      <w:r w:rsidR="00C24535" w:rsidRPr="00392B10">
        <w:t>Table 3</w:t>
      </w:r>
      <w:r w:rsidR="00D6076E" w:rsidRPr="00392B10">
        <w:fldChar w:fldCharType="end"/>
      </w:r>
      <w:r w:rsidRPr="00392B10">
        <w:t>.</w:t>
      </w:r>
      <w:r w:rsidR="00BC591F" w:rsidRPr="00392B10">
        <w:t xml:space="preserve"> </w:t>
      </w:r>
    </w:p>
    <w:p w14:paraId="355E2F15" w14:textId="2B853E75" w:rsidR="007F1017" w:rsidRPr="00392B10" w:rsidRDefault="00696EF9" w:rsidP="005F783B">
      <w:pPr>
        <w:pStyle w:val="COMtablefigcaption"/>
      </w:pPr>
      <w:bookmarkStart w:id="20" w:name="_Ref104804098"/>
      <w:r w:rsidRPr="00392B10">
        <w:t xml:space="preserve">Table </w:t>
      </w:r>
      <w:r w:rsidR="00795A1F">
        <w:fldChar w:fldCharType="begin" w:fldLock="1"/>
      </w:r>
      <w:r w:rsidR="00795A1F">
        <w:instrText xml:space="preserve"> SEQ Table \* ARABIC </w:instrText>
      </w:r>
      <w:r w:rsidR="00795A1F">
        <w:fldChar w:fldCharType="separate"/>
      </w:r>
      <w:r w:rsidR="00C24535" w:rsidRPr="000366BF">
        <w:t>3</w:t>
      </w:r>
      <w:r w:rsidR="00795A1F">
        <w:fldChar w:fldCharType="end"/>
      </w:r>
      <w:bookmarkEnd w:id="20"/>
      <w:r w:rsidR="00D6076E" w:rsidRPr="00392B10">
        <w:t xml:space="preserve">: </w:t>
      </w:r>
      <w:r w:rsidR="007F1017" w:rsidRPr="00392B10">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15"/>
        <w:gridCol w:w="601"/>
        <w:gridCol w:w="2160"/>
        <w:gridCol w:w="840"/>
        <w:gridCol w:w="2160"/>
        <w:gridCol w:w="1199"/>
        <w:gridCol w:w="1342"/>
      </w:tblGrid>
      <w:tr w:rsidR="00B77FB2" w:rsidRPr="00392B10" w14:paraId="53DD7CC6" w14:textId="77777777" w:rsidTr="00B77FB2">
        <w:trPr>
          <w:cantSplit/>
          <w:tblHeader/>
        </w:trPr>
        <w:tc>
          <w:tcPr>
            <w:tcW w:w="396" w:type="pct"/>
            <w:shd w:val="clear" w:color="auto" w:fill="auto"/>
            <w:vAlign w:val="center"/>
          </w:tcPr>
          <w:p w14:paraId="794116BC" w14:textId="77777777" w:rsidR="007F1017" w:rsidRPr="00392B10" w:rsidRDefault="007F1017" w:rsidP="001E34DF">
            <w:pPr>
              <w:pStyle w:val="COMTableheadingrow"/>
              <w:rPr>
                <w:lang w:val="en-AU"/>
              </w:rPr>
            </w:pPr>
            <w:r w:rsidRPr="00392B10">
              <w:rPr>
                <w:lang w:val="en-AU"/>
              </w:rPr>
              <w:t>Trial</w:t>
            </w:r>
          </w:p>
        </w:tc>
        <w:tc>
          <w:tcPr>
            <w:tcW w:w="333" w:type="pct"/>
            <w:shd w:val="clear" w:color="auto" w:fill="auto"/>
            <w:vAlign w:val="center"/>
          </w:tcPr>
          <w:p w14:paraId="51122FE5" w14:textId="77777777" w:rsidR="007F1017" w:rsidRPr="00392B10" w:rsidRDefault="007F1017" w:rsidP="00EC5836">
            <w:pPr>
              <w:pStyle w:val="COMTableheadingrow"/>
              <w:jc w:val="center"/>
              <w:rPr>
                <w:lang w:val="en-AU"/>
              </w:rPr>
            </w:pPr>
            <w:r w:rsidRPr="00392B10">
              <w:rPr>
                <w:lang w:val="en-AU"/>
              </w:rPr>
              <w:t>N</w:t>
            </w:r>
          </w:p>
        </w:tc>
        <w:tc>
          <w:tcPr>
            <w:tcW w:w="1198" w:type="pct"/>
            <w:shd w:val="clear" w:color="auto" w:fill="auto"/>
            <w:vAlign w:val="center"/>
          </w:tcPr>
          <w:p w14:paraId="41C438EF" w14:textId="77777777" w:rsidR="007F1017" w:rsidRPr="00392B10" w:rsidRDefault="007F1017" w:rsidP="00EC5836">
            <w:pPr>
              <w:pStyle w:val="COMTableheadingrow"/>
              <w:jc w:val="center"/>
              <w:rPr>
                <w:lang w:val="en-AU"/>
              </w:rPr>
            </w:pPr>
            <w:r w:rsidRPr="00392B10">
              <w:rPr>
                <w:lang w:val="en-AU"/>
              </w:rPr>
              <w:t>Design/ duration</w:t>
            </w:r>
          </w:p>
        </w:tc>
        <w:tc>
          <w:tcPr>
            <w:tcW w:w="466" w:type="pct"/>
            <w:shd w:val="clear" w:color="auto" w:fill="auto"/>
            <w:vAlign w:val="center"/>
          </w:tcPr>
          <w:p w14:paraId="1FC91360" w14:textId="77777777" w:rsidR="007F1017" w:rsidRPr="00392B10" w:rsidRDefault="007F1017" w:rsidP="00EC5836">
            <w:pPr>
              <w:pStyle w:val="COMTableheadingrow"/>
              <w:jc w:val="center"/>
              <w:rPr>
                <w:lang w:val="en-AU"/>
              </w:rPr>
            </w:pPr>
            <w:r w:rsidRPr="00392B10">
              <w:rPr>
                <w:lang w:val="en-AU"/>
              </w:rPr>
              <w:t>Risk of bias</w:t>
            </w:r>
          </w:p>
        </w:tc>
        <w:tc>
          <w:tcPr>
            <w:tcW w:w="1198" w:type="pct"/>
            <w:shd w:val="clear" w:color="auto" w:fill="auto"/>
            <w:vAlign w:val="center"/>
          </w:tcPr>
          <w:p w14:paraId="7FF90896" w14:textId="77777777" w:rsidR="007F1017" w:rsidRPr="00392B10" w:rsidRDefault="007F1017" w:rsidP="00EC5836">
            <w:pPr>
              <w:pStyle w:val="COMTableheadingrow"/>
              <w:jc w:val="center"/>
              <w:rPr>
                <w:lang w:val="en-AU"/>
              </w:rPr>
            </w:pPr>
            <w:r w:rsidRPr="00392B10">
              <w:rPr>
                <w:lang w:val="en-AU"/>
              </w:rPr>
              <w:t>Patient population</w:t>
            </w:r>
          </w:p>
        </w:tc>
        <w:tc>
          <w:tcPr>
            <w:tcW w:w="665" w:type="pct"/>
            <w:shd w:val="clear" w:color="auto" w:fill="auto"/>
            <w:vAlign w:val="center"/>
          </w:tcPr>
          <w:p w14:paraId="0FCB63F9" w14:textId="697938CE" w:rsidR="007F1017" w:rsidRPr="00392B10" w:rsidRDefault="007F1017" w:rsidP="00EC5836">
            <w:pPr>
              <w:pStyle w:val="COMTableheadingrow"/>
              <w:jc w:val="center"/>
              <w:rPr>
                <w:lang w:val="en-AU"/>
              </w:rPr>
            </w:pPr>
            <w:r w:rsidRPr="00392B10">
              <w:rPr>
                <w:lang w:val="en-AU"/>
              </w:rPr>
              <w:t>Outcome</w:t>
            </w:r>
            <w:r w:rsidR="00221D13" w:rsidRPr="00392B10">
              <w:rPr>
                <w:lang w:val="en-AU"/>
              </w:rPr>
              <w:t>s</w:t>
            </w:r>
          </w:p>
        </w:tc>
        <w:tc>
          <w:tcPr>
            <w:tcW w:w="744" w:type="pct"/>
            <w:shd w:val="clear" w:color="auto" w:fill="auto"/>
            <w:vAlign w:val="center"/>
          </w:tcPr>
          <w:p w14:paraId="08C6F624" w14:textId="77777777" w:rsidR="007F1017" w:rsidRPr="00392B10" w:rsidRDefault="007F1017" w:rsidP="00EC5836">
            <w:pPr>
              <w:pStyle w:val="COMTableheadingrow"/>
              <w:jc w:val="center"/>
              <w:rPr>
                <w:lang w:val="en-AU"/>
              </w:rPr>
            </w:pPr>
            <w:r w:rsidRPr="00392B10">
              <w:rPr>
                <w:lang w:val="en-AU"/>
              </w:rPr>
              <w:t>Use in modelled evaluation</w:t>
            </w:r>
          </w:p>
        </w:tc>
      </w:tr>
      <w:tr w:rsidR="00B77FB2" w:rsidRPr="00392B10" w14:paraId="4EE88DCB" w14:textId="77777777" w:rsidTr="00B77FB2">
        <w:trPr>
          <w:cantSplit/>
        </w:trPr>
        <w:tc>
          <w:tcPr>
            <w:tcW w:w="396" w:type="pct"/>
            <w:shd w:val="clear" w:color="auto" w:fill="auto"/>
            <w:vAlign w:val="center"/>
          </w:tcPr>
          <w:p w14:paraId="6EE77D33" w14:textId="08660D25" w:rsidR="007F1017" w:rsidRPr="00392B10" w:rsidRDefault="00221D13" w:rsidP="00EC5836">
            <w:pPr>
              <w:pStyle w:val="COMTabletext"/>
            </w:pPr>
            <w:r w:rsidRPr="00392B10">
              <w:t>Study 301</w:t>
            </w:r>
          </w:p>
        </w:tc>
        <w:tc>
          <w:tcPr>
            <w:tcW w:w="333" w:type="pct"/>
            <w:shd w:val="clear" w:color="auto" w:fill="auto"/>
            <w:vAlign w:val="center"/>
          </w:tcPr>
          <w:p w14:paraId="41BB0E41" w14:textId="0E798838" w:rsidR="007F1017" w:rsidRPr="00392B10" w:rsidRDefault="005C66CA" w:rsidP="00EC5836">
            <w:pPr>
              <w:pStyle w:val="COMTabletext"/>
              <w:jc w:val="center"/>
            </w:pPr>
            <w:r w:rsidRPr="00392B10">
              <w:t>309</w:t>
            </w:r>
          </w:p>
        </w:tc>
        <w:tc>
          <w:tcPr>
            <w:tcW w:w="1198" w:type="pct"/>
            <w:shd w:val="clear" w:color="auto" w:fill="auto"/>
            <w:vAlign w:val="center"/>
          </w:tcPr>
          <w:p w14:paraId="401EAFDA" w14:textId="14B6DCA7" w:rsidR="007F1017" w:rsidRPr="00392B10" w:rsidRDefault="004C2CCB" w:rsidP="00EC5836">
            <w:pPr>
              <w:pStyle w:val="COMTabletext"/>
              <w:jc w:val="center"/>
            </w:pPr>
            <w:r w:rsidRPr="00392B10">
              <w:t xml:space="preserve">Phase 3, MC (US/Canada), </w:t>
            </w:r>
            <w:r w:rsidR="005C66CA" w:rsidRPr="00392B10">
              <w:t>OL</w:t>
            </w:r>
            <w:r w:rsidR="002C024D" w:rsidRPr="00392B10">
              <w:t>,</w:t>
            </w:r>
            <w:r w:rsidR="004D5368" w:rsidRPr="00392B10">
              <w:t xml:space="preserve"> parallel-arm</w:t>
            </w:r>
            <w:r w:rsidR="002C024D" w:rsidRPr="00392B10">
              <w:t xml:space="preserve"> </w:t>
            </w:r>
            <w:r w:rsidR="00A004F0" w:rsidRPr="00392B10">
              <w:t>RCT</w:t>
            </w:r>
          </w:p>
          <w:p w14:paraId="744D08AC" w14:textId="76CBA2BF" w:rsidR="007F1017" w:rsidRPr="00392B10" w:rsidRDefault="0090748A" w:rsidP="00EC5836">
            <w:pPr>
              <w:pStyle w:val="COMTabletext"/>
              <w:jc w:val="center"/>
            </w:pPr>
            <w:r w:rsidRPr="00392B10">
              <w:t>3-year primary analysis and up to 5 years follow-up</w:t>
            </w:r>
          </w:p>
        </w:tc>
        <w:tc>
          <w:tcPr>
            <w:tcW w:w="466" w:type="pct"/>
            <w:shd w:val="clear" w:color="auto" w:fill="auto"/>
            <w:vAlign w:val="center"/>
          </w:tcPr>
          <w:p w14:paraId="4A529D74" w14:textId="6C56F6B5" w:rsidR="007F1017" w:rsidRPr="00392B10" w:rsidRDefault="0090748A" w:rsidP="00EC5836">
            <w:pPr>
              <w:pStyle w:val="COMTabletext"/>
              <w:jc w:val="center"/>
              <w:rPr>
                <w:iCs/>
              </w:rPr>
            </w:pPr>
            <w:r w:rsidRPr="00392B10">
              <w:rPr>
                <w:iCs/>
              </w:rPr>
              <w:t>High</w:t>
            </w:r>
          </w:p>
        </w:tc>
        <w:tc>
          <w:tcPr>
            <w:tcW w:w="1198" w:type="pct"/>
            <w:shd w:val="clear" w:color="auto" w:fill="auto"/>
            <w:vAlign w:val="center"/>
          </w:tcPr>
          <w:p w14:paraId="5E6F456D" w14:textId="4D577BA3" w:rsidR="007F1017" w:rsidRPr="00392B10" w:rsidRDefault="00944D08" w:rsidP="00EC5836">
            <w:pPr>
              <w:pStyle w:val="COMTabletext"/>
              <w:jc w:val="center"/>
            </w:pPr>
            <w:r w:rsidRPr="00392B10">
              <w:t xml:space="preserve">Patients aged 60 to 75 years with newly diagnosed </w:t>
            </w:r>
            <w:r w:rsidR="00F07784" w:rsidRPr="00392B10">
              <w:t>t-AML or AML-MRC</w:t>
            </w:r>
            <w:r w:rsidR="001E3E38" w:rsidRPr="00392B10">
              <w:t>,</w:t>
            </w:r>
            <w:r w:rsidR="00F07784" w:rsidRPr="00392B10">
              <w:t xml:space="preserve"> excluding</w:t>
            </w:r>
            <w:r w:rsidRPr="00392B10">
              <w:t xml:space="preserve"> </w:t>
            </w:r>
            <w:r w:rsidR="00F07784" w:rsidRPr="00392B10">
              <w:t>p</w:t>
            </w:r>
            <w:r w:rsidRPr="00392B10">
              <w:t xml:space="preserve">atients with </w:t>
            </w:r>
            <w:r w:rsidR="00F07784" w:rsidRPr="00392B10">
              <w:t>APL</w:t>
            </w:r>
            <w:r w:rsidRPr="00392B10">
              <w:t xml:space="preserve"> or favourable cytogenetics </w:t>
            </w:r>
          </w:p>
        </w:tc>
        <w:tc>
          <w:tcPr>
            <w:tcW w:w="665" w:type="pct"/>
            <w:shd w:val="clear" w:color="auto" w:fill="auto"/>
            <w:vAlign w:val="center"/>
          </w:tcPr>
          <w:p w14:paraId="6DC76214" w14:textId="727E3F6C" w:rsidR="007F1017" w:rsidRPr="00392B10" w:rsidRDefault="001E3E38" w:rsidP="00EC5836">
            <w:pPr>
              <w:pStyle w:val="COMTabletext"/>
              <w:jc w:val="center"/>
            </w:pPr>
            <w:r w:rsidRPr="00392B10">
              <w:t xml:space="preserve">Response rates, EFS, </w:t>
            </w:r>
            <w:r w:rsidR="009B1CD1" w:rsidRPr="00392B10">
              <w:t>HSCT rates, OS</w:t>
            </w:r>
          </w:p>
        </w:tc>
        <w:tc>
          <w:tcPr>
            <w:tcW w:w="744" w:type="pct"/>
            <w:shd w:val="clear" w:color="auto" w:fill="auto"/>
            <w:vAlign w:val="center"/>
          </w:tcPr>
          <w:p w14:paraId="150A804C" w14:textId="04606B0B" w:rsidR="007F1017" w:rsidRPr="00392B10" w:rsidRDefault="009B1CD1" w:rsidP="00EC5836">
            <w:pPr>
              <w:pStyle w:val="COMTabletext"/>
              <w:jc w:val="center"/>
            </w:pPr>
            <w:r w:rsidRPr="00392B10">
              <w:t>EFS</w:t>
            </w:r>
            <w:r w:rsidR="001767EE" w:rsidRPr="00392B10">
              <w:t>, HSCT rates, OS</w:t>
            </w:r>
          </w:p>
        </w:tc>
      </w:tr>
    </w:tbl>
    <w:p w14:paraId="203F31E9" w14:textId="77777777" w:rsidR="00E1018A" w:rsidRPr="00392B10" w:rsidRDefault="00E1018A" w:rsidP="00E1018A">
      <w:pPr>
        <w:pStyle w:val="COMTablefooter"/>
      </w:pPr>
      <w:r w:rsidRPr="00392B10">
        <w:t>Source: Table 2.2, p36 and Table 2.3, p37 of the submission</w:t>
      </w:r>
    </w:p>
    <w:p w14:paraId="1095487C" w14:textId="37B0C1FD" w:rsidR="00620C25" w:rsidRPr="00392B10" w:rsidRDefault="002B0CC3" w:rsidP="00EC5836">
      <w:pPr>
        <w:pStyle w:val="COMTablefooter"/>
        <w:rPr>
          <w:sz w:val="20"/>
        </w:rPr>
      </w:pPr>
      <w:r w:rsidRPr="00392B10">
        <w:t xml:space="preserve">AML-MRC = acute myeloid leukaemia with myelodysplasia-related changes; APL = acute promyelocytic leukaemia; </w:t>
      </w:r>
      <w:r w:rsidR="002032AB" w:rsidRPr="00392B10">
        <w:t>EFS</w:t>
      </w:r>
      <w:r w:rsidRPr="00392B10">
        <w:t xml:space="preserve"> =</w:t>
      </w:r>
      <w:r w:rsidR="002032AB" w:rsidRPr="00392B10">
        <w:t xml:space="preserve"> event-free survival; </w:t>
      </w:r>
      <w:r w:rsidRPr="00392B10">
        <w:t xml:space="preserve">HSCT = haematopoietic stem cell transplant; </w:t>
      </w:r>
      <w:r w:rsidR="00620C25" w:rsidRPr="00392B10">
        <w:t>MC</w:t>
      </w:r>
      <w:r w:rsidRPr="00392B10">
        <w:t xml:space="preserve"> =</w:t>
      </w:r>
      <w:r w:rsidR="00E1018A" w:rsidRPr="00392B10">
        <w:t xml:space="preserve"> </w:t>
      </w:r>
      <w:r w:rsidR="00620C25" w:rsidRPr="00392B10">
        <w:t xml:space="preserve">multi-centre; </w:t>
      </w:r>
      <w:r w:rsidR="002C024D" w:rsidRPr="00392B10">
        <w:t>OL</w:t>
      </w:r>
      <w:r w:rsidRPr="00392B10">
        <w:t xml:space="preserve"> =</w:t>
      </w:r>
      <w:r w:rsidR="002C024D" w:rsidRPr="00392B10">
        <w:t xml:space="preserve"> open</w:t>
      </w:r>
      <w:r w:rsidR="00620C25" w:rsidRPr="00392B10">
        <w:t xml:space="preserve"> label; OS</w:t>
      </w:r>
      <w:r w:rsidRPr="00392B10">
        <w:t xml:space="preserve"> =</w:t>
      </w:r>
      <w:r w:rsidR="00620C25" w:rsidRPr="00392B10">
        <w:t xml:space="preserve"> overall survival; R</w:t>
      </w:r>
      <w:r w:rsidR="002C024D" w:rsidRPr="00392B10">
        <w:t>CT</w:t>
      </w:r>
      <w:r w:rsidRPr="00392B10">
        <w:t xml:space="preserve"> =</w:t>
      </w:r>
      <w:r w:rsidR="00620C25" w:rsidRPr="00392B10">
        <w:t xml:space="preserve"> randomised</w:t>
      </w:r>
      <w:r w:rsidR="002C024D" w:rsidRPr="00392B10">
        <w:t xml:space="preserve"> controlled trial</w:t>
      </w:r>
      <w:r w:rsidRPr="00392B10">
        <w:t>; t-AML = therapy-related acute myeloid leukaemia</w:t>
      </w:r>
    </w:p>
    <w:p w14:paraId="4B83BBF3" w14:textId="2076337E" w:rsidR="00045017" w:rsidRPr="00392B10" w:rsidRDefault="00021C9D" w:rsidP="00021C9D">
      <w:pPr>
        <w:pStyle w:val="COMexecsumnumberedpara"/>
      </w:pPr>
      <w:r w:rsidRPr="00392B10">
        <w:t>The open-label trial design has the potential to introduce bias as knowledge of treatment assignment may affect disease management decisions. For example, decisions for sending patients for HSCT and initiation of post-remission consolidation therapy were made by local investigators prior to an independent review of response.</w:t>
      </w:r>
    </w:p>
    <w:p w14:paraId="71A221CB" w14:textId="054E3480" w:rsidR="003C13FF" w:rsidRPr="00392B10" w:rsidRDefault="003C13FF" w:rsidP="00021C9D">
      <w:pPr>
        <w:pStyle w:val="COMexecsumnumberedpara"/>
      </w:pPr>
      <w:r w:rsidRPr="00392B10">
        <w:t xml:space="preserve">There was differential treatment discontinuation between treatment arms, primarily due to a greater proportion of patients with persistent disease in the comparator arm who did not complete both consolidation courses. The difference was partially offset </w:t>
      </w:r>
      <w:r w:rsidRPr="00392B10">
        <w:lastRenderedPageBreak/>
        <w:t xml:space="preserve">by more patients in the intervention arm discontinuing treatment early as they went on to receive HSCT compared to those in the comparator arm. These differences </w:t>
      </w:r>
      <w:r w:rsidR="000A4C04" w:rsidRPr="00392B10">
        <w:t xml:space="preserve">may have affected </w:t>
      </w:r>
      <w:r w:rsidRPr="00392B10">
        <w:t xml:space="preserve">the primary endpoint of overall survival based on </w:t>
      </w:r>
      <w:r w:rsidR="002B0CC3" w:rsidRPr="00392B10">
        <w:t>intent-to-treat (</w:t>
      </w:r>
      <w:r w:rsidRPr="00392B10">
        <w:t>ITT</w:t>
      </w:r>
      <w:r w:rsidR="002B0CC3" w:rsidRPr="00392B10">
        <w:t>)</w:t>
      </w:r>
      <w:r w:rsidRPr="00392B10">
        <w:t xml:space="preserve"> analysis, although a reduction in persistent disease is related to improved treatment response. A formal sensitivity analysis censoring patients at the start of HSCT was performed so that survival potentially attributable to HSCT could be isolated from treatment-related effects.</w:t>
      </w:r>
    </w:p>
    <w:p w14:paraId="375A4B2A" w14:textId="34B0A51B" w:rsidR="005F783B" w:rsidRPr="00392B10" w:rsidRDefault="005F783B" w:rsidP="005F783B">
      <w:pPr>
        <w:pStyle w:val="COMexecsumnumberedpara"/>
      </w:pPr>
      <w:r w:rsidRPr="00392B10">
        <w:t xml:space="preserve">The submission identified two key sources of data on Australian patients with t-AML or AML-MRC from the ALLG NBCR 2020 Report and a sponsor-commissioned survey of haematologists in Australia (KOL 2021 survey). </w:t>
      </w:r>
    </w:p>
    <w:p w14:paraId="1E025304" w14:textId="582A25B7" w:rsidR="005F783B" w:rsidRPr="00392B10" w:rsidRDefault="005F783B" w:rsidP="005F783B">
      <w:pPr>
        <w:pStyle w:val="COMexecsumnumberedpara"/>
      </w:pPr>
      <w:r w:rsidRPr="00392B10">
        <w:t xml:space="preserve">Patient demographics in the trial were broadly similar to data from the Australian registry and survey, with some differences in terms of age and gender distribution. </w:t>
      </w:r>
    </w:p>
    <w:p w14:paraId="5A37823D" w14:textId="1387DA81" w:rsidR="005F783B" w:rsidRPr="00392B10" w:rsidRDefault="005F783B" w:rsidP="005F783B">
      <w:pPr>
        <w:pStyle w:val="COMexecsumnumberedpara"/>
      </w:pPr>
      <w:r w:rsidRPr="00392B10">
        <w:t>The distribution of patients based on cytogenetic risk and AML subtype were similar between the trial and Australian sources. The proportion of patients with FLT3 mutation was higher in the trial (14%) compared to the Australian registry cohort (9%) but lower than suggested in the survey (31%). The PBAC previously considered a FLT3 mutation positive rate of 34% in the broader newly diagnosed AML population (para</w:t>
      </w:r>
      <w:r w:rsidR="00B77FB2" w:rsidRPr="00392B10">
        <w:t>graph</w:t>
      </w:r>
      <w:r w:rsidRPr="00392B10">
        <w:t xml:space="preserve"> 6.45, midostaurin </w:t>
      </w:r>
      <w:r w:rsidR="00AA2874">
        <w:t>Public Summary Document (</w:t>
      </w:r>
      <w:r w:rsidRPr="00392B10">
        <w:t>PSD</w:t>
      </w:r>
      <w:r w:rsidR="00AA2874">
        <w:t>)</w:t>
      </w:r>
      <w:r w:rsidRPr="00392B10">
        <w:t>, July 2018 PBAC meeting)</w:t>
      </w:r>
      <w:r w:rsidR="00392B10">
        <w:t xml:space="preserve">. </w:t>
      </w:r>
    </w:p>
    <w:p w14:paraId="1E8C4A6F" w14:textId="63F5CE19" w:rsidR="005F783B" w:rsidRPr="00392B10" w:rsidRDefault="005F783B" w:rsidP="005F783B">
      <w:pPr>
        <w:pStyle w:val="COMexecsumnumberedpara"/>
      </w:pPr>
      <w:r w:rsidRPr="00392B10">
        <w:t xml:space="preserve">There were important differences between the key trial and the Australian setting in terms of treatment regimens used for induction and consolidation, the most commonly used anthracycline (daunorubicin versus idarubicin), the dose of cytarabine, the proportion of patients receiving </w:t>
      </w:r>
      <w:r w:rsidR="00593219" w:rsidRPr="00392B10">
        <w:t xml:space="preserve">second </w:t>
      </w:r>
      <w:r w:rsidRPr="00392B10">
        <w:t xml:space="preserve">induction and consolidation courses and rates of HSCT. A comparison of treatment practices and outcomes is presented in </w:t>
      </w:r>
      <w:r w:rsidR="00CA7499" w:rsidRPr="00392B10">
        <w:fldChar w:fldCharType="begin" w:fldLock="1"/>
      </w:r>
      <w:r w:rsidR="00CA7499" w:rsidRPr="00392B10">
        <w:instrText xml:space="preserve"> REF _Ref134466661 \h  \* MERGEFORMAT </w:instrText>
      </w:r>
      <w:r w:rsidR="00CA7499" w:rsidRPr="00392B10">
        <w:fldChar w:fldCharType="separate"/>
      </w:r>
      <w:r w:rsidR="00C24535" w:rsidRPr="00392B10">
        <w:t xml:space="preserve">Table </w:t>
      </w:r>
      <w:r w:rsidR="00C24535" w:rsidRPr="000366BF">
        <w:t>4</w:t>
      </w:r>
      <w:r w:rsidR="00CA7499" w:rsidRPr="00392B10">
        <w:fldChar w:fldCharType="end"/>
      </w:r>
      <w:r w:rsidR="00CA7499" w:rsidRPr="00392B10">
        <w:t xml:space="preserve"> </w:t>
      </w:r>
      <w:r w:rsidRPr="00392B10">
        <w:t>below.</w:t>
      </w:r>
    </w:p>
    <w:p w14:paraId="071049DD" w14:textId="214A7F1A" w:rsidR="005F783B" w:rsidRPr="00392B10" w:rsidRDefault="005F783B" w:rsidP="00FB7980">
      <w:pPr>
        <w:pStyle w:val="Caption"/>
      </w:pPr>
      <w:bookmarkStart w:id="21" w:name="_Ref134466661"/>
      <w:r w:rsidRPr="00392B10">
        <w:lastRenderedPageBreak/>
        <w:t xml:space="preserve">Table </w:t>
      </w:r>
      <w:r w:rsidR="00795A1F">
        <w:fldChar w:fldCharType="begin" w:fldLock="1"/>
      </w:r>
      <w:r w:rsidR="00795A1F">
        <w:instrText xml:space="preserve"> SEQ Table \* ARABIC </w:instrText>
      </w:r>
      <w:r w:rsidR="00795A1F">
        <w:fldChar w:fldCharType="separate"/>
      </w:r>
      <w:r w:rsidR="00C24535" w:rsidRPr="000366BF">
        <w:t>4</w:t>
      </w:r>
      <w:r w:rsidR="00795A1F">
        <w:fldChar w:fldCharType="end"/>
      </w:r>
      <w:bookmarkEnd w:id="21"/>
      <w:r w:rsidRPr="00392B10">
        <w:t>: Comparison between the trial setting and Australian setting</w:t>
      </w:r>
    </w:p>
    <w:tbl>
      <w:tblPr>
        <w:tblStyle w:val="TableGrid"/>
        <w:tblW w:w="0" w:type="auto"/>
        <w:tblCellMar>
          <w:left w:w="28" w:type="dxa"/>
          <w:right w:w="28" w:type="dxa"/>
        </w:tblCellMar>
        <w:tblLook w:val="04A0" w:firstRow="1" w:lastRow="0" w:firstColumn="1" w:lastColumn="0" w:noHBand="0" w:noVBand="1"/>
      </w:tblPr>
      <w:tblGrid>
        <w:gridCol w:w="2395"/>
        <w:gridCol w:w="2040"/>
        <w:gridCol w:w="1920"/>
        <w:gridCol w:w="2662"/>
      </w:tblGrid>
      <w:tr w:rsidR="005F783B" w:rsidRPr="00392B10" w14:paraId="72F5263D" w14:textId="77777777" w:rsidTr="00FB7980">
        <w:trPr>
          <w:cantSplit/>
          <w:tblHeader/>
        </w:trPr>
        <w:tc>
          <w:tcPr>
            <w:tcW w:w="2395" w:type="dxa"/>
            <w:vAlign w:val="center"/>
          </w:tcPr>
          <w:p w14:paraId="16EE45FB" w14:textId="77777777" w:rsidR="005F783B" w:rsidRPr="00392B10" w:rsidRDefault="005F783B" w:rsidP="00FB7980">
            <w:pPr>
              <w:pStyle w:val="COMTableheadingrow"/>
              <w:widowControl w:val="0"/>
              <w:rPr>
                <w:lang w:val="en-AU"/>
              </w:rPr>
            </w:pPr>
          </w:p>
        </w:tc>
        <w:tc>
          <w:tcPr>
            <w:tcW w:w="2040" w:type="dxa"/>
            <w:vAlign w:val="center"/>
          </w:tcPr>
          <w:p w14:paraId="4DFF657B" w14:textId="77777777" w:rsidR="005F783B" w:rsidRPr="00392B10" w:rsidRDefault="005F783B" w:rsidP="00FB7980">
            <w:pPr>
              <w:pStyle w:val="COMTableheadingrow"/>
              <w:widowControl w:val="0"/>
              <w:jc w:val="center"/>
              <w:rPr>
                <w:lang w:val="en-AU"/>
              </w:rPr>
            </w:pPr>
            <w:r w:rsidRPr="00392B10">
              <w:rPr>
                <w:lang w:val="en-AU"/>
              </w:rPr>
              <w:t>Study 301</w:t>
            </w:r>
          </w:p>
        </w:tc>
        <w:tc>
          <w:tcPr>
            <w:tcW w:w="1920" w:type="dxa"/>
            <w:vAlign w:val="center"/>
          </w:tcPr>
          <w:p w14:paraId="59E4FB78" w14:textId="77777777" w:rsidR="005F783B" w:rsidRPr="00392B10" w:rsidRDefault="005F783B" w:rsidP="00FB7980">
            <w:pPr>
              <w:pStyle w:val="COMTableheadingrow"/>
              <w:widowControl w:val="0"/>
              <w:jc w:val="center"/>
              <w:rPr>
                <w:lang w:val="en-AU"/>
              </w:rPr>
            </w:pPr>
            <w:r w:rsidRPr="00392B10">
              <w:rPr>
                <w:lang w:val="en-AU"/>
              </w:rPr>
              <w:t>ALLG NBCR 2020</w:t>
            </w:r>
          </w:p>
        </w:tc>
        <w:tc>
          <w:tcPr>
            <w:tcW w:w="2662" w:type="dxa"/>
            <w:vAlign w:val="center"/>
          </w:tcPr>
          <w:p w14:paraId="409017FD" w14:textId="77777777" w:rsidR="005F783B" w:rsidRPr="00392B10" w:rsidRDefault="005F783B" w:rsidP="00FB7980">
            <w:pPr>
              <w:pStyle w:val="COMTableheadingrow"/>
              <w:widowControl w:val="0"/>
              <w:jc w:val="center"/>
              <w:rPr>
                <w:lang w:val="en-AU"/>
              </w:rPr>
            </w:pPr>
            <w:r w:rsidRPr="00392B10">
              <w:rPr>
                <w:lang w:val="en-AU"/>
              </w:rPr>
              <w:t>KOL 2021 survey</w:t>
            </w:r>
          </w:p>
        </w:tc>
      </w:tr>
      <w:tr w:rsidR="005F783B" w:rsidRPr="00392B10" w14:paraId="54BECED7" w14:textId="77777777" w:rsidTr="003B634A">
        <w:trPr>
          <w:cantSplit/>
        </w:trPr>
        <w:tc>
          <w:tcPr>
            <w:tcW w:w="9017" w:type="dxa"/>
            <w:gridSpan w:val="4"/>
            <w:tcBorders>
              <w:top w:val="nil"/>
            </w:tcBorders>
          </w:tcPr>
          <w:p w14:paraId="41C8F07D" w14:textId="77777777" w:rsidR="005F783B" w:rsidRPr="00392B10" w:rsidRDefault="005F783B" w:rsidP="00FB7980">
            <w:pPr>
              <w:pStyle w:val="COMTableheadingrow"/>
              <w:rPr>
                <w:lang w:val="en-AU"/>
              </w:rPr>
            </w:pPr>
            <w:r w:rsidRPr="00392B10">
              <w:rPr>
                <w:lang w:val="en-AU"/>
              </w:rPr>
              <w:t>Treatment regimens (based on control arm for Study 301)</w:t>
            </w:r>
          </w:p>
        </w:tc>
      </w:tr>
      <w:tr w:rsidR="005F783B" w:rsidRPr="00392B10" w14:paraId="144B91E4" w14:textId="77777777" w:rsidTr="00FB7980">
        <w:trPr>
          <w:cantSplit/>
        </w:trPr>
        <w:tc>
          <w:tcPr>
            <w:tcW w:w="2395" w:type="dxa"/>
            <w:tcBorders>
              <w:top w:val="nil"/>
            </w:tcBorders>
            <w:vAlign w:val="center"/>
          </w:tcPr>
          <w:p w14:paraId="3711E95E" w14:textId="77777777" w:rsidR="005F783B" w:rsidRPr="00392B10" w:rsidRDefault="005F783B" w:rsidP="00FB7980">
            <w:pPr>
              <w:pStyle w:val="COMTabletext"/>
              <w:widowControl w:val="0"/>
            </w:pPr>
            <w:r w:rsidRPr="00392B10">
              <w:t>Induction treatment regimen (without FLT3 mutation)</w:t>
            </w:r>
          </w:p>
        </w:tc>
        <w:tc>
          <w:tcPr>
            <w:tcW w:w="2040" w:type="dxa"/>
            <w:tcBorders>
              <w:top w:val="nil"/>
            </w:tcBorders>
            <w:vAlign w:val="center"/>
          </w:tcPr>
          <w:p w14:paraId="45329E21" w14:textId="4B847C78" w:rsidR="005F783B" w:rsidRPr="00392B10" w:rsidRDefault="005F783B" w:rsidP="00FB7980">
            <w:pPr>
              <w:pStyle w:val="COMTabletext"/>
              <w:widowControl w:val="0"/>
              <w:jc w:val="center"/>
            </w:pPr>
            <w:r w:rsidRPr="00392B10">
              <w:t xml:space="preserve">100% 7+3 </w:t>
            </w:r>
            <w:r w:rsidR="00FB7980" w:rsidRPr="00392B10">
              <w:br/>
            </w:r>
            <w:r w:rsidRPr="00392B10">
              <w:t>(cytarabine, daunorubicin)</w:t>
            </w:r>
          </w:p>
        </w:tc>
        <w:tc>
          <w:tcPr>
            <w:tcW w:w="1920" w:type="dxa"/>
            <w:tcBorders>
              <w:top w:val="nil"/>
            </w:tcBorders>
            <w:vAlign w:val="center"/>
          </w:tcPr>
          <w:p w14:paraId="41E92FCE" w14:textId="77777777" w:rsidR="005F783B" w:rsidRPr="00392B10" w:rsidRDefault="005F783B" w:rsidP="00FB7980">
            <w:pPr>
              <w:pStyle w:val="COMTabletext"/>
              <w:widowControl w:val="0"/>
              <w:jc w:val="center"/>
              <w:rPr>
                <w:vertAlign w:val="superscript"/>
              </w:rPr>
            </w:pPr>
            <w:r w:rsidRPr="00392B10">
              <w:t xml:space="preserve">Not reported </w:t>
            </w:r>
            <w:r w:rsidRPr="00392B10">
              <w:rPr>
                <w:vertAlign w:val="superscript"/>
              </w:rPr>
              <w:t>a</w:t>
            </w:r>
          </w:p>
        </w:tc>
        <w:tc>
          <w:tcPr>
            <w:tcW w:w="2662" w:type="dxa"/>
            <w:tcBorders>
              <w:top w:val="nil"/>
            </w:tcBorders>
            <w:vAlign w:val="center"/>
          </w:tcPr>
          <w:p w14:paraId="29DBC72E" w14:textId="77777777" w:rsidR="005F783B" w:rsidRPr="00392B10" w:rsidRDefault="005F783B" w:rsidP="00FB7980">
            <w:pPr>
              <w:pStyle w:val="COMTabletext"/>
              <w:widowControl w:val="0"/>
              <w:jc w:val="center"/>
            </w:pPr>
            <w:r w:rsidRPr="00392B10">
              <w:t xml:space="preserve">75% 7+3 (cytarabine, idarubicin), </w:t>
            </w:r>
          </w:p>
          <w:p w14:paraId="6F750547" w14:textId="77777777" w:rsidR="005F783B" w:rsidRPr="00392B10" w:rsidRDefault="005F783B" w:rsidP="00FB7980">
            <w:pPr>
              <w:pStyle w:val="COMTabletext"/>
              <w:widowControl w:val="0"/>
              <w:jc w:val="center"/>
            </w:pPr>
            <w:r w:rsidRPr="00392B10">
              <w:t xml:space="preserve">16% (cytarabine, daunorubicin), </w:t>
            </w:r>
          </w:p>
          <w:p w14:paraId="77585F43" w14:textId="77777777" w:rsidR="005F783B" w:rsidRPr="00392B10" w:rsidRDefault="005F783B" w:rsidP="00FB7980">
            <w:pPr>
              <w:pStyle w:val="COMTabletext"/>
              <w:widowControl w:val="0"/>
              <w:jc w:val="center"/>
            </w:pPr>
            <w:r w:rsidRPr="00392B10">
              <w:t>9% other</w:t>
            </w:r>
          </w:p>
        </w:tc>
      </w:tr>
      <w:tr w:rsidR="005F783B" w:rsidRPr="00392B10" w14:paraId="59F29C80" w14:textId="77777777" w:rsidTr="00FB7980">
        <w:trPr>
          <w:cantSplit/>
        </w:trPr>
        <w:tc>
          <w:tcPr>
            <w:tcW w:w="2395" w:type="dxa"/>
            <w:tcBorders>
              <w:top w:val="nil"/>
            </w:tcBorders>
            <w:vAlign w:val="center"/>
          </w:tcPr>
          <w:p w14:paraId="322897BE" w14:textId="77777777" w:rsidR="005F783B" w:rsidRPr="00392B10" w:rsidRDefault="005F783B" w:rsidP="00FB7980">
            <w:pPr>
              <w:pStyle w:val="COMTabletext"/>
              <w:widowControl w:val="0"/>
            </w:pPr>
            <w:r w:rsidRPr="00392B10">
              <w:t>Induction treatment regimen (with FLT3 mutation)</w:t>
            </w:r>
          </w:p>
        </w:tc>
        <w:tc>
          <w:tcPr>
            <w:tcW w:w="2040" w:type="dxa"/>
            <w:tcBorders>
              <w:top w:val="nil"/>
            </w:tcBorders>
            <w:vAlign w:val="center"/>
          </w:tcPr>
          <w:p w14:paraId="5A522B8A" w14:textId="34A7EB79" w:rsidR="005F783B" w:rsidRPr="00392B10" w:rsidRDefault="005F783B" w:rsidP="00FB7980">
            <w:pPr>
              <w:pStyle w:val="COMTabletext"/>
              <w:widowControl w:val="0"/>
              <w:jc w:val="center"/>
            </w:pPr>
            <w:r w:rsidRPr="00392B10">
              <w:t xml:space="preserve">100% 7+3 </w:t>
            </w:r>
            <w:r w:rsidR="00FB7980" w:rsidRPr="00392B10">
              <w:br/>
            </w:r>
            <w:r w:rsidRPr="00392B10">
              <w:t>(cytarabine, daunorubicin)</w:t>
            </w:r>
          </w:p>
        </w:tc>
        <w:tc>
          <w:tcPr>
            <w:tcW w:w="1920" w:type="dxa"/>
            <w:vAlign w:val="center"/>
          </w:tcPr>
          <w:p w14:paraId="1D5D2CF8" w14:textId="77777777" w:rsidR="005F783B" w:rsidRPr="00392B10" w:rsidRDefault="005F783B" w:rsidP="00FB7980">
            <w:pPr>
              <w:pStyle w:val="COMTabletext"/>
              <w:widowControl w:val="0"/>
              <w:jc w:val="center"/>
              <w:rPr>
                <w:vertAlign w:val="superscript"/>
              </w:rPr>
            </w:pPr>
            <w:r w:rsidRPr="00392B10">
              <w:t xml:space="preserve">Not reported </w:t>
            </w:r>
            <w:r w:rsidRPr="00392B10">
              <w:rPr>
                <w:vertAlign w:val="superscript"/>
              </w:rPr>
              <w:t>a</w:t>
            </w:r>
          </w:p>
        </w:tc>
        <w:tc>
          <w:tcPr>
            <w:tcW w:w="2662" w:type="dxa"/>
            <w:tcBorders>
              <w:top w:val="nil"/>
            </w:tcBorders>
            <w:vAlign w:val="center"/>
          </w:tcPr>
          <w:p w14:paraId="1A92E5C9" w14:textId="62E10609" w:rsidR="005F783B" w:rsidRPr="00392B10" w:rsidRDefault="005F783B" w:rsidP="00FB7980">
            <w:pPr>
              <w:pStyle w:val="COMTabletext"/>
              <w:widowControl w:val="0"/>
              <w:jc w:val="center"/>
            </w:pPr>
            <w:r w:rsidRPr="00392B10">
              <w:t>82% 7+3</w:t>
            </w:r>
            <w:r w:rsidR="003B6D23" w:rsidRPr="00392B10">
              <w:t xml:space="preserve"> (cytarabine, anthracycline)</w:t>
            </w:r>
            <w:r w:rsidR="002B0CC3" w:rsidRPr="00392B10">
              <w:t xml:space="preserve"> </w:t>
            </w:r>
            <w:r w:rsidRPr="00392B10">
              <w:t>+</w:t>
            </w:r>
            <w:r w:rsidR="002B0CC3" w:rsidRPr="00392B10">
              <w:t xml:space="preserve"> </w:t>
            </w:r>
            <w:r w:rsidRPr="00392B10">
              <w:t xml:space="preserve">midostaurin, </w:t>
            </w:r>
          </w:p>
          <w:p w14:paraId="108612A2" w14:textId="77777777" w:rsidR="005F783B" w:rsidRPr="00392B10" w:rsidRDefault="005F783B" w:rsidP="00FB7980">
            <w:pPr>
              <w:pStyle w:val="COMTabletext"/>
              <w:widowControl w:val="0"/>
              <w:jc w:val="center"/>
            </w:pPr>
            <w:r w:rsidRPr="00392B10">
              <w:t xml:space="preserve">8% 7+3 (cytarabine, mitoxantrone), </w:t>
            </w:r>
          </w:p>
          <w:p w14:paraId="028596B0" w14:textId="77777777" w:rsidR="005F783B" w:rsidRPr="00392B10" w:rsidRDefault="005F783B" w:rsidP="00FB7980">
            <w:pPr>
              <w:pStyle w:val="COMTabletext"/>
              <w:widowControl w:val="0"/>
              <w:jc w:val="center"/>
            </w:pPr>
            <w:r w:rsidRPr="00392B10">
              <w:t>10% other</w:t>
            </w:r>
          </w:p>
        </w:tc>
      </w:tr>
      <w:tr w:rsidR="005F783B" w:rsidRPr="00392B10" w14:paraId="7C6805FF" w14:textId="77777777" w:rsidTr="00FB7980">
        <w:trPr>
          <w:cantSplit/>
        </w:trPr>
        <w:tc>
          <w:tcPr>
            <w:tcW w:w="2395" w:type="dxa"/>
            <w:tcBorders>
              <w:top w:val="nil"/>
            </w:tcBorders>
            <w:vAlign w:val="center"/>
          </w:tcPr>
          <w:p w14:paraId="4B6ACE0B" w14:textId="77777777" w:rsidR="005F783B" w:rsidRPr="00392B10" w:rsidRDefault="005F783B" w:rsidP="00FB7980">
            <w:pPr>
              <w:pStyle w:val="COMTabletext"/>
              <w:widowControl w:val="0"/>
            </w:pPr>
            <w:r w:rsidRPr="00392B10">
              <w:t>Re-induction treatment regimen (without FLT3 mutation)</w:t>
            </w:r>
          </w:p>
        </w:tc>
        <w:tc>
          <w:tcPr>
            <w:tcW w:w="2040" w:type="dxa"/>
            <w:tcBorders>
              <w:top w:val="nil"/>
            </w:tcBorders>
            <w:vAlign w:val="center"/>
          </w:tcPr>
          <w:p w14:paraId="5B6F49EC" w14:textId="36E9D0C9" w:rsidR="005F783B" w:rsidRPr="00392B10" w:rsidRDefault="005F783B" w:rsidP="00FB7980">
            <w:pPr>
              <w:pStyle w:val="COMTabletext"/>
              <w:widowControl w:val="0"/>
              <w:jc w:val="center"/>
            </w:pPr>
            <w:r w:rsidRPr="00392B10">
              <w:t xml:space="preserve">100% 5+2 </w:t>
            </w:r>
            <w:r w:rsidR="00FB7980" w:rsidRPr="00392B10">
              <w:br/>
            </w:r>
            <w:r w:rsidRPr="00392B10">
              <w:t>(cytarabine, daunorubicin)</w:t>
            </w:r>
          </w:p>
        </w:tc>
        <w:tc>
          <w:tcPr>
            <w:tcW w:w="1920" w:type="dxa"/>
            <w:tcBorders>
              <w:top w:val="nil"/>
            </w:tcBorders>
            <w:vAlign w:val="center"/>
          </w:tcPr>
          <w:p w14:paraId="5773B8FA" w14:textId="77777777" w:rsidR="005F783B" w:rsidRPr="00392B10" w:rsidRDefault="005F783B" w:rsidP="00FB7980">
            <w:pPr>
              <w:pStyle w:val="COMTabletext"/>
              <w:widowControl w:val="0"/>
              <w:jc w:val="center"/>
            </w:pPr>
            <w:r w:rsidRPr="00392B10">
              <w:t>Not reported</w:t>
            </w:r>
          </w:p>
        </w:tc>
        <w:tc>
          <w:tcPr>
            <w:tcW w:w="2662" w:type="dxa"/>
            <w:tcBorders>
              <w:top w:val="nil"/>
            </w:tcBorders>
            <w:vAlign w:val="center"/>
          </w:tcPr>
          <w:p w14:paraId="0D8C2B49" w14:textId="643BE827" w:rsidR="005F783B" w:rsidRPr="00392B10" w:rsidRDefault="005F783B" w:rsidP="00FB7980">
            <w:pPr>
              <w:pStyle w:val="COMTabletext"/>
              <w:widowControl w:val="0"/>
              <w:jc w:val="center"/>
            </w:pPr>
            <w:r w:rsidRPr="00392B10">
              <w:t>41% FLAG-I</w:t>
            </w:r>
            <w:r w:rsidR="004631F9" w:rsidRPr="00392B10">
              <w:t>da</w:t>
            </w:r>
            <w:r w:rsidRPr="00392B10">
              <w:t xml:space="preserve">, </w:t>
            </w:r>
          </w:p>
          <w:p w14:paraId="5565488A" w14:textId="77777777" w:rsidR="005F783B" w:rsidRPr="00392B10" w:rsidRDefault="005F783B" w:rsidP="00FB7980">
            <w:pPr>
              <w:pStyle w:val="COMTabletext"/>
              <w:widowControl w:val="0"/>
              <w:jc w:val="center"/>
            </w:pPr>
            <w:r w:rsidRPr="00392B10">
              <w:t xml:space="preserve">20% 7+3 (cytarabine, idarubicin), </w:t>
            </w:r>
          </w:p>
          <w:p w14:paraId="299CB8BD" w14:textId="77777777" w:rsidR="005F783B" w:rsidRPr="00392B10" w:rsidRDefault="005F783B" w:rsidP="00FB7980">
            <w:pPr>
              <w:pStyle w:val="COMTabletext"/>
              <w:widowControl w:val="0"/>
              <w:jc w:val="center"/>
            </w:pPr>
            <w:r w:rsidRPr="00392B10">
              <w:t>39% other</w:t>
            </w:r>
          </w:p>
        </w:tc>
      </w:tr>
      <w:tr w:rsidR="005F783B" w:rsidRPr="00392B10" w14:paraId="44287E12" w14:textId="77777777" w:rsidTr="00FB7980">
        <w:trPr>
          <w:cantSplit/>
        </w:trPr>
        <w:tc>
          <w:tcPr>
            <w:tcW w:w="2395" w:type="dxa"/>
            <w:tcBorders>
              <w:top w:val="nil"/>
            </w:tcBorders>
            <w:vAlign w:val="center"/>
          </w:tcPr>
          <w:p w14:paraId="3DBAF196" w14:textId="77777777" w:rsidR="005F783B" w:rsidRPr="00392B10" w:rsidRDefault="005F783B" w:rsidP="00FB7980">
            <w:pPr>
              <w:pStyle w:val="COMTabletext"/>
              <w:widowControl w:val="0"/>
            </w:pPr>
            <w:r w:rsidRPr="00392B10">
              <w:t>Re-induction treatment regimen (with FLT3 mutation)</w:t>
            </w:r>
          </w:p>
        </w:tc>
        <w:tc>
          <w:tcPr>
            <w:tcW w:w="2040" w:type="dxa"/>
            <w:tcBorders>
              <w:top w:val="nil"/>
            </w:tcBorders>
            <w:vAlign w:val="center"/>
          </w:tcPr>
          <w:p w14:paraId="47D2DB56" w14:textId="42FB7035" w:rsidR="005F783B" w:rsidRPr="00392B10" w:rsidRDefault="005F783B" w:rsidP="00FB7980">
            <w:pPr>
              <w:pStyle w:val="COMTabletext"/>
              <w:widowControl w:val="0"/>
              <w:jc w:val="center"/>
            </w:pPr>
            <w:r w:rsidRPr="00392B10">
              <w:t xml:space="preserve">100% 5+2 </w:t>
            </w:r>
            <w:r w:rsidR="00FB7980" w:rsidRPr="00392B10">
              <w:br/>
            </w:r>
            <w:r w:rsidRPr="00392B10">
              <w:t>(cytarabine, daunorubicin)</w:t>
            </w:r>
          </w:p>
        </w:tc>
        <w:tc>
          <w:tcPr>
            <w:tcW w:w="1920" w:type="dxa"/>
            <w:tcBorders>
              <w:top w:val="nil"/>
            </w:tcBorders>
            <w:vAlign w:val="center"/>
          </w:tcPr>
          <w:p w14:paraId="7F3555E5" w14:textId="77777777" w:rsidR="005F783B" w:rsidRPr="00392B10" w:rsidRDefault="005F783B" w:rsidP="00FB7980">
            <w:pPr>
              <w:pStyle w:val="COMTabletext"/>
              <w:widowControl w:val="0"/>
              <w:jc w:val="center"/>
            </w:pPr>
            <w:r w:rsidRPr="00392B10">
              <w:t>Not reported</w:t>
            </w:r>
          </w:p>
        </w:tc>
        <w:tc>
          <w:tcPr>
            <w:tcW w:w="2662" w:type="dxa"/>
            <w:tcBorders>
              <w:top w:val="nil"/>
            </w:tcBorders>
            <w:vAlign w:val="center"/>
          </w:tcPr>
          <w:p w14:paraId="3C2D225C" w14:textId="4B4005D0" w:rsidR="005F783B" w:rsidRPr="00392B10" w:rsidRDefault="005F783B" w:rsidP="00FB7980">
            <w:pPr>
              <w:pStyle w:val="COMTabletext"/>
              <w:widowControl w:val="0"/>
              <w:jc w:val="center"/>
            </w:pPr>
            <w:r w:rsidRPr="00392B10">
              <w:t>41% 7+3</w:t>
            </w:r>
            <w:r w:rsidR="002B0CC3" w:rsidRPr="00392B10">
              <w:t xml:space="preserve"> </w:t>
            </w:r>
            <w:r w:rsidRPr="00392B10">
              <w:t>+</w:t>
            </w:r>
            <w:r w:rsidR="002B0CC3" w:rsidRPr="00392B10">
              <w:t xml:space="preserve"> </w:t>
            </w:r>
            <w:r w:rsidRPr="00392B10">
              <w:t xml:space="preserve">midostaurin, </w:t>
            </w:r>
          </w:p>
          <w:p w14:paraId="2A8BFA1E" w14:textId="36170529" w:rsidR="005F783B" w:rsidRPr="00392B10" w:rsidRDefault="005F783B" w:rsidP="00FB7980">
            <w:pPr>
              <w:pStyle w:val="COMTabletext"/>
              <w:widowControl w:val="0"/>
              <w:jc w:val="center"/>
            </w:pPr>
            <w:r w:rsidRPr="00392B10">
              <w:t>35% FLAG-I</w:t>
            </w:r>
            <w:r w:rsidR="004631F9" w:rsidRPr="00392B10">
              <w:t>da</w:t>
            </w:r>
            <w:r w:rsidRPr="00392B10">
              <w:t xml:space="preserve">, </w:t>
            </w:r>
          </w:p>
          <w:p w14:paraId="57070A71" w14:textId="77777777" w:rsidR="005F783B" w:rsidRPr="00392B10" w:rsidRDefault="005F783B" w:rsidP="00FB7980">
            <w:pPr>
              <w:pStyle w:val="COMTabletext"/>
              <w:widowControl w:val="0"/>
              <w:jc w:val="center"/>
            </w:pPr>
            <w:r w:rsidRPr="00392B10">
              <w:t>25% other</w:t>
            </w:r>
          </w:p>
        </w:tc>
      </w:tr>
      <w:tr w:rsidR="005F783B" w:rsidRPr="00392B10" w14:paraId="6FEA3A6C" w14:textId="77777777" w:rsidTr="00FB7980">
        <w:trPr>
          <w:cantSplit/>
        </w:trPr>
        <w:tc>
          <w:tcPr>
            <w:tcW w:w="2395" w:type="dxa"/>
            <w:tcBorders>
              <w:top w:val="nil"/>
            </w:tcBorders>
            <w:vAlign w:val="center"/>
          </w:tcPr>
          <w:p w14:paraId="60795D64" w14:textId="77777777" w:rsidR="005F783B" w:rsidRPr="00392B10" w:rsidRDefault="005F783B" w:rsidP="00FB7980">
            <w:pPr>
              <w:pStyle w:val="COMTabletext"/>
              <w:widowControl w:val="0"/>
            </w:pPr>
            <w:r w:rsidRPr="00392B10">
              <w:t>Consolidation regimen (without FLT3 mutation)</w:t>
            </w:r>
          </w:p>
        </w:tc>
        <w:tc>
          <w:tcPr>
            <w:tcW w:w="2040" w:type="dxa"/>
            <w:tcBorders>
              <w:top w:val="nil"/>
            </w:tcBorders>
            <w:vAlign w:val="center"/>
          </w:tcPr>
          <w:p w14:paraId="2B00B1E7" w14:textId="430C7C24" w:rsidR="005F783B" w:rsidRPr="00392B10" w:rsidRDefault="005F783B" w:rsidP="00FB7980">
            <w:pPr>
              <w:pStyle w:val="COMTabletext"/>
              <w:widowControl w:val="0"/>
              <w:jc w:val="center"/>
            </w:pPr>
            <w:r w:rsidRPr="00392B10">
              <w:t xml:space="preserve">100% 5+2 </w:t>
            </w:r>
            <w:r w:rsidR="00FB7980" w:rsidRPr="00392B10">
              <w:br/>
            </w:r>
            <w:r w:rsidRPr="00392B10">
              <w:t>(cytarabine, daunorubicin)</w:t>
            </w:r>
          </w:p>
        </w:tc>
        <w:tc>
          <w:tcPr>
            <w:tcW w:w="1920" w:type="dxa"/>
            <w:tcBorders>
              <w:top w:val="nil"/>
            </w:tcBorders>
            <w:vAlign w:val="center"/>
          </w:tcPr>
          <w:p w14:paraId="54B5A5F6" w14:textId="77777777" w:rsidR="005F783B" w:rsidRPr="00392B10" w:rsidRDefault="005F783B" w:rsidP="00FB7980">
            <w:pPr>
              <w:pStyle w:val="COMTabletext"/>
              <w:widowControl w:val="0"/>
              <w:jc w:val="center"/>
              <w:rPr>
                <w:vertAlign w:val="superscript"/>
              </w:rPr>
            </w:pPr>
            <w:r w:rsidRPr="00392B10">
              <w:t xml:space="preserve">Not reported </w:t>
            </w:r>
            <w:r w:rsidRPr="00392B10">
              <w:rPr>
                <w:vertAlign w:val="superscript"/>
              </w:rPr>
              <w:t>b</w:t>
            </w:r>
          </w:p>
        </w:tc>
        <w:tc>
          <w:tcPr>
            <w:tcW w:w="2662" w:type="dxa"/>
            <w:tcBorders>
              <w:top w:val="nil"/>
            </w:tcBorders>
            <w:vAlign w:val="center"/>
          </w:tcPr>
          <w:p w14:paraId="57ACAD4D" w14:textId="73CE3657" w:rsidR="005F783B" w:rsidRPr="00392B10" w:rsidRDefault="005F783B" w:rsidP="00FB7980">
            <w:pPr>
              <w:pStyle w:val="COMTabletext"/>
              <w:widowControl w:val="0"/>
              <w:jc w:val="center"/>
            </w:pPr>
            <w:r w:rsidRPr="00392B10">
              <w:t>64% H</w:t>
            </w:r>
            <w:r w:rsidR="007F641A" w:rsidRPr="00392B10">
              <w:t>i</w:t>
            </w:r>
            <w:r w:rsidRPr="00392B10">
              <w:t>DAC,</w:t>
            </w:r>
          </w:p>
          <w:p w14:paraId="16814222" w14:textId="77777777" w:rsidR="005F783B" w:rsidRPr="00392B10" w:rsidRDefault="005F783B" w:rsidP="00FB7980">
            <w:pPr>
              <w:pStyle w:val="COMTabletext"/>
              <w:widowControl w:val="0"/>
              <w:jc w:val="center"/>
            </w:pPr>
            <w:r w:rsidRPr="00392B10">
              <w:t>16% 5+2 (cytarabine, idarubicin),</w:t>
            </w:r>
          </w:p>
          <w:p w14:paraId="77D2E00D" w14:textId="77777777" w:rsidR="005F783B" w:rsidRPr="00392B10" w:rsidRDefault="005F783B" w:rsidP="00FB7980">
            <w:pPr>
              <w:pStyle w:val="COMTabletext"/>
              <w:widowControl w:val="0"/>
              <w:jc w:val="center"/>
            </w:pPr>
            <w:r w:rsidRPr="00392B10">
              <w:t>20% other</w:t>
            </w:r>
          </w:p>
        </w:tc>
      </w:tr>
      <w:tr w:rsidR="005F783B" w:rsidRPr="00392B10" w14:paraId="2AA07EE7" w14:textId="77777777" w:rsidTr="00FB7980">
        <w:trPr>
          <w:cantSplit/>
        </w:trPr>
        <w:tc>
          <w:tcPr>
            <w:tcW w:w="2395" w:type="dxa"/>
            <w:tcBorders>
              <w:top w:val="nil"/>
            </w:tcBorders>
            <w:vAlign w:val="center"/>
          </w:tcPr>
          <w:p w14:paraId="07D02A10" w14:textId="77777777" w:rsidR="005F783B" w:rsidRPr="00392B10" w:rsidRDefault="005F783B" w:rsidP="003B634A">
            <w:pPr>
              <w:pStyle w:val="COMTabletext"/>
              <w:keepNext w:val="0"/>
              <w:widowControl w:val="0"/>
            </w:pPr>
            <w:r w:rsidRPr="00392B10">
              <w:t>Consolidation regimen (with FLT3 mutation)</w:t>
            </w:r>
          </w:p>
        </w:tc>
        <w:tc>
          <w:tcPr>
            <w:tcW w:w="2040" w:type="dxa"/>
            <w:tcBorders>
              <w:top w:val="nil"/>
            </w:tcBorders>
            <w:vAlign w:val="center"/>
          </w:tcPr>
          <w:p w14:paraId="57EA5FC8" w14:textId="51035794" w:rsidR="005F783B" w:rsidRPr="00392B10" w:rsidRDefault="005F783B" w:rsidP="003B634A">
            <w:pPr>
              <w:pStyle w:val="COMTabletext"/>
              <w:keepNext w:val="0"/>
              <w:widowControl w:val="0"/>
              <w:jc w:val="center"/>
            </w:pPr>
            <w:r w:rsidRPr="00392B10">
              <w:t xml:space="preserve">100% 5+2 </w:t>
            </w:r>
            <w:r w:rsidR="00FB7980" w:rsidRPr="00392B10">
              <w:br/>
            </w:r>
            <w:r w:rsidRPr="00392B10">
              <w:t>(cytarabine, daunorubicin)</w:t>
            </w:r>
          </w:p>
        </w:tc>
        <w:tc>
          <w:tcPr>
            <w:tcW w:w="1920" w:type="dxa"/>
            <w:vAlign w:val="center"/>
          </w:tcPr>
          <w:p w14:paraId="55696FCB" w14:textId="77777777" w:rsidR="005F783B" w:rsidRPr="00392B10" w:rsidRDefault="005F783B" w:rsidP="003B634A">
            <w:pPr>
              <w:pStyle w:val="COMTabletext"/>
              <w:keepNext w:val="0"/>
              <w:widowControl w:val="0"/>
              <w:jc w:val="center"/>
              <w:rPr>
                <w:vertAlign w:val="superscript"/>
              </w:rPr>
            </w:pPr>
            <w:r w:rsidRPr="00392B10">
              <w:t xml:space="preserve">Not reported </w:t>
            </w:r>
            <w:r w:rsidRPr="00392B10">
              <w:rPr>
                <w:vertAlign w:val="superscript"/>
              </w:rPr>
              <w:t>b</w:t>
            </w:r>
          </w:p>
        </w:tc>
        <w:tc>
          <w:tcPr>
            <w:tcW w:w="2662" w:type="dxa"/>
            <w:tcBorders>
              <w:top w:val="nil"/>
            </w:tcBorders>
            <w:vAlign w:val="center"/>
          </w:tcPr>
          <w:p w14:paraId="48F2AD6A" w14:textId="19E65B66" w:rsidR="005F783B" w:rsidRPr="00392B10" w:rsidRDefault="005F783B" w:rsidP="003B634A">
            <w:pPr>
              <w:pStyle w:val="COMTabletext"/>
              <w:keepNext w:val="0"/>
              <w:widowControl w:val="0"/>
              <w:jc w:val="center"/>
            </w:pPr>
            <w:r w:rsidRPr="00392B10">
              <w:t>60% H</w:t>
            </w:r>
            <w:r w:rsidR="007F641A" w:rsidRPr="00392B10">
              <w:t>i</w:t>
            </w:r>
            <w:r w:rsidRPr="00392B10">
              <w:t>DAC</w:t>
            </w:r>
            <w:r w:rsidR="002B0CC3" w:rsidRPr="00392B10">
              <w:t xml:space="preserve"> </w:t>
            </w:r>
            <w:r w:rsidRPr="00392B10">
              <w:t>+</w:t>
            </w:r>
            <w:r w:rsidR="002B0CC3" w:rsidRPr="00392B10">
              <w:t xml:space="preserve"> </w:t>
            </w:r>
            <w:r w:rsidRPr="00392B10">
              <w:t xml:space="preserve">midostaurin, </w:t>
            </w:r>
            <w:r w:rsidR="00FB7980" w:rsidRPr="00392B10">
              <w:br/>
            </w:r>
            <w:r w:rsidRPr="00392B10">
              <w:t>22% 5+2 midostaurin,</w:t>
            </w:r>
          </w:p>
          <w:p w14:paraId="20F3A037" w14:textId="77777777" w:rsidR="005F783B" w:rsidRPr="00392B10" w:rsidRDefault="005F783B" w:rsidP="003B634A">
            <w:pPr>
              <w:pStyle w:val="COMTabletext"/>
              <w:keepNext w:val="0"/>
              <w:widowControl w:val="0"/>
              <w:jc w:val="center"/>
            </w:pPr>
            <w:r w:rsidRPr="00392B10">
              <w:t>10% 7+3+midostaurin,</w:t>
            </w:r>
          </w:p>
          <w:p w14:paraId="3D561641" w14:textId="77777777" w:rsidR="005F783B" w:rsidRPr="00392B10" w:rsidRDefault="005F783B" w:rsidP="003B634A">
            <w:pPr>
              <w:pStyle w:val="COMTabletext"/>
              <w:keepNext w:val="0"/>
              <w:widowControl w:val="0"/>
              <w:jc w:val="center"/>
            </w:pPr>
            <w:r w:rsidRPr="00392B10">
              <w:t>8% other</w:t>
            </w:r>
          </w:p>
        </w:tc>
      </w:tr>
      <w:tr w:rsidR="005F783B" w:rsidRPr="00392B10" w14:paraId="1DDD489A" w14:textId="77777777" w:rsidTr="00FB7980">
        <w:trPr>
          <w:cantSplit/>
        </w:trPr>
        <w:tc>
          <w:tcPr>
            <w:tcW w:w="2395" w:type="dxa"/>
            <w:tcBorders>
              <w:top w:val="nil"/>
            </w:tcBorders>
            <w:vAlign w:val="center"/>
          </w:tcPr>
          <w:p w14:paraId="6A311BBD" w14:textId="77777777" w:rsidR="005F783B" w:rsidRPr="00392B10" w:rsidRDefault="005F783B" w:rsidP="003B634A">
            <w:pPr>
              <w:pStyle w:val="COMTabletext"/>
              <w:keepNext w:val="0"/>
              <w:widowControl w:val="0"/>
            </w:pPr>
            <w:r w:rsidRPr="00392B10">
              <w:t>Salvage therapy</w:t>
            </w:r>
          </w:p>
        </w:tc>
        <w:tc>
          <w:tcPr>
            <w:tcW w:w="2040" w:type="dxa"/>
            <w:tcBorders>
              <w:top w:val="nil"/>
            </w:tcBorders>
            <w:vAlign w:val="center"/>
          </w:tcPr>
          <w:p w14:paraId="790207DC" w14:textId="77777777" w:rsidR="005F783B" w:rsidRPr="00392B10" w:rsidRDefault="005F783B" w:rsidP="003B634A">
            <w:pPr>
              <w:pStyle w:val="COMTabletext"/>
              <w:keepNext w:val="0"/>
              <w:widowControl w:val="0"/>
              <w:jc w:val="center"/>
            </w:pPr>
            <w:r w:rsidRPr="00392B10">
              <w:t xml:space="preserve">Regimens not reported </w:t>
            </w:r>
            <w:r w:rsidRPr="00392B10">
              <w:rPr>
                <w:vertAlign w:val="superscript"/>
              </w:rPr>
              <w:t>c</w:t>
            </w:r>
            <w:r w:rsidRPr="00392B10">
              <w:t xml:space="preserve"> </w:t>
            </w:r>
          </w:p>
        </w:tc>
        <w:tc>
          <w:tcPr>
            <w:tcW w:w="1920" w:type="dxa"/>
            <w:tcBorders>
              <w:top w:val="nil"/>
            </w:tcBorders>
            <w:vAlign w:val="center"/>
          </w:tcPr>
          <w:p w14:paraId="5DF479D5" w14:textId="77777777" w:rsidR="005F783B" w:rsidRPr="00392B10" w:rsidRDefault="005F783B" w:rsidP="003B634A">
            <w:pPr>
              <w:pStyle w:val="COMTabletext"/>
              <w:keepNext w:val="0"/>
              <w:widowControl w:val="0"/>
              <w:jc w:val="center"/>
            </w:pPr>
            <w:r w:rsidRPr="00392B10">
              <w:t>Not reported</w:t>
            </w:r>
          </w:p>
        </w:tc>
        <w:tc>
          <w:tcPr>
            <w:tcW w:w="2662" w:type="dxa"/>
            <w:tcBorders>
              <w:top w:val="nil"/>
            </w:tcBorders>
            <w:vAlign w:val="center"/>
          </w:tcPr>
          <w:p w14:paraId="06F2C469" w14:textId="6AEEA8B9" w:rsidR="005F783B" w:rsidRPr="00392B10" w:rsidRDefault="005F783B" w:rsidP="003B634A">
            <w:pPr>
              <w:pStyle w:val="COMTabletext"/>
              <w:keepNext w:val="0"/>
              <w:widowControl w:val="0"/>
              <w:jc w:val="center"/>
            </w:pPr>
            <w:r w:rsidRPr="00392B10">
              <w:t>75% FLAG-I</w:t>
            </w:r>
            <w:r w:rsidR="004631F9" w:rsidRPr="00392B10">
              <w:t>da</w:t>
            </w:r>
            <w:r w:rsidRPr="00392B10">
              <w:t>,</w:t>
            </w:r>
          </w:p>
          <w:p w14:paraId="2A65B66E" w14:textId="77777777" w:rsidR="005F783B" w:rsidRPr="00392B10" w:rsidRDefault="005F783B" w:rsidP="003B634A">
            <w:pPr>
              <w:pStyle w:val="COMTabletext"/>
              <w:keepNext w:val="0"/>
              <w:widowControl w:val="0"/>
              <w:jc w:val="center"/>
            </w:pPr>
            <w:r w:rsidRPr="00392B10">
              <w:t>7% IDAC,</w:t>
            </w:r>
          </w:p>
          <w:p w14:paraId="1B145BFA" w14:textId="69BA1B51" w:rsidR="005F783B" w:rsidRPr="00392B10" w:rsidRDefault="005F783B" w:rsidP="003B634A">
            <w:pPr>
              <w:pStyle w:val="COMTabletext"/>
              <w:keepNext w:val="0"/>
              <w:widowControl w:val="0"/>
              <w:jc w:val="center"/>
            </w:pPr>
            <w:r w:rsidRPr="00392B10">
              <w:t>4% IDAC</w:t>
            </w:r>
            <w:r w:rsidR="002B0CC3" w:rsidRPr="00392B10">
              <w:t xml:space="preserve"> </w:t>
            </w:r>
            <w:r w:rsidRPr="00392B10">
              <w:t>+</w:t>
            </w:r>
            <w:r w:rsidR="002B0CC3" w:rsidRPr="00392B10">
              <w:t xml:space="preserve"> </w:t>
            </w:r>
            <w:r w:rsidRPr="00392B10">
              <w:t>idarubicin,</w:t>
            </w:r>
          </w:p>
          <w:p w14:paraId="77193A44" w14:textId="77777777" w:rsidR="005F783B" w:rsidRPr="00392B10" w:rsidRDefault="005F783B" w:rsidP="003B634A">
            <w:pPr>
              <w:pStyle w:val="COMTabletext"/>
              <w:keepNext w:val="0"/>
              <w:widowControl w:val="0"/>
              <w:jc w:val="center"/>
            </w:pPr>
            <w:r w:rsidRPr="00392B10">
              <w:t>4% MEC</w:t>
            </w:r>
          </w:p>
        </w:tc>
      </w:tr>
      <w:tr w:rsidR="005F783B" w:rsidRPr="00392B10" w14:paraId="6701FA0B" w14:textId="77777777" w:rsidTr="00FB7980">
        <w:trPr>
          <w:cantSplit/>
        </w:trPr>
        <w:tc>
          <w:tcPr>
            <w:tcW w:w="2395" w:type="dxa"/>
            <w:tcBorders>
              <w:top w:val="nil"/>
              <w:bottom w:val="nil"/>
            </w:tcBorders>
          </w:tcPr>
          <w:p w14:paraId="4D370633" w14:textId="77777777" w:rsidR="005F783B" w:rsidRPr="00392B10" w:rsidRDefault="005F783B" w:rsidP="003B634A">
            <w:pPr>
              <w:pStyle w:val="COMTabletext"/>
              <w:keepNext w:val="0"/>
              <w:widowControl w:val="0"/>
            </w:pPr>
            <w:r w:rsidRPr="00392B10">
              <w:t>Cytarabine daily dose, mg/m</w:t>
            </w:r>
            <w:r w:rsidRPr="00392B10">
              <w:rPr>
                <w:vertAlign w:val="superscript"/>
              </w:rPr>
              <w:t>2</w:t>
            </w:r>
          </w:p>
        </w:tc>
        <w:tc>
          <w:tcPr>
            <w:tcW w:w="2040" w:type="dxa"/>
            <w:tcBorders>
              <w:top w:val="nil"/>
              <w:bottom w:val="nil"/>
            </w:tcBorders>
            <w:vAlign w:val="center"/>
          </w:tcPr>
          <w:p w14:paraId="52F5AC97" w14:textId="77777777" w:rsidR="005F783B" w:rsidRPr="00392B10" w:rsidRDefault="005F783B" w:rsidP="003B634A">
            <w:pPr>
              <w:pStyle w:val="COMTabletext"/>
              <w:keepNext w:val="0"/>
              <w:widowControl w:val="0"/>
              <w:jc w:val="center"/>
            </w:pPr>
          </w:p>
        </w:tc>
        <w:tc>
          <w:tcPr>
            <w:tcW w:w="1920" w:type="dxa"/>
            <w:tcBorders>
              <w:top w:val="nil"/>
              <w:bottom w:val="nil"/>
            </w:tcBorders>
            <w:vAlign w:val="center"/>
          </w:tcPr>
          <w:p w14:paraId="35EB036F" w14:textId="77777777" w:rsidR="005F783B" w:rsidRPr="00392B10" w:rsidRDefault="005F783B" w:rsidP="003B634A">
            <w:pPr>
              <w:pStyle w:val="COMTabletext"/>
              <w:keepNext w:val="0"/>
              <w:widowControl w:val="0"/>
              <w:jc w:val="center"/>
            </w:pPr>
          </w:p>
        </w:tc>
        <w:tc>
          <w:tcPr>
            <w:tcW w:w="2662" w:type="dxa"/>
            <w:tcBorders>
              <w:top w:val="nil"/>
              <w:bottom w:val="nil"/>
            </w:tcBorders>
            <w:vAlign w:val="center"/>
          </w:tcPr>
          <w:p w14:paraId="13EF865B" w14:textId="77777777" w:rsidR="005F783B" w:rsidRPr="00392B10" w:rsidRDefault="005F783B" w:rsidP="003B634A">
            <w:pPr>
              <w:pStyle w:val="COMTabletext"/>
              <w:keepNext w:val="0"/>
              <w:widowControl w:val="0"/>
              <w:jc w:val="center"/>
            </w:pPr>
            <w:r w:rsidRPr="00392B10">
              <w:t>Median (range)</w:t>
            </w:r>
          </w:p>
        </w:tc>
      </w:tr>
      <w:tr w:rsidR="005F783B" w:rsidRPr="00392B10" w14:paraId="1688B401" w14:textId="77777777" w:rsidTr="00FB7980">
        <w:trPr>
          <w:cantSplit/>
        </w:trPr>
        <w:tc>
          <w:tcPr>
            <w:tcW w:w="2395" w:type="dxa"/>
            <w:tcBorders>
              <w:top w:val="nil"/>
              <w:bottom w:val="nil"/>
            </w:tcBorders>
            <w:vAlign w:val="center"/>
          </w:tcPr>
          <w:p w14:paraId="51E25F8C" w14:textId="77777777" w:rsidR="005F783B" w:rsidRPr="00392B10" w:rsidRDefault="005F783B" w:rsidP="003B634A">
            <w:pPr>
              <w:pStyle w:val="COMTabletext"/>
              <w:keepNext w:val="0"/>
              <w:widowControl w:val="0"/>
            </w:pPr>
            <w:r w:rsidRPr="00392B10">
              <w:t>- Induction</w:t>
            </w:r>
          </w:p>
        </w:tc>
        <w:tc>
          <w:tcPr>
            <w:tcW w:w="2040" w:type="dxa"/>
            <w:tcBorders>
              <w:top w:val="nil"/>
              <w:bottom w:val="nil"/>
            </w:tcBorders>
            <w:vAlign w:val="center"/>
          </w:tcPr>
          <w:p w14:paraId="747858BF" w14:textId="77777777" w:rsidR="005F783B" w:rsidRPr="00392B10" w:rsidRDefault="005F783B" w:rsidP="003B634A">
            <w:pPr>
              <w:pStyle w:val="COMTabletext"/>
              <w:keepNext w:val="0"/>
              <w:widowControl w:val="0"/>
              <w:jc w:val="center"/>
            </w:pPr>
            <w:r w:rsidRPr="00392B10">
              <w:t>100</w:t>
            </w:r>
          </w:p>
        </w:tc>
        <w:tc>
          <w:tcPr>
            <w:tcW w:w="1920" w:type="dxa"/>
            <w:tcBorders>
              <w:top w:val="nil"/>
              <w:bottom w:val="nil"/>
            </w:tcBorders>
            <w:vAlign w:val="center"/>
          </w:tcPr>
          <w:p w14:paraId="47F17DE3" w14:textId="77777777" w:rsidR="005F783B" w:rsidRPr="00392B10" w:rsidRDefault="005F783B" w:rsidP="003B634A">
            <w:pPr>
              <w:pStyle w:val="COMTabletext"/>
              <w:keepNext w:val="0"/>
              <w:widowControl w:val="0"/>
              <w:jc w:val="center"/>
            </w:pPr>
            <w:r w:rsidRPr="00392B10">
              <w:t>Not reported</w:t>
            </w:r>
          </w:p>
        </w:tc>
        <w:tc>
          <w:tcPr>
            <w:tcW w:w="2662" w:type="dxa"/>
            <w:tcBorders>
              <w:top w:val="nil"/>
              <w:bottom w:val="nil"/>
            </w:tcBorders>
            <w:vAlign w:val="center"/>
          </w:tcPr>
          <w:p w14:paraId="7BC02CEE" w14:textId="77777777" w:rsidR="005F783B" w:rsidRPr="00392B10" w:rsidRDefault="005F783B" w:rsidP="003B634A">
            <w:pPr>
              <w:pStyle w:val="COMTabletext"/>
              <w:keepNext w:val="0"/>
              <w:widowControl w:val="0"/>
              <w:jc w:val="center"/>
            </w:pPr>
            <w:r w:rsidRPr="00392B10">
              <w:t>100 (100, 200)</w:t>
            </w:r>
          </w:p>
        </w:tc>
      </w:tr>
      <w:tr w:rsidR="005F783B" w:rsidRPr="00392B10" w14:paraId="51BB4D3F" w14:textId="77777777" w:rsidTr="00FB7980">
        <w:trPr>
          <w:cantSplit/>
        </w:trPr>
        <w:tc>
          <w:tcPr>
            <w:tcW w:w="2395" w:type="dxa"/>
            <w:tcBorders>
              <w:top w:val="nil"/>
              <w:bottom w:val="nil"/>
            </w:tcBorders>
            <w:vAlign w:val="center"/>
          </w:tcPr>
          <w:p w14:paraId="156E427D" w14:textId="77777777" w:rsidR="005F783B" w:rsidRPr="00392B10" w:rsidRDefault="005F783B" w:rsidP="003B634A">
            <w:pPr>
              <w:pStyle w:val="COMTabletext"/>
              <w:keepNext w:val="0"/>
              <w:widowControl w:val="0"/>
            </w:pPr>
            <w:r w:rsidRPr="00392B10">
              <w:t>- Re-induction</w:t>
            </w:r>
          </w:p>
        </w:tc>
        <w:tc>
          <w:tcPr>
            <w:tcW w:w="2040" w:type="dxa"/>
            <w:tcBorders>
              <w:top w:val="nil"/>
              <w:bottom w:val="nil"/>
            </w:tcBorders>
            <w:vAlign w:val="center"/>
          </w:tcPr>
          <w:p w14:paraId="41F96AC2" w14:textId="77777777" w:rsidR="005F783B" w:rsidRPr="00392B10" w:rsidRDefault="005F783B" w:rsidP="003B634A">
            <w:pPr>
              <w:pStyle w:val="COMTabletext"/>
              <w:keepNext w:val="0"/>
              <w:widowControl w:val="0"/>
              <w:jc w:val="center"/>
            </w:pPr>
            <w:r w:rsidRPr="00392B10">
              <w:t>100</w:t>
            </w:r>
          </w:p>
        </w:tc>
        <w:tc>
          <w:tcPr>
            <w:tcW w:w="1920" w:type="dxa"/>
            <w:tcBorders>
              <w:top w:val="nil"/>
              <w:bottom w:val="nil"/>
            </w:tcBorders>
            <w:vAlign w:val="center"/>
          </w:tcPr>
          <w:p w14:paraId="18817AE8" w14:textId="77777777" w:rsidR="005F783B" w:rsidRPr="00392B10" w:rsidRDefault="005F783B" w:rsidP="003B634A">
            <w:pPr>
              <w:pStyle w:val="COMTabletext"/>
              <w:keepNext w:val="0"/>
              <w:widowControl w:val="0"/>
              <w:jc w:val="center"/>
            </w:pPr>
            <w:r w:rsidRPr="00392B10">
              <w:t>Not reported</w:t>
            </w:r>
          </w:p>
        </w:tc>
        <w:tc>
          <w:tcPr>
            <w:tcW w:w="2662" w:type="dxa"/>
            <w:tcBorders>
              <w:top w:val="nil"/>
              <w:bottom w:val="nil"/>
            </w:tcBorders>
            <w:vAlign w:val="center"/>
          </w:tcPr>
          <w:p w14:paraId="638A751A" w14:textId="77777777" w:rsidR="005F783B" w:rsidRPr="00392B10" w:rsidRDefault="005F783B" w:rsidP="003B634A">
            <w:pPr>
              <w:pStyle w:val="COMTabletext"/>
              <w:keepNext w:val="0"/>
              <w:widowControl w:val="0"/>
              <w:jc w:val="center"/>
            </w:pPr>
            <w:r w:rsidRPr="00392B10">
              <w:t>600 (100, 3,000)</w:t>
            </w:r>
          </w:p>
        </w:tc>
      </w:tr>
      <w:tr w:rsidR="005F783B" w:rsidRPr="00392B10" w14:paraId="0A4A7A19" w14:textId="77777777" w:rsidTr="00FB7980">
        <w:trPr>
          <w:cantSplit/>
        </w:trPr>
        <w:tc>
          <w:tcPr>
            <w:tcW w:w="2395" w:type="dxa"/>
            <w:tcBorders>
              <w:top w:val="nil"/>
              <w:bottom w:val="nil"/>
            </w:tcBorders>
            <w:vAlign w:val="center"/>
          </w:tcPr>
          <w:p w14:paraId="198F4BD2" w14:textId="77777777" w:rsidR="005F783B" w:rsidRPr="00392B10" w:rsidRDefault="005F783B" w:rsidP="003B634A">
            <w:pPr>
              <w:pStyle w:val="COMTabletext"/>
              <w:keepNext w:val="0"/>
              <w:widowControl w:val="0"/>
            </w:pPr>
            <w:r w:rsidRPr="00392B10">
              <w:t>- Consolidation 1</w:t>
            </w:r>
          </w:p>
        </w:tc>
        <w:tc>
          <w:tcPr>
            <w:tcW w:w="2040" w:type="dxa"/>
            <w:tcBorders>
              <w:top w:val="nil"/>
              <w:bottom w:val="nil"/>
            </w:tcBorders>
            <w:vAlign w:val="center"/>
          </w:tcPr>
          <w:p w14:paraId="295C7A47" w14:textId="77777777" w:rsidR="005F783B" w:rsidRPr="00392B10" w:rsidRDefault="005F783B" w:rsidP="003B634A">
            <w:pPr>
              <w:pStyle w:val="COMTabletext"/>
              <w:keepNext w:val="0"/>
              <w:widowControl w:val="0"/>
              <w:jc w:val="center"/>
            </w:pPr>
            <w:r w:rsidRPr="00392B10">
              <w:t>100</w:t>
            </w:r>
          </w:p>
        </w:tc>
        <w:tc>
          <w:tcPr>
            <w:tcW w:w="1920" w:type="dxa"/>
            <w:tcBorders>
              <w:top w:val="nil"/>
              <w:bottom w:val="nil"/>
            </w:tcBorders>
            <w:vAlign w:val="center"/>
          </w:tcPr>
          <w:p w14:paraId="5BCBB81A" w14:textId="77777777" w:rsidR="005F783B" w:rsidRPr="00392B10" w:rsidRDefault="005F783B" w:rsidP="003B634A">
            <w:pPr>
              <w:pStyle w:val="COMTabletext"/>
              <w:keepNext w:val="0"/>
              <w:widowControl w:val="0"/>
              <w:jc w:val="center"/>
            </w:pPr>
            <w:r w:rsidRPr="00392B10">
              <w:t>Not reported</w:t>
            </w:r>
          </w:p>
        </w:tc>
        <w:tc>
          <w:tcPr>
            <w:tcW w:w="2662" w:type="dxa"/>
            <w:tcBorders>
              <w:top w:val="nil"/>
              <w:bottom w:val="nil"/>
            </w:tcBorders>
            <w:vAlign w:val="center"/>
          </w:tcPr>
          <w:p w14:paraId="32A54B67" w14:textId="77777777" w:rsidR="005F783B" w:rsidRPr="00392B10" w:rsidRDefault="005F783B" w:rsidP="003B634A">
            <w:pPr>
              <w:pStyle w:val="COMTabletext"/>
              <w:keepNext w:val="0"/>
              <w:widowControl w:val="0"/>
              <w:jc w:val="center"/>
            </w:pPr>
            <w:r w:rsidRPr="00392B10">
              <w:t>1,500 (100, 6,000)</w:t>
            </w:r>
          </w:p>
        </w:tc>
      </w:tr>
      <w:tr w:rsidR="005F783B" w:rsidRPr="00392B10" w14:paraId="2E0E838A" w14:textId="77777777" w:rsidTr="00FB7980">
        <w:trPr>
          <w:cantSplit/>
        </w:trPr>
        <w:tc>
          <w:tcPr>
            <w:tcW w:w="2395" w:type="dxa"/>
            <w:tcBorders>
              <w:top w:val="nil"/>
            </w:tcBorders>
            <w:vAlign w:val="center"/>
          </w:tcPr>
          <w:p w14:paraId="663AD617" w14:textId="77777777" w:rsidR="005F783B" w:rsidRPr="00392B10" w:rsidRDefault="005F783B" w:rsidP="003B634A">
            <w:pPr>
              <w:pStyle w:val="COMTabletext"/>
              <w:keepNext w:val="0"/>
              <w:widowControl w:val="0"/>
            </w:pPr>
            <w:r w:rsidRPr="00392B10">
              <w:t>- Consolidation 2</w:t>
            </w:r>
          </w:p>
        </w:tc>
        <w:tc>
          <w:tcPr>
            <w:tcW w:w="2040" w:type="dxa"/>
            <w:tcBorders>
              <w:top w:val="nil"/>
            </w:tcBorders>
            <w:vAlign w:val="center"/>
          </w:tcPr>
          <w:p w14:paraId="7A34155B" w14:textId="77777777" w:rsidR="005F783B" w:rsidRPr="00392B10" w:rsidRDefault="005F783B" w:rsidP="003B634A">
            <w:pPr>
              <w:pStyle w:val="COMTabletext"/>
              <w:keepNext w:val="0"/>
              <w:widowControl w:val="0"/>
              <w:jc w:val="center"/>
            </w:pPr>
            <w:r w:rsidRPr="00392B10">
              <w:t>100</w:t>
            </w:r>
          </w:p>
        </w:tc>
        <w:tc>
          <w:tcPr>
            <w:tcW w:w="1920" w:type="dxa"/>
            <w:tcBorders>
              <w:top w:val="nil"/>
            </w:tcBorders>
            <w:vAlign w:val="center"/>
          </w:tcPr>
          <w:p w14:paraId="3B243E91" w14:textId="77777777" w:rsidR="005F783B" w:rsidRPr="00392B10" w:rsidRDefault="005F783B" w:rsidP="003B634A">
            <w:pPr>
              <w:pStyle w:val="COMTabletext"/>
              <w:keepNext w:val="0"/>
              <w:widowControl w:val="0"/>
              <w:jc w:val="center"/>
            </w:pPr>
            <w:r w:rsidRPr="00392B10">
              <w:t>Not reported</w:t>
            </w:r>
          </w:p>
        </w:tc>
        <w:tc>
          <w:tcPr>
            <w:tcW w:w="2662" w:type="dxa"/>
            <w:tcBorders>
              <w:top w:val="nil"/>
            </w:tcBorders>
            <w:vAlign w:val="center"/>
          </w:tcPr>
          <w:p w14:paraId="0BCC0CAA" w14:textId="77777777" w:rsidR="005F783B" w:rsidRPr="00392B10" w:rsidRDefault="005F783B" w:rsidP="003B634A">
            <w:pPr>
              <w:pStyle w:val="COMTabletext"/>
              <w:keepNext w:val="0"/>
              <w:widowControl w:val="0"/>
              <w:jc w:val="center"/>
            </w:pPr>
            <w:r w:rsidRPr="00392B10">
              <w:t>1,500 (100, 6,000)</w:t>
            </w:r>
          </w:p>
        </w:tc>
      </w:tr>
      <w:tr w:rsidR="005F783B" w:rsidRPr="00392B10" w14:paraId="204B9E8E" w14:textId="77777777" w:rsidTr="00FB7980">
        <w:trPr>
          <w:cantSplit/>
        </w:trPr>
        <w:tc>
          <w:tcPr>
            <w:tcW w:w="2395" w:type="dxa"/>
            <w:tcBorders>
              <w:bottom w:val="nil"/>
            </w:tcBorders>
            <w:vAlign w:val="center"/>
          </w:tcPr>
          <w:p w14:paraId="7DD91E4B" w14:textId="77777777" w:rsidR="005F783B" w:rsidRPr="00392B10" w:rsidRDefault="005F783B" w:rsidP="003B634A">
            <w:pPr>
              <w:pStyle w:val="COMTabletext"/>
              <w:keepNext w:val="0"/>
              <w:widowControl w:val="0"/>
            </w:pPr>
            <w:r w:rsidRPr="00392B10">
              <w:t>Treatment courses received</w:t>
            </w:r>
          </w:p>
        </w:tc>
        <w:tc>
          <w:tcPr>
            <w:tcW w:w="2040" w:type="dxa"/>
            <w:tcBorders>
              <w:bottom w:val="nil"/>
            </w:tcBorders>
            <w:vAlign w:val="center"/>
          </w:tcPr>
          <w:p w14:paraId="0D6C294C" w14:textId="77777777" w:rsidR="005F783B" w:rsidRPr="00392B10" w:rsidRDefault="005F783B" w:rsidP="003B634A">
            <w:pPr>
              <w:pStyle w:val="COMTabletext"/>
              <w:keepNext w:val="0"/>
              <w:widowControl w:val="0"/>
              <w:jc w:val="center"/>
            </w:pPr>
          </w:p>
        </w:tc>
        <w:tc>
          <w:tcPr>
            <w:tcW w:w="1920" w:type="dxa"/>
            <w:tcBorders>
              <w:bottom w:val="nil"/>
            </w:tcBorders>
            <w:vAlign w:val="center"/>
          </w:tcPr>
          <w:p w14:paraId="0978FA71" w14:textId="77777777" w:rsidR="005F783B" w:rsidRPr="00392B10" w:rsidRDefault="005F783B" w:rsidP="003B634A">
            <w:pPr>
              <w:pStyle w:val="COMTabletext"/>
              <w:keepNext w:val="0"/>
              <w:widowControl w:val="0"/>
              <w:jc w:val="center"/>
            </w:pPr>
          </w:p>
        </w:tc>
        <w:tc>
          <w:tcPr>
            <w:tcW w:w="2662" w:type="dxa"/>
            <w:tcBorders>
              <w:bottom w:val="nil"/>
            </w:tcBorders>
            <w:vAlign w:val="center"/>
          </w:tcPr>
          <w:p w14:paraId="012C6C83" w14:textId="77777777" w:rsidR="005F783B" w:rsidRPr="00392B10" w:rsidRDefault="005F783B" w:rsidP="003B634A">
            <w:pPr>
              <w:pStyle w:val="COMTabletext"/>
              <w:keepNext w:val="0"/>
              <w:widowControl w:val="0"/>
              <w:jc w:val="center"/>
            </w:pPr>
          </w:p>
        </w:tc>
      </w:tr>
      <w:tr w:rsidR="005F783B" w:rsidRPr="00392B10" w14:paraId="4E90E007" w14:textId="77777777" w:rsidTr="00FB7980">
        <w:trPr>
          <w:cantSplit/>
        </w:trPr>
        <w:tc>
          <w:tcPr>
            <w:tcW w:w="2395" w:type="dxa"/>
            <w:tcBorders>
              <w:top w:val="nil"/>
              <w:bottom w:val="nil"/>
            </w:tcBorders>
            <w:vAlign w:val="center"/>
          </w:tcPr>
          <w:p w14:paraId="100E7393" w14:textId="77777777" w:rsidR="005F783B" w:rsidRPr="00392B10" w:rsidRDefault="005F783B" w:rsidP="003B634A">
            <w:pPr>
              <w:pStyle w:val="COMTabletext"/>
              <w:keepNext w:val="0"/>
              <w:widowControl w:val="0"/>
            </w:pPr>
            <w:r w:rsidRPr="00392B10">
              <w:t>- Induction</w:t>
            </w:r>
          </w:p>
        </w:tc>
        <w:tc>
          <w:tcPr>
            <w:tcW w:w="2040" w:type="dxa"/>
            <w:tcBorders>
              <w:top w:val="nil"/>
              <w:bottom w:val="nil"/>
            </w:tcBorders>
            <w:vAlign w:val="center"/>
          </w:tcPr>
          <w:p w14:paraId="1574800C" w14:textId="77777777" w:rsidR="005F783B" w:rsidRPr="00392B10" w:rsidRDefault="005F783B" w:rsidP="003B634A">
            <w:pPr>
              <w:pStyle w:val="COMTabletext"/>
              <w:keepNext w:val="0"/>
              <w:widowControl w:val="0"/>
              <w:jc w:val="center"/>
            </w:pPr>
            <w:r w:rsidRPr="00392B10">
              <w:t>All patients: 100%</w:t>
            </w:r>
          </w:p>
        </w:tc>
        <w:tc>
          <w:tcPr>
            <w:tcW w:w="1920" w:type="dxa"/>
            <w:tcBorders>
              <w:top w:val="nil"/>
              <w:bottom w:val="nil"/>
            </w:tcBorders>
            <w:vAlign w:val="center"/>
          </w:tcPr>
          <w:p w14:paraId="3160F994" w14:textId="77777777" w:rsidR="005F783B" w:rsidRPr="00392B10" w:rsidRDefault="005F783B" w:rsidP="003B634A">
            <w:pPr>
              <w:pStyle w:val="COMTabletext"/>
              <w:keepNext w:val="0"/>
              <w:widowControl w:val="0"/>
              <w:jc w:val="center"/>
            </w:pPr>
            <w:r w:rsidRPr="00392B10">
              <w:t>100%</w:t>
            </w:r>
          </w:p>
        </w:tc>
        <w:tc>
          <w:tcPr>
            <w:tcW w:w="2662" w:type="dxa"/>
            <w:tcBorders>
              <w:top w:val="nil"/>
              <w:bottom w:val="nil"/>
            </w:tcBorders>
            <w:vAlign w:val="center"/>
          </w:tcPr>
          <w:p w14:paraId="70538136" w14:textId="77777777" w:rsidR="005F783B" w:rsidRPr="00392B10" w:rsidRDefault="005F783B" w:rsidP="003B634A">
            <w:pPr>
              <w:pStyle w:val="COMTabletext"/>
              <w:keepNext w:val="0"/>
              <w:widowControl w:val="0"/>
              <w:jc w:val="center"/>
            </w:pPr>
            <w:r w:rsidRPr="00392B10">
              <w:t>-</w:t>
            </w:r>
          </w:p>
        </w:tc>
      </w:tr>
      <w:tr w:rsidR="005F783B" w:rsidRPr="00392B10" w14:paraId="4E8BB891" w14:textId="77777777" w:rsidTr="00FB7980">
        <w:trPr>
          <w:cantSplit/>
        </w:trPr>
        <w:tc>
          <w:tcPr>
            <w:tcW w:w="2395" w:type="dxa"/>
            <w:tcBorders>
              <w:top w:val="nil"/>
              <w:bottom w:val="nil"/>
            </w:tcBorders>
            <w:vAlign w:val="center"/>
          </w:tcPr>
          <w:p w14:paraId="26EF41E3" w14:textId="77777777" w:rsidR="005F783B" w:rsidRPr="00392B10" w:rsidRDefault="005F783B" w:rsidP="003B634A">
            <w:pPr>
              <w:pStyle w:val="COMTabletext"/>
              <w:keepNext w:val="0"/>
              <w:widowControl w:val="0"/>
            </w:pPr>
            <w:r w:rsidRPr="00392B10">
              <w:t>- Re-induction</w:t>
            </w:r>
          </w:p>
        </w:tc>
        <w:tc>
          <w:tcPr>
            <w:tcW w:w="2040" w:type="dxa"/>
            <w:tcBorders>
              <w:top w:val="nil"/>
              <w:bottom w:val="nil"/>
            </w:tcBorders>
            <w:vAlign w:val="center"/>
          </w:tcPr>
          <w:p w14:paraId="43BF7708" w14:textId="77777777" w:rsidR="005F783B" w:rsidRPr="00392B10" w:rsidRDefault="005F783B" w:rsidP="003B634A">
            <w:pPr>
              <w:pStyle w:val="COMTabletext"/>
              <w:keepNext w:val="0"/>
              <w:widowControl w:val="0"/>
              <w:jc w:val="center"/>
            </w:pPr>
            <w:r w:rsidRPr="00392B10">
              <w:t>LDC: 31.4%, DC: 33.8%</w:t>
            </w:r>
          </w:p>
        </w:tc>
        <w:tc>
          <w:tcPr>
            <w:tcW w:w="1920" w:type="dxa"/>
            <w:tcBorders>
              <w:top w:val="nil"/>
              <w:bottom w:val="nil"/>
            </w:tcBorders>
            <w:vAlign w:val="center"/>
          </w:tcPr>
          <w:p w14:paraId="23465862" w14:textId="77777777" w:rsidR="005F783B" w:rsidRPr="00392B10" w:rsidRDefault="005F783B" w:rsidP="003B634A">
            <w:pPr>
              <w:pStyle w:val="COMTabletext"/>
              <w:keepNext w:val="0"/>
              <w:widowControl w:val="0"/>
              <w:jc w:val="center"/>
            </w:pPr>
            <w:r w:rsidRPr="00392B10">
              <w:t>11.8%</w:t>
            </w:r>
          </w:p>
        </w:tc>
        <w:tc>
          <w:tcPr>
            <w:tcW w:w="2662" w:type="dxa"/>
            <w:tcBorders>
              <w:top w:val="nil"/>
              <w:bottom w:val="nil"/>
            </w:tcBorders>
            <w:vAlign w:val="center"/>
          </w:tcPr>
          <w:p w14:paraId="5CB95F59" w14:textId="77777777" w:rsidR="005F783B" w:rsidRPr="00392B10" w:rsidRDefault="005F783B" w:rsidP="003B634A">
            <w:pPr>
              <w:pStyle w:val="COMTabletext"/>
              <w:keepNext w:val="0"/>
              <w:widowControl w:val="0"/>
              <w:jc w:val="center"/>
            </w:pPr>
            <w:r w:rsidRPr="00392B10">
              <w:t>28%</w:t>
            </w:r>
          </w:p>
        </w:tc>
      </w:tr>
      <w:tr w:rsidR="005F783B" w:rsidRPr="00392B10" w14:paraId="7CEFF600" w14:textId="77777777" w:rsidTr="00FB7980">
        <w:trPr>
          <w:cantSplit/>
        </w:trPr>
        <w:tc>
          <w:tcPr>
            <w:tcW w:w="2395" w:type="dxa"/>
            <w:tcBorders>
              <w:top w:val="nil"/>
              <w:bottom w:val="nil"/>
            </w:tcBorders>
            <w:vAlign w:val="center"/>
          </w:tcPr>
          <w:p w14:paraId="61346758" w14:textId="77777777" w:rsidR="005F783B" w:rsidRPr="00392B10" w:rsidRDefault="005F783B" w:rsidP="003B634A">
            <w:pPr>
              <w:pStyle w:val="COMTabletext"/>
              <w:keepNext w:val="0"/>
              <w:widowControl w:val="0"/>
            </w:pPr>
            <w:r w:rsidRPr="00392B10">
              <w:t xml:space="preserve">- 1 consolidation </w:t>
            </w:r>
          </w:p>
        </w:tc>
        <w:tc>
          <w:tcPr>
            <w:tcW w:w="2040" w:type="dxa"/>
            <w:tcBorders>
              <w:top w:val="nil"/>
              <w:bottom w:val="nil"/>
            </w:tcBorders>
            <w:vAlign w:val="center"/>
          </w:tcPr>
          <w:p w14:paraId="326D7E8D" w14:textId="77777777" w:rsidR="005F783B" w:rsidRPr="00392B10" w:rsidRDefault="005F783B" w:rsidP="003B634A">
            <w:pPr>
              <w:pStyle w:val="COMTabletext"/>
              <w:keepNext w:val="0"/>
              <w:widowControl w:val="0"/>
              <w:jc w:val="center"/>
            </w:pPr>
            <w:r w:rsidRPr="00392B10">
              <w:t>LDC: 32.0%, DC: 21.2%</w:t>
            </w:r>
          </w:p>
        </w:tc>
        <w:tc>
          <w:tcPr>
            <w:tcW w:w="1920" w:type="dxa"/>
            <w:tcBorders>
              <w:top w:val="nil"/>
              <w:bottom w:val="nil"/>
            </w:tcBorders>
            <w:vAlign w:val="center"/>
          </w:tcPr>
          <w:p w14:paraId="2D9CAA0F" w14:textId="77777777" w:rsidR="005F783B" w:rsidRPr="00392B10" w:rsidRDefault="005F783B" w:rsidP="003B634A">
            <w:pPr>
              <w:pStyle w:val="COMTabletext"/>
              <w:keepNext w:val="0"/>
              <w:widowControl w:val="0"/>
              <w:jc w:val="center"/>
            </w:pPr>
            <w:r w:rsidRPr="00392B10">
              <w:t>40%</w:t>
            </w:r>
          </w:p>
        </w:tc>
        <w:tc>
          <w:tcPr>
            <w:tcW w:w="2662" w:type="dxa"/>
            <w:tcBorders>
              <w:top w:val="nil"/>
              <w:bottom w:val="nil"/>
            </w:tcBorders>
            <w:vAlign w:val="center"/>
          </w:tcPr>
          <w:p w14:paraId="6E34DC2F" w14:textId="77777777" w:rsidR="005F783B" w:rsidRPr="00392B10" w:rsidRDefault="005F783B" w:rsidP="003B634A">
            <w:pPr>
              <w:pStyle w:val="COMTabletext"/>
              <w:keepNext w:val="0"/>
              <w:widowControl w:val="0"/>
              <w:jc w:val="center"/>
            </w:pPr>
            <w:r w:rsidRPr="00392B10">
              <w:t>13%</w:t>
            </w:r>
          </w:p>
        </w:tc>
      </w:tr>
      <w:tr w:rsidR="005F783B" w:rsidRPr="00392B10" w14:paraId="1C219345" w14:textId="77777777" w:rsidTr="00FB7980">
        <w:trPr>
          <w:cantSplit/>
        </w:trPr>
        <w:tc>
          <w:tcPr>
            <w:tcW w:w="2395" w:type="dxa"/>
            <w:tcBorders>
              <w:top w:val="nil"/>
              <w:bottom w:val="nil"/>
            </w:tcBorders>
            <w:vAlign w:val="center"/>
          </w:tcPr>
          <w:p w14:paraId="1CBD52D1" w14:textId="77777777" w:rsidR="005F783B" w:rsidRPr="00392B10" w:rsidRDefault="005F783B" w:rsidP="003B634A">
            <w:pPr>
              <w:pStyle w:val="COMTabletext"/>
              <w:keepNext w:val="0"/>
              <w:widowControl w:val="0"/>
            </w:pPr>
            <w:r w:rsidRPr="00392B10">
              <w:t xml:space="preserve">- 2 consolidations </w:t>
            </w:r>
          </w:p>
        </w:tc>
        <w:tc>
          <w:tcPr>
            <w:tcW w:w="2040" w:type="dxa"/>
            <w:tcBorders>
              <w:top w:val="nil"/>
              <w:bottom w:val="nil"/>
            </w:tcBorders>
            <w:vAlign w:val="center"/>
          </w:tcPr>
          <w:p w14:paraId="261ED64C" w14:textId="77777777" w:rsidR="005F783B" w:rsidRPr="00392B10" w:rsidRDefault="005F783B" w:rsidP="003B634A">
            <w:pPr>
              <w:pStyle w:val="COMTabletext"/>
              <w:keepNext w:val="0"/>
              <w:widowControl w:val="0"/>
              <w:jc w:val="center"/>
            </w:pPr>
            <w:r w:rsidRPr="00392B10">
              <w:t>LDC: 15.0%, DC: 7.9%</w:t>
            </w:r>
          </w:p>
        </w:tc>
        <w:tc>
          <w:tcPr>
            <w:tcW w:w="1920" w:type="dxa"/>
            <w:tcBorders>
              <w:top w:val="nil"/>
              <w:bottom w:val="nil"/>
            </w:tcBorders>
            <w:vAlign w:val="center"/>
          </w:tcPr>
          <w:p w14:paraId="080FE832" w14:textId="77777777" w:rsidR="005F783B" w:rsidRPr="00392B10" w:rsidRDefault="005F783B" w:rsidP="003B634A">
            <w:pPr>
              <w:pStyle w:val="COMTabletext"/>
              <w:keepNext w:val="0"/>
              <w:widowControl w:val="0"/>
              <w:jc w:val="center"/>
            </w:pPr>
            <w:r w:rsidRPr="00392B10">
              <w:t>3.5%</w:t>
            </w:r>
          </w:p>
        </w:tc>
        <w:tc>
          <w:tcPr>
            <w:tcW w:w="2662" w:type="dxa"/>
            <w:tcBorders>
              <w:top w:val="nil"/>
              <w:bottom w:val="nil"/>
            </w:tcBorders>
            <w:vAlign w:val="center"/>
          </w:tcPr>
          <w:p w14:paraId="654B7DAF" w14:textId="77777777" w:rsidR="005F783B" w:rsidRPr="00392B10" w:rsidRDefault="005F783B" w:rsidP="003B634A">
            <w:pPr>
              <w:pStyle w:val="COMTabletext"/>
              <w:keepNext w:val="0"/>
              <w:widowControl w:val="0"/>
              <w:jc w:val="center"/>
            </w:pPr>
            <w:r w:rsidRPr="00392B10">
              <w:t>34%</w:t>
            </w:r>
          </w:p>
        </w:tc>
      </w:tr>
      <w:tr w:rsidR="005F783B" w:rsidRPr="00392B10" w14:paraId="3B9E918C" w14:textId="77777777" w:rsidTr="00FB7980">
        <w:trPr>
          <w:cantSplit/>
        </w:trPr>
        <w:tc>
          <w:tcPr>
            <w:tcW w:w="2395" w:type="dxa"/>
            <w:tcBorders>
              <w:top w:val="nil"/>
              <w:bottom w:val="nil"/>
            </w:tcBorders>
            <w:vAlign w:val="center"/>
          </w:tcPr>
          <w:p w14:paraId="4F1B78BC" w14:textId="77777777" w:rsidR="005F783B" w:rsidRPr="00392B10" w:rsidRDefault="005F783B" w:rsidP="003B634A">
            <w:pPr>
              <w:pStyle w:val="COMTabletext"/>
              <w:keepNext w:val="0"/>
              <w:widowControl w:val="0"/>
            </w:pPr>
            <w:r w:rsidRPr="00392B10">
              <w:t>- More than 2 consolidations</w:t>
            </w:r>
          </w:p>
        </w:tc>
        <w:tc>
          <w:tcPr>
            <w:tcW w:w="2040" w:type="dxa"/>
            <w:tcBorders>
              <w:top w:val="nil"/>
              <w:bottom w:val="nil"/>
            </w:tcBorders>
            <w:vAlign w:val="center"/>
          </w:tcPr>
          <w:p w14:paraId="6BF3A6C0" w14:textId="77777777" w:rsidR="005F783B" w:rsidRPr="00392B10" w:rsidRDefault="005F783B" w:rsidP="003B634A">
            <w:pPr>
              <w:pStyle w:val="COMTabletext"/>
              <w:keepNext w:val="0"/>
              <w:widowControl w:val="0"/>
              <w:jc w:val="center"/>
            </w:pPr>
            <w:r w:rsidRPr="00392B10">
              <w:t>-</w:t>
            </w:r>
          </w:p>
        </w:tc>
        <w:tc>
          <w:tcPr>
            <w:tcW w:w="1920" w:type="dxa"/>
            <w:tcBorders>
              <w:top w:val="nil"/>
              <w:bottom w:val="nil"/>
            </w:tcBorders>
            <w:vAlign w:val="center"/>
          </w:tcPr>
          <w:p w14:paraId="7D510783" w14:textId="77777777" w:rsidR="005F783B" w:rsidRPr="00392B10" w:rsidRDefault="005F783B" w:rsidP="003B634A">
            <w:pPr>
              <w:pStyle w:val="COMTabletext"/>
              <w:keepNext w:val="0"/>
              <w:widowControl w:val="0"/>
              <w:jc w:val="center"/>
            </w:pPr>
            <w:r w:rsidRPr="00392B10">
              <w:t>-</w:t>
            </w:r>
          </w:p>
        </w:tc>
        <w:tc>
          <w:tcPr>
            <w:tcW w:w="2662" w:type="dxa"/>
            <w:tcBorders>
              <w:top w:val="nil"/>
              <w:bottom w:val="nil"/>
            </w:tcBorders>
            <w:vAlign w:val="center"/>
          </w:tcPr>
          <w:p w14:paraId="289A1EDB" w14:textId="77777777" w:rsidR="005F783B" w:rsidRPr="00392B10" w:rsidRDefault="005F783B" w:rsidP="003B634A">
            <w:pPr>
              <w:pStyle w:val="COMTabletext"/>
              <w:keepNext w:val="0"/>
              <w:widowControl w:val="0"/>
              <w:jc w:val="center"/>
            </w:pPr>
            <w:r w:rsidRPr="00392B10">
              <w:t>35%</w:t>
            </w:r>
          </w:p>
        </w:tc>
      </w:tr>
      <w:tr w:rsidR="005F783B" w:rsidRPr="00392B10" w14:paraId="4BEFEE9E" w14:textId="77777777" w:rsidTr="00FB7980">
        <w:trPr>
          <w:cantSplit/>
        </w:trPr>
        <w:tc>
          <w:tcPr>
            <w:tcW w:w="2395" w:type="dxa"/>
            <w:tcBorders>
              <w:top w:val="nil"/>
            </w:tcBorders>
            <w:vAlign w:val="center"/>
          </w:tcPr>
          <w:p w14:paraId="4D428778" w14:textId="77777777" w:rsidR="005F783B" w:rsidRPr="00392B10" w:rsidRDefault="005F783B" w:rsidP="003B634A">
            <w:pPr>
              <w:pStyle w:val="COMTabletext"/>
              <w:keepNext w:val="0"/>
              <w:widowControl w:val="0"/>
            </w:pPr>
            <w:r w:rsidRPr="00392B10">
              <w:t>- Subsequent lines of therapy</w:t>
            </w:r>
          </w:p>
        </w:tc>
        <w:tc>
          <w:tcPr>
            <w:tcW w:w="2040" w:type="dxa"/>
            <w:tcBorders>
              <w:top w:val="nil"/>
            </w:tcBorders>
            <w:vAlign w:val="center"/>
          </w:tcPr>
          <w:p w14:paraId="0C53D7BF" w14:textId="77777777" w:rsidR="005F783B" w:rsidRPr="00392B10" w:rsidRDefault="005F783B" w:rsidP="003B634A">
            <w:pPr>
              <w:pStyle w:val="COMTabletext"/>
              <w:keepNext w:val="0"/>
              <w:widowControl w:val="0"/>
              <w:jc w:val="center"/>
            </w:pPr>
            <w:r w:rsidRPr="00392B10">
              <w:t>LDC: 77%, DC: 70%</w:t>
            </w:r>
          </w:p>
        </w:tc>
        <w:tc>
          <w:tcPr>
            <w:tcW w:w="1920" w:type="dxa"/>
            <w:tcBorders>
              <w:top w:val="nil"/>
            </w:tcBorders>
            <w:vAlign w:val="center"/>
          </w:tcPr>
          <w:p w14:paraId="07886300" w14:textId="77777777" w:rsidR="005F783B" w:rsidRPr="00392B10" w:rsidRDefault="005F783B" w:rsidP="003B634A">
            <w:pPr>
              <w:pStyle w:val="COMTabletext"/>
              <w:keepNext w:val="0"/>
              <w:widowControl w:val="0"/>
              <w:jc w:val="center"/>
            </w:pPr>
            <w:r w:rsidRPr="00392B10">
              <w:t>Not reported</w:t>
            </w:r>
          </w:p>
        </w:tc>
        <w:tc>
          <w:tcPr>
            <w:tcW w:w="2662" w:type="dxa"/>
            <w:tcBorders>
              <w:top w:val="nil"/>
            </w:tcBorders>
            <w:vAlign w:val="center"/>
          </w:tcPr>
          <w:p w14:paraId="164ABBB6" w14:textId="77777777" w:rsidR="005F783B" w:rsidRPr="00392B10" w:rsidRDefault="005F783B" w:rsidP="003B634A">
            <w:pPr>
              <w:pStyle w:val="COMTabletext"/>
              <w:keepNext w:val="0"/>
              <w:widowControl w:val="0"/>
              <w:jc w:val="center"/>
              <w:rPr>
                <w:vertAlign w:val="superscript"/>
              </w:rPr>
            </w:pPr>
            <w:r w:rsidRPr="00392B10">
              <w:t xml:space="preserve">Salvage: 38-42% </w:t>
            </w:r>
            <w:r w:rsidRPr="00392B10">
              <w:rPr>
                <w:vertAlign w:val="superscript"/>
              </w:rPr>
              <w:t>d</w:t>
            </w:r>
          </w:p>
          <w:p w14:paraId="4C0FFE3F" w14:textId="77777777" w:rsidR="005F783B" w:rsidRPr="00392B10" w:rsidRDefault="005F783B" w:rsidP="003B634A">
            <w:pPr>
              <w:pStyle w:val="COMTabletext"/>
              <w:keepNext w:val="0"/>
              <w:widowControl w:val="0"/>
              <w:jc w:val="center"/>
              <w:rPr>
                <w:vertAlign w:val="superscript"/>
              </w:rPr>
            </w:pPr>
            <w:r w:rsidRPr="00392B10">
              <w:t xml:space="preserve">Non-intensive: 32-38% </w:t>
            </w:r>
            <w:r w:rsidRPr="00392B10">
              <w:rPr>
                <w:vertAlign w:val="superscript"/>
              </w:rPr>
              <w:t>d</w:t>
            </w:r>
          </w:p>
          <w:p w14:paraId="1C999B85" w14:textId="77777777" w:rsidR="005F783B" w:rsidRPr="00392B10" w:rsidRDefault="005F783B" w:rsidP="003B634A">
            <w:pPr>
              <w:pStyle w:val="COMTabletext"/>
              <w:keepNext w:val="0"/>
              <w:widowControl w:val="0"/>
              <w:jc w:val="center"/>
            </w:pPr>
            <w:r w:rsidRPr="00392B10">
              <w:t xml:space="preserve">BSC: 35-44% </w:t>
            </w:r>
            <w:r w:rsidRPr="00392B10">
              <w:rPr>
                <w:vertAlign w:val="superscript"/>
              </w:rPr>
              <w:t>d</w:t>
            </w:r>
          </w:p>
        </w:tc>
      </w:tr>
      <w:tr w:rsidR="005F783B" w:rsidRPr="00392B10" w14:paraId="60B760A6" w14:textId="77777777" w:rsidTr="00FB7980">
        <w:trPr>
          <w:cantSplit/>
        </w:trPr>
        <w:tc>
          <w:tcPr>
            <w:tcW w:w="2395" w:type="dxa"/>
            <w:tcBorders>
              <w:top w:val="nil"/>
            </w:tcBorders>
            <w:vAlign w:val="center"/>
          </w:tcPr>
          <w:p w14:paraId="4EA2112B" w14:textId="77777777" w:rsidR="005F783B" w:rsidRPr="00392B10" w:rsidRDefault="005F783B" w:rsidP="003B634A">
            <w:pPr>
              <w:pStyle w:val="COMTabletext"/>
              <w:keepNext w:val="0"/>
              <w:widowControl w:val="0"/>
            </w:pPr>
            <w:r w:rsidRPr="00392B10">
              <w:t>Upfront HSCT</w:t>
            </w:r>
          </w:p>
        </w:tc>
        <w:tc>
          <w:tcPr>
            <w:tcW w:w="2040" w:type="dxa"/>
            <w:tcBorders>
              <w:top w:val="nil"/>
            </w:tcBorders>
            <w:vAlign w:val="center"/>
          </w:tcPr>
          <w:p w14:paraId="3A797C6F" w14:textId="77777777" w:rsidR="005F783B" w:rsidRPr="00392B10" w:rsidRDefault="005F783B" w:rsidP="003B634A">
            <w:pPr>
              <w:pStyle w:val="COMTabletext"/>
              <w:keepNext w:val="0"/>
              <w:widowControl w:val="0"/>
              <w:jc w:val="center"/>
            </w:pPr>
            <w:r w:rsidRPr="00392B10">
              <w:t>LDC: 34%, DC: 25%</w:t>
            </w:r>
          </w:p>
        </w:tc>
        <w:tc>
          <w:tcPr>
            <w:tcW w:w="1920" w:type="dxa"/>
            <w:tcBorders>
              <w:top w:val="nil"/>
            </w:tcBorders>
            <w:vAlign w:val="center"/>
          </w:tcPr>
          <w:p w14:paraId="61A771AF" w14:textId="77777777" w:rsidR="005F783B" w:rsidRPr="00392B10" w:rsidRDefault="005F783B" w:rsidP="003B634A">
            <w:pPr>
              <w:pStyle w:val="COMTabletext"/>
              <w:keepNext w:val="0"/>
              <w:widowControl w:val="0"/>
              <w:jc w:val="center"/>
            </w:pPr>
            <w:r w:rsidRPr="00392B10">
              <w:t>7.1%</w:t>
            </w:r>
          </w:p>
        </w:tc>
        <w:tc>
          <w:tcPr>
            <w:tcW w:w="2662" w:type="dxa"/>
            <w:tcBorders>
              <w:top w:val="nil"/>
            </w:tcBorders>
            <w:vAlign w:val="center"/>
          </w:tcPr>
          <w:p w14:paraId="6FC12BBA" w14:textId="77777777" w:rsidR="005F783B" w:rsidRPr="00392B10" w:rsidRDefault="005F783B" w:rsidP="003B634A">
            <w:pPr>
              <w:pStyle w:val="COMTabletext"/>
              <w:keepNext w:val="0"/>
              <w:widowControl w:val="0"/>
              <w:jc w:val="center"/>
            </w:pPr>
            <w:r w:rsidRPr="00392B10">
              <w:t>-</w:t>
            </w:r>
          </w:p>
        </w:tc>
      </w:tr>
      <w:tr w:rsidR="005F783B" w:rsidRPr="00392B10" w14:paraId="07A9DC2A" w14:textId="77777777" w:rsidTr="003B634A">
        <w:trPr>
          <w:cantSplit/>
        </w:trPr>
        <w:tc>
          <w:tcPr>
            <w:tcW w:w="9017" w:type="dxa"/>
            <w:gridSpan w:val="4"/>
            <w:vAlign w:val="center"/>
          </w:tcPr>
          <w:p w14:paraId="7603B7AA" w14:textId="77777777" w:rsidR="005F783B" w:rsidRPr="00392B10" w:rsidRDefault="005F783B" w:rsidP="003B634A">
            <w:pPr>
              <w:pStyle w:val="COMTableheadingrow"/>
              <w:rPr>
                <w:lang w:val="en-AU"/>
              </w:rPr>
            </w:pPr>
            <w:r w:rsidRPr="00392B10">
              <w:rPr>
                <w:lang w:val="en-AU"/>
              </w:rPr>
              <w:t>Outcomes</w:t>
            </w:r>
          </w:p>
        </w:tc>
      </w:tr>
      <w:tr w:rsidR="005F783B" w:rsidRPr="00392B10" w14:paraId="1E93E2B8" w14:textId="77777777" w:rsidTr="00FB7980">
        <w:trPr>
          <w:cantSplit/>
        </w:trPr>
        <w:tc>
          <w:tcPr>
            <w:tcW w:w="2395" w:type="dxa"/>
            <w:tcBorders>
              <w:bottom w:val="nil"/>
            </w:tcBorders>
            <w:vAlign w:val="center"/>
          </w:tcPr>
          <w:p w14:paraId="1A6FDDD9" w14:textId="77777777" w:rsidR="005F783B" w:rsidRPr="00392B10" w:rsidRDefault="005F783B" w:rsidP="003B634A">
            <w:pPr>
              <w:pStyle w:val="COMTabletext"/>
              <w:keepNext w:val="0"/>
              <w:widowControl w:val="0"/>
            </w:pPr>
            <w:r w:rsidRPr="00392B10">
              <w:t>Treatment response</w:t>
            </w:r>
          </w:p>
        </w:tc>
        <w:tc>
          <w:tcPr>
            <w:tcW w:w="2040" w:type="dxa"/>
            <w:tcBorders>
              <w:bottom w:val="nil"/>
            </w:tcBorders>
            <w:vAlign w:val="center"/>
          </w:tcPr>
          <w:p w14:paraId="509E9636" w14:textId="77777777" w:rsidR="005F783B" w:rsidRPr="00392B10" w:rsidRDefault="005F783B" w:rsidP="003B634A">
            <w:pPr>
              <w:pStyle w:val="COMTabletext"/>
              <w:keepNext w:val="0"/>
              <w:widowControl w:val="0"/>
              <w:jc w:val="center"/>
            </w:pPr>
          </w:p>
        </w:tc>
        <w:tc>
          <w:tcPr>
            <w:tcW w:w="1920" w:type="dxa"/>
            <w:tcBorders>
              <w:bottom w:val="nil"/>
            </w:tcBorders>
            <w:vAlign w:val="center"/>
          </w:tcPr>
          <w:p w14:paraId="6EF58149" w14:textId="77777777" w:rsidR="005F783B" w:rsidRPr="00392B10" w:rsidRDefault="005F783B" w:rsidP="003B634A">
            <w:pPr>
              <w:pStyle w:val="COMTabletext"/>
              <w:keepNext w:val="0"/>
              <w:widowControl w:val="0"/>
              <w:jc w:val="center"/>
            </w:pPr>
          </w:p>
        </w:tc>
        <w:tc>
          <w:tcPr>
            <w:tcW w:w="2662" w:type="dxa"/>
            <w:tcBorders>
              <w:bottom w:val="nil"/>
            </w:tcBorders>
            <w:vAlign w:val="center"/>
          </w:tcPr>
          <w:p w14:paraId="5B6DCE65" w14:textId="77777777" w:rsidR="005F783B" w:rsidRPr="00392B10" w:rsidRDefault="005F783B" w:rsidP="003B634A">
            <w:pPr>
              <w:pStyle w:val="COMTabletext"/>
              <w:keepNext w:val="0"/>
              <w:widowControl w:val="0"/>
              <w:jc w:val="center"/>
            </w:pPr>
          </w:p>
        </w:tc>
      </w:tr>
      <w:tr w:rsidR="005F783B" w:rsidRPr="00392B10" w14:paraId="718A30B3" w14:textId="77777777" w:rsidTr="00FB7980">
        <w:trPr>
          <w:cantSplit/>
        </w:trPr>
        <w:tc>
          <w:tcPr>
            <w:tcW w:w="2395" w:type="dxa"/>
            <w:tcBorders>
              <w:top w:val="nil"/>
              <w:bottom w:val="nil"/>
            </w:tcBorders>
            <w:vAlign w:val="center"/>
          </w:tcPr>
          <w:p w14:paraId="2A6D6125" w14:textId="77777777" w:rsidR="005F783B" w:rsidRPr="00392B10" w:rsidRDefault="005F783B" w:rsidP="003B634A">
            <w:pPr>
              <w:pStyle w:val="COMTabletext"/>
              <w:keepNext w:val="0"/>
              <w:widowControl w:val="0"/>
            </w:pPr>
            <w:r w:rsidRPr="00392B10">
              <w:t>- CR/CRi</w:t>
            </w:r>
          </w:p>
        </w:tc>
        <w:tc>
          <w:tcPr>
            <w:tcW w:w="2040" w:type="dxa"/>
            <w:tcBorders>
              <w:top w:val="nil"/>
              <w:bottom w:val="nil"/>
            </w:tcBorders>
            <w:vAlign w:val="center"/>
          </w:tcPr>
          <w:p w14:paraId="41349A0A" w14:textId="77777777" w:rsidR="005F783B" w:rsidRPr="00392B10" w:rsidRDefault="005F783B" w:rsidP="003B634A">
            <w:pPr>
              <w:pStyle w:val="COMTabletext"/>
              <w:keepNext w:val="0"/>
              <w:widowControl w:val="0"/>
              <w:jc w:val="center"/>
            </w:pPr>
            <w:r w:rsidRPr="00392B10">
              <w:t>LDC: 47.7%, DC: 33.3%</w:t>
            </w:r>
          </w:p>
        </w:tc>
        <w:tc>
          <w:tcPr>
            <w:tcW w:w="1920" w:type="dxa"/>
            <w:tcBorders>
              <w:top w:val="nil"/>
              <w:bottom w:val="nil"/>
            </w:tcBorders>
            <w:vAlign w:val="center"/>
          </w:tcPr>
          <w:p w14:paraId="1A06440E" w14:textId="77777777" w:rsidR="005F783B" w:rsidRPr="00392B10" w:rsidRDefault="005F783B" w:rsidP="003B634A">
            <w:pPr>
              <w:pStyle w:val="COMTabletext"/>
              <w:keepNext w:val="0"/>
              <w:widowControl w:val="0"/>
              <w:jc w:val="center"/>
            </w:pPr>
            <w:r w:rsidRPr="00392B10">
              <w:t>53.2%</w:t>
            </w:r>
          </w:p>
        </w:tc>
        <w:tc>
          <w:tcPr>
            <w:tcW w:w="2662" w:type="dxa"/>
            <w:tcBorders>
              <w:top w:val="nil"/>
              <w:bottom w:val="nil"/>
            </w:tcBorders>
            <w:vAlign w:val="center"/>
          </w:tcPr>
          <w:p w14:paraId="7D6D9F6E" w14:textId="77777777" w:rsidR="005F783B" w:rsidRPr="00392B10" w:rsidRDefault="005F783B" w:rsidP="003B634A">
            <w:pPr>
              <w:pStyle w:val="COMTabletext"/>
              <w:keepNext w:val="0"/>
              <w:widowControl w:val="0"/>
              <w:jc w:val="center"/>
            </w:pPr>
            <w:r w:rsidRPr="00392B10">
              <w:t>-</w:t>
            </w:r>
          </w:p>
        </w:tc>
      </w:tr>
      <w:tr w:rsidR="005F783B" w:rsidRPr="00392B10" w14:paraId="14BCD4F7" w14:textId="77777777" w:rsidTr="00FB7980">
        <w:trPr>
          <w:cantSplit/>
        </w:trPr>
        <w:tc>
          <w:tcPr>
            <w:tcW w:w="2395" w:type="dxa"/>
            <w:tcBorders>
              <w:top w:val="nil"/>
            </w:tcBorders>
            <w:vAlign w:val="center"/>
          </w:tcPr>
          <w:p w14:paraId="5D7B390A" w14:textId="77777777" w:rsidR="005F783B" w:rsidRPr="00392B10" w:rsidRDefault="005F783B" w:rsidP="003B634A">
            <w:pPr>
              <w:pStyle w:val="COMTabletext"/>
              <w:keepNext w:val="0"/>
              <w:widowControl w:val="0"/>
            </w:pPr>
            <w:r w:rsidRPr="00392B10">
              <w:t>- CR</w:t>
            </w:r>
          </w:p>
        </w:tc>
        <w:tc>
          <w:tcPr>
            <w:tcW w:w="2040" w:type="dxa"/>
            <w:tcBorders>
              <w:top w:val="nil"/>
            </w:tcBorders>
            <w:vAlign w:val="center"/>
          </w:tcPr>
          <w:p w14:paraId="5B4811C4" w14:textId="77777777" w:rsidR="005F783B" w:rsidRPr="00392B10" w:rsidRDefault="005F783B" w:rsidP="003B634A">
            <w:pPr>
              <w:pStyle w:val="COMTabletext"/>
              <w:keepNext w:val="0"/>
              <w:widowControl w:val="0"/>
              <w:jc w:val="center"/>
            </w:pPr>
            <w:r w:rsidRPr="00392B10">
              <w:t>LDC: 37.3%, DC: 25.6%</w:t>
            </w:r>
          </w:p>
        </w:tc>
        <w:tc>
          <w:tcPr>
            <w:tcW w:w="1920" w:type="dxa"/>
            <w:tcBorders>
              <w:top w:val="nil"/>
            </w:tcBorders>
            <w:vAlign w:val="center"/>
          </w:tcPr>
          <w:p w14:paraId="76DE83EF" w14:textId="77777777" w:rsidR="005F783B" w:rsidRPr="00392B10" w:rsidRDefault="005F783B" w:rsidP="003B634A">
            <w:pPr>
              <w:pStyle w:val="COMTabletext"/>
              <w:keepNext w:val="0"/>
              <w:widowControl w:val="0"/>
              <w:jc w:val="center"/>
            </w:pPr>
            <w:r w:rsidRPr="00392B10">
              <w:t>35.4%</w:t>
            </w:r>
          </w:p>
        </w:tc>
        <w:tc>
          <w:tcPr>
            <w:tcW w:w="2662" w:type="dxa"/>
            <w:tcBorders>
              <w:top w:val="nil"/>
            </w:tcBorders>
            <w:vAlign w:val="center"/>
          </w:tcPr>
          <w:p w14:paraId="51787211" w14:textId="77777777" w:rsidR="005F783B" w:rsidRPr="00392B10" w:rsidRDefault="005F783B" w:rsidP="003B634A">
            <w:pPr>
              <w:pStyle w:val="COMTabletext"/>
              <w:keepNext w:val="0"/>
              <w:widowControl w:val="0"/>
              <w:jc w:val="center"/>
            </w:pPr>
            <w:r w:rsidRPr="00392B10">
              <w:t>-</w:t>
            </w:r>
          </w:p>
        </w:tc>
      </w:tr>
      <w:tr w:rsidR="005F783B" w:rsidRPr="00392B10" w14:paraId="4A00B888" w14:textId="77777777" w:rsidTr="00FB7980">
        <w:trPr>
          <w:cantSplit/>
        </w:trPr>
        <w:tc>
          <w:tcPr>
            <w:tcW w:w="2395" w:type="dxa"/>
            <w:vAlign w:val="center"/>
          </w:tcPr>
          <w:p w14:paraId="2B42B297" w14:textId="77777777" w:rsidR="005F783B" w:rsidRPr="00392B10" w:rsidRDefault="005F783B" w:rsidP="003B634A">
            <w:pPr>
              <w:pStyle w:val="COMTabletext"/>
              <w:keepNext w:val="0"/>
              <w:widowControl w:val="0"/>
            </w:pPr>
            <w:r w:rsidRPr="00392B10">
              <w:t>EFS, median months</w:t>
            </w:r>
          </w:p>
        </w:tc>
        <w:tc>
          <w:tcPr>
            <w:tcW w:w="2040" w:type="dxa"/>
            <w:vAlign w:val="center"/>
          </w:tcPr>
          <w:p w14:paraId="38CA20CD" w14:textId="77777777" w:rsidR="005F783B" w:rsidRPr="00392B10" w:rsidRDefault="005F783B" w:rsidP="003B634A">
            <w:pPr>
              <w:pStyle w:val="COMTabletext"/>
              <w:keepNext w:val="0"/>
              <w:widowControl w:val="0"/>
              <w:jc w:val="center"/>
            </w:pPr>
            <w:r w:rsidRPr="00392B10">
              <w:t>LDC: 2.53, DC: 1.31</w:t>
            </w:r>
          </w:p>
        </w:tc>
        <w:tc>
          <w:tcPr>
            <w:tcW w:w="1920" w:type="dxa"/>
            <w:vAlign w:val="center"/>
          </w:tcPr>
          <w:p w14:paraId="3D591910" w14:textId="77777777" w:rsidR="005F783B" w:rsidRPr="00392B10" w:rsidRDefault="005F783B" w:rsidP="003B634A">
            <w:pPr>
              <w:pStyle w:val="COMTabletext"/>
              <w:keepNext w:val="0"/>
              <w:widowControl w:val="0"/>
              <w:jc w:val="center"/>
            </w:pPr>
            <w:r w:rsidRPr="00392B10">
              <w:t>3.45</w:t>
            </w:r>
          </w:p>
        </w:tc>
        <w:tc>
          <w:tcPr>
            <w:tcW w:w="2662" w:type="dxa"/>
            <w:vAlign w:val="center"/>
          </w:tcPr>
          <w:p w14:paraId="1E234452" w14:textId="77777777" w:rsidR="005F783B" w:rsidRPr="00392B10" w:rsidRDefault="005F783B" w:rsidP="003B634A">
            <w:pPr>
              <w:pStyle w:val="COMTabletext"/>
              <w:keepNext w:val="0"/>
              <w:widowControl w:val="0"/>
              <w:jc w:val="center"/>
            </w:pPr>
            <w:r w:rsidRPr="00392B10">
              <w:t>-</w:t>
            </w:r>
          </w:p>
        </w:tc>
      </w:tr>
      <w:tr w:rsidR="005F783B" w:rsidRPr="00392B10" w14:paraId="11255AE3" w14:textId="77777777" w:rsidTr="00FB7980">
        <w:trPr>
          <w:cantSplit/>
        </w:trPr>
        <w:tc>
          <w:tcPr>
            <w:tcW w:w="2395" w:type="dxa"/>
            <w:vAlign w:val="center"/>
          </w:tcPr>
          <w:p w14:paraId="18B422D5" w14:textId="77777777" w:rsidR="005F783B" w:rsidRPr="00392B10" w:rsidRDefault="005F783B" w:rsidP="003B634A">
            <w:pPr>
              <w:pStyle w:val="COMTabletext"/>
              <w:keepNext w:val="0"/>
              <w:widowControl w:val="0"/>
            </w:pPr>
            <w:r w:rsidRPr="00392B10">
              <w:t>OS, median months</w:t>
            </w:r>
          </w:p>
        </w:tc>
        <w:tc>
          <w:tcPr>
            <w:tcW w:w="2040" w:type="dxa"/>
            <w:vAlign w:val="center"/>
          </w:tcPr>
          <w:p w14:paraId="51A90EA8" w14:textId="77777777" w:rsidR="005F783B" w:rsidRPr="00392B10" w:rsidRDefault="005F783B" w:rsidP="003B634A">
            <w:pPr>
              <w:pStyle w:val="COMTabletext"/>
              <w:keepNext w:val="0"/>
              <w:widowControl w:val="0"/>
              <w:jc w:val="center"/>
            </w:pPr>
            <w:r w:rsidRPr="00392B10">
              <w:t>LDC: 9.56, DC: 5.95</w:t>
            </w:r>
          </w:p>
        </w:tc>
        <w:tc>
          <w:tcPr>
            <w:tcW w:w="1920" w:type="dxa"/>
            <w:vAlign w:val="center"/>
          </w:tcPr>
          <w:p w14:paraId="5DA43598" w14:textId="77777777" w:rsidR="005F783B" w:rsidRPr="00392B10" w:rsidRDefault="005F783B" w:rsidP="003B634A">
            <w:pPr>
              <w:pStyle w:val="COMTabletext"/>
              <w:keepNext w:val="0"/>
              <w:widowControl w:val="0"/>
              <w:jc w:val="center"/>
            </w:pPr>
            <w:r w:rsidRPr="00392B10">
              <w:t>9.46</w:t>
            </w:r>
          </w:p>
        </w:tc>
        <w:tc>
          <w:tcPr>
            <w:tcW w:w="2662" w:type="dxa"/>
            <w:vAlign w:val="center"/>
          </w:tcPr>
          <w:p w14:paraId="7FA8FE01" w14:textId="77777777" w:rsidR="005F783B" w:rsidRPr="00392B10" w:rsidRDefault="005F783B" w:rsidP="003B634A">
            <w:pPr>
              <w:pStyle w:val="COMTabletext"/>
              <w:keepNext w:val="0"/>
              <w:widowControl w:val="0"/>
              <w:jc w:val="center"/>
            </w:pPr>
            <w:r w:rsidRPr="00392B10">
              <w:t>-</w:t>
            </w:r>
          </w:p>
        </w:tc>
      </w:tr>
      <w:tr w:rsidR="005F783B" w:rsidRPr="00392B10" w14:paraId="1CA51CB2" w14:textId="77777777" w:rsidTr="00FB7980">
        <w:trPr>
          <w:cantSplit/>
        </w:trPr>
        <w:tc>
          <w:tcPr>
            <w:tcW w:w="2395" w:type="dxa"/>
            <w:vAlign w:val="center"/>
          </w:tcPr>
          <w:p w14:paraId="611C66F1" w14:textId="77777777" w:rsidR="005F783B" w:rsidRPr="00392B10" w:rsidRDefault="005F783B" w:rsidP="003B634A">
            <w:pPr>
              <w:pStyle w:val="COMTabletext"/>
              <w:keepNext w:val="0"/>
              <w:widowControl w:val="0"/>
            </w:pPr>
            <w:r w:rsidRPr="00392B10">
              <w:t>OS landmarked from HSCT, median months</w:t>
            </w:r>
          </w:p>
        </w:tc>
        <w:tc>
          <w:tcPr>
            <w:tcW w:w="2040" w:type="dxa"/>
            <w:vAlign w:val="center"/>
          </w:tcPr>
          <w:p w14:paraId="19A61966" w14:textId="54EC0205" w:rsidR="005F783B" w:rsidRPr="00392B10" w:rsidRDefault="005F783B" w:rsidP="003B634A">
            <w:pPr>
              <w:pStyle w:val="COMTabletext"/>
              <w:keepNext w:val="0"/>
              <w:widowControl w:val="0"/>
              <w:jc w:val="center"/>
            </w:pPr>
            <w:r w:rsidRPr="00392B10">
              <w:t>LDC</w:t>
            </w:r>
            <w:r w:rsidR="002B0CC3" w:rsidRPr="00392B10">
              <w:t>:</w:t>
            </w:r>
            <w:r w:rsidRPr="00392B10">
              <w:t xml:space="preserve"> </w:t>
            </w:r>
            <w:r w:rsidR="00FB7980" w:rsidRPr="00392B10">
              <w:t>NR</w:t>
            </w:r>
            <w:r w:rsidRPr="00392B10">
              <w:t>,</w:t>
            </w:r>
            <w:r w:rsidR="00FB7980" w:rsidRPr="00392B10">
              <w:t xml:space="preserve"> </w:t>
            </w:r>
            <w:r w:rsidRPr="00392B10">
              <w:t>DC: 10.25</w:t>
            </w:r>
          </w:p>
        </w:tc>
        <w:tc>
          <w:tcPr>
            <w:tcW w:w="1920" w:type="dxa"/>
            <w:vAlign w:val="center"/>
          </w:tcPr>
          <w:p w14:paraId="14291C79" w14:textId="77777777" w:rsidR="005F783B" w:rsidRPr="00392B10" w:rsidRDefault="005F783B" w:rsidP="003B634A">
            <w:pPr>
              <w:pStyle w:val="COMTabletext"/>
              <w:keepNext w:val="0"/>
              <w:widowControl w:val="0"/>
              <w:jc w:val="center"/>
            </w:pPr>
            <w:r w:rsidRPr="00392B10">
              <w:t>11.07</w:t>
            </w:r>
          </w:p>
        </w:tc>
        <w:tc>
          <w:tcPr>
            <w:tcW w:w="2662" w:type="dxa"/>
            <w:vAlign w:val="center"/>
          </w:tcPr>
          <w:p w14:paraId="08360D33" w14:textId="77777777" w:rsidR="005F783B" w:rsidRPr="00392B10" w:rsidRDefault="005F783B" w:rsidP="003B634A">
            <w:pPr>
              <w:pStyle w:val="COMTabletext"/>
              <w:keepNext w:val="0"/>
              <w:widowControl w:val="0"/>
              <w:jc w:val="center"/>
            </w:pPr>
            <w:r w:rsidRPr="00392B10">
              <w:t>-</w:t>
            </w:r>
          </w:p>
        </w:tc>
      </w:tr>
    </w:tbl>
    <w:p w14:paraId="054A90DD" w14:textId="77777777" w:rsidR="005F783B" w:rsidRPr="00392B10" w:rsidRDefault="005F783B" w:rsidP="005F783B">
      <w:pPr>
        <w:pStyle w:val="COMTablefooter"/>
      </w:pPr>
      <w:r w:rsidRPr="00392B10">
        <w:t>Source: Sections 2.3-2.5, pp36-49 of the submission; pp46-47, ALLG NBCR 2020 report and the KOL 2021 survey of the submission</w:t>
      </w:r>
    </w:p>
    <w:p w14:paraId="18A42A9B" w14:textId="04377400" w:rsidR="005F783B" w:rsidRPr="00392B10" w:rsidRDefault="005F783B" w:rsidP="005F783B">
      <w:pPr>
        <w:pStyle w:val="COMTablefooter"/>
      </w:pPr>
      <w:r w:rsidRPr="00392B10">
        <w:t>ALLG NBCR</w:t>
      </w:r>
      <w:r w:rsidR="002B0CC3" w:rsidRPr="00392B10">
        <w:t xml:space="preserve"> =</w:t>
      </w:r>
      <w:r w:rsidRPr="00392B10">
        <w:t xml:space="preserve"> Australasian Leukaemia and Lymphoma Group National Blood Cancer Registry; AML-MRC</w:t>
      </w:r>
      <w:r w:rsidR="002B0CC3" w:rsidRPr="00392B10">
        <w:t xml:space="preserve"> =</w:t>
      </w:r>
      <w:r w:rsidRPr="00392B10">
        <w:t xml:space="preserve"> acute myeloid leukaemia with myelodysplasia-related changes; BSC</w:t>
      </w:r>
      <w:r w:rsidR="002B0CC3" w:rsidRPr="00392B10">
        <w:t xml:space="preserve"> =</w:t>
      </w:r>
      <w:r w:rsidRPr="00392B10">
        <w:t xml:space="preserve"> best supportive care; DC</w:t>
      </w:r>
      <w:r w:rsidR="002B0CC3" w:rsidRPr="00392B10">
        <w:t xml:space="preserve"> =</w:t>
      </w:r>
      <w:r w:rsidRPr="00392B10">
        <w:t xml:space="preserve"> daunorubicin and cytarabine; </w:t>
      </w:r>
      <w:r w:rsidR="002B0CC3" w:rsidRPr="00392B10">
        <w:t xml:space="preserve">EFS = event free survival; FLAG-Ida = fludarabine + cytarabine + colony-stimulating factor + idarubicin; </w:t>
      </w:r>
      <w:r w:rsidRPr="00392B10">
        <w:t>H</w:t>
      </w:r>
      <w:r w:rsidR="007F641A" w:rsidRPr="00392B10">
        <w:t>i</w:t>
      </w:r>
      <w:r w:rsidRPr="00392B10">
        <w:t>DAC</w:t>
      </w:r>
      <w:r w:rsidR="002B0CC3" w:rsidRPr="00392B10">
        <w:t xml:space="preserve"> =</w:t>
      </w:r>
      <w:r w:rsidRPr="00392B10">
        <w:t xml:space="preserve"> high dose cytarabine; </w:t>
      </w:r>
      <w:r w:rsidR="002B0CC3" w:rsidRPr="00392B10">
        <w:t xml:space="preserve">HSCT = hematopoietic stem cell transplant; </w:t>
      </w:r>
      <w:r w:rsidRPr="00392B10">
        <w:lastRenderedPageBreak/>
        <w:t>IDAC</w:t>
      </w:r>
      <w:r w:rsidR="002B0CC3" w:rsidRPr="00392B10">
        <w:t xml:space="preserve"> =</w:t>
      </w:r>
      <w:r w:rsidRPr="00392B10">
        <w:t xml:space="preserve"> intermediate dose cytarabine; </w:t>
      </w:r>
      <w:r w:rsidR="002B0CC3" w:rsidRPr="00392B10">
        <w:t xml:space="preserve">KOL = key opinion leader; </w:t>
      </w:r>
      <w:r w:rsidRPr="00392B10">
        <w:t>LDC</w:t>
      </w:r>
      <w:r w:rsidR="002B0CC3" w:rsidRPr="00392B10">
        <w:t xml:space="preserve"> =</w:t>
      </w:r>
      <w:r w:rsidRPr="00392B10">
        <w:t xml:space="preserve"> liposomal daunorubicin and cytarabine; MEC</w:t>
      </w:r>
      <w:r w:rsidR="002B0CC3" w:rsidRPr="00392B10">
        <w:t xml:space="preserve"> =</w:t>
      </w:r>
      <w:r w:rsidRPr="00392B10">
        <w:t xml:space="preserve"> mitoxantrone + etoposide + intermediate dose cytarabine; </w:t>
      </w:r>
      <w:r w:rsidR="00FB7980" w:rsidRPr="00392B10">
        <w:t>NR</w:t>
      </w:r>
      <w:r w:rsidR="002B0CC3" w:rsidRPr="00392B10">
        <w:t xml:space="preserve"> =</w:t>
      </w:r>
      <w:r w:rsidR="00FB7980" w:rsidRPr="00392B10">
        <w:t xml:space="preserve"> not reached; </w:t>
      </w:r>
      <w:r w:rsidR="002B0CC3" w:rsidRPr="00392B10">
        <w:t xml:space="preserve">OS = overall survival; </w:t>
      </w:r>
      <w:r w:rsidRPr="00392B10">
        <w:t>t-AML</w:t>
      </w:r>
      <w:r w:rsidR="002B0CC3" w:rsidRPr="00392B10">
        <w:t xml:space="preserve"> =</w:t>
      </w:r>
      <w:r w:rsidRPr="00392B10">
        <w:t xml:space="preserve"> therapy-related acute myeloid leukaemia</w:t>
      </w:r>
    </w:p>
    <w:p w14:paraId="6D033840" w14:textId="77777777" w:rsidR="005F783B" w:rsidRPr="00392B10" w:rsidRDefault="005F783B" w:rsidP="005F783B">
      <w:pPr>
        <w:pStyle w:val="COMTablefooter"/>
      </w:pPr>
      <w:r w:rsidRPr="00392B10">
        <w:rPr>
          <w:vertAlign w:val="superscript"/>
        </w:rPr>
        <w:t xml:space="preserve">a </w:t>
      </w:r>
      <w:r w:rsidRPr="00392B10">
        <w:t xml:space="preserve">The report noted the dominant anthracycline used in backbone chemotherapy was </w:t>
      </w:r>
      <w:proofErr w:type="gramStart"/>
      <w:r w:rsidRPr="00392B10">
        <w:t>idarubicin</w:t>
      </w:r>
      <w:proofErr w:type="gramEnd"/>
    </w:p>
    <w:p w14:paraId="2F91D514" w14:textId="77777777" w:rsidR="005F783B" w:rsidRPr="00392B10" w:rsidRDefault="005F783B" w:rsidP="005F783B">
      <w:pPr>
        <w:pStyle w:val="COMTablefooter"/>
      </w:pPr>
      <w:r w:rsidRPr="00392B10">
        <w:rPr>
          <w:vertAlign w:val="superscript"/>
        </w:rPr>
        <w:t>b</w:t>
      </w:r>
      <w:r w:rsidRPr="00392B10">
        <w:t xml:space="preserve"> The report noted that intermediate dose cytarabine (IDAC) was used as consolidation in 44% of patients</w:t>
      </w:r>
    </w:p>
    <w:p w14:paraId="08A8346A" w14:textId="77777777" w:rsidR="005F783B" w:rsidRPr="00392B10" w:rsidRDefault="005F783B" w:rsidP="005F783B">
      <w:pPr>
        <w:pStyle w:val="COMTablefooter"/>
      </w:pPr>
      <w:r w:rsidRPr="00392B10">
        <w:rPr>
          <w:vertAlign w:val="superscript"/>
        </w:rPr>
        <w:t xml:space="preserve">c </w:t>
      </w:r>
      <w:r w:rsidRPr="00392B10">
        <w:t>The most common therapies received were pyrimidine analogues (cytarabine, decitabine, azacitidine) and purine analogues (fludarabine, cladribine, clofarabine)</w:t>
      </w:r>
    </w:p>
    <w:p w14:paraId="37EF794F" w14:textId="77777777" w:rsidR="005F783B" w:rsidRPr="00392B10" w:rsidRDefault="005F783B" w:rsidP="005F783B">
      <w:pPr>
        <w:pStyle w:val="COMTablefooter"/>
      </w:pPr>
      <w:r w:rsidRPr="00392B10">
        <w:rPr>
          <w:vertAlign w:val="superscript"/>
        </w:rPr>
        <w:t>d</w:t>
      </w:r>
      <w:r w:rsidRPr="00392B10">
        <w:t xml:space="preserve"> Depending on response to induction/consolidation and whether patients underwent HSCT</w:t>
      </w:r>
    </w:p>
    <w:p w14:paraId="790DAB61" w14:textId="77777777" w:rsidR="005F783B" w:rsidRPr="00392B10" w:rsidRDefault="005F783B" w:rsidP="005F783B">
      <w:pPr>
        <w:pStyle w:val="COMTablefooter"/>
      </w:pPr>
      <w:r w:rsidRPr="00392B10">
        <w:t>Note: Estimates from the KOL survey were calculated as the average of responses to each question</w:t>
      </w:r>
    </w:p>
    <w:p w14:paraId="237C8514" w14:textId="1428EDE9" w:rsidR="003F2D8B" w:rsidRPr="00392B10" w:rsidRDefault="005F783B" w:rsidP="005F783B">
      <w:pPr>
        <w:pStyle w:val="COMexecsumnumberedpara"/>
      </w:pPr>
      <w:r w:rsidRPr="00392B10">
        <w:t xml:space="preserve">The ALLG NBCR report </w:t>
      </w:r>
      <w:r w:rsidR="005B25A3" w:rsidRPr="00392B10">
        <w:t xml:space="preserve">included a comparison of patient characteristics and outcomes from the key trial </w:t>
      </w:r>
      <w:r w:rsidR="000106AB" w:rsidRPr="00392B10">
        <w:t>based on</w:t>
      </w:r>
      <w:r w:rsidR="005B25A3" w:rsidRPr="00392B10">
        <w:t xml:space="preserve"> a matching population aged 60-75 years treated with intensive chemotherapy for secondary AML or t-AML from an Australian blood cancer registry. </w:t>
      </w:r>
      <w:r w:rsidR="006B5D17" w:rsidRPr="00392B10">
        <w:t xml:space="preserve">The </w:t>
      </w:r>
      <w:r w:rsidR="0098580C" w:rsidRPr="00392B10">
        <w:t>authors noted t</w:t>
      </w:r>
      <w:r w:rsidRPr="00392B10">
        <w:t xml:space="preserve">he </w:t>
      </w:r>
      <w:r w:rsidR="00AB5E4C" w:rsidRPr="00392B10">
        <w:t xml:space="preserve">matched registry cohort had better response rates </w:t>
      </w:r>
      <w:r w:rsidR="00EC7D78" w:rsidRPr="00392B10">
        <w:t>and overall survival compared to the</w:t>
      </w:r>
      <w:r w:rsidR="000106AB" w:rsidRPr="00392B10">
        <w:t xml:space="preserve"> </w:t>
      </w:r>
      <w:r w:rsidR="00AD6104" w:rsidRPr="00392B10">
        <w:t xml:space="preserve">control </w:t>
      </w:r>
      <w:r w:rsidRPr="00392B10">
        <w:t>arm of Study 301</w:t>
      </w:r>
      <w:r w:rsidR="00C96A9C" w:rsidRPr="00392B10">
        <w:t>,</w:t>
      </w:r>
      <w:r w:rsidR="00D05556" w:rsidRPr="00392B10">
        <w:t xml:space="preserve"> and </w:t>
      </w:r>
      <w:r w:rsidR="00A5313A" w:rsidRPr="00392B10">
        <w:t xml:space="preserve">that </w:t>
      </w:r>
      <w:r w:rsidR="002670C5" w:rsidRPr="00392B10">
        <w:t xml:space="preserve">overall survival </w:t>
      </w:r>
      <w:r w:rsidR="00D05556" w:rsidRPr="00392B10">
        <w:t>outcomes</w:t>
      </w:r>
      <w:r w:rsidR="00A75B1B" w:rsidRPr="00392B10">
        <w:t xml:space="preserve"> </w:t>
      </w:r>
      <w:r w:rsidR="00D05556" w:rsidRPr="00392B10">
        <w:t>were</w:t>
      </w:r>
      <w:r w:rsidR="00A75B1B" w:rsidRPr="00392B10">
        <w:t xml:space="preserve"> </w:t>
      </w:r>
      <w:r w:rsidR="00E64453" w:rsidRPr="00392B10">
        <w:t xml:space="preserve">more </w:t>
      </w:r>
      <w:r w:rsidR="00A75B1B" w:rsidRPr="00392B10">
        <w:t xml:space="preserve">comparable to </w:t>
      </w:r>
      <w:r w:rsidR="00461A08" w:rsidRPr="00392B10">
        <w:t>the liposomal daunorubicin and cytarabine arm</w:t>
      </w:r>
      <w:r w:rsidR="001B1727" w:rsidRPr="00392B10">
        <w:t xml:space="preserve"> of the trial</w:t>
      </w:r>
      <w:r w:rsidR="002670C5" w:rsidRPr="00392B10">
        <w:t xml:space="preserve"> despite lower rates of HSCT</w:t>
      </w:r>
      <w:r w:rsidR="001B1727" w:rsidRPr="00392B10">
        <w:t xml:space="preserve"> (7%)</w:t>
      </w:r>
      <w:r w:rsidRPr="00392B10">
        <w:t>. The authors suggested the relatively favourable outcomes in the registry cohort could be due to differences in the type of backbone chemotherapy received, imbalances in the molecular characteristics of the treatment populations or differences in supportive care practices. However, the authors noted that the registry database has low population coverage, comprising approximately 30% of AML cases reported by the Australian Institute of Health and Welfare (AIHW). The authors also noted other limitations including potential data gaps within the registry due to lack of onsite and/or central monitoring.</w:t>
      </w:r>
    </w:p>
    <w:p w14:paraId="4A4FE085" w14:textId="4444DA83" w:rsidR="00B60939" w:rsidRPr="00392B10" w:rsidRDefault="00B60939" w:rsidP="00EC5836">
      <w:pPr>
        <w:pStyle w:val="COMH2-non-numbered"/>
      </w:pPr>
      <w:bookmarkStart w:id="22" w:name="_Toc22897641"/>
      <w:bookmarkStart w:id="23" w:name="_Toc135056602"/>
      <w:r w:rsidRPr="00392B10">
        <w:t>Comparative effectiveness</w:t>
      </w:r>
      <w:bookmarkEnd w:id="22"/>
      <w:bookmarkEnd w:id="23"/>
    </w:p>
    <w:p w14:paraId="207FA617" w14:textId="50AE255E" w:rsidR="00563C08" w:rsidRPr="00392B10" w:rsidRDefault="00563C08" w:rsidP="00563C08">
      <w:pPr>
        <w:pStyle w:val="COMH3"/>
        <w:rPr>
          <w:sz w:val="24"/>
          <w:szCs w:val="22"/>
        </w:rPr>
      </w:pPr>
      <w:r w:rsidRPr="00392B10">
        <w:rPr>
          <w:sz w:val="24"/>
          <w:szCs w:val="22"/>
        </w:rPr>
        <w:t>Liposomal daunorubicin and cytarabine versus daunorubicin and cytarabine</w:t>
      </w:r>
    </w:p>
    <w:p w14:paraId="7D4CAAFF" w14:textId="1D33E391" w:rsidR="001C7355" w:rsidRPr="00392B10" w:rsidRDefault="001C7355" w:rsidP="001C7355">
      <w:pPr>
        <w:pStyle w:val="COMexecsumnumberedpara"/>
      </w:pPr>
      <w:r w:rsidRPr="00392B10">
        <w:t>The following results for response rates, event-free survival, duration of remission and HSCT rates were based on the primary analysis period, over a median follow-up duration of 1.7 years (31 December 2015 data cut). These endpoints were not assessed beyond the primary analysis data cut.</w:t>
      </w:r>
    </w:p>
    <w:p w14:paraId="6AADF94E" w14:textId="2F3077C4" w:rsidR="001C7355" w:rsidRPr="00392B10" w:rsidRDefault="00C77D42" w:rsidP="001C7355">
      <w:pPr>
        <w:pStyle w:val="COMexecsumnumberedpara"/>
      </w:pPr>
      <w:r w:rsidRPr="00392B10">
        <w:fldChar w:fldCharType="begin" w:fldLock="1"/>
      </w:r>
      <w:r w:rsidRPr="00392B10">
        <w:instrText xml:space="preserve"> REF _Ref134466730 \h </w:instrText>
      </w:r>
      <w:r w:rsidRPr="00392B10">
        <w:fldChar w:fldCharType="separate"/>
      </w:r>
      <w:r w:rsidR="00C24535" w:rsidRPr="00392B10">
        <w:t xml:space="preserve">Table </w:t>
      </w:r>
      <w:r w:rsidR="00C24535" w:rsidRPr="000366BF">
        <w:t>5</w:t>
      </w:r>
      <w:r w:rsidRPr="00392B10">
        <w:fldChar w:fldCharType="end"/>
      </w:r>
      <w:r w:rsidRPr="00392B10">
        <w:t xml:space="preserve"> </w:t>
      </w:r>
      <w:r w:rsidR="001C7355" w:rsidRPr="00392B10">
        <w:t>below presents the proportion of patients achieving response in Study 301.</w:t>
      </w:r>
    </w:p>
    <w:p w14:paraId="34EAC37C" w14:textId="357C4668" w:rsidR="001C7355" w:rsidRPr="00392B10" w:rsidRDefault="001C7355" w:rsidP="00C77D42">
      <w:pPr>
        <w:pStyle w:val="Caption"/>
      </w:pPr>
      <w:bookmarkStart w:id="24" w:name="_Ref134466730"/>
      <w:r w:rsidRPr="00392B10">
        <w:t xml:space="preserve">Table </w:t>
      </w:r>
      <w:r w:rsidR="00795A1F">
        <w:fldChar w:fldCharType="begin" w:fldLock="1"/>
      </w:r>
      <w:r w:rsidR="00795A1F">
        <w:instrText xml:space="preserve"> SEQ Table \* ARABIC </w:instrText>
      </w:r>
      <w:r w:rsidR="00795A1F">
        <w:fldChar w:fldCharType="separate"/>
      </w:r>
      <w:r w:rsidR="00C24535" w:rsidRPr="000366BF">
        <w:t>5</w:t>
      </w:r>
      <w:r w:rsidR="00795A1F">
        <w:fldChar w:fldCharType="end"/>
      </w:r>
      <w:bookmarkEnd w:id="24"/>
      <w:r w:rsidRPr="00392B10">
        <w:t>: Proportion of patients with a response in Study 301 (ITT population, primary analysis)</w:t>
      </w:r>
    </w:p>
    <w:tbl>
      <w:tblPr>
        <w:tblStyle w:val="TableGrid"/>
        <w:tblW w:w="0" w:type="auto"/>
        <w:tblLook w:val="04A0" w:firstRow="1" w:lastRow="0" w:firstColumn="1" w:lastColumn="0" w:noHBand="0" w:noVBand="1"/>
      </w:tblPr>
      <w:tblGrid>
        <w:gridCol w:w="2635"/>
        <w:gridCol w:w="2400"/>
        <w:gridCol w:w="2280"/>
        <w:gridCol w:w="1702"/>
      </w:tblGrid>
      <w:tr w:rsidR="001C7355" w:rsidRPr="00392B10" w14:paraId="45A1869C" w14:textId="77777777" w:rsidTr="002B0CC3">
        <w:tc>
          <w:tcPr>
            <w:tcW w:w="2635" w:type="dxa"/>
            <w:vAlign w:val="center"/>
          </w:tcPr>
          <w:p w14:paraId="2D5A3BB2" w14:textId="77777777" w:rsidR="001C7355" w:rsidRPr="00392B10" w:rsidRDefault="001C7355" w:rsidP="00E75D09">
            <w:pPr>
              <w:pStyle w:val="COMTableheadingrow"/>
              <w:rPr>
                <w:lang w:val="en-AU"/>
              </w:rPr>
            </w:pPr>
            <w:r w:rsidRPr="00392B10">
              <w:rPr>
                <w:lang w:val="en-AU"/>
              </w:rPr>
              <w:t>Patients, n (%)</w:t>
            </w:r>
          </w:p>
        </w:tc>
        <w:tc>
          <w:tcPr>
            <w:tcW w:w="2400" w:type="dxa"/>
            <w:vAlign w:val="center"/>
          </w:tcPr>
          <w:p w14:paraId="79B0F8B9" w14:textId="77777777" w:rsidR="001C7355" w:rsidRPr="00392B10" w:rsidRDefault="001C7355" w:rsidP="00E75D09">
            <w:pPr>
              <w:pStyle w:val="COMTableheadingrow"/>
              <w:jc w:val="center"/>
              <w:rPr>
                <w:lang w:val="en-AU"/>
              </w:rPr>
            </w:pPr>
            <w:r w:rsidRPr="00392B10">
              <w:rPr>
                <w:lang w:val="en-AU"/>
              </w:rPr>
              <w:t>Liposomal daunorubicin and cytarabine</w:t>
            </w:r>
          </w:p>
          <w:p w14:paraId="1542C1FA" w14:textId="77777777" w:rsidR="001C7355" w:rsidRPr="00392B10" w:rsidRDefault="001C7355" w:rsidP="00E75D09">
            <w:pPr>
              <w:pStyle w:val="COMTableheadingrow"/>
              <w:jc w:val="center"/>
              <w:rPr>
                <w:lang w:val="en-AU"/>
              </w:rPr>
            </w:pPr>
            <w:r w:rsidRPr="00392B10">
              <w:rPr>
                <w:lang w:val="en-AU"/>
              </w:rPr>
              <w:t>N=153</w:t>
            </w:r>
          </w:p>
        </w:tc>
        <w:tc>
          <w:tcPr>
            <w:tcW w:w="2280" w:type="dxa"/>
            <w:vAlign w:val="center"/>
          </w:tcPr>
          <w:p w14:paraId="3D185588" w14:textId="77777777" w:rsidR="001C7355" w:rsidRPr="00392B10" w:rsidRDefault="001C7355" w:rsidP="00E75D09">
            <w:pPr>
              <w:pStyle w:val="COMTableheadingrow"/>
              <w:jc w:val="center"/>
              <w:rPr>
                <w:lang w:val="en-AU"/>
              </w:rPr>
            </w:pPr>
            <w:r w:rsidRPr="00392B10">
              <w:rPr>
                <w:lang w:val="en-AU"/>
              </w:rPr>
              <w:t>Daunorubicin and cytarabine</w:t>
            </w:r>
          </w:p>
          <w:p w14:paraId="699627B5" w14:textId="77777777" w:rsidR="001C7355" w:rsidRPr="00392B10" w:rsidRDefault="001C7355" w:rsidP="00E75D09">
            <w:pPr>
              <w:pStyle w:val="COMTableheadingrow"/>
              <w:jc w:val="center"/>
              <w:rPr>
                <w:lang w:val="en-AU"/>
              </w:rPr>
            </w:pPr>
            <w:r w:rsidRPr="00392B10">
              <w:rPr>
                <w:lang w:val="en-AU"/>
              </w:rPr>
              <w:t>N=156</w:t>
            </w:r>
          </w:p>
        </w:tc>
        <w:tc>
          <w:tcPr>
            <w:tcW w:w="1702" w:type="dxa"/>
            <w:vAlign w:val="center"/>
          </w:tcPr>
          <w:p w14:paraId="407E3AC6" w14:textId="71F40C4B" w:rsidR="001C7355" w:rsidRPr="00392B10" w:rsidRDefault="001C7355" w:rsidP="00E75D09">
            <w:pPr>
              <w:pStyle w:val="COMTableheadingrow"/>
              <w:jc w:val="center"/>
              <w:rPr>
                <w:lang w:val="en-AU"/>
              </w:rPr>
            </w:pPr>
            <w:r w:rsidRPr="00392B10">
              <w:rPr>
                <w:lang w:val="en-AU"/>
              </w:rPr>
              <w:t xml:space="preserve">Odds ratio </w:t>
            </w:r>
            <w:r w:rsidR="005222C4" w:rsidRPr="00392B10">
              <w:rPr>
                <w:lang w:val="en-AU"/>
              </w:rPr>
              <w:br/>
            </w:r>
            <w:r w:rsidRPr="00392B10">
              <w:rPr>
                <w:lang w:val="en-AU"/>
              </w:rPr>
              <w:t>(95% CI)</w:t>
            </w:r>
          </w:p>
        </w:tc>
      </w:tr>
      <w:tr w:rsidR="001C7355" w:rsidRPr="00392B10" w14:paraId="68D648CE" w14:textId="77777777" w:rsidTr="002B0CC3">
        <w:tc>
          <w:tcPr>
            <w:tcW w:w="2635" w:type="dxa"/>
          </w:tcPr>
          <w:p w14:paraId="60B5EFDA" w14:textId="77777777" w:rsidR="001C7355" w:rsidRPr="00392B10" w:rsidRDefault="001C7355" w:rsidP="00E75D09">
            <w:pPr>
              <w:pStyle w:val="COMTabletext"/>
            </w:pPr>
            <w:r w:rsidRPr="00392B10">
              <w:t>CR + CRi</w:t>
            </w:r>
          </w:p>
        </w:tc>
        <w:tc>
          <w:tcPr>
            <w:tcW w:w="2400" w:type="dxa"/>
            <w:vAlign w:val="center"/>
          </w:tcPr>
          <w:p w14:paraId="3EBF6E97" w14:textId="77777777" w:rsidR="001C7355" w:rsidRPr="00392B10" w:rsidRDefault="001C7355" w:rsidP="00E75D09">
            <w:pPr>
              <w:pStyle w:val="COMTabletext"/>
              <w:jc w:val="center"/>
            </w:pPr>
            <w:r w:rsidRPr="00392B10">
              <w:t>73 (47.7)</w:t>
            </w:r>
          </w:p>
        </w:tc>
        <w:tc>
          <w:tcPr>
            <w:tcW w:w="2280" w:type="dxa"/>
            <w:vAlign w:val="center"/>
          </w:tcPr>
          <w:p w14:paraId="51025C03" w14:textId="77777777" w:rsidR="001C7355" w:rsidRPr="00392B10" w:rsidRDefault="001C7355" w:rsidP="00E75D09">
            <w:pPr>
              <w:pStyle w:val="COMTabletext"/>
              <w:jc w:val="center"/>
            </w:pPr>
            <w:r w:rsidRPr="00392B10">
              <w:t>52 (33.3)</w:t>
            </w:r>
          </w:p>
        </w:tc>
        <w:tc>
          <w:tcPr>
            <w:tcW w:w="1702" w:type="dxa"/>
          </w:tcPr>
          <w:p w14:paraId="6290D207" w14:textId="77777777" w:rsidR="001C7355" w:rsidRPr="00392B10" w:rsidRDefault="001C7355" w:rsidP="00E75D09">
            <w:pPr>
              <w:pStyle w:val="COMTabletext"/>
              <w:jc w:val="center"/>
              <w:rPr>
                <w:b/>
                <w:bCs w:val="0"/>
              </w:rPr>
            </w:pPr>
            <w:r w:rsidRPr="00392B10">
              <w:rPr>
                <w:b/>
                <w:bCs w:val="0"/>
              </w:rPr>
              <w:t>1.77 (1.11, 2.81)</w:t>
            </w:r>
          </w:p>
        </w:tc>
      </w:tr>
      <w:tr w:rsidR="001C7355" w:rsidRPr="00392B10" w14:paraId="1C4A5520" w14:textId="77777777" w:rsidTr="002B0CC3">
        <w:tc>
          <w:tcPr>
            <w:tcW w:w="2635" w:type="dxa"/>
          </w:tcPr>
          <w:p w14:paraId="7FB4071C" w14:textId="77777777" w:rsidR="001C7355" w:rsidRPr="00392B10" w:rsidRDefault="001C7355" w:rsidP="00E75D09">
            <w:pPr>
              <w:pStyle w:val="COMTabletext"/>
            </w:pPr>
            <w:r w:rsidRPr="00392B10">
              <w:t>- CR</w:t>
            </w:r>
          </w:p>
        </w:tc>
        <w:tc>
          <w:tcPr>
            <w:tcW w:w="2400" w:type="dxa"/>
            <w:vAlign w:val="center"/>
          </w:tcPr>
          <w:p w14:paraId="3881BC2D" w14:textId="77777777" w:rsidR="001C7355" w:rsidRPr="00392B10" w:rsidRDefault="001C7355" w:rsidP="00E75D09">
            <w:pPr>
              <w:pStyle w:val="COMTabletext"/>
              <w:jc w:val="center"/>
            </w:pPr>
            <w:r w:rsidRPr="00392B10">
              <w:t>57 (37.3)</w:t>
            </w:r>
          </w:p>
        </w:tc>
        <w:tc>
          <w:tcPr>
            <w:tcW w:w="2280" w:type="dxa"/>
            <w:vAlign w:val="center"/>
          </w:tcPr>
          <w:p w14:paraId="641CDFB0" w14:textId="77777777" w:rsidR="001C7355" w:rsidRPr="00392B10" w:rsidRDefault="001C7355" w:rsidP="00E75D09">
            <w:pPr>
              <w:pStyle w:val="COMTabletext"/>
              <w:jc w:val="center"/>
            </w:pPr>
            <w:r w:rsidRPr="00392B10">
              <w:t>40 (25.6)</w:t>
            </w:r>
          </w:p>
        </w:tc>
        <w:tc>
          <w:tcPr>
            <w:tcW w:w="1702" w:type="dxa"/>
          </w:tcPr>
          <w:p w14:paraId="42BE5EDE" w14:textId="77777777" w:rsidR="001C7355" w:rsidRPr="00392B10" w:rsidRDefault="001C7355" w:rsidP="00E75D09">
            <w:pPr>
              <w:pStyle w:val="COMTabletext"/>
              <w:jc w:val="center"/>
              <w:rPr>
                <w:b/>
                <w:bCs w:val="0"/>
              </w:rPr>
            </w:pPr>
            <w:r w:rsidRPr="00392B10">
              <w:rPr>
                <w:b/>
                <w:bCs w:val="0"/>
              </w:rPr>
              <w:t>1.69 (1.03, 2.78)</w:t>
            </w:r>
          </w:p>
        </w:tc>
      </w:tr>
      <w:tr w:rsidR="001C7355" w:rsidRPr="00392B10" w14:paraId="2B0D2DF5" w14:textId="77777777" w:rsidTr="002B0CC3">
        <w:tc>
          <w:tcPr>
            <w:tcW w:w="2635" w:type="dxa"/>
          </w:tcPr>
          <w:p w14:paraId="6AB0645F" w14:textId="77777777" w:rsidR="001C7355" w:rsidRPr="00392B10" w:rsidRDefault="001C7355" w:rsidP="00E75D09">
            <w:pPr>
              <w:pStyle w:val="COMTabletext"/>
            </w:pPr>
            <w:r w:rsidRPr="00392B10">
              <w:t>- CRi</w:t>
            </w:r>
          </w:p>
        </w:tc>
        <w:tc>
          <w:tcPr>
            <w:tcW w:w="2400" w:type="dxa"/>
            <w:vAlign w:val="center"/>
          </w:tcPr>
          <w:p w14:paraId="0C076FC0" w14:textId="77777777" w:rsidR="001C7355" w:rsidRPr="00392B10" w:rsidRDefault="001C7355" w:rsidP="00E75D09">
            <w:pPr>
              <w:pStyle w:val="COMTabletext"/>
              <w:jc w:val="center"/>
            </w:pPr>
            <w:r w:rsidRPr="00392B10">
              <w:t>16 (10.5)</w:t>
            </w:r>
          </w:p>
        </w:tc>
        <w:tc>
          <w:tcPr>
            <w:tcW w:w="2280" w:type="dxa"/>
            <w:vAlign w:val="center"/>
          </w:tcPr>
          <w:p w14:paraId="1456C70F" w14:textId="77777777" w:rsidR="001C7355" w:rsidRPr="00392B10" w:rsidRDefault="001C7355" w:rsidP="00E75D09">
            <w:pPr>
              <w:pStyle w:val="COMTabletext"/>
              <w:jc w:val="center"/>
            </w:pPr>
            <w:r w:rsidRPr="00392B10">
              <w:t>12 (7.7)</w:t>
            </w:r>
          </w:p>
        </w:tc>
        <w:tc>
          <w:tcPr>
            <w:tcW w:w="1702" w:type="dxa"/>
          </w:tcPr>
          <w:p w14:paraId="601F47AA" w14:textId="77777777" w:rsidR="001C7355" w:rsidRPr="00392B10" w:rsidRDefault="001C7355" w:rsidP="00E75D09">
            <w:pPr>
              <w:pStyle w:val="COMTabletext"/>
              <w:jc w:val="center"/>
            </w:pPr>
            <w:r w:rsidRPr="00392B10">
              <w:t>1.20 (0.53, 2.77)</w:t>
            </w:r>
          </w:p>
        </w:tc>
      </w:tr>
      <w:tr w:rsidR="001C7355" w:rsidRPr="00392B10" w14:paraId="79DE1869" w14:textId="77777777" w:rsidTr="002B0CC3">
        <w:tc>
          <w:tcPr>
            <w:tcW w:w="2635" w:type="dxa"/>
          </w:tcPr>
          <w:p w14:paraId="33A8EABE" w14:textId="77777777" w:rsidR="001C7355" w:rsidRPr="00392B10" w:rsidRDefault="001C7355" w:rsidP="00E75D09">
            <w:pPr>
              <w:pStyle w:val="COMTabletext"/>
            </w:pPr>
            <w:r w:rsidRPr="00392B10">
              <w:t>No response</w:t>
            </w:r>
          </w:p>
        </w:tc>
        <w:tc>
          <w:tcPr>
            <w:tcW w:w="2400" w:type="dxa"/>
            <w:vAlign w:val="center"/>
          </w:tcPr>
          <w:p w14:paraId="72425396" w14:textId="77777777" w:rsidR="001C7355" w:rsidRPr="00392B10" w:rsidRDefault="001C7355" w:rsidP="00E75D09">
            <w:pPr>
              <w:pStyle w:val="COMTabletext"/>
              <w:jc w:val="center"/>
            </w:pPr>
            <w:r w:rsidRPr="00392B10">
              <w:t>80 (52.3)</w:t>
            </w:r>
          </w:p>
        </w:tc>
        <w:tc>
          <w:tcPr>
            <w:tcW w:w="2280" w:type="dxa"/>
            <w:vAlign w:val="center"/>
          </w:tcPr>
          <w:p w14:paraId="758D9627" w14:textId="77777777" w:rsidR="001C7355" w:rsidRPr="00392B10" w:rsidRDefault="001C7355" w:rsidP="00E75D09">
            <w:pPr>
              <w:pStyle w:val="COMTabletext"/>
              <w:jc w:val="center"/>
            </w:pPr>
            <w:r w:rsidRPr="00392B10">
              <w:t>104 (66.7)</w:t>
            </w:r>
          </w:p>
        </w:tc>
        <w:tc>
          <w:tcPr>
            <w:tcW w:w="1702" w:type="dxa"/>
          </w:tcPr>
          <w:p w14:paraId="53C64F53" w14:textId="77777777" w:rsidR="001C7355" w:rsidRPr="00392B10" w:rsidRDefault="001C7355" w:rsidP="00E75D09">
            <w:pPr>
              <w:pStyle w:val="COMTabletext"/>
              <w:jc w:val="center"/>
            </w:pPr>
            <w:r w:rsidRPr="00392B10">
              <w:t>-</w:t>
            </w:r>
          </w:p>
        </w:tc>
      </w:tr>
    </w:tbl>
    <w:p w14:paraId="585B7E9C" w14:textId="77777777" w:rsidR="001C7355" w:rsidRPr="00392B10" w:rsidRDefault="001C7355" w:rsidP="001C7355">
      <w:pPr>
        <w:pStyle w:val="COMTablefooter"/>
      </w:pPr>
      <w:r w:rsidRPr="00392B10">
        <w:t>Source: Table 2.9, p47 of the submission</w:t>
      </w:r>
    </w:p>
    <w:p w14:paraId="49151A49" w14:textId="47330A53" w:rsidR="001C7355" w:rsidRPr="00392B10" w:rsidRDefault="001C7355" w:rsidP="001C7355">
      <w:pPr>
        <w:pStyle w:val="COMTablefooter"/>
      </w:pPr>
      <w:r w:rsidRPr="00392B10">
        <w:t>CI</w:t>
      </w:r>
      <w:r w:rsidR="002B0CC3" w:rsidRPr="00392B10">
        <w:t xml:space="preserve"> =</w:t>
      </w:r>
      <w:r w:rsidRPr="00392B10">
        <w:t xml:space="preserve"> confidence interval; CR</w:t>
      </w:r>
      <w:r w:rsidR="002B0CC3" w:rsidRPr="00392B10">
        <w:t xml:space="preserve"> =</w:t>
      </w:r>
      <w:r w:rsidRPr="00392B10">
        <w:t xml:space="preserve"> complete remission; CRi</w:t>
      </w:r>
      <w:r w:rsidR="002B0CC3" w:rsidRPr="00392B10">
        <w:t xml:space="preserve"> =</w:t>
      </w:r>
      <w:r w:rsidRPr="00392B10">
        <w:t xml:space="preserve"> complete response with incomplete peripheral blood counts</w:t>
      </w:r>
      <w:r w:rsidR="002B0CC3" w:rsidRPr="00392B10">
        <w:t>; ITT = intent-to-treat</w:t>
      </w:r>
    </w:p>
    <w:p w14:paraId="499E46C6" w14:textId="77777777" w:rsidR="001C7355" w:rsidRPr="00392B10" w:rsidRDefault="001C7355" w:rsidP="001C7355">
      <w:pPr>
        <w:pStyle w:val="COMTablefooter"/>
      </w:pPr>
      <w:r w:rsidRPr="00392B10">
        <w:t xml:space="preserve">Bolded results were statistically </w:t>
      </w:r>
      <w:proofErr w:type="gramStart"/>
      <w:r w:rsidRPr="00392B10">
        <w:t>significant</w:t>
      </w:r>
      <w:proofErr w:type="gramEnd"/>
      <w:r w:rsidRPr="00392B10">
        <w:t xml:space="preserve"> </w:t>
      </w:r>
    </w:p>
    <w:p w14:paraId="28593FB8" w14:textId="4B491F35" w:rsidR="002C2775" w:rsidRPr="00392B10" w:rsidRDefault="00017E9C" w:rsidP="00017E9C">
      <w:pPr>
        <w:pStyle w:val="COMexecsumnumberedpara"/>
      </w:pPr>
      <w:r w:rsidRPr="00392B10">
        <w:t xml:space="preserve">A statistically significantly greater proportion of patients treated with liposomal daunorubicin and cytarabine achieved a complete remission with or without incomplete peripheral blood counts compared to patients on daunorubicin and </w:t>
      </w:r>
      <w:r w:rsidRPr="00392B10">
        <w:lastRenderedPageBreak/>
        <w:t>cytarabine. The difference was primarily due to more patients achieving complete remission.</w:t>
      </w:r>
    </w:p>
    <w:p w14:paraId="4F3F1A61" w14:textId="3456583C" w:rsidR="00017E9C" w:rsidRPr="00392B10" w:rsidRDefault="00017E9C" w:rsidP="00017E9C">
      <w:pPr>
        <w:pStyle w:val="COMexecsumnumberedpara"/>
      </w:pPr>
      <w:r w:rsidRPr="00392B10">
        <w:t xml:space="preserve">Median remission duration was 6.9 months in the liposomal daunorubicin and cytarabine arm and 6.1 months in the daunorubicin and cytarabine arm. However, the results did not achieve statistical significance (HR </w:t>
      </w:r>
      <w:r w:rsidR="000B007B" w:rsidRPr="00392B10">
        <w:t xml:space="preserve">= </w:t>
      </w:r>
      <w:r w:rsidRPr="00392B10">
        <w:t>0.70; 95% CI: 0.42, 1.17) with complete convergence of the Kaplan-Meier curves after 12 months.</w:t>
      </w:r>
    </w:p>
    <w:p w14:paraId="700C6C41" w14:textId="0F0FD741" w:rsidR="00017E9C" w:rsidRPr="00392B10" w:rsidRDefault="00CB5A5E" w:rsidP="00017E9C">
      <w:pPr>
        <w:pStyle w:val="COMexecsumnumberedpara"/>
      </w:pPr>
      <w:r w:rsidRPr="00392B10">
        <w:fldChar w:fldCharType="begin" w:fldLock="1"/>
      </w:r>
      <w:r w:rsidRPr="00392B10">
        <w:instrText xml:space="preserve"> REF _Ref134466770 \h </w:instrText>
      </w:r>
      <w:r w:rsidRPr="00392B10">
        <w:fldChar w:fldCharType="separate"/>
      </w:r>
      <w:r w:rsidR="00C24535" w:rsidRPr="00392B10">
        <w:t xml:space="preserve">Figure </w:t>
      </w:r>
      <w:r w:rsidR="00C24535" w:rsidRPr="000366BF">
        <w:t>1</w:t>
      </w:r>
      <w:r w:rsidRPr="00392B10">
        <w:fldChar w:fldCharType="end"/>
      </w:r>
      <w:r w:rsidRPr="00392B10">
        <w:t xml:space="preserve"> </w:t>
      </w:r>
      <w:r w:rsidR="00EA251A" w:rsidRPr="00392B10">
        <w:t>below presents the Kaplan-Meier plot of event-free survival in Study 301.</w:t>
      </w:r>
    </w:p>
    <w:p w14:paraId="0C38075C" w14:textId="18C5A0E6" w:rsidR="001E1A7C" w:rsidRPr="00392B10" w:rsidRDefault="001E1A7C" w:rsidP="00CB5A5E">
      <w:pPr>
        <w:pStyle w:val="Caption"/>
      </w:pPr>
      <w:bookmarkStart w:id="25" w:name="_Ref134466770"/>
      <w:r w:rsidRPr="00392B10">
        <w:t xml:space="preserve">Figure </w:t>
      </w:r>
      <w:r w:rsidR="00795A1F">
        <w:fldChar w:fldCharType="begin" w:fldLock="1"/>
      </w:r>
      <w:r w:rsidR="00795A1F">
        <w:instrText xml:space="preserve"> SEQ Figure \* ARABIC </w:instrText>
      </w:r>
      <w:r w:rsidR="00795A1F">
        <w:fldChar w:fldCharType="separate"/>
      </w:r>
      <w:r w:rsidR="002B0CC3" w:rsidRPr="000366BF">
        <w:t>1</w:t>
      </w:r>
      <w:r w:rsidR="00795A1F">
        <w:fldChar w:fldCharType="end"/>
      </w:r>
      <w:bookmarkEnd w:id="25"/>
      <w:r w:rsidRPr="00392B10">
        <w:t>: Kaplan-Meier plot for event-free survival (ITT population, primary analysis)</w:t>
      </w:r>
    </w:p>
    <w:p w14:paraId="5C7F1083" w14:textId="77777777" w:rsidR="001E1A7C" w:rsidRPr="00392B10" w:rsidRDefault="001E1A7C" w:rsidP="001E1A7C">
      <w:pPr>
        <w:rPr>
          <w:color w:val="3366FF"/>
        </w:rPr>
      </w:pPr>
      <w:r w:rsidRPr="000366BF">
        <w:rPr>
          <w:noProof/>
          <w:color w:val="3366FF"/>
        </w:rPr>
        <w:drawing>
          <wp:inline distT="0" distB="0" distL="0" distR="0" wp14:anchorId="28AE1A6A" wp14:editId="0361E2EF">
            <wp:extent cx="5285740" cy="2859405"/>
            <wp:effectExtent l="0" t="0" r="0" b="0"/>
            <wp:docPr id="8" name="Picture 8" descr="Figure 1: Kaplan-Meier plot for event-free survival (ITT population, primary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1: Kaplan-Meier plot for event-free survival (ITT population, primary analys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5740" cy="2859405"/>
                    </a:xfrm>
                    <a:prstGeom prst="rect">
                      <a:avLst/>
                    </a:prstGeom>
                    <a:noFill/>
                  </pic:spPr>
                </pic:pic>
              </a:graphicData>
            </a:graphic>
          </wp:inline>
        </w:drawing>
      </w:r>
    </w:p>
    <w:p w14:paraId="11A9655B" w14:textId="77777777" w:rsidR="001E1A7C" w:rsidRPr="00392B10" w:rsidRDefault="001E1A7C" w:rsidP="001E1A7C">
      <w:pPr>
        <w:pStyle w:val="COMTablefooter"/>
      </w:pPr>
      <w:r w:rsidRPr="00392B10">
        <w:t>Source: Figure 2-6, p68 of the submission</w:t>
      </w:r>
    </w:p>
    <w:p w14:paraId="2AA21FE3" w14:textId="5E311E8C" w:rsidR="001E1A7C" w:rsidRPr="00392B10" w:rsidRDefault="001E1A7C" w:rsidP="001E1A7C">
      <w:pPr>
        <w:pStyle w:val="COMTablefooter"/>
      </w:pPr>
      <w:r w:rsidRPr="00392B10">
        <w:t>7+3</w:t>
      </w:r>
      <w:r w:rsidR="002B0CC3" w:rsidRPr="00392B10">
        <w:t xml:space="preserve"> =</w:t>
      </w:r>
      <w:r w:rsidRPr="00392B10">
        <w:t xml:space="preserve"> cytarabine + daunorubicin; CI</w:t>
      </w:r>
      <w:r w:rsidR="002B0CC3" w:rsidRPr="00392B10">
        <w:t xml:space="preserve"> =</w:t>
      </w:r>
      <w:r w:rsidRPr="00392B10">
        <w:t xml:space="preserve"> confidence interval; CPX-351</w:t>
      </w:r>
      <w:r w:rsidR="002B0CC3" w:rsidRPr="00392B10">
        <w:t xml:space="preserve"> =</w:t>
      </w:r>
      <w:r w:rsidRPr="00392B10">
        <w:t xml:space="preserve"> liposomal cytarabine + daunorubicin; ITT</w:t>
      </w:r>
      <w:r w:rsidR="002B0CC3" w:rsidRPr="00392B10">
        <w:t xml:space="preserve"> =</w:t>
      </w:r>
      <w:r w:rsidRPr="00392B10">
        <w:t xml:space="preserve"> intent-to-treat</w:t>
      </w:r>
      <w:r w:rsidR="002B0CC3" w:rsidRPr="00392B10">
        <w:t>; Surv = survival</w:t>
      </w:r>
    </w:p>
    <w:p w14:paraId="6529ABF5" w14:textId="5C87C615" w:rsidR="00DF6341" w:rsidRPr="00392B10" w:rsidRDefault="001E1A7C" w:rsidP="001E1A7C">
      <w:pPr>
        <w:pStyle w:val="COMexecsumnumberedpara"/>
      </w:pPr>
      <w:r w:rsidRPr="00392B10">
        <w:t xml:space="preserve">Liposomal daunorubicin and cytarabine was associated with statistically significantly prolonged event-free survival compared to daunorubicin and cytarabine (HR </w:t>
      </w:r>
      <w:r w:rsidR="000B007B" w:rsidRPr="00392B10">
        <w:t xml:space="preserve">= </w:t>
      </w:r>
      <w:r w:rsidRPr="00392B10">
        <w:t>0.74; 95% CI: 0.58, 0.99). Event-free survival was defined as time to failure of induction (persistent disease), relapse after complete remission with or without incomplete count recovery or death, whichever came first. At the end of the primary analysis period, most patients in the intervention arm (121/153, 79%) and comparator arm (143/156, 92%) had experienced an event. Results based on a sensitivity analysis that censored patients at the time of HSCT were consistent with the primary analysis (HR</w:t>
      </w:r>
      <w:r w:rsidR="000B007B" w:rsidRPr="00392B10">
        <w:t xml:space="preserve"> =</w:t>
      </w:r>
      <w:r w:rsidRPr="00392B10">
        <w:t xml:space="preserve"> 0.74, 95% CI: 0.56, 0.97)</w:t>
      </w:r>
      <w:r w:rsidR="00392B10">
        <w:t xml:space="preserve">. </w:t>
      </w:r>
    </w:p>
    <w:p w14:paraId="12667ACF" w14:textId="275F6589" w:rsidR="00750F17" w:rsidRPr="00392B10" w:rsidRDefault="00750F17" w:rsidP="001E1A7C">
      <w:pPr>
        <w:pStyle w:val="COMexecsumnumberedpara"/>
      </w:pPr>
      <w:r w:rsidRPr="00392B10">
        <w:t xml:space="preserve">The economic model used data from an </w:t>
      </w:r>
      <w:r w:rsidRPr="00392B10">
        <w:rPr>
          <w:i/>
          <w:iCs/>
        </w:rPr>
        <w:t>ad hoc</w:t>
      </w:r>
      <w:r w:rsidRPr="00392B10">
        <w:t xml:space="preserve"> analysis of event-free survival based on 5-year follow-up data. The analysis included additional follow up for 13 patients who were censored at the 3-year primary data cut off. It was difficult to reconcile event-free survival estimates from the </w:t>
      </w:r>
      <w:r w:rsidRPr="00392B10">
        <w:rPr>
          <w:i/>
          <w:iCs/>
        </w:rPr>
        <w:t>ad hoc</w:t>
      </w:r>
      <w:r w:rsidRPr="00392B10">
        <w:t xml:space="preserve"> analysis with the primary analysis as no formal analysis was conducted for treatment effects (i.e. no median survival estimates or hazard ratio). Visual inspection of the survival curves indicated full convergence </w:t>
      </w:r>
      <w:r w:rsidRPr="00392B10">
        <w:lastRenderedPageBreak/>
        <w:t xml:space="preserve">between treatment arms after 36 months in the </w:t>
      </w:r>
      <w:r w:rsidRPr="00392B10">
        <w:rPr>
          <w:i/>
          <w:iCs/>
        </w:rPr>
        <w:t>ad hoc</w:t>
      </w:r>
      <w:r w:rsidRPr="00392B10">
        <w:t xml:space="preserve"> analysis compared to after 12 months in the primary analysis</w:t>
      </w:r>
      <w:r w:rsidR="00392B10">
        <w:t xml:space="preserve">. </w:t>
      </w:r>
      <w:r w:rsidRPr="00392B10">
        <w:t xml:space="preserve">  </w:t>
      </w:r>
    </w:p>
    <w:p w14:paraId="44094541" w14:textId="2F8D9AEC" w:rsidR="00BC54D3" w:rsidRPr="00392B10" w:rsidRDefault="00CB5A5E" w:rsidP="001E1A7C">
      <w:pPr>
        <w:pStyle w:val="COMexecsumnumberedpara"/>
      </w:pPr>
      <w:r w:rsidRPr="00392B10">
        <w:fldChar w:fldCharType="begin" w:fldLock="1"/>
      </w:r>
      <w:r w:rsidRPr="00392B10">
        <w:instrText xml:space="preserve"> REF _Ref134466806 \h </w:instrText>
      </w:r>
      <w:r w:rsidRPr="00392B10">
        <w:fldChar w:fldCharType="separate"/>
      </w:r>
      <w:r w:rsidR="00C24535" w:rsidRPr="00392B10">
        <w:t xml:space="preserve">Table </w:t>
      </w:r>
      <w:r w:rsidR="00C24535" w:rsidRPr="000366BF">
        <w:t>6</w:t>
      </w:r>
      <w:r w:rsidRPr="00392B10">
        <w:fldChar w:fldCharType="end"/>
      </w:r>
      <w:r w:rsidRPr="00392B10">
        <w:t xml:space="preserve"> </w:t>
      </w:r>
      <w:r w:rsidR="00BC54D3" w:rsidRPr="00392B10">
        <w:t>below presents the proportion of patients receiving HSCT in Study 301.</w:t>
      </w:r>
    </w:p>
    <w:p w14:paraId="672CBA31" w14:textId="19E3A706" w:rsidR="00BC54D3" w:rsidRPr="00392B10" w:rsidRDefault="00BC54D3" w:rsidP="00CB5A5E">
      <w:pPr>
        <w:pStyle w:val="Caption"/>
      </w:pPr>
      <w:bookmarkStart w:id="26" w:name="_Ref134466806"/>
      <w:r w:rsidRPr="00392B10">
        <w:t xml:space="preserve">Table </w:t>
      </w:r>
      <w:r w:rsidR="00795A1F">
        <w:fldChar w:fldCharType="begin" w:fldLock="1"/>
      </w:r>
      <w:r w:rsidR="00795A1F">
        <w:instrText xml:space="preserve"> SEQ Table \* ARABIC </w:instrText>
      </w:r>
      <w:r w:rsidR="00795A1F">
        <w:fldChar w:fldCharType="separate"/>
      </w:r>
      <w:r w:rsidR="00C24535" w:rsidRPr="000366BF">
        <w:t>6</w:t>
      </w:r>
      <w:r w:rsidR="00795A1F">
        <w:fldChar w:fldCharType="end"/>
      </w:r>
      <w:bookmarkEnd w:id="26"/>
      <w:r w:rsidRPr="00392B10">
        <w:t>: Proportion of patients receiving HSCT in Study 301 (ITT population, primary analysis)</w:t>
      </w:r>
    </w:p>
    <w:tbl>
      <w:tblPr>
        <w:tblStyle w:val="TableGrid"/>
        <w:tblW w:w="0" w:type="auto"/>
        <w:tblLook w:val="04A0" w:firstRow="1" w:lastRow="0" w:firstColumn="1" w:lastColumn="0" w:noHBand="0" w:noVBand="1"/>
      </w:tblPr>
      <w:tblGrid>
        <w:gridCol w:w="2254"/>
        <w:gridCol w:w="2254"/>
        <w:gridCol w:w="2254"/>
        <w:gridCol w:w="2255"/>
      </w:tblGrid>
      <w:tr w:rsidR="00BC54D3" w:rsidRPr="00392B10" w14:paraId="026B8F22" w14:textId="77777777" w:rsidTr="00E75D09">
        <w:tc>
          <w:tcPr>
            <w:tcW w:w="2254" w:type="dxa"/>
            <w:vAlign w:val="center"/>
          </w:tcPr>
          <w:p w14:paraId="39EFD8EC" w14:textId="77777777" w:rsidR="00BC54D3" w:rsidRPr="00392B10" w:rsidRDefault="00BC54D3" w:rsidP="00E75D09">
            <w:pPr>
              <w:pStyle w:val="COMTableheadingrow"/>
              <w:rPr>
                <w:lang w:val="en-AU"/>
              </w:rPr>
            </w:pPr>
            <w:r w:rsidRPr="00392B10">
              <w:rPr>
                <w:lang w:val="en-AU"/>
              </w:rPr>
              <w:t>Patients, n (%)</w:t>
            </w:r>
          </w:p>
        </w:tc>
        <w:tc>
          <w:tcPr>
            <w:tcW w:w="2254" w:type="dxa"/>
            <w:vAlign w:val="center"/>
          </w:tcPr>
          <w:p w14:paraId="41619786" w14:textId="77777777" w:rsidR="00BC54D3" w:rsidRPr="00392B10" w:rsidRDefault="00BC54D3" w:rsidP="00E75D09">
            <w:pPr>
              <w:pStyle w:val="COMTableheadingrow"/>
              <w:jc w:val="center"/>
              <w:rPr>
                <w:lang w:val="en-AU"/>
              </w:rPr>
            </w:pPr>
            <w:r w:rsidRPr="00392B10">
              <w:rPr>
                <w:lang w:val="en-AU"/>
              </w:rPr>
              <w:t>Liposomal daunorubicin and cytarabine</w:t>
            </w:r>
          </w:p>
          <w:p w14:paraId="57FEB596" w14:textId="77777777" w:rsidR="00BC54D3" w:rsidRPr="00392B10" w:rsidRDefault="00BC54D3" w:rsidP="00E75D09">
            <w:pPr>
              <w:pStyle w:val="COMTableheadingrow"/>
              <w:jc w:val="center"/>
              <w:rPr>
                <w:lang w:val="en-AU"/>
              </w:rPr>
            </w:pPr>
            <w:r w:rsidRPr="00392B10">
              <w:rPr>
                <w:lang w:val="en-AU"/>
              </w:rPr>
              <w:t>N=153</w:t>
            </w:r>
          </w:p>
        </w:tc>
        <w:tc>
          <w:tcPr>
            <w:tcW w:w="2254" w:type="dxa"/>
            <w:vAlign w:val="center"/>
          </w:tcPr>
          <w:p w14:paraId="61892763" w14:textId="77777777" w:rsidR="00BC54D3" w:rsidRPr="00392B10" w:rsidRDefault="00BC54D3" w:rsidP="00E75D09">
            <w:pPr>
              <w:pStyle w:val="COMTableheadingrow"/>
              <w:jc w:val="center"/>
              <w:rPr>
                <w:lang w:val="en-AU"/>
              </w:rPr>
            </w:pPr>
            <w:r w:rsidRPr="00392B10">
              <w:rPr>
                <w:lang w:val="en-AU"/>
              </w:rPr>
              <w:t>Daunorubicin and cytarabine</w:t>
            </w:r>
          </w:p>
          <w:p w14:paraId="65B8F062" w14:textId="77777777" w:rsidR="00BC54D3" w:rsidRPr="00392B10" w:rsidRDefault="00BC54D3" w:rsidP="00E75D09">
            <w:pPr>
              <w:pStyle w:val="COMTableheadingrow"/>
              <w:jc w:val="center"/>
              <w:rPr>
                <w:lang w:val="en-AU"/>
              </w:rPr>
            </w:pPr>
            <w:r w:rsidRPr="00392B10">
              <w:rPr>
                <w:lang w:val="en-AU"/>
              </w:rPr>
              <w:t>N=156</w:t>
            </w:r>
          </w:p>
        </w:tc>
        <w:tc>
          <w:tcPr>
            <w:tcW w:w="2255" w:type="dxa"/>
            <w:vAlign w:val="center"/>
          </w:tcPr>
          <w:p w14:paraId="02EABD44" w14:textId="77777777" w:rsidR="00BC54D3" w:rsidRPr="00392B10" w:rsidRDefault="00BC54D3" w:rsidP="00E75D09">
            <w:pPr>
              <w:pStyle w:val="COMTableheadingrow"/>
              <w:jc w:val="center"/>
              <w:rPr>
                <w:lang w:val="en-AU"/>
              </w:rPr>
            </w:pPr>
            <w:r w:rsidRPr="00392B10">
              <w:rPr>
                <w:lang w:val="en-AU"/>
              </w:rPr>
              <w:t>Odds ratio (95% CI)</w:t>
            </w:r>
          </w:p>
        </w:tc>
      </w:tr>
      <w:tr w:rsidR="00BC54D3" w:rsidRPr="00392B10" w14:paraId="68714552" w14:textId="77777777" w:rsidTr="00E75D09">
        <w:tc>
          <w:tcPr>
            <w:tcW w:w="2254" w:type="dxa"/>
          </w:tcPr>
          <w:p w14:paraId="735EAC05" w14:textId="77777777" w:rsidR="00BC54D3" w:rsidRPr="00392B10" w:rsidRDefault="00BC54D3" w:rsidP="00E75D09">
            <w:pPr>
              <w:pStyle w:val="COMTabletext"/>
            </w:pPr>
            <w:r w:rsidRPr="00392B10">
              <w:t>Proportion with HSCT</w:t>
            </w:r>
          </w:p>
        </w:tc>
        <w:tc>
          <w:tcPr>
            <w:tcW w:w="2254" w:type="dxa"/>
            <w:vAlign w:val="center"/>
          </w:tcPr>
          <w:p w14:paraId="11FA3426" w14:textId="77777777" w:rsidR="00BC54D3" w:rsidRPr="00392B10" w:rsidRDefault="00BC54D3" w:rsidP="00E75D09">
            <w:pPr>
              <w:pStyle w:val="COMTabletext"/>
              <w:jc w:val="center"/>
            </w:pPr>
            <w:r w:rsidRPr="00392B10">
              <w:t>52 (34.0)</w:t>
            </w:r>
          </w:p>
        </w:tc>
        <w:tc>
          <w:tcPr>
            <w:tcW w:w="2254" w:type="dxa"/>
            <w:vAlign w:val="center"/>
          </w:tcPr>
          <w:p w14:paraId="46AF5D36" w14:textId="77777777" w:rsidR="00BC54D3" w:rsidRPr="00392B10" w:rsidRDefault="00BC54D3" w:rsidP="00E75D09">
            <w:pPr>
              <w:pStyle w:val="COMTabletext"/>
              <w:jc w:val="center"/>
            </w:pPr>
            <w:r w:rsidRPr="00392B10">
              <w:t>39 (25.0)</w:t>
            </w:r>
          </w:p>
        </w:tc>
        <w:tc>
          <w:tcPr>
            <w:tcW w:w="2255" w:type="dxa"/>
            <w:vAlign w:val="center"/>
          </w:tcPr>
          <w:p w14:paraId="5097BE6D" w14:textId="77777777" w:rsidR="00BC54D3" w:rsidRPr="00392B10" w:rsidRDefault="00BC54D3" w:rsidP="00E75D09">
            <w:pPr>
              <w:pStyle w:val="COMTabletext"/>
              <w:jc w:val="center"/>
            </w:pPr>
            <w:r w:rsidRPr="00392B10">
              <w:t>1.54 (0.92, 2.56)</w:t>
            </w:r>
          </w:p>
        </w:tc>
      </w:tr>
    </w:tbl>
    <w:p w14:paraId="5C7D3FF1" w14:textId="1D6DD5FA" w:rsidR="00BC54D3" w:rsidRPr="00392B10" w:rsidRDefault="00BC54D3" w:rsidP="002B0CC3">
      <w:pPr>
        <w:pStyle w:val="COMTablefooter"/>
        <w:keepNext/>
        <w:spacing w:after="0"/>
      </w:pPr>
      <w:r w:rsidRPr="00392B10">
        <w:t>Source: Table 2.10, p69 of the submission</w:t>
      </w:r>
    </w:p>
    <w:p w14:paraId="19B687A1" w14:textId="38456F27" w:rsidR="002B0CC3" w:rsidRPr="00392B10" w:rsidRDefault="002B0CC3" w:rsidP="002B0CC3">
      <w:pPr>
        <w:pStyle w:val="TableFigureFooter"/>
        <w:spacing w:after="0"/>
      </w:pPr>
      <w:r w:rsidRPr="00392B10">
        <w:t>CI = confidence interval; HSCT = haematopoietic stem cell transplant; ITT = intent-to-treat</w:t>
      </w:r>
    </w:p>
    <w:p w14:paraId="4C0AE2A2" w14:textId="0BAEE6AA" w:rsidR="00BC54D3" w:rsidRPr="00392B10" w:rsidRDefault="00BC54D3" w:rsidP="00BC54D3">
      <w:pPr>
        <w:pStyle w:val="COMTablefooter"/>
        <w:keepNext/>
      </w:pPr>
    </w:p>
    <w:p w14:paraId="14214920" w14:textId="2FF2723B" w:rsidR="00DA3167" w:rsidRPr="00392B10" w:rsidRDefault="00BC54D3" w:rsidP="00BC54D3">
      <w:pPr>
        <w:pStyle w:val="COMexecsumnumberedpara"/>
      </w:pPr>
      <w:r w:rsidRPr="00392B10">
        <w:t>A</w:t>
      </w:r>
      <w:r w:rsidR="00C21834" w:rsidRPr="00392B10">
        <w:t>lthough not</w:t>
      </w:r>
      <w:r w:rsidRPr="00392B10">
        <w:t xml:space="preserve"> statistically significantly</w:t>
      </w:r>
      <w:r w:rsidR="00C21834" w:rsidRPr="00392B10">
        <w:t>, the submission noted that the point estimate suggested that a</w:t>
      </w:r>
      <w:r w:rsidRPr="00392B10">
        <w:t xml:space="preserve"> greater proportion of patients treated with liposomal daunorubicin and cytarabine underwent HSCT compared to patients on daunorubicin and cytarabine.</w:t>
      </w:r>
      <w:r w:rsidR="00524822" w:rsidRPr="00392B10">
        <w:t xml:space="preserve"> </w:t>
      </w:r>
      <w:r w:rsidR="00E11F49" w:rsidRPr="00392B10">
        <w:t>This was consistent across subgroups by age and AML subtype.</w:t>
      </w:r>
    </w:p>
    <w:p w14:paraId="5BBA6B0A" w14:textId="11582DAC" w:rsidR="0072359B" w:rsidRPr="00392B10" w:rsidRDefault="0072359B" w:rsidP="00BC54D3">
      <w:pPr>
        <w:pStyle w:val="COMexecsumnumberedpara"/>
      </w:pPr>
      <w:r w:rsidRPr="00392B10">
        <w:t>The submission claimed the higher response rate achieved with liposomal daunorubicin and cytarabine translated to a higher proportion of patients receiving HSCT compared to those treated with daunorubicin and cytarabine. More patients with response to liposomal daunorubicin and cytarabine treatment received HSCT compared to patients on daunorubicin and cytarabine (55% versus 46%, respectively)</w:t>
      </w:r>
      <w:r w:rsidR="000B007B" w:rsidRPr="00392B10">
        <w:t>;</w:t>
      </w:r>
      <w:r w:rsidRPr="00392B10">
        <w:t xml:space="preserve"> however</w:t>
      </w:r>
      <w:r w:rsidR="000B007B" w:rsidRPr="00392B10">
        <w:t>,</w:t>
      </w:r>
      <w:r w:rsidRPr="00392B10">
        <w:t xml:space="preserve"> a substantial proportion of patients </w:t>
      </w:r>
      <w:r w:rsidR="000B007B" w:rsidRPr="00392B10">
        <w:t xml:space="preserve">in both arms who achieved </w:t>
      </w:r>
      <w:r w:rsidR="00606187" w:rsidRPr="00392B10">
        <w:t>a response</w:t>
      </w:r>
      <w:r w:rsidRPr="00392B10">
        <w:t xml:space="preserve"> did not receive HSCT. The proportion of patients with no response to study treatments who received HSCT was similar between arms (15% liposomal daunorubicin and cytarabine versus 14% daunorubicin and cytarabine).</w:t>
      </w:r>
    </w:p>
    <w:p w14:paraId="5CE349AA" w14:textId="023F75F4" w:rsidR="0072359B" w:rsidRPr="00392B10" w:rsidRDefault="0072359B" w:rsidP="00BC54D3">
      <w:pPr>
        <w:pStyle w:val="COMexecsumnumberedpara"/>
      </w:pPr>
      <w:r w:rsidRPr="00392B10">
        <w:rPr>
          <w:i/>
          <w:iCs/>
        </w:rPr>
        <w:t>Post hoc</w:t>
      </w:r>
      <w:r w:rsidRPr="00392B10">
        <w:t xml:space="preserve"> exploratory analyses were conducted on the subgroup of patients who underwent HSCT to investigate potential differences between arms in terms of pre- and post-transplant characteristics (Uy 2022 letter to the editor). The results suggest a higher proportion of patients in the liposomal daunorubicin and cytarabine arm were in complete remission before and after HSCT compared to those in the daunorubicin and cytarabine group</w:t>
      </w:r>
      <w:r w:rsidR="00392B10">
        <w:t xml:space="preserve">. </w:t>
      </w:r>
    </w:p>
    <w:p w14:paraId="7DC3BDF8" w14:textId="2C24B305" w:rsidR="0072359B" w:rsidRPr="00392B10" w:rsidRDefault="00B011FB" w:rsidP="00BC54D3">
      <w:pPr>
        <w:pStyle w:val="COMexecsumnumberedpara"/>
      </w:pPr>
      <w:r w:rsidRPr="00392B10">
        <w:t>Overall, it is plausible that higher response rates led to increased HSCT rates in the liposomal daunorubicin and cytarabine arm. However, the Uy 2022 study authors noted the lack of formal testing of measurable residual disease (MRD) in the trial. The authors noted the known relationship between MRD positivity before HSCT and risk of relapse, and that MRD status likely influences the choice of conditioning regimen or decision to perform HSCT. The impact of MRD status on HSCT rates in the trial was unknown.</w:t>
      </w:r>
      <w:r w:rsidR="005222C4" w:rsidRPr="00392B10">
        <w:t xml:space="preserve"> The PSCR noted that Study 301 was initiated in 2012 and completed by 2015. Further, the PSCR stated that the methodologies and thresholds for MRD negativity have only recently been standardised for AML.</w:t>
      </w:r>
    </w:p>
    <w:p w14:paraId="4356A7AC" w14:textId="4352905C" w:rsidR="00B011FB" w:rsidRPr="00392B10" w:rsidRDefault="00A55B1E" w:rsidP="00BC54D3">
      <w:pPr>
        <w:pStyle w:val="COMexecsumnumberedpara"/>
      </w:pPr>
      <w:r w:rsidRPr="00392B10">
        <w:fldChar w:fldCharType="begin" w:fldLock="1"/>
      </w:r>
      <w:r w:rsidRPr="00392B10">
        <w:instrText xml:space="preserve"> REF _Ref134466929 \h </w:instrText>
      </w:r>
      <w:r w:rsidR="000D5FB6" w:rsidRPr="00392B10">
        <w:instrText xml:space="preserve"> \* MERGEFORMAT </w:instrText>
      </w:r>
      <w:r w:rsidRPr="00392B10">
        <w:fldChar w:fldCharType="separate"/>
      </w:r>
      <w:r w:rsidR="00C24535" w:rsidRPr="00392B10">
        <w:t xml:space="preserve">Figure </w:t>
      </w:r>
      <w:r w:rsidR="00C24535" w:rsidRPr="000366BF">
        <w:t>2</w:t>
      </w:r>
      <w:r w:rsidRPr="00392B10">
        <w:fldChar w:fldCharType="end"/>
      </w:r>
      <w:r w:rsidRPr="00392B10">
        <w:t xml:space="preserve"> </w:t>
      </w:r>
      <w:r w:rsidR="00B011FB" w:rsidRPr="00392B10">
        <w:t>below presents the Kaplan-Meier plot of overall survival in Study 301 (primary endpoint). The analysis was performed using the final data cut (25 October 2019) over a median follow-up duration of 5 years.</w:t>
      </w:r>
    </w:p>
    <w:p w14:paraId="7D0E0F43" w14:textId="41CE08AF" w:rsidR="00B011FB" w:rsidRPr="00392B10" w:rsidRDefault="00B011FB" w:rsidP="00CB5A5E">
      <w:pPr>
        <w:pStyle w:val="Caption"/>
      </w:pPr>
      <w:bookmarkStart w:id="27" w:name="_Ref134466929"/>
      <w:bookmarkStart w:id="28" w:name="_Ref134466853"/>
      <w:r w:rsidRPr="00392B10">
        <w:lastRenderedPageBreak/>
        <w:t xml:space="preserve">Figure </w:t>
      </w:r>
      <w:r w:rsidR="00795A1F">
        <w:fldChar w:fldCharType="begin" w:fldLock="1"/>
      </w:r>
      <w:r w:rsidR="00795A1F">
        <w:instrText xml:space="preserve"> SEQ Figure \* ARABIC </w:instrText>
      </w:r>
      <w:r w:rsidR="00795A1F">
        <w:fldChar w:fldCharType="separate"/>
      </w:r>
      <w:r w:rsidR="002B0CC3" w:rsidRPr="000366BF">
        <w:t>2</w:t>
      </w:r>
      <w:r w:rsidR="00795A1F">
        <w:fldChar w:fldCharType="end"/>
      </w:r>
      <w:bookmarkEnd w:id="27"/>
      <w:r w:rsidR="00FB7980" w:rsidRPr="000366BF">
        <w:t>:</w:t>
      </w:r>
      <w:r w:rsidRPr="00392B10">
        <w:t xml:space="preserve"> Kaplan-Meier plot for overall survival (ITT population, final analysis)</w:t>
      </w:r>
      <w:bookmarkEnd w:id="28"/>
    </w:p>
    <w:p w14:paraId="6DC71115" w14:textId="77777777" w:rsidR="006066B5" w:rsidRPr="000366BF" w:rsidRDefault="006835FC" w:rsidP="00B011FB">
      <w:pPr>
        <w:pStyle w:val="COMTableheadingrow"/>
        <w:rPr>
          <w:lang w:val="en-AU"/>
        </w:rPr>
      </w:pPr>
      <w:r w:rsidRPr="000366BF">
        <w:rPr>
          <w:noProof/>
          <w:lang w:val="en-AU"/>
        </w:rPr>
        <w:drawing>
          <wp:inline distT="0" distB="0" distL="0" distR="0" wp14:anchorId="7D967EE1" wp14:editId="6B812034">
            <wp:extent cx="5669280" cy="3087310"/>
            <wp:effectExtent l="0" t="0" r="7620" b="0"/>
            <wp:docPr id="34" name="Picture 34" descr="Figure 2: Kaplan-Meier plot for overall survival (ITT population, final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Figure 2: Kaplan-Meier plot for overall survival (ITT population, final analysi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7778" cy="3091938"/>
                    </a:xfrm>
                    <a:prstGeom prst="rect">
                      <a:avLst/>
                    </a:prstGeom>
                    <a:noFill/>
                  </pic:spPr>
                </pic:pic>
              </a:graphicData>
            </a:graphic>
          </wp:inline>
        </w:drawing>
      </w:r>
    </w:p>
    <w:p w14:paraId="2BACA653" w14:textId="77777777" w:rsidR="006066B5" w:rsidRPr="000366BF" w:rsidRDefault="006066B5" w:rsidP="00B011FB">
      <w:pPr>
        <w:pStyle w:val="COMTableheadingrow"/>
        <w:rPr>
          <w:lang w:val="en-AU"/>
        </w:rPr>
      </w:pPr>
    </w:p>
    <w:p w14:paraId="3B4D3508" w14:textId="4C49BFFE" w:rsidR="00715329" w:rsidRPr="00392B10" w:rsidRDefault="00B011FB" w:rsidP="00715329">
      <w:pPr>
        <w:pStyle w:val="COMTablefooter"/>
      </w:pPr>
      <w:r w:rsidRPr="00392B10">
        <w:t>Source: Figure 2</w:t>
      </w:r>
      <w:r w:rsidR="00894403" w:rsidRPr="00392B10">
        <w:t>, Lancet 2021 publication</w:t>
      </w:r>
    </w:p>
    <w:p w14:paraId="57699FD5" w14:textId="06F49B3A" w:rsidR="00715329" w:rsidRPr="00392B10" w:rsidRDefault="00715329" w:rsidP="00715329">
      <w:pPr>
        <w:pStyle w:val="COMTablefooter"/>
      </w:pPr>
      <w:r w:rsidRPr="00392B10">
        <w:t>Note: 3-year and 5-year Kaplan-Meier estimated survival rates are shown with 95% CI</w:t>
      </w:r>
    </w:p>
    <w:p w14:paraId="6B2A9C54" w14:textId="144D29A8" w:rsidR="00B011FB" w:rsidRPr="00392B10" w:rsidRDefault="00B011FB" w:rsidP="00B011FB">
      <w:pPr>
        <w:pStyle w:val="COMTablefooter"/>
      </w:pPr>
      <w:r w:rsidRPr="00392B10">
        <w:t>7+3</w:t>
      </w:r>
      <w:r w:rsidR="002B0CC3" w:rsidRPr="00392B10">
        <w:t xml:space="preserve"> =</w:t>
      </w:r>
      <w:r w:rsidRPr="00392B10">
        <w:t xml:space="preserve"> cytarabine + daunorubicin; CI</w:t>
      </w:r>
      <w:r w:rsidR="002B0CC3" w:rsidRPr="00392B10">
        <w:t xml:space="preserve"> =</w:t>
      </w:r>
      <w:r w:rsidRPr="00392B10">
        <w:t xml:space="preserve"> confidence interval; CPX-351</w:t>
      </w:r>
      <w:r w:rsidR="002B0CC3" w:rsidRPr="00392B10">
        <w:t xml:space="preserve"> =</w:t>
      </w:r>
      <w:r w:rsidRPr="00392B10">
        <w:t xml:space="preserve"> liposomal cytarabine + daunorubicin; ITT</w:t>
      </w:r>
      <w:r w:rsidR="002B0CC3" w:rsidRPr="00392B10">
        <w:t xml:space="preserve"> =</w:t>
      </w:r>
      <w:r w:rsidRPr="00392B10">
        <w:t xml:space="preserve"> intent-to-treat </w:t>
      </w:r>
    </w:p>
    <w:p w14:paraId="61E0C602" w14:textId="445750EF" w:rsidR="00247925" w:rsidRPr="00392B10" w:rsidRDefault="00B011FB" w:rsidP="00B011FB">
      <w:pPr>
        <w:pStyle w:val="COMexecsumnumberedpara"/>
      </w:pPr>
      <w:r w:rsidRPr="00392B10">
        <w:t xml:space="preserve">Liposomal daunorubicin and cytarabine </w:t>
      </w:r>
      <w:r w:rsidR="000B007B" w:rsidRPr="00392B10">
        <w:t xml:space="preserve">(9.33 months) </w:t>
      </w:r>
      <w:r w:rsidRPr="00392B10">
        <w:t xml:space="preserve">was associated with statistically significantly improved overall survival compared to daunorubicin and cytarabine </w:t>
      </w:r>
      <w:r w:rsidR="000B007B" w:rsidRPr="00392B10">
        <w:t xml:space="preserve">(5.95 months) </w:t>
      </w:r>
      <w:r w:rsidRPr="00392B10">
        <w:t xml:space="preserve">over a median follow-up duration of 5 years (HR </w:t>
      </w:r>
      <w:r w:rsidR="000B007B" w:rsidRPr="00392B10">
        <w:t xml:space="preserve">= </w:t>
      </w:r>
      <w:r w:rsidRPr="00392B10">
        <w:t xml:space="preserve">0.70; 95% CI: 0.55, 0.91). </w:t>
      </w:r>
      <w:r w:rsidR="00F84424" w:rsidRPr="00392B10">
        <w:t xml:space="preserve">At the end of the final analysis period, most patients in the intervention arm (124/153, </w:t>
      </w:r>
      <w:r w:rsidR="00F57B23" w:rsidRPr="00392B10">
        <w:t>81</w:t>
      </w:r>
      <w:r w:rsidR="00F84424" w:rsidRPr="00392B10">
        <w:t>%) and comparator arm (14</w:t>
      </w:r>
      <w:r w:rsidR="00F57B23" w:rsidRPr="00392B10">
        <w:t>5</w:t>
      </w:r>
      <w:r w:rsidR="00F84424" w:rsidRPr="00392B10">
        <w:t>/156, 9</w:t>
      </w:r>
      <w:r w:rsidR="00F57B23" w:rsidRPr="00392B10">
        <w:t>3</w:t>
      </w:r>
      <w:r w:rsidR="00F84424" w:rsidRPr="00392B10">
        <w:t xml:space="preserve">%) had </w:t>
      </w:r>
      <w:r w:rsidR="00952309" w:rsidRPr="00392B10">
        <w:t>died</w:t>
      </w:r>
      <w:r w:rsidR="00F84424" w:rsidRPr="00392B10">
        <w:t xml:space="preserve">. </w:t>
      </w:r>
      <w:r w:rsidR="00176753" w:rsidRPr="00392B10">
        <w:t xml:space="preserve">The results were consistent with </w:t>
      </w:r>
      <w:r w:rsidRPr="00392B10">
        <w:t xml:space="preserve">the primary analysis over a median follow-up of 1.7 years, with median overall survival of 9.56 months versus 5.95 months for liposomal daunorubicin and cytarabine versus daunorubicin and cytarabine (HR </w:t>
      </w:r>
      <w:r w:rsidR="000B007B" w:rsidRPr="00392B10">
        <w:t xml:space="preserve">= </w:t>
      </w:r>
      <w:r w:rsidRPr="00392B10">
        <w:t>0.69; 95% CI: 0.52, 0.90).</w:t>
      </w:r>
    </w:p>
    <w:p w14:paraId="1B3CE952" w14:textId="642A0706" w:rsidR="00B011FB" w:rsidRPr="00392B10" w:rsidRDefault="00B011FB" w:rsidP="00B011FB">
      <w:pPr>
        <w:pStyle w:val="COMexecsumnumberedpara"/>
      </w:pPr>
      <w:r w:rsidRPr="00392B10">
        <w:t>The submission claimed the plateaus at the tail-end of the overall survival plots, from around 3 years, represent</w:t>
      </w:r>
      <w:r w:rsidR="000B007B" w:rsidRPr="00392B10">
        <w:t xml:space="preserve">ed </w:t>
      </w:r>
      <w:r w:rsidRPr="00392B10">
        <w:t>patients who achieved durable remission. This claim was inadequately justified as remission status was not captured beyond the primary analysis period of the trial (median 1.7 years follow-up).</w:t>
      </w:r>
    </w:p>
    <w:p w14:paraId="570BA22A" w14:textId="29C7503F" w:rsidR="00B011FB" w:rsidRPr="00392B10" w:rsidRDefault="00B011FB" w:rsidP="00B011FB">
      <w:pPr>
        <w:pStyle w:val="COMexecsumnumberedpara"/>
      </w:pPr>
      <w:r w:rsidRPr="00392B10">
        <w:t xml:space="preserve">Overall survival estimates were potentially confounded by differences in the proportion of patients who received HSCT in each arm. A formal sensitivity analysis censoring patients at the start of HSCT was </w:t>
      </w:r>
      <w:r w:rsidR="00C56D2F" w:rsidRPr="00392B10">
        <w:t>conducted</w:t>
      </w:r>
      <w:r w:rsidR="00B9191F" w:rsidRPr="00392B10">
        <w:t xml:space="preserve"> o</w:t>
      </w:r>
      <w:r w:rsidRPr="00392B10">
        <w:t xml:space="preserve">ver </w:t>
      </w:r>
      <w:r w:rsidR="00B9191F" w:rsidRPr="00392B10">
        <w:t>the primary analysis period</w:t>
      </w:r>
      <w:r w:rsidRPr="00392B10">
        <w:t xml:space="preserve">, </w:t>
      </w:r>
      <w:r w:rsidR="00B9191F" w:rsidRPr="00392B10">
        <w:t xml:space="preserve">with results suggesting that </w:t>
      </w:r>
      <w:r w:rsidRPr="00392B10">
        <w:t>patients on liposomal daunorubicin and cytarabine had numerically greater median overall survival of 7.8 months versus 5.6 months in patients on daunorubicin and cytarabine</w:t>
      </w:r>
      <w:r w:rsidR="000B007B" w:rsidRPr="00392B10">
        <w:t>;</w:t>
      </w:r>
      <w:r w:rsidRPr="00392B10">
        <w:t xml:space="preserve"> however, the results were not statistically significant (HR </w:t>
      </w:r>
      <w:r w:rsidR="000B007B" w:rsidRPr="00392B10">
        <w:t xml:space="preserve">= </w:t>
      </w:r>
      <w:r w:rsidRPr="00392B10">
        <w:t>0.81; 95% CI: 0.60, 1.09) with survival curves converging by approximately 26 months.</w:t>
      </w:r>
    </w:p>
    <w:p w14:paraId="2198AB79" w14:textId="6A05C92F" w:rsidR="00DB5737" w:rsidRPr="00392B10" w:rsidRDefault="001E57BA" w:rsidP="00B011FB">
      <w:pPr>
        <w:pStyle w:val="COMexecsumnumberedpara"/>
      </w:pPr>
      <w:r w:rsidRPr="00392B10">
        <w:lastRenderedPageBreak/>
        <w:t xml:space="preserve">The submission claimed the difference in overall survival was driven by the greater proportion of patients receiving HSCT in the liposomal daunorubicin and cytarabine arm. The submission also claimed the majority of patients who were alive beyond 3 years in the trial were patients who had received HSCT, which is potentially curative. </w:t>
      </w:r>
      <w:r w:rsidR="00785AC2" w:rsidRPr="00392B10">
        <w:t>This claim was supported by a</w:t>
      </w:r>
      <w:r w:rsidRPr="00392B10">
        <w:t xml:space="preserve">n </w:t>
      </w:r>
      <w:r w:rsidRPr="00392B10">
        <w:rPr>
          <w:i/>
          <w:iCs/>
        </w:rPr>
        <w:t>ad hoc</w:t>
      </w:r>
      <w:r w:rsidRPr="00392B10">
        <w:t xml:space="preserve"> analysis provided in the submission</w:t>
      </w:r>
      <w:r w:rsidR="009F557E" w:rsidRPr="00392B10">
        <w:t>,</w:t>
      </w:r>
      <w:r w:rsidRPr="00392B10">
        <w:t xml:space="preserve"> indicat</w:t>
      </w:r>
      <w:r w:rsidR="009F557E" w:rsidRPr="00392B10">
        <w:t>ing</w:t>
      </w:r>
      <w:r w:rsidRPr="00392B10">
        <w:t xml:space="preserve"> that at 3 years, 90% of patients in the liposomal daunorubicin and cytarabine arm and 64% of patients in the daunorubicin and cytarabine arm had undergone HSCT.</w:t>
      </w:r>
    </w:p>
    <w:p w14:paraId="4D02CFCF" w14:textId="5178E061" w:rsidR="00D41431" w:rsidRPr="00392B10" w:rsidRDefault="001E57BA" w:rsidP="00D41431">
      <w:pPr>
        <w:pStyle w:val="COMexecsumnumberedpara"/>
      </w:pPr>
      <w:r w:rsidRPr="00392B10">
        <w:t xml:space="preserve">A Kaplan-Meier plot for overall survival landmarked at date of HSCT is presented in </w:t>
      </w:r>
      <w:r w:rsidR="00240E76" w:rsidRPr="00392B10">
        <w:fldChar w:fldCharType="begin" w:fldLock="1"/>
      </w:r>
      <w:r w:rsidR="00240E76" w:rsidRPr="00392B10">
        <w:instrText xml:space="preserve"> REF _Ref134466900 \h </w:instrText>
      </w:r>
      <w:r w:rsidR="000D5FB6" w:rsidRPr="00392B10">
        <w:instrText xml:space="preserve"> \* MERGEFORMAT </w:instrText>
      </w:r>
      <w:r w:rsidR="00240E76" w:rsidRPr="00392B10">
        <w:fldChar w:fldCharType="separate"/>
      </w:r>
      <w:r w:rsidR="00C24535" w:rsidRPr="00392B10">
        <w:t xml:space="preserve">Figure </w:t>
      </w:r>
      <w:r w:rsidR="00C24535" w:rsidRPr="000366BF">
        <w:t>3</w:t>
      </w:r>
      <w:r w:rsidR="00240E76" w:rsidRPr="00392B10">
        <w:fldChar w:fldCharType="end"/>
      </w:r>
      <w:r w:rsidR="00240E76" w:rsidRPr="00392B10">
        <w:t xml:space="preserve"> </w:t>
      </w:r>
      <w:r w:rsidRPr="00392B10">
        <w:t>below.</w:t>
      </w:r>
    </w:p>
    <w:p w14:paraId="5E3E6EFE" w14:textId="79C69063" w:rsidR="0070625F" w:rsidRPr="00392B10" w:rsidRDefault="0070625F" w:rsidP="00240E76">
      <w:pPr>
        <w:pStyle w:val="Caption"/>
      </w:pPr>
      <w:bookmarkStart w:id="29" w:name="_Ref134466900"/>
      <w:r w:rsidRPr="00392B10">
        <w:t xml:space="preserve">Figure </w:t>
      </w:r>
      <w:r w:rsidR="00795A1F">
        <w:fldChar w:fldCharType="begin" w:fldLock="1"/>
      </w:r>
      <w:r w:rsidR="00795A1F">
        <w:instrText xml:space="preserve"> SEQ Figure \* ARABIC </w:instrText>
      </w:r>
      <w:r w:rsidR="00795A1F">
        <w:fldChar w:fldCharType="separate"/>
      </w:r>
      <w:r w:rsidR="002B0CC3" w:rsidRPr="000366BF">
        <w:t>3</w:t>
      </w:r>
      <w:r w:rsidR="00795A1F">
        <w:fldChar w:fldCharType="end"/>
      </w:r>
      <w:bookmarkEnd w:id="29"/>
      <w:r w:rsidR="00240E76" w:rsidRPr="00392B10">
        <w:t>:</w:t>
      </w:r>
      <w:r w:rsidRPr="00392B10">
        <w:t xml:space="preserve"> Kaplan-Meier plot for overall survival landmarked at date of HSCT (ITT population, final data cut)</w:t>
      </w:r>
    </w:p>
    <w:p w14:paraId="1C34F76B" w14:textId="77777777" w:rsidR="0070625F" w:rsidRPr="00392B10" w:rsidRDefault="0070625F" w:rsidP="0070625F">
      <w:pPr>
        <w:keepNext/>
      </w:pPr>
      <w:r w:rsidRPr="000366BF">
        <w:rPr>
          <w:noProof/>
        </w:rPr>
        <w:drawing>
          <wp:inline distT="0" distB="0" distL="0" distR="0" wp14:anchorId="47E8B33A" wp14:editId="248AC2D5">
            <wp:extent cx="5732145" cy="3183890"/>
            <wp:effectExtent l="0" t="0" r="1905" b="0"/>
            <wp:docPr id="18" name="Picture 18" descr="Figure 3: Kaplan-Meier plot for overall survival landmarked at date of HSCT (ITT population, final data 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Figure 3: Kaplan-Meier plot for overall survival landmarked at date of HSCT (ITT population, final data cut)"/>
                    <pic:cNvPicPr/>
                  </pic:nvPicPr>
                  <pic:blipFill>
                    <a:blip r:embed="rId10"/>
                    <a:stretch>
                      <a:fillRect/>
                    </a:stretch>
                  </pic:blipFill>
                  <pic:spPr>
                    <a:xfrm>
                      <a:off x="0" y="0"/>
                      <a:ext cx="5732145" cy="3183890"/>
                    </a:xfrm>
                    <a:prstGeom prst="rect">
                      <a:avLst/>
                    </a:prstGeom>
                  </pic:spPr>
                </pic:pic>
              </a:graphicData>
            </a:graphic>
          </wp:inline>
        </w:drawing>
      </w:r>
    </w:p>
    <w:p w14:paraId="370481FD" w14:textId="77777777" w:rsidR="0070625F" w:rsidRPr="00392B10" w:rsidRDefault="0070625F" w:rsidP="0070625F">
      <w:pPr>
        <w:pStyle w:val="COMTablefooter"/>
        <w:keepNext/>
      </w:pPr>
      <w:r w:rsidRPr="00392B10">
        <w:t>Source: Figure 4, Lancet 2021 trial publication</w:t>
      </w:r>
    </w:p>
    <w:p w14:paraId="42FB90A4" w14:textId="370396EB" w:rsidR="0070625F" w:rsidRPr="00392B10" w:rsidRDefault="0070625F" w:rsidP="0070625F">
      <w:pPr>
        <w:pStyle w:val="COMTablefooter"/>
        <w:keepNext/>
      </w:pPr>
      <w:r w:rsidRPr="00392B10">
        <w:t>7+3</w:t>
      </w:r>
      <w:r w:rsidR="002B0CC3" w:rsidRPr="00392B10">
        <w:t xml:space="preserve"> =</w:t>
      </w:r>
      <w:r w:rsidRPr="00392B10">
        <w:t xml:space="preserve"> cytarabine + daunorubicin; CI</w:t>
      </w:r>
      <w:r w:rsidR="002B0CC3" w:rsidRPr="00392B10">
        <w:t xml:space="preserve"> =</w:t>
      </w:r>
      <w:r w:rsidRPr="00392B10">
        <w:t xml:space="preserve"> confidence interval; CPX-351</w:t>
      </w:r>
      <w:r w:rsidR="002B0CC3" w:rsidRPr="00392B10">
        <w:t xml:space="preserve"> =</w:t>
      </w:r>
      <w:r w:rsidRPr="00392B10">
        <w:t xml:space="preserve"> liposomal cytarabine + daunorubicin; HSCT</w:t>
      </w:r>
      <w:r w:rsidR="002B0CC3" w:rsidRPr="00392B10">
        <w:t xml:space="preserve"> =</w:t>
      </w:r>
      <w:r w:rsidRPr="00392B10">
        <w:t xml:space="preserve"> haematopoietic stem cell transplant; ITT</w:t>
      </w:r>
      <w:r w:rsidR="002B0CC3" w:rsidRPr="00392B10">
        <w:t xml:space="preserve"> =</w:t>
      </w:r>
      <w:r w:rsidRPr="00392B10">
        <w:t xml:space="preserve"> intent-to-treat; NE</w:t>
      </w:r>
      <w:r w:rsidR="002B0CC3" w:rsidRPr="00392B10">
        <w:t xml:space="preserve"> =</w:t>
      </w:r>
      <w:r w:rsidRPr="00392B10">
        <w:t xml:space="preserve"> not estimable</w:t>
      </w:r>
    </w:p>
    <w:p w14:paraId="160F1B4B" w14:textId="7F770635" w:rsidR="00D41431" w:rsidRPr="00392B10" w:rsidRDefault="008354E5" w:rsidP="00D41431">
      <w:pPr>
        <w:pStyle w:val="COMexecsumnumberedpara"/>
      </w:pPr>
      <w:r w:rsidRPr="00392B10">
        <w:t xml:space="preserve">There was statistically significantly improved overall survival after HSCT </w:t>
      </w:r>
      <w:r w:rsidR="004A1B72" w:rsidRPr="00392B10">
        <w:t xml:space="preserve">for patients in the liposomal daunorubicin and cytarabine arm compared to daunorubicin and cytarabine. </w:t>
      </w:r>
      <w:r w:rsidR="00212241" w:rsidRPr="00392B10">
        <w:t>There were limited long-term survival data post-HSCT, with the publication noting that only 3-year survival estimates were reported as follow-up time after HSCT was less than 5 years.</w:t>
      </w:r>
    </w:p>
    <w:p w14:paraId="14360ED3" w14:textId="034FF1A2" w:rsidR="005408E6" w:rsidRPr="00392B10" w:rsidRDefault="00B90090" w:rsidP="00804FDE">
      <w:pPr>
        <w:pStyle w:val="COMexecsumnumberedpara"/>
      </w:pPr>
      <w:r w:rsidRPr="00392B10">
        <w:t>The trial report for the final data cut (5-year follow-up) included exploratory pre- and post-transplant analyses to attain a better understanding of which aspects or features of liposomal daunorubicin and cytarabine may lead to improved outcomes following HSCT. Additional analyses on transplant outcomes were also published in a research letter to the editor (Uy 2022).</w:t>
      </w:r>
      <w:r w:rsidR="006A30BF" w:rsidRPr="00392B10">
        <w:t xml:space="preserve"> </w:t>
      </w:r>
      <w:r w:rsidR="007275B2" w:rsidRPr="00392B10">
        <w:t xml:space="preserve">The results showed a higher proportion of patients in the liposomal daunorubicin and cytarabine arm were in complete remission before and after transplant compared to the daunorubicin and cytarabine arm. </w:t>
      </w:r>
      <w:r w:rsidR="00E53ABE" w:rsidRPr="00392B10">
        <w:t>However, the</w:t>
      </w:r>
      <w:r w:rsidR="00D26742" w:rsidRPr="00392B10">
        <w:t xml:space="preserve"> </w:t>
      </w:r>
      <w:r w:rsidR="00D26742" w:rsidRPr="00392B10">
        <w:lastRenderedPageBreak/>
        <w:t>Uy 2022 study authors noted that there</w:t>
      </w:r>
      <w:r w:rsidR="00E53ABE" w:rsidRPr="00392B10">
        <w:t xml:space="preserve"> were limitations with data capture that was not prospectively planned, with higher rates of missing data in the comparator arm. </w:t>
      </w:r>
      <w:r w:rsidR="00D26742" w:rsidRPr="00392B10">
        <w:t xml:space="preserve">Additionally, </w:t>
      </w:r>
      <w:r w:rsidR="00804FDE" w:rsidRPr="00392B10">
        <w:t xml:space="preserve">there was a lack </w:t>
      </w:r>
      <w:r w:rsidR="00687287" w:rsidRPr="00392B10">
        <w:t xml:space="preserve">of MRD testing results </w:t>
      </w:r>
      <w:r w:rsidR="00804FDE" w:rsidRPr="00392B10">
        <w:t xml:space="preserve">during the trial. </w:t>
      </w:r>
      <w:r w:rsidR="00E53ABE" w:rsidRPr="00392B10">
        <w:t>Overall, t</w:t>
      </w:r>
      <w:r w:rsidR="00D32721" w:rsidRPr="00392B10">
        <w:t xml:space="preserve">he reasons for improved post-HSCT outcomes </w:t>
      </w:r>
      <w:r w:rsidR="00804FDE" w:rsidRPr="00392B10">
        <w:t>remained uncertain.</w:t>
      </w:r>
    </w:p>
    <w:p w14:paraId="450AEC64" w14:textId="272442CC" w:rsidR="00DE1044" w:rsidRPr="00392B10" w:rsidRDefault="00DE1044" w:rsidP="00DE1044">
      <w:pPr>
        <w:pStyle w:val="COMH3"/>
        <w:rPr>
          <w:sz w:val="24"/>
          <w:szCs w:val="22"/>
        </w:rPr>
      </w:pPr>
      <w:r w:rsidRPr="00392B10">
        <w:rPr>
          <w:sz w:val="24"/>
          <w:szCs w:val="22"/>
        </w:rPr>
        <w:t>Daunorubicin and cytarabine versus idarubicin and cytarabine</w:t>
      </w:r>
    </w:p>
    <w:p w14:paraId="4984BDCE" w14:textId="6BC75412" w:rsidR="00714090" w:rsidRPr="00392B10" w:rsidRDefault="00714090" w:rsidP="00714090">
      <w:pPr>
        <w:pStyle w:val="COMexecsumnumberedpara"/>
        <w:rPr>
          <w:snapToGrid/>
        </w:rPr>
      </w:pPr>
      <w:r w:rsidRPr="00392B10">
        <w:rPr>
          <w:snapToGrid/>
        </w:rPr>
        <w:t>The submission presented the results of a literature review to support the use of daunorubicin and cytarabine as a proxy for the nominated comparator idarubicin and cytarabine. The search identified 17 randomised trials comparing daunorubicin with idarubicin (all with concomitant cytarabine) as well as systematic reviews, meta-analyses and meta-regressions.</w:t>
      </w:r>
      <w:r w:rsidR="00AC5A84" w:rsidRPr="00392B10">
        <w:rPr>
          <w:snapToGrid/>
        </w:rPr>
        <w:t xml:space="preserve"> The pre-PBAC response also noted that in consideration of other AML therapies (midostaurin</w:t>
      </w:r>
      <w:r w:rsidR="00B77FB2" w:rsidRPr="00392B10">
        <w:rPr>
          <w:snapToGrid/>
        </w:rPr>
        <w:t xml:space="preserve"> PSD</w:t>
      </w:r>
      <w:r w:rsidR="00AC5A84" w:rsidRPr="00392B10">
        <w:rPr>
          <w:snapToGrid/>
        </w:rPr>
        <w:t xml:space="preserve">, July 2018 </w:t>
      </w:r>
      <w:r w:rsidR="00B77FB2" w:rsidRPr="00392B10">
        <w:rPr>
          <w:snapToGrid/>
        </w:rPr>
        <w:t xml:space="preserve">PBAC meeting </w:t>
      </w:r>
      <w:r w:rsidR="00AC5A84" w:rsidRPr="00392B10">
        <w:rPr>
          <w:snapToGrid/>
        </w:rPr>
        <w:t>and gemtuzumab</w:t>
      </w:r>
      <w:r w:rsidR="00593219" w:rsidRPr="00392B10">
        <w:rPr>
          <w:snapToGrid/>
        </w:rPr>
        <w:t xml:space="preserve"> ozogamicin</w:t>
      </w:r>
      <w:r w:rsidR="00B77FB2" w:rsidRPr="00392B10">
        <w:rPr>
          <w:snapToGrid/>
        </w:rPr>
        <w:t xml:space="preserve"> PSD</w:t>
      </w:r>
      <w:r w:rsidR="00AC5A84" w:rsidRPr="00392B10">
        <w:rPr>
          <w:snapToGrid/>
        </w:rPr>
        <w:t>, March 2021 and November 2021</w:t>
      </w:r>
      <w:r w:rsidR="00B77FB2" w:rsidRPr="00392B10">
        <w:rPr>
          <w:snapToGrid/>
        </w:rPr>
        <w:t xml:space="preserve"> PBAC meetings</w:t>
      </w:r>
      <w:r w:rsidR="00AC5A84" w:rsidRPr="00392B10">
        <w:rPr>
          <w:snapToGrid/>
        </w:rPr>
        <w:t xml:space="preserve">), the PBAC had considered daunorubicin and idarubicin to be interchangeable. </w:t>
      </w:r>
    </w:p>
    <w:p w14:paraId="04725B89" w14:textId="4C775EC8" w:rsidR="00714090" w:rsidRPr="00392B10" w:rsidRDefault="00FB6BD9" w:rsidP="00714090">
      <w:pPr>
        <w:pStyle w:val="COMexecsumnumberedpara"/>
        <w:rPr>
          <w:snapToGrid/>
        </w:rPr>
      </w:pPr>
      <w:r w:rsidRPr="00392B10">
        <w:rPr>
          <w:snapToGrid/>
        </w:rPr>
        <w:fldChar w:fldCharType="begin" w:fldLock="1"/>
      </w:r>
      <w:r w:rsidRPr="00392B10">
        <w:rPr>
          <w:snapToGrid/>
        </w:rPr>
        <w:instrText xml:space="preserve"> REF _Ref134466615 \h </w:instrText>
      </w:r>
      <w:r w:rsidRPr="00392B10">
        <w:rPr>
          <w:snapToGrid/>
        </w:rPr>
      </w:r>
      <w:r w:rsidRPr="00392B10">
        <w:rPr>
          <w:snapToGrid/>
        </w:rPr>
        <w:fldChar w:fldCharType="separate"/>
      </w:r>
      <w:r w:rsidR="00C24535" w:rsidRPr="00392B10">
        <w:t xml:space="preserve">Table </w:t>
      </w:r>
      <w:r w:rsidR="00C24535" w:rsidRPr="000366BF">
        <w:t>7</w:t>
      </w:r>
      <w:r w:rsidRPr="00392B10">
        <w:rPr>
          <w:snapToGrid/>
        </w:rPr>
        <w:fldChar w:fldCharType="end"/>
      </w:r>
      <w:r w:rsidRPr="00392B10">
        <w:rPr>
          <w:snapToGrid/>
        </w:rPr>
        <w:t xml:space="preserve"> </w:t>
      </w:r>
      <w:r w:rsidR="00714090" w:rsidRPr="00392B10">
        <w:rPr>
          <w:snapToGrid/>
        </w:rPr>
        <w:t>summarises the interventions used for induction of remission in the randomised trials, and the cumulative dose ratios of the reported induction courses of treatment for daunorubicin and idarubicin, used in combination with cytarabine.</w:t>
      </w:r>
      <w:r w:rsidR="00264E92" w:rsidRPr="00392B10">
        <w:rPr>
          <w:snapToGrid/>
        </w:rPr>
        <w:t xml:space="preserve"> The ESC noted that no specific claim was made with regards to the</w:t>
      </w:r>
      <w:r w:rsidR="00CF37B7" w:rsidRPr="00392B10">
        <w:rPr>
          <w:snapToGrid/>
        </w:rPr>
        <w:t xml:space="preserve"> relative efficacy </w:t>
      </w:r>
      <w:r w:rsidR="00264E92" w:rsidRPr="00392B10">
        <w:rPr>
          <w:snapToGrid/>
        </w:rPr>
        <w:t xml:space="preserve"> of daunorubicin and idarubicin for </w:t>
      </w:r>
      <w:r w:rsidR="00593219" w:rsidRPr="00392B10">
        <w:rPr>
          <w:snapToGrid/>
        </w:rPr>
        <w:t xml:space="preserve">second </w:t>
      </w:r>
      <w:r w:rsidR="00264E92" w:rsidRPr="00392B10">
        <w:rPr>
          <w:snapToGrid/>
        </w:rPr>
        <w:t>induction or consolidation.</w:t>
      </w:r>
    </w:p>
    <w:p w14:paraId="327677D2" w14:textId="77777777" w:rsidR="00CB597F" w:rsidRDefault="00CB597F">
      <w:pPr>
        <w:jc w:val="left"/>
        <w:rPr>
          <w:rFonts w:ascii="Arial Narrow" w:eastAsiaTheme="majorEastAsia" w:hAnsi="Arial Narrow" w:cstheme="majorBidi"/>
          <w:b/>
          <w:bCs/>
          <w:sz w:val="20"/>
        </w:rPr>
      </w:pPr>
      <w:bookmarkStart w:id="30" w:name="_Ref134466615"/>
      <w:r>
        <w:br w:type="page"/>
      </w:r>
    </w:p>
    <w:p w14:paraId="7A8ED349" w14:textId="3D9FB1D8" w:rsidR="00FB6BD9" w:rsidRPr="00392B10" w:rsidRDefault="00FB6BD9" w:rsidP="00FB6BD9">
      <w:pPr>
        <w:pStyle w:val="COMtablefigcaption"/>
      </w:pPr>
      <w:r w:rsidRPr="00392B10">
        <w:lastRenderedPageBreak/>
        <w:t xml:space="preserve">Table </w:t>
      </w:r>
      <w:r w:rsidR="00795A1F">
        <w:fldChar w:fldCharType="begin" w:fldLock="1"/>
      </w:r>
      <w:r w:rsidR="00795A1F">
        <w:instrText xml:space="preserve"> SEQ Table \* ARABIC </w:instrText>
      </w:r>
      <w:r w:rsidR="00795A1F">
        <w:fldChar w:fldCharType="separate"/>
      </w:r>
      <w:r w:rsidR="00C24535" w:rsidRPr="000366BF">
        <w:t>7</w:t>
      </w:r>
      <w:r w:rsidR="00795A1F">
        <w:fldChar w:fldCharType="end"/>
      </w:r>
      <w:bookmarkEnd w:id="30"/>
      <w:r w:rsidRPr="00392B10">
        <w:t xml:space="preserve">: Induction regimen doses in trials comparing daunorubicin and </w:t>
      </w:r>
      <w:proofErr w:type="gramStart"/>
      <w:r w:rsidRPr="00392B10">
        <w:t>idarubicin</w:t>
      </w:r>
      <w:proofErr w:type="gramEnd"/>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1800"/>
        <w:gridCol w:w="1920"/>
        <w:gridCol w:w="2221"/>
        <w:gridCol w:w="1718"/>
      </w:tblGrid>
      <w:tr w:rsidR="00FB6BD9" w:rsidRPr="00392B10" w14:paraId="4B7FAB20" w14:textId="77777777" w:rsidTr="002B0CC3">
        <w:trPr>
          <w:cantSplit/>
          <w:trHeight w:val="62"/>
          <w:tblHeader/>
        </w:trPr>
        <w:tc>
          <w:tcPr>
            <w:tcW w:w="1315" w:type="dxa"/>
            <w:vMerge w:val="restart"/>
            <w:shd w:val="clear" w:color="auto" w:fill="auto"/>
            <w:tcMar>
              <w:left w:w="57" w:type="dxa"/>
              <w:right w:w="57" w:type="dxa"/>
            </w:tcMar>
            <w:vAlign w:val="center"/>
          </w:tcPr>
          <w:p w14:paraId="544C9B9E" w14:textId="77777777" w:rsidR="00FB6BD9" w:rsidRPr="00392B10" w:rsidRDefault="00FB6BD9" w:rsidP="003B634A">
            <w:pPr>
              <w:pStyle w:val="COMTableheadingrow"/>
              <w:keepNext w:val="0"/>
              <w:jc w:val="center"/>
              <w:rPr>
                <w:lang w:val="en-AU"/>
              </w:rPr>
            </w:pPr>
            <w:r w:rsidRPr="00392B10">
              <w:rPr>
                <w:lang w:val="en-AU"/>
              </w:rPr>
              <w:t>Trial ID</w:t>
            </w:r>
          </w:p>
        </w:tc>
        <w:tc>
          <w:tcPr>
            <w:tcW w:w="3720" w:type="dxa"/>
            <w:gridSpan w:val="2"/>
            <w:shd w:val="clear" w:color="auto" w:fill="auto"/>
            <w:tcMar>
              <w:left w:w="57" w:type="dxa"/>
              <w:right w:w="57" w:type="dxa"/>
            </w:tcMar>
            <w:vAlign w:val="center"/>
          </w:tcPr>
          <w:p w14:paraId="19FADF3B" w14:textId="77777777" w:rsidR="00FB6BD9" w:rsidRPr="00392B10" w:rsidRDefault="00FB6BD9" w:rsidP="003B634A">
            <w:pPr>
              <w:pStyle w:val="COMTableheadingrow"/>
              <w:keepNext w:val="0"/>
              <w:jc w:val="center"/>
              <w:rPr>
                <w:lang w:val="en-AU"/>
              </w:rPr>
            </w:pPr>
            <w:r w:rsidRPr="00392B10">
              <w:rPr>
                <w:lang w:val="en-AU"/>
              </w:rPr>
              <w:t>Anthracycline</w:t>
            </w:r>
          </w:p>
        </w:tc>
        <w:tc>
          <w:tcPr>
            <w:tcW w:w="2221" w:type="dxa"/>
            <w:vMerge w:val="restart"/>
            <w:shd w:val="clear" w:color="auto" w:fill="auto"/>
            <w:vAlign w:val="center"/>
          </w:tcPr>
          <w:p w14:paraId="4852A450" w14:textId="7A45E78F" w:rsidR="00FB6BD9" w:rsidRPr="00392B10" w:rsidRDefault="00FB6BD9" w:rsidP="003B634A">
            <w:pPr>
              <w:pStyle w:val="COMTableheadingrow"/>
              <w:keepNext w:val="0"/>
              <w:jc w:val="center"/>
              <w:rPr>
                <w:lang w:val="en-AU"/>
              </w:rPr>
            </w:pPr>
            <w:r w:rsidRPr="00392B10">
              <w:rPr>
                <w:lang w:val="en-AU"/>
              </w:rPr>
              <w:t xml:space="preserve">Cytarabine </w:t>
            </w:r>
            <w:r w:rsidR="002B0CC3" w:rsidRPr="00392B10">
              <w:rPr>
                <w:lang w:val="en-AU"/>
              </w:rPr>
              <w:br/>
            </w:r>
            <w:r w:rsidRPr="00392B10">
              <w:rPr>
                <w:lang w:val="en-AU"/>
              </w:rPr>
              <w:t>(same in both arms)</w:t>
            </w:r>
          </w:p>
        </w:tc>
        <w:tc>
          <w:tcPr>
            <w:tcW w:w="1718" w:type="dxa"/>
            <w:vMerge w:val="restart"/>
            <w:shd w:val="clear" w:color="auto" w:fill="auto"/>
            <w:tcMar>
              <w:left w:w="57" w:type="dxa"/>
              <w:right w:w="57" w:type="dxa"/>
            </w:tcMar>
            <w:vAlign w:val="center"/>
          </w:tcPr>
          <w:p w14:paraId="25766EA6" w14:textId="77777777" w:rsidR="00FB6BD9" w:rsidRPr="00392B10" w:rsidRDefault="00FB6BD9" w:rsidP="003B634A">
            <w:pPr>
              <w:pStyle w:val="COMTableheadingrow"/>
              <w:keepNext w:val="0"/>
              <w:jc w:val="center"/>
              <w:rPr>
                <w:lang w:val="en-AU"/>
              </w:rPr>
            </w:pPr>
            <w:r w:rsidRPr="00392B10">
              <w:rPr>
                <w:lang w:val="en-AU"/>
              </w:rPr>
              <w:t>Ratio of DAUNO:IDA cumulative doses</w:t>
            </w:r>
          </w:p>
        </w:tc>
      </w:tr>
      <w:tr w:rsidR="00FB6BD9" w:rsidRPr="00392B10" w14:paraId="19CCA1FE" w14:textId="77777777" w:rsidTr="002B0CC3">
        <w:trPr>
          <w:cantSplit/>
          <w:trHeight w:val="62"/>
          <w:tblHeader/>
        </w:trPr>
        <w:tc>
          <w:tcPr>
            <w:tcW w:w="1315" w:type="dxa"/>
            <w:vMerge/>
            <w:shd w:val="clear" w:color="auto" w:fill="auto"/>
            <w:tcMar>
              <w:left w:w="57" w:type="dxa"/>
              <w:right w:w="57" w:type="dxa"/>
            </w:tcMar>
            <w:vAlign w:val="center"/>
          </w:tcPr>
          <w:p w14:paraId="7BD4B5C6" w14:textId="77777777" w:rsidR="00FB6BD9" w:rsidRPr="00392B10" w:rsidRDefault="00FB6BD9" w:rsidP="003B634A">
            <w:pPr>
              <w:pStyle w:val="COMTableheadingrow"/>
              <w:keepNext w:val="0"/>
              <w:jc w:val="center"/>
              <w:rPr>
                <w:lang w:val="en-AU"/>
              </w:rPr>
            </w:pPr>
          </w:p>
        </w:tc>
        <w:tc>
          <w:tcPr>
            <w:tcW w:w="1800" w:type="dxa"/>
            <w:shd w:val="clear" w:color="auto" w:fill="auto"/>
            <w:tcMar>
              <w:left w:w="57" w:type="dxa"/>
              <w:right w:w="57" w:type="dxa"/>
            </w:tcMar>
            <w:vAlign w:val="center"/>
          </w:tcPr>
          <w:p w14:paraId="2A4E7440" w14:textId="77777777" w:rsidR="00FB6BD9" w:rsidRPr="00392B10" w:rsidRDefault="00FB6BD9" w:rsidP="003B634A">
            <w:pPr>
              <w:pStyle w:val="COMTableheadingrow"/>
              <w:keepNext w:val="0"/>
              <w:jc w:val="center"/>
              <w:rPr>
                <w:lang w:val="en-AU"/>
              </w:rPr>
            </w:pPr>
            <w:r w:rsidRPr="00392B10">
              <w:rPr>
                <w:lang w:val="en-AU"/>
              </w:rPr>
              <w:t>Daunorubicin</w:t>
            </w:r>
          </w:p>
        </w:tc>
        <w:tc>
          <w:tcPr>
            <w:tcW w:w="1920" w:type="dxa"/>
            <w:vAlign w:val="center"/>
          </w:tcPr>
          <w:p w14:paraId="1ECE96E4" w14:textId="77777777" w:rsidR="00FB6BD9" w:rsidRPr="00392B10" w:rsidRDefault="00FB6BD9" w:rsidP="003B634A">
            <w:pPr>
              <w:pStyle w:val="COMTableheadingrow"/>
              <w:keepNext w:val="0"/>
              <w:jc w:val="center"/>
              <w:rPr>
                <w:lang w:val="en-AU"/>
              </w:rPr>
            </w:pPr>
            <w:r w:rsidRPr="00392B10">
              <w:rPr>
                <w:lang w:val="en-AU"/>
              </w:rPr>
              <w:t>Idarubicin</w:t>
            </w:r>
          </w:p>
        </w:tc>
        <w:tc>
          <w:tcPr>
            <w:tcW w:w="2221" w:type="dxa"/>
            <w:vMerge/>
            <w:shd w:val="clear" w:color="auto" w:fill="auto"/>
            <w:vAlign w:val="center"/>
          </w:tcPr>
          <w:p w14:paraId="767F61EC" w14:textId="77777777" w:rsidR="00FB6BD9" w:rsidRPr="00392B10" w:rsidRDefault="00FB6BD9" w:rsidP="003B634A">
            <w:pPr>
              <w:pStyle w:val="COMTableheadingrow"/>
              <w:keepNext w:val="0"/>
              <w:jc w:val="center"/>
              <w:rPr>
                <w:lang w:val="en-AU"/>
              </w:rPr>
            </w:pPr>
          </w:p>
        </w:tc>
        <w:tc>
          <w:tcPr>
            <w:tcW w:w="1718" w:type="dxa"/>
            <w:vMerge/>
            <w:shd w:val="clear" w:color="auto" w:fill="auto"/>
            <w:tcMar>
              <w:left w:w="57" w:type="dxa"/>
              <w:right w:w="57" w:type="dxa"/>
            </w:tcMar>
            <w:vAlign w:val="center"/>
          </w:tcPr>
          <w:p w14:paraId="0FDC8450" w14:textId="77777777" w:rsidR="00FB6BD9" w:rsidRPr="00392B10" w:rsidRDefault="00FB6BD9" w:rsidP="003B634A">
            <w:pPr>
              <w:pStyle w:val="COMTableheadingrow"/>
              <w:keepNext w:val="0"/>
              <w:jc w:val="center"/>
              <w:rPr>
                <w:lang w:val="en-AU"/>
              </w:rPr>
            </w:pPr>
          </w:p>
        </w:tc>
      </w:tr>
      <w:tr w:rsidR="00FB6BD9" w:rsidRPr="00392B10" w14:paraId="73A3B19C" w14:textId="77777777" w:rsidTr="002B0CC3">
        <w:trPr>
          <w:cantSplit/>
        </w:trPr>
        <w:tc>
          <w:tcPr>
            <w:tcW w:w="1315" w:type="dxa"/>
            <w:tcMar>
              <w:left w:w="57" w:type="dxa"/>
              <w:right w:w="57" w:type="dxa"/>
            </w:tcMar>
            <w:vAlign w:val="center"/>
          </w:tcPr>
          <w:p w14:paraId="5A6F5833" w14:textId="77777777" w:rsidR="00FB6BD9" w:rsidRPr="00392B10" w:rsidRDefault="00FB6BD9" w:rsidP="003B634A">
            <w:pPr>
              <w:pStyle w:val="COMTabletext"/>
              <w:keepNext w:val="0"/>
            </w:pPr>
            <w:r w:rsidRPr="00392B10">
              <w:t>Eridani 1989</w:t>
            </w:r>
          </w:p>
        </w:tc>
        <w:tc>
          <w:tcPr>
            <w:tcW w:w="1800" w:type="dxa"/>
            <w:shd w:val="clear" w:color="auto" w:fill="auto"/>
            <w:tcMar>
              <w:left w:w="57" w:type="dxa"/>
              <w:right w:w="57" w:type="dxa"/>
            </w:tcMar>
            <w:vAlign w:val="center"/>
          </w:tcPr>
          <w:p w14:paraId="7C978EF1" w14:textId="72FC0084" w:rsidR="00FB6BD9" w:rsidRPr="00392B10" w:rsidRDefault="00FB6BD9" w:rsidP="003B634A">
            <w:pPr>
              <w:pStyle w:val="COMTabletext"/>
              <w:keepNext w:val="0"/>
              <w:jc w:val="center"/>
            </w:pPr>
            <w:r w:rsidRPr="00392B10">
              <w:t>Age &lt; 60 y</w:t>
            </w:r>
            <w:r w:rsidR="002B0CC3" w:rsidRPr="00392B10">
              <w:t>ea</w:t>
            </w:r>
            <w:r w:rsidRPr="00392B10">
              <w:t>rs:</w:t>
            </w:r>
          </w:p>
          <w:p w14:paraId="5D539B66" w14:textId="77777777" w:rsidR="00FB6BD9" w:rsidRPr="00392B10" w:rsidRDefault="00FB6BD9" w:rsidP="003B634A">
            <w:pPr>
              <w:pStyle w:val="COMTabletext"/>
              <w:keepNext w:val="0"/>
              <w:jc w:val="center"/>
            </w:pPr>
            <w:r w:rsidRPr="00392B10">
              <w:t>45 mg/m</w:t>
            </w:r>
            <w:r w:rsidRPr="00392B10">
              <w:rPr>
                <w:vertAlign w:val="superscript"/>
              </w:rPr>
              <w:t>2</w:t>
            </w:r>
            <w:r w:rsidRPr="00392B10">
              <w:t xml:space="preserve"> IV D1-3</w:t>
            </w:r>
          </w:p>
          <w:p w14:paraId="6B7D8EF7" w14:textId="2309AC03" w:rsidR="00FB6BD9" w:rsidRPr="00392B10" w:rsidRDefault="00FB6BD9" w:rsidP="003B634A">
            <w:pPr>
              <w:pStyle w:val="COMTabletext"/>
              <w:keepNext w:val="0"/>
              <w:jc w:val="center"/>
            </w:pPr>
            <w:r w:rsidRPr="00392B10">
              <w:t>Age &gt; 60 y</w:t>
            </w:r>
            <w:r w:rsidR="002B0CC3" w:rsidRPr="00392B10">
              <w:t>ea</w:t>
            </w:r>
            <w:r w:rsidRPr="00392B10">
              <w:t>rs:</w:t>
            </w:r>
          </w:p>
          <w:p w14:paraId="4AE27DAF" w14:textId="77777777" w:rsidR="00FB6BD9" w:rsidRPr="00392B10" w:rsidRDefault="00FB6BD9" w:rsidP="003B634A">
            <w:pPr>
              <w:pStyle w:val="COMTabletext"/>
              <w:keepNext w:val="0"/>
              <w:jc w:val="center"/>
            </w:pPr>
            <w:r w:rsidRPr="00392B10">
              <w:t>45 mg/m</w:t>
            </w:r>
            <w:r w:rsidRPr="00392B10">
              <w:rPr>
                <w:vertAlign w:val="superscript"/>
              </w:rPr>
              <w:t>2</w:t>
            </w:r>
            <w:r w:rsidRPr="00392B10">
              <w:t xml:space="preserve"> IV D1</w:t>
            </w:r>
          </w:p>
        </w:tc>
        <w:tc>
          <w:tcPr>
            <w:tcW w:w="1920" w:type="dxa"/>
            <w:vAlign w:val="center"/>
          </w:tcPr>
          <w:p w14:paraId="6DFC8866" w14:textId="5DED7D2A" w:rsidR="00FB6BD9" w:rsidRPr="00392B10" w:rsidRDefault="00FB6BD9" w:rsidP="003B634A">
            <w:pPr>
              <w:pStyle w:val="COMTabletext"/>
              <w:keepNext w:val="0"/>
              <w:jc w:val="center"/>
            </w:pPr>
            <w:r w:rsidRPr="00392B10">
              <w:t>Age &lt; 60 y</w:t>
            </w:r>
            <w:r w:rsidR="002B0CC3" w:rsidRPr="00392B10">
              <w:t>ea</w:t>
            </w:r>
            <w:r w:rsidRPr="00392B10">
              <w:t>rs:</w:t>
            </w:r>
          </w:p>
          <w:p w14:paraId="0C09AB7E" w14:textId="77777777" w:rsidR="00FB6BD9" w:rsidRPr="00392B10" w:rsidRDefault="00FB6BD9" w:rsidP="003B634A">
            <w:pPr>
              <w:pStyle w:val="COMTabletext"/>
              <w:keepNext w:val="0"/>
              <w:jc w:val="center"/>
            </w:pPr>
            <w:r w:rsidRPr="00392B10">
              <w:t>10 mg/m</w:t>
            </w:r>
            <w:r w:rsidRPr="00392B10">
              <w:rPr>
                <w:vertAlign w:val="superscript"/>
              </w:rPr>
              <w:t>2</w:t>
            </w:r>
            <w:r w:rsidRPr="00392B10">
              <w:t xml:space="preserve"> IV D1-3</w:t>
            </w:r>
          </w:p>
          <w:p w14:paraId="6A04ACC1" w14:textId="2256EED5" w:rsidR="00FB6BD9" w:rsidRPr="00392B10" w:rsidRDefault="00FB6BD9" w:rsidP="003B634A">
            <w:pPr>
              <w:pStyle w:val="COMTabletext"/>
              <w:keepNext w:val="0"/>
              <w:jc w:val="center"/>
            </w:pPr>
            <w:r w:rsidRPr="00392B10">
              <w:t>Age &gt; 60 y</w:t>
            </w:r>
            <w:r w:rsidR="002B0CC3" w:rsidRPr="00392B10">
              <w:t>ea</w:t>
            </w:r>
            <w:r w:rsidRPr="00392B10">
              <w:t>rs:</w:t>
            </w:r>
          </w:p>
          <w:p w14:paraId="506459DB" w14:textId="77777777" w:rsidR="00FB6BD9" w:rsidRPr="00392B10" w:rsidRDefault="00FB6BD9" w:rsidP="003B634A">
            <w:pPr>
              <w:pStyle w:val="COMTabletext"/>
              <w:keepNext w:val="0"/>
              <w:jc w:val="center"/>
            </w:pPr>
            <w:r w:rsidRPr="00392B10">
              <w:t>20 mg/m</w:t>
            </w:r>
            <w:r w:rsidRPr="00392B10">
              <w:rPr>
                <w:vertAlign w:val="superscript"/>
              </w:rPr>
              <w:t>2</w:t>
            </w:r>
            <w:r w:rsidRPr="00392B10">
              <w:t xml:space="preserve"> orally D1-3</w:t>
            </w:r>
          </w:p>
        </w:tc>
        <w:tc>
          <w:tcPr>
            <w:tcW w:w="2221" w:type="dxa"/>
            <w:vAlign w:val="center"/>
          </w:tcPr>
          <w:p w14:paraId="34D7F60F" w14:textId="77777777" w:rsidR="00FB6BD9" w:rsidRPr="00392B10" w:rsidRDefault="00FB6BD9" w:rsidP="003B634A">
            <w:pPr>
              <w:pStyle w:val="COMTabletext"/>
              <w:keepNext w:val="0"/>
              <w:jc w:val="center"/>
            </w:pPr>
            <w:r w:rsidRPr="00392B10">
              <w:t>200 mg/m</w:t>
            </w:r>
            <w:r w:rsidRPr="00392B10">
              <w:rPr>
                <w:vertAlign w:val="superscript"/>
              </w:rPr>
              <w:t>2</w:t>
            </w:r>
            <w:r w:rsidRPr="00392B10">
              <w:t xml:space="preserve"> IV D1-5</w:t>
            </w:r>
          </w:p>
        </w:tc>
        <w:tc>
          <w:tcPr>
            <w:tcW w:w="1718" w:type="dxa"/>
            <w:shd w:val="clear" w:color="auto" w:fill="auto"/>
            <w:tcMar>
              <w:left w:w="57" w:type="dxa"/>
              <w:right w:w="57" w:type="dxa"/>
            </w:tcMar>
            <w:vAlign w:val="center"/>
          </w:tcPr>
          <w:p w14:paraId="5C076C92" w14:textId="77777777" w:rsidR="00FB6BD9" w:rsidRPr="00392B10" w:rsidRDefault="00FB6BD9" w:rsidP="003B634A">
            <w:pPr>
              <w:pStyle w:val="COMTabletext"/>
              <w:keepNext w:val="0"/>
              <w:jc w:val="center"/>
            </w:pPr>
            <w:r w:rsidRPr="00392B10">
              <w:t xml:space="preserve">4.5 in patients aged &lt; 60 </w:t>
            </w:r>
            <w:proofErr w:type="gramStart"/>
            <w:r w:rsidRPr="00392B10">
              <w:t>years;</w:t>
            </w:r>
            <w:proofErr w:type="gramEnd"/>
          </w:p>
          <w:p w14:paraId="23DD160D" w14:textId="7C151959" w:rsidR="00FB6BD9" w:rsidRPr="00392B10" w:rsidRDefault="00FB6BD9" w:rsidP="003B634A">
            <w:pPr>
              <w:pStyle w:val="COMTabletext"/>
              <w:keepNext w:val="0"/>
              <w:jc w:val="center"/>
            </w:pPr>
            <w:r w:rsidRPr="00392B10">
              <w:t>N/A in patients aged &gt;</w:t>
            </w:r>
            <w:r w:rsidR="002B0CC3" w:rsidRPr="00392B10">
              <w:t xml:space="preserve"> </w:t>
            </w:r>
            <w:r w:rsidRPr="00392B10">
              <w:t xml:space="preserve">60 years </w:t>
            </w:r>
            <w:r w:rsidRPr="00392B10">
              <w:rPr>
                <w:vertAlign w:val="superscript"/>
              </w:rPr>
              <w:t>a</w:t>
            </w:r>
          </w:p>
        </w:tc>
      </w:tr>
      <w:tr w:rsidR="00FB6BD9" w:rsidRPr="00392B10" w14:paraId="74DC941C" w14:textId="77777777" w:rsidTr="002B0CC3">
        <w:trPr>
          <w:cantSplit/>
        </w:trPr>
        <w:tc>
          <w:tcPr>
            <w:tcW w:w="1315" w:type="dxa"/>
            <w:tcMar>
              <w:left w:w="57" w:type="dxa"/>
              <w:right w:w="57" w:type="dxa"/>
            </w:tcMar>
            <w:vAlign w:val="center"/>
          </w:tcPr>
          <w:p w14:paraId="69E1930C" w14:textId="77777777" w:rsidR="00FB6BD9" w:rsidRPr="00392B10" w:rsidRDefault="00FB6BD9" w:rsidP="003B634A">
            <w:pPr>
              <w:pStyle w:val="COMTabletext"/>
              <w:keepNext w:val="0"/>
            </w:pPr>
            <w:r w:rsidRPr="00392B10">
              <w:t>Mandelli 1991</w:t>
            </w:r>
          </w:p>
        </w:tc>
        <w:tc>
          <w:tcPr>
            <w:tcW w:w="1800" w:type="dxa"/>
            <w:shd w:val="clear" w:color="auto" w:fill="auto"/>
            <w:tcMar>
              <w:left w:w="57" w:type="dxa"/>
              <w:right w:w="57" w:type="dxa"/>
            </w:tcMar>
            <w:vAlign w:val="center"/>
          </w:tcPr>
          <w:p w14:paraId="0DD32A6C" w14:textId="77777777" w:rsidR="00FB6BD9" w:rsidRPr="00392B10" w:rsidRDefault="00FB6BD9" w:rsidP="003B634A">
            <w:pPr>
              <w:pStyle w:val="COMTabletext"/>
              <w:keepNext w:val="0"/>
              <w:jc w:val="center"/>
            </w:pPr>
            <w:r w:rsidRPr="00392B10">
              <w:t>45 mg/m</w:t>
            </w:r>
            <w:r w:rsidRPr="00392B10">
              <w:rPr>
                <w:vertAlign w:val="superscript"/>
              </w:rPr>
              <w:t>2</w:t>
            </w:r>
            <w:r w:rsidRPr="00392B10">
              <w:t xml:space="preserve"> IV D1-3</w:t>
            </w:r>
          </w:p>
        </w:tc>
        <w:tc>
          <w:tcPr>
            <w:tcW w:w="1920" w:type="dxa"/>
            <w:vAlign w:val="center"/>
          </w:tcPr>
          <w:p w14:paraId="790F3CC2" w14:textId="77777777" w:rsidR="00FB6BD9" w:rsidRPr="00392B10" w:rsidRDefault="00FB6BD9" w:rsidP="003B634A">
            <w:pPr>
              <w:pStyle w:val="COMTabletext"/>
              <w:keepNext w:val="0"/>
              <w:jc w:val="center"/>
            </w:pPr>
            <w:r w:rsidRPr="00392B10">
              <w:t>12 mg/m</w:t>
            </w:r>
            <w:r w:rsidRPr="00392B10">
              <w:rPr>
                <w:vertAlign w:val="superscript"/>
              </w:rPr>
              <w:t>2</w:t>
            </w:r>
            <w:r w:rsidRPr="00392B10">
              <w:t xml:space="preserve"> IV D1-3</w:t>
            </w:r>
          </w:p>
        </w:tc>
        <w:tc>
          <w:tcPr>
            <w:tcW w:w="2221" w:type="dxa"/>
            <w:vAlign w:val="center"/>
          </w:tcPr>
          <w:p w14:paraId="589AE246" w14:textId="77777777" w:rsidR="00FB6BD9" w:rsidRPr="00392B10" w:rsidRDefault="00FB6BD9" w:rsidP="003B634A">
            <w:pPr>
              <w:pStyle w:val="COMTabletext"/>
              <w:keepNext w:val="0"/>
              <w:jc w:val="center"/>
            </w:pPr>
            <w:r w:rsidRPr="00392B10">
              <w:t>100 mg/m</w:t>
            </w:r>
            <w:r w:rsidRPr="00392B10">
              <w:rPr>
                <w:vertAlign w:val="superscript"/>
              </w:rPr>
              <w:t>2</w:t>
            </w:r>
            <w:r w:rsidRPr="00392B10">
              <w:t xml:space="preserve"> CIV D1-7</w:t>
            </w:r>
          </w:p>
        </w:tc>
        <w:tc>
          <w:tcPr>
            <w:tcW w:w="1718" w:type="dxa"/>
            <w:shd w:val="clear" w:color="auto" w:fill="auto"/>
            <w:tcMar>
              <w:left w:w="57" w:type="dxa"/>
              <w:right w:w="57" w:type="dxa"/>
            </w:tcMar>
            <w:vAlign w:val="center"/>
          </w:tcPr>
          <w:p w14:paraId="48E784C0" w14:textId="77777777" w:rsidR="00FB6BD9" w:rsidRPr="00392B10" w:rsidRDefault="00FB6BD9" w:rsidP="003B634A">
            <w:pPr>
              <w:pStyle w:val="COMTabletext"/>
              <w:keepNext w:val="0"/>
              <w:jc w:val="center"/>
            </w:pPr>
            <w:r w:rsidRPr="00392B10">
              <w:t>3.75</w:t>
            </w:r>
          </w:p>
        </w:tc>
      </w:tr>
      <w:tr w:rsidR="00FB6BD9" w:rsidRPr="00392B10" w14:paraId="32ED3A71" w14:textId="77777777" w:rsidTr="002B0CC3">
        <w:trPr>
          <w:cantSplit/>
        </w:trPr>
        <w:tc>
          <w:tcPr>
            <w:tcW w:w="1315" w:type="dxa"/>
            <w:tcMar>
              <w:left w:w="57" w:type="dxa"/>
              <w:right w:w="57" w:type="dxa"/>
            </w:tcMar>
            <w:vAlign w:val="center"/>
          </w:tcPr>
          <w:p w14:paraId="4D2AF89F" w14:textId="77777777" w:rsidR="00FB6BD9" w:rsidRPr="00392B10" w:rsidRDefault="00FB6BD9" w:rsidP="003B634A">
            <w:pPr>
              <w:pStyle w:val="COMTabletext"/>
              <w:keepNext w:val="0"/>
            </w:pPr>
            <w:r w:rsidRPr="00392B10">
              <w:t>Berman 1991</w:t>
            </w:r>
          </w:p>
        </w:tc>
        <w:tc>
          <w:tcPr>
            <w:tcW w:w="1800" w:type="dxa"/>
            <w:shd w:val="clear" w:color="auto" w:fill="auto"/>
            <w:tcMar>
              <w:left w:w="57" w:type="dxa"/>
              <w:right w:w="57" w:type="dxa"/>
            </w:tcMar>
            <w:vAlign w:val="center"/>
          </w:tcPr>
          <w:p w14:paraId="0490CEBF" w14:textId="77777777" w:rsidR="00FB6BD9" w:rsidRPr="00392B10" w:rsidRDefault="00FB6BD9" w:rsidP="003B634A">
            <w:pPr>
              <w:pStyle w:val="COMTabletext"/>
              <w:keepNext w:val="0"/>
              <w:jc w:val="center"/>
            </w:pPr>
            <w:r w:rsidRPr="00392B10">
              <w:t>50 mg/m</w:t>
            </w:r>
            <w:r w:rsidRPr="00392B10">
              <w:rPr>
                <w:vertAlign w:val="superscript"/>
              </w:rPr>
              <w:t>2</w:t>
            </w:r>
            <w:r w:rsidRPr="00392B10">
              <w:t xml:space="preserve"> IV D1-3</w:t>
            </w:r>
          </w:p>
        </w:tc>
        <w:tc>
          <w:tcPr>
            <w:tcW w:w="1920" w:type="dxa"/>
            <w:vAlign w:val="center"/>
          </w:tcPr>
          <w:p w14:paraId="425826D7" w14:textId="77777777" w:rsidR="00FB6BD9" w:rsidRPr="00392B10" w:rsidRDefault="00FB6BD9" w:rsidP="003B634A">
            <w:pPr>
              <w:pStyle w:val="COMTabletext"/>
              <w:keepNext w:val="0"/>
              <w:jc w:val="center"/>
            </w:pPr>
            <w:r w:rsidRPr="00392B10">
              <w:t>12 mg/m</w:t>
            </w:r>
            <w:r w:rsidRPr="00392B10">
              <w:rPr>
                <w:vertAlign w:val="superscript"/>
              </w:rPr>
              <w:t>2</w:t>
            </w:r>
            <w:r w:rsidRPr="00392B10">
              <w:t xml:space="preserve"> IV D1-3</w:t>
            </w:r>
          </w:p>
        </w:tc>
        <w:tc>
          <w:tcPr>
            <w:tcW w:w="2221" w:type="dxa"/>
            <w:vAlign w:val="center"/>
          </w:tcPr>
          <w:p w14:paraId="4AD6DB73" w14:textId="77777777" w:rsidR="00FB6BD9" w:rsidRPr="00392B10" w:rsidRDefault="00FB6BD9" w:rsidP="003B634A">
            <w:pPr>
              <w:pStyle w:val="COMTabletext"/>
              <w:keepNext w:val="0"/>
              <w:jc w:val="center"/>
            </w:pPr>
            <w:r w:rsidRPr="00392B10">
              <w:t>25 mg/m</w:t>
            </w:r>
            <w:r w:rsidRPr="00392B10">
              <w:rPr>
                <w:vertAlign w:val="superscript"/>
              </w:rPr>
              <w:t>2</w:t>
            </w:r>
            <w:r w:rsidRPr="00392B10">
              <w:t xml:space="preserve"> IV bolus then 200 mg/m</w:t>
            </w:r>
            <w:r w:rsidRPr="00392B10">
              <w:rPr>
                <w:vertAlign w:val="superscript"/>
              </w:rPr>
              <w:t>2</w:t>
            </w:r>
            <w:r w:rsidRPr="00392B10">
              <w:t xml:space="preserve"> CIV for 5 days</w:t>
            </w:r>
          </w:p>
        </w:tc>
        <w:tc>
          <w:tcPr>
            <w:tcW w:w="1718" w:type="dxa"/>
            <w:shd w:val="clear" w:color="auto" w:fill="auto"/>
            <w:tcMar>
              <w:left w:w="57" w:type="dxa"/>
              <w:right w:w="57" w:type="dxa"/>
            </w:tcMar>
            <w:vAlign w:val="center"/>
          </w:tcPr>
          <w:p w14:paraId="2FADA059" w14:textId="77777777" w:rsidR="00FB6BD9" w:rsidRPr="00392B10" w:rsidRDefault="00FB6BD9" w:rsidP="003B634A">
            <w:pPr>
              <w:pStyle w:val="COMTabletext"/>
              <w:keepNext w:val="0"/>
              <w:jc w:val="center"/>
            </w:pPr>
            <w:r w:rsidRPr="00392B10">
              <w:t>4.17</w:t>
            </w:r>
          </w:p>
        </w:tc>
      </w:tr>
      <w:tr w:rsidR="00FB6BD9" w:rsidRPr="00392B10" w14:paraId="3F7DEFC0" w14:textId="77777777" w:rsidTr="002B0CC3">
        <w:trPr>
          <w:cantSplit/>
        </w:trPr>
        <w:tc>
          <w:tcPr>
            <w:tcW w:w="1315" w:type="dxa"/>
            <w:tcMar>
              <w:left w:w="57" w:type="dxa"/>
              <w:right w:w="57" w:type="dxa"/>
            </w:tcMar>
            <w:vAlign w:val="center"/>
          </w:tcPr>
          <w:p w14:paraId="51E7DF29" w14:textId="77777777" w:rsidR="00FB6BD9" w:rsidRPr="00392B10" w:rsidRDefault="00FB6BD9" w:rsidP="003B634A">
            <w:pPr>
              <w:pStyle w:val="COMTabletext"/>
              <w:keepNext w:val="0"/>
            </w:pPr>
            <w:r w:rsidRPr="00392B10">
              <w:t>Wiernik 1992</w:t>
            </w:r>
          </w:p>
        </w:tc>
        <w:tc>
          <w:tcPr>
            <w:tcW w:w="1800" w:type="dxa"/>
            <w:shd w:val="clear" w:color="auto" w:fill="auto"/>
            <w:tcMar>
              <w:left w:w="57" w:type="dxa"/>
              <w:right w:w="57" w:type="dxa"/>
            </w:tcMar>
            <w:vAlign w:val="center"/>
          </w:tcPr>
          <w:p w14:paraId="47690721" w14:textId="77777777" w:rsidR="00FB6BD9" w:rsidRPr="00392B10" w:rsidRDefault="00FB6BD9" w:rsidP="003B634A">
            <w:pPr>
              <w:pStyle w:val="COMTabletext"/>
              <w:keepNext w:val="0"/>
              <w:jc w:val="center"/>
            </w:pPr>
            <w:r w:rsidRPr="00392B10">
              <w:t>45 mg/m</w:t>
            </w:r>
            <w:r w:rsidRPr="00392B10">
              <w:rPr>
                <w:vertAlign w:val="superscript"/>
              </w:rPr>
              <w:t>2</w:t>
            </w:r>
            <w:r w:rsidRPr="00392B10">
              <w:t xml:space="preserve"> IV D1-3</w:t>
            </w:r>
          </w:p>
        </w:tc>
        <w:tc>
          <w:tcPr>
            <w:tcW w:w="1920" w:type="dxa"/>
            <w:vAlign w:val="center"/>
          </w:tcPr>
          <w:p w14:paraId="234351A9" w14:textId="77777777" w:rsidR="00FB6BD9" w:rsidRPr="00392B10" w:rsidRDefault="00FB6BD9" w:rsidP="003B634A">
            <w:pPr>
              <w:pStyle w:val="COMTabletext"/>
              <w:keepNext w:val="0"/>
              <w:jc w:val="center"/>
            </w:pPr>
            <w:r w:rsidRPr="00392B10">
              <w:t>13 mg/m</w:t>
            </w:r>
            <w:r w:rsidRPr="00392B10">
              <w:rPr>
                <w:vertAlign w:val="superscript"/>
              </w:rPr>
              <w:t>2</w:t>
            </w:r>
            <w:r w:rsidRPr="00392B10">
              <w:t xml:space="preserve"> IV D1-3</w:t>
            </w:r>
          </w:p>
        </w:tc>
        <w:tc>
          <w:tcPr>
            <w:tcW w:w="2221" w:type="dxa"/>
            <w:vAlign w:val="center"/>
          </w:tcPr>
          <w:p w14:paraId="68A07D9C" w14:textId="77777777" w:rsidR="00FB6BD9" w:rsidRPr="00392B10" w:rsidRDefault="00FB6BD9" w:rsidP="003B634A">
            <w:pPr>
              <w:pStyle w:val="COMTabletext"/>
              <w:keepNext w:val="0"/>
              <w:jc w:val="center"/>
            </w:pPr>
            <w:r w:rsidRPr="00392B10">
              <w:t>100 mg/m</w:t>
            </w:r>
            <w:r w:rsidRPr="00392B10">
              <w:rPr>
                <w:vertAlign w:val="superscript"/>
              </w:rPr>
              <w:t>2</w:t>
            </w:r>
            <w:r w:rsidRPr="00392B10">
              <w:t xml:space="preserve"> CIV D1-7</w:t>
            </w:r>
          </w:p>
        </w:tc>
        <w:tc>
          <w:tcPr>
            <w:tcW w:w="1718" w:type="dxa"/>
            <w:shd w:val="clear" w:color="auto" w:fill="auto"/>
            <w:tcMar>
              <w:left w:w="57" w:type="dxa"/>
              <w:right w:w="57" w:type="dxa"/>
            </w:tcMar>
            <w:vAlign w:val="center"/>
          </w:tcPr>
          <w:p w14:paraId="6FFFB2DE" w14:textId="77777777" w:rsidR="00FB6BD9" w:rsidRPr="00392B10" w:rsidRDefault="00FB6BD9" w:rsidP="003B634A">
            <w:pPr>
              <w:pStyle w:val="COMTabletext"/>
              <w:keepNext w:val="0"/>
              <w:jc w:val="center"/>
            </w:pPr>
            <w:r w:rsidRPr="00392B10">
              <w:t>3.46</w:t>
            </w:r>
          </w:p>
        </w:tc>
      </w:tr>
      <w:tr w:rsidR="00FB6BD9" w:rsidRPr="00392B10" w14:paraId="0DD1C04C" w14:textId="77777777" w:rsidTr="002B0CC3">
        <w:trPr>
          <w:cantSplit/>
        </w:trPr>
        <w:tc>
          <w:tcPr>
            <w:tcW w:w="1315" w:type="dxa"/>
            <w:tcMar>
              <w:left w:w="57" w:type="dxa"/>
              <w:right w:w="57" w:type="dxa"/>
            </w:tcMar>
            <w:vAlign w:val="center"/>
          </w:tcPr>
          <w:p w14:paraId="5D637164" w14:textId="77777777" w:rsidR="00FB6BD9" w:rsidRPr="00392B10" w:rsidRDefault="00FB6BD9" w:rsidP="003B634A">
            <w:pPr>
              <w:pStyle w:val="COMTabletext"/>
              <w:keepNext w:val="0"/>
            </w:pPr>
            <w:r w:rsidRPr="00392B10">
              <w:t>Vogler 1992</w:t>
            </w:r>
          </w:p>
        </w:tc>
        <w:tc>
          <w:tcPr>
            <w:tcW w:w="1800" w:type="dxa"/>
            <w:shd w:val="clear" w:color="auto" w:fill="auto"/>
            <w:tcMar>
              <w:left w:w="57" w:type="dxa"/>
              <w:right w:w="57" w:type="dxa"/>
            </w:tcMar>
            <w:vAlign w:val="center"/>
          </w:tcPr>
          <w:p w14:paraId="4B01DE99" w14:textId="77777777" w:rsidR="00FB6BD9" w:rsidRPr="00392B10" w:rsidRDefault="00FB6BD9" w:rsidP="003B634A">
            <w:pPr>
              <w:pStyle w:val="COMTabletext"/>
              <w:keepNext w:val="0"/>
              <w:jc w:val="center"/>
            </w:pPr>
            <w:r w:rsidRPr="00392B10">
              <w:t>45 mg/m</w:t>
            </w:r>
            <w:r w:rsidRPr="00392B10">
              <w:rPr>
                <w:vertAlign w:val="superscript"/>
              </w:rPr>
              <w:t>2</w:t>
            </w:r>
            <w:r w:rsidRPr="00392B10">
              <w:t xml:space="preserve"> IV D1-3</w:t>
            </w:r>
          </w:p>
        </w:tc>
        <w:tc>
          <w:tcPr>
            <w:tcW w:w="1920" w:type="dxa"/>
            <w:vAlign w:val="center"/>
          </w:tcPr>
          <w:p w14:paraId="21C5622F" w14:textId="77777777" w:rsidR="00FB6BD9" w:rsidRPr="00392B10" w:rsidRDefault="00FB6BD9" w:rsidP="003B634A">
            <w:pPr>
              <w:pStyle w:val="COMTabletext"/>
              <w:keepNext w:val="0"/>
              <w:jc w:val="center"/>
            </w:pPr>
            <w:r w:rsidRPr="00392B10">
              <w:t>12 mg/m</w:t>
            </w:r>
            <w:r w:rsidRPr="00392B10">
              <w:rPr>
                <w:vertAlign w:val="superscript"/>
              </w:rPr>
              <w:t>2</w:t>
            </w:r>
            <w:r w:rsidRPr="00392B10">
              <w:t xml:space="preserve"> IV D1-3</w:t>
            </w:r>
          </w:p>
        </w:tc>
        <w:tc>
          <w:tcPr>
            <w:tcW w:w="2221" w:type="dxa"/>
            <w:vAlign w:val="center"/>
          </w:tcPr>
          <w:p w14:paraId="2C546D4E" w14:textId="77777777" w:rsidR="00FB6BD9" w:rsidRPr="00392B10" w:rsidRDefault="00FB6BD9" w:rsidP="003B634A">
            <w:pPr>
              <w:pStyle w:val="COMTabletext"/>
              <w:keepNext w:val="0"/>
              <w:jc w:val="center"/>
            </w:pPr>
            <w:r w:rsidRPr="00392B10">
              <w:t>100 mg/m</w:t>
            </w:r>
            <w:r w:rsidRPr="00392B10">
              <w:rPr>
                <w:vertAlign w:val="superscript"/>
              </w:rPr>
              <w:t>2</w:t>
            </w:r>
            <w:r w:rsidRPr="00392B10">
              <w:t xml:space="preserve"> CIV D1-7</w:t>
            </w:r>
          </w:p>
        </w:tc>
        <w:tc>
          <w:tcPr>
            <w:tcW w:w="1718" w:type="dxa"/>
            <w:shd w:val="clear" w:color="auto" w:fill="auto"/>
            <w:tcMar>
              <w:left w:w="57" w:type="dxa"/>
              <w:right w:w="57" w:type="dxa"/>
            </w:tcMar>
            <w:vAlign w:val="center"/>
          </w:tcPr>
          <w:p w14:paraId="3DF22712" w14:textId="77777777" w:rsidR="00FB6BD9" w:rsidRPr="00392B10" w:rsidRDefault="00FB6BD9" w:rsidP="003B634A">
            <w:pPr>
              <w:pStyle w:val="COMTabletext"/>
              <w:keepNext w:val="0"/>
              <w:jc w:val="center"/>
            </w:pPr>
            <w:r w:rsidRPr="00392B10">
              <w:t>3.75</w:t>
            </w:r>
          </w:p>
        </w:tc>
      </w:tr>
      <w:tr w:rsidR="00FB6BD9" w:rsidRPr="00392B10" w14:paraId="209D7CFE" w14:textId="77777777" w:rsidTr="002B0CC3">
        <w:trPr>
          <w:cantSplit/>
        </w:trPr>
        <w:tc>
          <w:tcPr>
            <w:tcW w:w="1315" w:type="dxa"/>
            <w:tcMar>
              <w:left w:w="57" w:type="dxa"/>
              <w:right w:w="57" w:type="dxa"/>
            </w:tcMar>
            <w:vAlign w:val="center"/>
          </w:tcPr>
          <w:p w14:paraId="42CAE685" w14:textId="77777777" w:rsidR="00FB6BD9" w:rsidRPr="00392B10" w:rsidRDefault="00FB6BD9" w:rsidP="003B634A">
            <w:pPr>
              <w:pStyle w:val="COMTabletext"/>
              <w:keepNext w:val="0"/>
            </w:pPr>
            <w:r w:rsidRPr="00392B10">
              <w:t>Rubio 1993</w:t>
            </w:r>
          </w:p>
        </w:tc>
        <w:tc>
          <w:tcPr>
            <w:tcW w:w="1800" w:type="dxa"/>
            <w:shd w:val="clear" w:color="auto" w:fill="auto"/>
            <w:tcMar>
              <w:left w:w="57" w:type="dxa"/>
              <w:right w:w="57" w:type="dxa"/>
            </w:tcMar>
            <w:vAlign w:val="center"/>
          </w:tcPr>
          <w:p w14:paraId="7CFA5E05" w14:textId="77777777" w:rsidR="00FB6BD9" w:rsidRPr="00392B10" w:rsidRDefault="00FB6BD9" w:rsidP="003B634A">
            <w:pPr>
              <w:pStyle w:val="COMTabletext"/>
              <w:keepNext w:val="0"/>
              <w:jc w:val="center"/>
            </w:pPr>
            <w:r w:rsidRPr="00392B10">
              <w:t>45 mg/m</w:t>
            </w:r>
            <w:r w:rsidRPr="00392B10">
              <w:rPr>
                <w:vertAlign w:val="superscript"/>
              </w:rPr>
              <w:t>2</w:t>
            </w:r>
            <w:r w:rsidRPr="00392B10">
              <w:t xml:space="preserve"> IV D1-3</w:t>
            </w:r>
          </w:p>
        </w:tc>
        <w:tc>
          <w:tcPr>
            <w:tcW w:w="1920" w:type="dxa"/>
            <w:vAlign w:val="center"/>
          </w:tcPr>
          <w:p w14:paraId="2BF5E0A0" w14:textId="77777777" w:rsidR="00FB6BD9" w:rsidRPr="00392B10" w:rsidRDefault="00FB6BD9" w:rsidP="003B634A">
            <w:pPr>
              <w:pStyle w:val="COMTabletext"/>
              <w:keepNext w:val="0"/>
              <w:jc w:val="center"/>
            </w:pPr>
            <w:r w:rsidRPr="00392B10">
              <w:t>10 mg/m</w:t>
            </w:r>
            <w:r w:rsidRPr="00392B10">
              <w:rPr>
                <w:vertAlign w:val="superscript"/>
              </w:rPr>
              <w:t xml:space="preserve">2 </w:t>
            </w:r>
            <w:r w:rsidRPr="00392B10">
              <w:t>IV D1-3</w:t>
            </w:r>
          </w:p>
        </w:tc>
        <w:tc>
          <w:tcPr>
            <w:tcW w:w="2221" w:type="dxa"/>
            <w:vAlign w:val="center"/>
          </w:tcPr>
          <w:p w14:paraId="12B728E1" w14:textId="77777777" w:rsidR="00FB6BD9" w:rsidRPr="00392B10" w:rsidRDefault="00FB6BD9" w:rsidP="003B634A">
            <w:pPr>
              <w:pStyle w:val="COMTabletext"/>
              <w:keepNext w:val="0"/>
              <w:jc w:val="center"/>
            </w:pPr>
            <w:r w:rsidRPr="00392B10">
              <w:t>100 mg/m</w:t>
            </w:r>
            <w:r w:rsidRPr="00392B10">
              <w:rPr>
                <w:vertAlign w:val="superscript"/>
              </w:rPr>
              <w:t>2</w:t>
            </w:r>
            <w:r w:rsidRPr="00392B10">
              <w:t xml:space="preserve"> CIV D1-7</w:t>
            </w:r>
          </w:p>
        </w:tc>
        <w:tc>
          <w:tcPr>
            <w:tcW w:w="1718" w:type="dxa"/>
            <w:shd w:val="clear" w:color="auto" w:fill="auto"/>
            <w:tcMar>
              <w:left w:w="57" w:type="dxa"/>
              <w:right w:w="57" w:type="dxa"/>
            </w:tcMar>
            <w:vAlign w:val="center"/>
          </w:tcPr>
          <w:p w14:paraId="17A7EF8C" w14:textId="77777777" w:rsidR="00FB6BD9" w:rsidRPr="00392B10" w:rsidRDefault="00FB6BD9" w:rsidP="003B634A">
            <w:pPr>
              <w:pStyle w:val="COMTabletext"/>
              <w:keepNext w:val="0"/>
              <w:jc w:val="center"/>
            </w:pPr>
            <w:r w:rsidRPr="00392B10">
              <w:t>4.5</w:t>
            </w:r>
          </w:p>
        </w:tc>
      </w:tr>
      <w:tr w:rsidR="00FB6BD9" w:rsidRPr="00392B10" w14:paraId="07D1D478" w14:textId="77777777" w:rsidTr="002B0CC3">
        <w:trPr>
          <w:cantSplit/>
        </w:trPr>
        <w:tc>
          <w:tcPr>
            <w:tcW w:w="1315" w:type="dxa"/>
            <w:tcMar>
              <w:left w:w="57" w:type="dxa"/>
              <w:right w:w="57" w:type="dxa"/>
            </w:tcMar>
            <w:vAlign w:val="center"/>
          </w:tcPr>
          <w:p w14:paraId="54D0D96A" w14:textId="77777777" w:rsidR="00FB6BD9" w:rsidRPr="00392B10" w:rsidRDefault="00FB6BD9" w:rsidP="003B634A">
            <w:pPr>
              <w:pStyle w:val="COMTabletext"/>
              <w:keepNext w:val="0"/>
            </w:pPr>
            <w:r w:rsidRPr="00392B10">
              <w:t>Masaoka 1996</w:t>
            </w:r>
          </w:p>
        </w:tc>
        <w:tc>
          <w:tcPr>
            <w:tcW w:w="1800" w:type="dxa"/>
            <w:shd w:val="clear" w:color="auto" w:fill="auto"/>
            <w:tcMar>
              <w:left w:w="57" w:type="dxa"/>
              <w:right w:w="57" w:type="dxa"/>
            </w:tcMar>
            <w:vAlign w:val="center"/>
          </w:tcPr>
          <w:p w14:paraId="6B3199BD" w14:textId="77777777" w:rsidR="00FB6BD9" w:rsidRPr="00392B10" w:rsidRDefault="00FB6BD9" w:rsidP="003B634A">
            <w:pPr>
              <w:pStyle w:val="COMTabletext"/>
              <w:keepNext w:val="0"/>
              <w:jc w:val="center"/>
            </w:pPr>
            <w:r w:rsidRPr="00392B10">
              <w:t>40 mg/m</w:t>
            </w:r>
            <w:r w:rsidRPr="00392B10">
              <w:rPr>
                <w:vertAlign w:val="superscript"/>
              </w:rPr>
              <w:t>2</w:t>
            </w:r>
            <w:r w:rsidRPr="00392B10">
              <w:t xml:space="preserve"> IV D1-3</w:t>
            </w:r>
          </w:p>
        </w:tc>
        <w:tc>
          <w:tcPr>
            <w:tcW w:w="1920" w:type="dxa"/>
            <w:vAlign w:val="center"/>
          </w:tcPr>
          <w:p w14:paraId="68E3C684" w14:textId="77777777" w:rsidR="00FB6BD9" w:rsidRPr="00392B10" w:rsidRDefault="00FB6BD9" w:rsidP="003B634A">
            <w:pPr>
              <w:pStyle w:val="COMTabletext"/>
              <w:keepNext w:val="0"/>
              <w:jc w:val="center"/>
            </w:pPr>
            <w:r w:rsidRPr="00392B10">
              <w:t>12 mg/m</w:t>
            </w:r>
            <w:r w:rsidRPr="00392B10">
              <w:rPr>
                <w:vertAlign w:val="superscript"/>
              </w:rPr>
              <w:t>2</w:t>
            </w:r>
            <w:r w:rsidRPr="00392B10">
              <w:t xml:space="preserve"> D1-3</w:t>
            </w:r>
          </w:p>
        </w:tc>
        <w:tc>
          <w:tcPr>
            <w:tcW w:w="2221" w:type="dxa"/>
            <w:vAlign w:val="center"/>
          </w:tcPr>
          <w:p w14:paraId="0543B4A9" w14:textId="77777777" w:rsidR="00FB6BD9" w:rsidRPr="00392B10" w:rsidRDefault="00FB6BD9" w:rsidP="003B634A">
            <w:pPr>
              <w:pStyle w:val="COMTabletext"/>
              <w:keepNext w:val="0"/>
              <w:jc w:val="center"/>
            </w:pPr>
            <w:r w:rsidRPr="00392B10">
              <w:t>80 mg/m</w:t>
            </w:r>
            <w:r w:rsidRPr="00392B10">
              <w:rPr>
                <w:vertAlign w:val="superscript"/>
              </w:rPr>
              <w:t>2</w:t>
            </w:r>
            <w:r w:rsidRPr="00392B10">
              <w:t xml:space="preserve"> IV bd D1-7</w:t>
            </w:r>
          </w:p>
        </w:tc>
        <w:tc>
          <w:tcPr>
            <w:tcW w:w="1718" w:type="dxa"/>
            <w:shd w:val="clear" w:color="auto" w:fill="auto"/>
            <w:tcMar>
              <w:left w:w="57" w:type="dxa"/>
              <w:right w:w="57" w:type="dxa"/>
            </w:tcMar>
            <w:vAlign w:val="center"/>
          </w:tcPr>
          <w:p w14:paraId="117670CB" w14:textId="77777777" w:rsidR="00FB6BD9" w:rsidRPr="00392B10" w:rsidRDefault="00FB6BD9" w:rsidP="003B634A">
            <w:pPr>
              <w:pStyle w:val="COMTabletext"/>
              <w:keepNext w:val="0"/>
              <w:jc w:val="center"/>
            </w:pPr>
            <w:r w:rsidRPr="00392B10">
              <w:t>3.33</w:t>
            </w:r>
          </w:p>
        </w:tc>
      </w:tr>
      <w:tr w:rsidR="00FB6BD9" w:rsidRPr="00392B10" w14:paraId="23F81FA0" w14:textId="77777777" w:rsidTr="002B0CC3">
        <w:trPr>
          <w:cantSplit/>
        </w:trPr>
        <w:tc>
          <w:tcPr>
            <w:tcW w:w="1315" w:type="dxa"/>
            <w:tcMar>
              <w:left w:w="57" w:type="dxa"/>
              <w:right w:w="57" w:type="dxa"/>
            </w:tcMar>
            <w:vAlign w:val="center"/>
          </w:tcPr>
          <w:p w14:paraId="17D0C654" w14:textId="77777777" w:rsidR="00FB6BD9" w:rsidRPr="00392B10" w:rsidRDefault="00FB6BD9" w:rsidP="003B634A">
            <w:pPr>
              <w:pStyle w:val="COMTabletext"/>
              <w:keepNext w:val="0"/>
            </w:pPr>
            <w:r w:rsidRPr="00392B10">
              <w:t>Reiffers 1996</w:t>
            </w:r>
          </w:p>
        </w:tc>
        <w:tc>
          <w:tcPr>
            <w:tcW w:w="1800" w:type="dxa"/>
            <w:shd w:val="clear" w:color="auto" w:fill="auto"/>
            <w:tcMar>
              <w:left w:w="57" w:type="dxa"/>
              <w:right w:w="57" w:type="dxa"/>
            </w:tcMar>
            <w:vAlign w:val="center"/>
          </w:tcPr>
          <w:p w14:paraId="3F5549F9" w14:textId="77777777" w:rsidR="00FB6BD9" w:rsidRPr="00392B10" w:rsidRDefault="00FB6BD9" w:rsidP="003B634A">
            <w:pPr>
              <w:pStyle w:val="COMTabletext"/>
              <w:keepNext w:val="0"/>
              <w:jc w:val="center"/>
            </w:pPr>
            <w:r w:rsidRPr="00392B10">
              <w:t>50 mg/m</w:t>
            </w:r>
            <w:r w:rsidRPr="00392B10">
              <w:rPr>
                <w:vertAlign w:val="superscript"/>
              </w:rPr>
              <w:t>2</w:t>
            </w:r>
            <w:r w:rsidRPr="00392B10">
              <w:t xml:space="preserve"> IV D1-3</w:t>
            </w:r>
          </w:p>
        </w:tc>
        <w:tc>
          <w:tcPr>
            <w:tcW w:w="1920" w:type="dxa"/>
            <w:vAlign w:val="center"/>
          </w:tcPr>
          <w:p w14:paraId="4603BDE8" w14:textId="77777777" w:rsidR="00FB6BD9" w:rsidRPr="00392B10" w:rsidRDefault="00FB6BD9" w:rsidP="003B634A">
            <w:pPr>
              <w:pStyle w:val="COMTabletext"/>
              <w:keepNext w:val="0"/>
              <w:jc w:val="center"/>
            </w:pPr>
            <w:r w:rsidRPr="00392B10">
              <w:t>8 mg/m</w:t>
            </w:r>
            <w:r w:rsidRPr="00392B10">
              <w:rPr>
                <w:vertAlign w:val="superscript"/>
              </w:rPr>
              <w:t>2</w:t>
            </w:r>
            <w:r w:rsidRPr="00392B10">
              <w:t xml:space="preserve"> IV D1-5</w:t>
            </w:r>
          </w:p>
        </w:tc>
        <w:tc>
          <w:tcPr>
            <w:tcW w:w="2221" w:type="dxa"/>
            <w:vAlign w:val="center"/>
          </w:tcPr>
          <w:p w14:paraId="18994F11" w14:textId="77777777" w:rsidR="00FB6BD9" w:rsidRPr="00392B10" w:rsidRDefault="00FB6BD9" w:rsidP="003B634A">
            <w:pPr>
              <w:pStyle w:val="COMTabletext"/>
              <w:keepNext w:val="0"/>
              <w:jc w:val="center"/>
            </w:pPr>
            <w:r w:rsidRPr="00392B10">
              <w:t>100 mg/m</w:t>
            </w:r>
            <w:r w:rsidRPr="00392B10">
              <w:rPr>
                <w:vertAlign w:val="superscript"/>
              </w:rPr>
              <w:t>2</w:t>
            </w:r>
            <w:r w:rsidRPr="00392B10">
              <w:t xml:space="preserve"> CIV D1-7</w:t>
            </w:r>
          </w:p>
        </w:tc>
        <w:tc>
          <w:tcPr>
            <w:tcW w:w="1718" w:type="dxa"/>
            <w:shd w:val="clear" w:color="auto" w:fill="auto"/>
            <w:tcMar>
              <w:left w:w="57" w:type="dxa"/>
              <w:right w:w="57" w:type="dxa"/>
            </w:tcMar>
            <w:vAlign w:val="center"/>
          </w:tcPr>
          <w:p w14:paraId="4C7AF439" w14:textId="77777777" w:rsidR="00FB6BD9" w:rsidRPr="00392B10" w:rsidRDefault="00FB6BD9" w:rsidP="003B634A">
            <w:pPr>
              <w:pStyle w:val="COMTabletext"/>
              <w:keepNext w:val="0"/>
              <w:jc w:val="center"/>
            </w:pPr>
            <w:r w:rsidRPr="00392B10">
              <w:t>3.75</w:t>
            </w:r>
          </w:p>
        </w:tc>
      </w:tr>
      <w:tr w:rsidR="00FB6BD9" w:rsidRPr="00392B10" w14:paraId="220C80A8" w14:textId="77777777" w:rsidTr="002B0CC3">
        <w:trPr>
          <w:cantSplit/>
        </w:trPr>
        <w:tc>
          <w:tcPr>
            <w:tcW w:w="1315" w:type="dxa"/>
            <w:tcMar>
              <w:left w:w="57" w:type="dxa"/>
              <w:right w:w="57" w:type="dxa"/>
            </w:tcMar>
            <w:vAlign w:val="center"/>
          </w:tcPr>
          <w:p w14:paraId="00E20CB4" w14:textId="77777777" w:rsidR="00FB6BD9" w:rsidRPr="00392B10" w:rsidRDefault="00FB6BD9" w:rsidP="003B634A">
            <w:pPr>
              <w:pStyle w:val="COMTabletext"/>
              <w:keepNext w:val="0"/>
            </w:pPr>
            <w:r w:rsidRPr="00392B10">
              <w:t>Creutzig 2001</w:t>
            </w:r>
            <w:r w:rsidRPr="00392B10">
              <w:rPr>
                <w:vertAlign w:val="superscript"/>
              </w:rPr>
              <w:t xml:space="preserve"> b</w:t>
            </w:r>
          </w:p>
        </w:tc>
        <w:tc>
          <w:tcPr>
            <w:tcW w:w="1800" w:type="dxa"/>
            <w:shd w:val="clear" w:color="auto" w:fill="auto"/>
            <w:tcMar>
              <w:left w:w="57" w:type="dxa"/>
              <w:right w:w="57" w:type="dxa"/>
            </w:tcMar>
            <w:vAlign w:val="center"/>
          </w:tcPr>
          <w:p w14:paraId="7B0E051E" w14:textId="77777777" w:rsidR="00FB6BD9" w:rsidRPr="00392B10" w:rsidRDefault="00FB6BD9" w:rsidP="003B634A">
            <w:pPr>
              <w:pStyle w:val="COMTabletext"/>
              <w:keepNext w:val="0"/>
            </w:pPr>
            <w:r w:rsidRPr="00392B10">
              <w:t>30 mg/m</w:t>
            </w:r>
            <w:r w:rsidRPr="00392B10">
              <w:rPr>
                <w:vertAlign w:val="superscript"/>
              </w:rPr>
              <w:t>2</w:t>
            </w:r>
            <w:r w:rsidRPr="00392B10">
              <w:t xml:space="preserve"> IV bd D3-5</w:t>
            </w:r>
          </w:p>
        </w:tc>
        <w:tc>
          <w:tcPr>
            <w:tcW w:w="1920" w:type="dxa"/>
            <w:vAlign w:val="center"/>
          </w:tcPr>
          <w:p w14:paraId="63E744C9" w14:textId="77777777" w:rsidR="00FB6BD9" w:rsidRPr="00392B10" w:rsidRDefault="00FB6BD9" w:rsidP="003B634A">
            <w:pPr>
              <w:pStyle w:val="COMTabletext"/>
              <w:keepNext w:val="0"/>
              <w:jc w:val="center"/>
            </w:pPr>
            <w:r w:rsidRPr="00392B10">
              <w:t>12 mg/m</w:t>
            </w:r>
            <w:r w:rsidRPr="00392B10">
              <w:rPr>
                <w:vertAlign w:val="superscript"/>
              </w:rPr>
              <w:t>2</w:t>
            </w:r>
            <w:r w:rsidRPr="00392B10">
              <w:t>/day IV D3-5</w:t>
            </w:r>
          </w:p>
        </w:tc>
        <w:tc>
          <w:tcPr>
            <w:tcW w:w="2221" w:type="dxa"/>
          </w:tcPr>
          <w:p w14:paraId="3A46C62F" w14:textId="77777777" w:rsidR="00FB6BD9" w:rsidRPr="00392B10" w:rsidRDefault="00FB6BD9" w:rsidP="003B634A">
            <w:pPr>
              <w:pStyle w:val="COMTabletext"/>
              <w:keepNext w:val="0"/>
              <w:jc w:val="center"/>
            </w:pPr>
            <w:r w:rsidRPr="00392B10">
              <w:t>100 mg/m</w:t>
            </w:r>
            <w:r w:rsidRPr="00392B10">
              <w:rPr>
                <w:vertAlign w:val="superscript"/>
              </w:rPr>
              <w:t>2</w:t>
            </w:r>
            <w:r w:rsidRPr="00392B10">
              <w:t xml:space="preserve"> CIV D1-2 then IV bd D3-8 </w:t>
            </w:r>
          </w:p>
        </w:tc>
        <w:tc>
          <w:tcPr>
            <w:tcW w:w="1718" w:type="dxa"/>
            <w:shd w:val="clear" w:color="auto" w:fill="auto"/>
            <w:tcMar>
              <w:left w:w="57" w:type="dxa"/>
              <w:right w:w="57" w:type="dxa"/>
            </w:tcMar>
            <w:vAlign w:val="center"/>
          </w:tcPr>
          <w:p w14:paraId="482DD9E2" w14:textId="77777777" w:rsidR="00FB6BD9" w:rsidRPr="00392B10" w:rsidRDefault="00FB6BD9" w:rsidP="003B634A">
            <w:pPr>
              <w:pStyle w:val="COMTabletext"/>
              <w:keepNext w:val="0"/>
              <w:jc w:val="center"/>
            </w:pPr>
            <w:r w:rsidRPr="00392B10">
              <w:t>5.0</w:t>
            </w:r>
          </w:p>
        </w:tc>
      </w:tr>
      <w:tr w:rsidR="00FB6BD9" w:rsidRPr="00392B10" w14:paraId="1D7A8274" w14:textId="77777777" w:rsidTr="002B0CC3">
        <w:trPr>
          <w:cantSplit/>
        </w:trPr>
        <w:tc>
          <w:tcPr>
            <w:tcW w:w="1315" w:type="dxa"/>
            <w:tcMar>
              <w:left w:w="57" w:type="dxa"/>
              <w:right w:w="57" w:type="dxa"/>
            </w:tcMar>
            <w:vAlign w:val="center"/>
          </w:tcPr>
          <w:p w14:paraId="54B0606E" w14:textId="77777777" w:rsidR="00FB6BD9" w:rsidRPr="00392B10" w:rsidRDefault="00FB6BD9" w:rsidP="003B634A">
            <w:pPr>
              <w:pStyle w:val="COMTabletext"/>
              <w:keepNext w:val="0"/>
            </w:pPr>
            <w:r w:rsidRPr="00392B10">
              <w:t>Rowe 2004</w:t>
            </w:r>
          </w:p>
        </w:tc>
        <w:tc>
          <w:tcPr>
            <w:tcW w:w="1800" w:type="dxa"/>
            <w:shd w:val="clear" w:color="auto" w:fill="auto"/>
            <w:tcMar>
              <w:left w:w="57" w:type="dxa"/>
              <w:right w:w="57" w:type="dxa"/>
            </w:tcMar>
            <w:vAlign w:val="center"/>
          </w:tcPr>
          <w:p w14:paraId="0D704D08" w14:textId="77777777" w:rsidR="00FB6BD9" w:rsidRPr="00392B10" w:rsidRDefault="00FB6BD9" w:rsidP="003B634A">
            <w:pPr>
              <w:pStyle w:val="COMTabletext"/>
              <w:keepNext w:val="0"/>
              <w:jc w:val="center"/>
            </w:pPr>
            <w:r w:rsidRPr="00392B10">
              <w:t>45 mg/m</w:t>
            </w:r>
            <w:r w:rsidRPr="00392B10">
              <w:rPr>
                <w:vertAlign w:val="superscript"/>
              </w:rPr>
              <w:t>2</w:t>
            </w:r>
            <w:r w:rsidRPr="00392B10">
              <w:t xml:space="preserve"> IV D1-3</w:t>
            </w:r>
          </w:p>
        </w:tc>
        <w:tc>
          <w:tcPr>
            <w:tcW w:w="1920" w:type="dxa"/>
            <w:vAlign w:val="center"/>
          </w:tcPr>
          <w:p w14:paraId="2847E30E" w14:textId="77777777" w:rsidR="00FB6BD9" w:rsidRPr="00392B10" w:rsidRDefault="00FB6BD9" w:rsidP="003B634A">
            <w:pPr>
              <w:pStyle w:val="COMTabletext"/>
              <w:keepNext w:val="0"/>
              <w:jc w:val="center"/>
            </w:pPr>
            <w:r w:rsidRPr="00392B10">
              <w:t>12 mg/m</w:t>
            </w:r>
            <w:r w:rsidRPr="00392B10">
              <w:rPr>
                <w:vertAlign w:val="superscript"/>
              </w:rPr>
              <w:t>2</w:t>
            </w:r>
            <w:r w:rsidRPr="00392B10">
              <w:t xml:space="preserve"> IV D1-3</w:t>
            </w:r>
          </w:p>
        </w:tc>
        <w:tc>
          <w:tcPr>
            <w:tcW w:w="2221" w:type="dxa"/>
            <w:vAlign w:val="center"/>
          </w:tcPr>
          <w:p w14:paraId="68DE5DEF" w14:textId="77777777" w:rsidR="00FB6BD9" w:rsidRPr="00392B10" w:rsidRDefault="00FB6BD9" w:rsidP="003B634A">
            <w:pPr>
              <w:pStyle w:val="COMTabletext"/>
              <w:keepNext w:val="0"/>
              <w:jc w:val="center"/>
            </w:pPr>
            <w:r w:rsidRPr="00392B10">
              <w:t>100 mg/m</w:t>
            </w:r>
            <w:r w:rsidRPr="00392B10">
              <w:rPr>
                <w:vertAlign w:val="superscript"/>
              </w:rPr>
              <w:t>2</w:t>
            </w:r>
            <w:r w:rsidRPr="00392B10">
              <w:t xml:space="preserve"> CIV D1-7</w:t>
            </w:r>
          </w:p>
        </w:tc>
        <w:tc>
          <w:tcPr>
            <w:tcW w:w="1718" w:type="dxa"/>
            <w:shd w:val="clear" w:color="auto" w:fill="auto"/>
            <w:tcMar>
              <w:left w:w="57" w:type="dxa"/>
              <w:right w:w="57" w:type="dxa"/>
            </w:tcMar>
            <w:vAlign w:val="center"/>
          </w:tcPr>
          <w:p w14:paraId="35C68F76" w14:textId="77777777" w:rsidR="00FB6BD9" w:rsidRPr="00392B10" w:rsidRDefault="00FB6BD9" w:rsidP="003B634A">
            <w:pPr>
              <w:pStyle w:val="COMTabletext"/>
              <w:keepNext w:val="0"/>
              <w:jc w:val="center"/>
            </w:pPr>
            <w:r w:rsidRPr="00392B10">
              <w:t>3.75</w:t>
            </w:r>
          </w:p>
        </w:tc>
      </w:tr>
      <w:tr w:rsidR="00FB6BD9" w:rsidRPr="00392B10" w14:paraId="5E5F8352" w14:textId="77777777" w:rsidTr="002B0CC3">
        <w:trPr>
          <w:cantSplit/>
        </w:trPr>
        <w:tc>
          <w:tcPr>
            <w:tcW w:w="1315" w:type="dxa"/>
            <w:tcMar>
              <w:left w:w="57" w:type="dxa"/>
              <w:right w:w="57" w:type="dxa"/>
            </w:tcMar>
            <w:vAlign w:val="center"/>
          </w:tcPr>
          <w:p w14:paraId="7FEB54C8" w14:textId="77777777" w:rsidR="00FB6BD9" w:rsidRPr="00392B10" w:rsidRDefault="00FB6BD9" w:rsidP="003B634A">
            <w:pPr>
              <w:pStyle w:val="COMTabletext"/>
              <w:keepNext w:val="0"/>
            </w:pPr>
            <w:r w:rsidRPr="00392B10">
              <w:t>Gardin 2007</w:t>
            </w:r>
          </w:p>
        </w:tc>
        <w:tc>
          <w:tcPr>
            <w:tcW w:w="1800" w:type="dxa"/>
            <w:shd w:val="clear" w:color="auto" w:fill="auto"/>
            <w:tcMar>
              <w:left w:w="57" w:type="dxa"/>
              <w:right w:w="57" w:type="dxa"/>
            </w:tcMar>
            <w:vAlign w:val="center"/>
          </w:tcPr>
          <w:p w14:paraId="02208927" w14:textId="77777777" w:rsidR="00FB6BD9" w:rsidRPr="00392B10" w:rsidRDefault="00FB6BD9" w:rsidP="003B634A">
            <w:pPr>
              <w:pStyle w:val="COMTabletext"/>
              <w:keepNext w:val="0"/>
              <w:jc w:val="center"/>
            </w:pPr>
            <w:r w:rsidRPr="00392B10">
              <w:t>45 mg/m</w:t>
            </w:r>
            <w:r w:rsidRPr="00392B10">
              <w:rPr>
                <w:vertAlign w:val="superscript"/>
              </w:rPr>
              <w:t>2</w:t>
            </w:r>
            <w:r w:rsidRPr="00392B10">
              <w:t xml:space="preserve"> IV D1-4</w:t>
            </w:r>
          </w:p>
        </w:tc>
        <w:tc>
          <w:tcPr>
            <w:tcW w:w="1920" w:type="dxa"/>
            <w:vAlign w:val="center"/>
          </w:tcPr>
          <w:p w14:paraId="353A4076" w14:textId="77777777" w:rsidR="00FB6BD9" w:rsidRPr="00392B10" w:rsidRDefault="00FB6BD9" w:rsidP="003B634A">
            <w:pPr>
              <w:pStyle w:val="COMTabletext"/>
              <w:keepNext w:val="0"/>
              <w:jc w:val="center"/>
            </w:pPr>
            <w:r w:rsidRPr="00392B10">
              <w:t>9 mg/m</w:t>
            </w:r>
            <w:r w:rsidRPr="00392B10">
              <w:rPr>
                <w:vertAlign w:val="superscript"/>
              </w:rPr>
              <w:t>2</w:t>
            </w:r>
            <w:r w:rsidRPr="00392B10">
              <w:t xml:space="preserve"> IV D1-4</w:t>
            </w:r>
          </w:p>
        </w:tc>
        <w:tc>
          <w:tcPr>
            <w:tcW w:w="2221" w:type="dxa"/>
            <w:vAlign w:val="center"/>
          </w:tcPr>
          <w:p w14:paraId="16C7B78E" w14:textId="77777777" w:rsidR="00FB6BD9" w:rsidRPr="00392B10" w:rsidRDefault="00FB6BD9" w:rsidP="003B634A">
            <w:pPr>
              <w:pStyle w:val="COMTabletext"/>
              <w:keepNext w:val="0"/>
              <w:jc w:val="center"/>
            </w:pPr>
            <w:r w:rsidRPr="00392B10">
              <w:t>200 mg/m</w:t>
            </w:r>
            <w:r w:rsidRPr="00392B10">
              <w:rPr>
                <w:vertAlign w:val="superscript"/>
              </w:rPr>
              <w:t>2</w:t>
            </w:r>
            <w:r w:rsidRPr="00392B10">
              <w:t xml:space="preserve"> CIV D1-7</w:t>
            </w:r>
          </w:p>
        </w:tc>
        <w:tc>
          <w:tcPr>
            <w:tcW w:w="1718" w:type="dxa"/>
            <w:shd w:val="clear" w:color="auto" w:fill="auto"/>
            <w:tcMar>
              <w:left w:w="57" w:type="dxa"/>
              <w:right w:w="57" w:type="dxa"/>
            </w:tcMar>
            <w:vAlign w:val="center"/>
          </w:tcPr>
          <w:p w14:paraId="06D96E0C" w14:textId="77777777" w:rsidR="00FB6BD9" w:rsidRPr="00392B10" w:rsidRDefault="00FB6BD9" w:rsidP="003B634A">
            <w:pPr>
              <w:pStyle w:val="COMTabletext"/>
              <w:keepNext w:val="0"/>
              <w:jc w:val="center"/>
            </w:pPr>
            <w:r w:rsidRPr="00392B10">
              <w:t>5.0</w:t>
            </w:r>
          </w:p>
        </w:tc>
      </w:tr>
      <w:tr w:rsidR="00FB6BD9" w:rsidRPr="00392B10" w14:paraId="3DA88619" w14:textId="77777777" w:rsidTr="002B0CC3">
        <w:trPr>
          <w:cantSplit/>
        </w:trPr>
        <w:tc>
          <w:tcPr>
            <w:tcW w:w="1315" w:type="dxa"/>
            <w:tcMar>
              <w:left w:w="57" w:type="dxa"/>
              <w:right w:w="57" w:type="dxa"/>
            </w:tcMar>
            <w:vAlign w:val="center"/>
          </w:tcPr>
          <w:p w14:paraId="113DCD23" w14:textId="77777777" w:rsidR="00FB6BD9" w:rsidRPr="00392B10" w:rsidRDefault="00FB6BD9" w:rsidP="003B634A">
            <w:pPr>
              <w:pStyle w:val="COMTabletext"/>
              <w:keepNext w:val="0"/>
              <w:rPr>
                <w:vertAlign w:val="superscript"/>
              </w:rPr>
            </w:pPr>
            <w:r w:rsidRPr="00392B10">
              <w:t xml:space="preserve">Mandelli 2009 </w:t>
            </w:r>
            <w:r w:rsidRPr="00392B10">
              <w:rPr>
                <w:vertAlign w:val="superscript"/>
              </w:rPr>
              <w:t>c</w:t>
            </w:r>
          </w:p>
        </w:tc>
        <w:tc>
          <w:tcPr>
            <w:tcW w:w="1800" w:type="dxa"/>
            <w:shd w:val="clear" w:color="auto" w:fill="auto"/>
            <w:tcMar>
              <w:left w:w="57" w:type="dxa"/>
              <w:right w:w="57" w:type="dxa"/>
            </w:tcMar>
            <w:vAlign w:val="center"/>
          </w:tcPr>
          <w:p w14:paraId="0AF38438" w14:textId="77777777" w:rsidR="00FB6BD9" w:rsidRPr="00392B10" w:rsidRDefault="00FB6BD9" w:rsidP="003B634A">
            <w:pPr>
              <w:pStyle w:val="COMTabletext"/>
              <w:keepNext w:val="0"/>
              <w:jc w:val="center"/>
            </w:pPr>
            <w:r w:rsidRPr="00392B10">
              <w:t>50 mg/m</w:t>
            </w:r>
            <w:r w:rsidRPr="00392B10">
              <w:rPr>
                <w:vertAlign w:val="superscript"/>
              </w:rPr>
              <w:t>2</w:t>
            </w:r>
            <w:r w:rsidRPr="00392B10">
              <w:t xml:space="preserve"> IV D1, 3, 5</w:t>
            </w:r>
          </w:p>
        </w:tc>
        <w:tc>
          <w:tcPr>
            <w:tcW w:w="1920" w:type="dxa"/>
            <w:vAlign w:val="center"/>
          </w:tcPr>
          <w:p w14:paraId="3B241D47" w14:textId="77777777" w:rsidR="00FB6BD9" w:rsidRPr="00392B10" w:rsidRDefault="00FB6BD9" w:rsidP="003B634A">
            <w:pPr>
              <w:pStyle w:val="COMTabletext"/>
              <w:keepNext w:val="0"/>
              <w:jc w:val="center"/>
            </w:pPr>
            <w:r w:rsidRPr="00392B10">
              <w:t>10 mg/m</w:t>
            </w:r>
            <w:r w:rsidRPr="00392B10">
              <w:rPr>
                <w:vertAlign w:val="superscript"/>
              </w:rPr>
              <w:t>2</w:t>
            </w:r>
            <w:r w:rsidRPr="00392B10">
              <w:t xml:space="preserve"> IV D1, 3, 5</w:t>
            </w:r>
          </w:p>
        </w:tc>
        <w:tc>
          <w:tcPr>
            <w:tcW w:w="2221" w:type="dxa"/>
            <w:vAlign w:val="center"/>
          </w:tcPr>
          <w:p w14:paraId="73840AD3" w14:textId="77777777" w:rsidR="00FB6BD9" w:rsidRPr="00392B10" w:rsidRDefault="00FB6BD9" w:rsidP="003B634A">
            <w:pPr>
              <w:pStyle w:val="COMTabletext"/>
              <w:keepNext w:val="0"/>
              <w:jc w:val="center"/>
            </w:pPr>
            <w:r w:rsidRPr="00392B10">
              <w:t>25 mg/m</w:t>
            </w:r>
            <w:r w:rsidRPr="00392B10">
              <w:rPr>
                <w:vertAlign w:val="superscript"/>
              </w:rPr>
              <w:t>2</w:t>
            </w:r>
            <w:r w:rsidRPr="00392B10">
              <w:t xml:space="preserve"> IV bolus then 100 mg/m</w:t>
            </w:r>
            <w:r w:rsidRPr="00392B10">
              <w:rPr>
                <w:vertAlign w:val="superscript"/>
              </w:rPr>
              <w:t>2</w:t>
            </w:r>
            <w:r w:rsidRPr="00392B10">
              <w:t xml:space="preserve"> CIV for 10 days </w:t>
            </w:r>
          </w:p>
        </w:tc>
        <w:tc>
          <w:tcPr>
            <w:tcW w:w="1718" w:type="dxa"/>
            <w:shd w:val="clear" w:color="auto" w:fill="auto"/>
            <w:tcMar>
              <w:left w:w="57" w:type="dxa"/>
              <w:right w:w="57" w:type="dxa"/>
            </w:tcMar>
            <w:vAlign w:val="center"/>
          </w:tcPr>
          <w:p w14:paraId="2BA03F48" w14:textId="77777777" w:rsidR="00FB6BD9" w:rsidRPr="00392B10" w:rsidRDefault="00FB6BD9" w:rsidP="003B634A">
            <w:pPr>
              <w:pStyle w:val="COMTabletext"/>
              <w:keepNext w:val="0"/>
              <w:jc w:val="center"/>
            </w:pPr>
            <w:r w:rsidRPr="00392B10">
              <w:t>5.0</w:t>
            </w:r>
          </w:p>
        </w:tc>
      </w:tr>
      <w:tr w:rsidR="00FB6BD9" w:rsidRPr="00392B10" w14:paraId="3079654C" w14:textId="77777777" w:rsidTr="002B0CC3">
        <w:trPr>
          <w:cantSplit/>
        </w:trPr>
        <w:tc>
          <w:tcPr>
            <w:tcW w:w="1315" w:type="dxa"/>
            <w:vMerge w:val="restart"/>
            <w:tcMar>
              <w:left w:w="57" w:type="dxa"/>
              <w:right w:w="57" w:type="dxa"/>
            </w:tcMar>
            <w:vAlign w:val="center"/>
          </w:tcPr>
          <w:p w14:paraId="052D37DD" w14:textId="77777777" w:rsidR="00FB6BD9" w:rsidRPr="00392B10" w:rsidRDefault="00FB6BD9" w:rsidP="003B634A">
            <w:pPr>
              <w:pStyle w:val="COMTabletext"/>
            </w:pPr>
            <w:r w:rsidRPr="00392B10">
              <w:t>Pautas 2010</w:t>
            </w:r>
          </w:p>
        </w:tc>
        <w:tc>
          <w:tcPr>
            <w:tcW w:w="1800" w:type="dxa"/>
            <w:vMerge w:val="restart"/>
            <w:shd w:val="clear" w:color="auto" w:fill="auto"/>
            <w:tcMar>
              <w:left w:w="57" w:type="dxa"/>
              <w:right w:w="57" w:type="dxa"/>
            </w:tcMar>
            <w:vAlign w:val="center"/>
          </w:tcPr>
          <w:p w14:paraId="32C4D767" w14:textId="77777777" w:rsidR="00FB6BD9" w:rsidRPr="00392B10" w:rsidRDefault="00FB6BD9" w:rsidP="003B634A">
            <w:pPr>
              <w:pStyle w:val="COMTabletext"/>
              <w:jc w:val="center"/>
            </w:pPr>
            <w:r w:rsidRPr="00392B10">
              <w:t>80 mg/m</w:t>
            </w:r>
            <w:r w:rsidRPr="00392B10">
              <w:rPr>
                <w:vertAlign w:val="superscript"/>
              </w:rPr>
              <w:t>2</w:t>
            </w:r>
            <w:r w:rsidRPr="00392B10">
              <w:t xml:space="preserve"> IV D1-3</w:t>
            </w:r>
          </w:p>
        </w:tc>
        <w:tc>
          <w:tcPr>
            <w:tcW w:w="1920" w:type="dxa"/>
            <w:vAlign w:val="center"/>
          </w:tcPr>
          <w:p w14:paraId="44885426" w14:textId="77777777" w:rsidR="00FB6BD9" w:rsidRPr="00392B10" w:rsidRDefault="00FB6BD9" w:rsidP="003B634A">
            <w:pPr>
              <w:pStyle w:val="COMTabletext"/>
              <w:jc w:val="center"/>
            </w:pPr>
            <w:r w:rsidRPr="00392B10">
              <w:t>12 mg/m</w:t>
            </w:r>
            <w:r w:rsidRPr="00392B10">
              <w:rPr>
                <w:vertAlign w:val="superscript"/>
              </w:rPr>
              <w:t>2</w:t>
            </w:r>
            <w:r w:rsidRPr="00392B10">
              <w:t xml:space="preserve"> IV D1-3</w:t>
            </w:r>
          </w:p>
        </w:tc>
        <w:tc>
          <w:tcPr>
            <w:tcW w:w="2221" w:type="dxa"/>
            <w:vMerge w:val="restart"/>
            <w:vAlign w:val="center"/>
          </w:tcPr>
          <w:p w14:paraId="3D110574" w14:textId="77777777" w:rsidR="00FB6BD9" w:rsidRPr="00392B10" w:rsidRDefault="00FB6BD9" w:rsidP="003B634A">
            <w:pPr>
              <w:pStyle w:val="COMTabletext"/>
              <w:jc w:val="center"/>
            </w:pPr>
            <w:r w:rsidRPr="00392B10">
              <w:t>200 mg/m</w:t>
            </w:r>
            <w:r w:rsidRPr="00392B10">
              <w:rPr>
                <w:vertAlign w:val="superscript"/>
              </w:rPr>
              <w:t>2</w:t>
            </w:r>
            <w:r w:rsidRPr="00392B10">
              <w:t xml:space="preserve"> CIV D1-7</w:t>
            </w:r>
          </w:p>
        </w:tc>
        <w:tc>
          <w:tcPr>
            <w:tcW w:w="1718" w:type="dxa"/>
            <w:shd w:val="clear" w:color="auto" w:fill="auto"/>
            <w:tcMar>
              <w:left w:w="57" w:type="dxa"/>
              <w:right w:w="57" w:type="dxa"/>
            </w:tcMar>
            <w:vAlign w:val="center"/>
          </w:tcPr>
          <w:p w14:paraId="510B1033" w14:textId="77777777" w:rsidR="00FB6BD9" w:rsidRPr="00392B10" w:rsidRDefault="00FB6BD9" w:rsidP="003B634A">
            <w:pPr>
              <w:pStyle w:val="COMTabletext"/>
              <w:jc w:val="center"/>
            </w:pPr>
            <w:r w:rsidRPr="00392B10">
              <w:t>6.67</w:t>
            </w:r>
          </w:p>
        </w:tc>
      </w:tr>
      <w:tr w:rsidR="00FB6BD9" w:rsidRPr="00392B10" w14:paraId="34FE9E90" w14:textId="77777777" w:rsidTr="002B0CC3">
        <w:trPr>
          <w:cantSplit/>
        </w:trPr>
        <w:tc>
          <w:tcPr>
            <w:tcW w:w="1315" w:type="dxa"/>
            <w:vMerge/>
            <w:tcMar>
              <w:left w:w="57" w:type="dxa"/>
              <w:right w:w="57" w:type="dxa"/>
            </w:tcMar>
            <w:vAlign w:val="center"/>
          </w:tcPr>
          <w:p w14:paraId="3C2FD63F" w14:textId="77777777" w:rsidR="00FB6BD9" w:rsidRPr="00392B10" w:rsidRDefault="00FB6BD9" w:rsidP="003B634A">
            <w:pPr>
              <w:pStyle w:val="COMTabletext"/>
            </w:pPr>
          </w:p>
        </w:tc>
        <w:tc>
          <w:tcPr>
            <w:tcW w:w="1800" w:type="dxa"/>
            <w:vMerge/>
            <w:shd w:val="clear" w:color="auto" w:fill="auto"/>
            <w:tcMar>
              <w:left w:w="57" w:type="dxa"/>
              <w:right w:w="57" w:type="dxa"/>
            </w:tcMar>
            <w:vAlign w:val="center"/>
          </w:tcPr>
          <w:p w14:paraId="123B0D39" w14:textId="77777777" w:rsidR="00FB6BD9" w:rsidRPr="00392B10" w:rsidRDefault="00FB6BD9" w:rsidP="003B634A">
            <w:pPr>
              <w:pStyle w:val="COMTabletext"/>
              <w:jc w:val="center"/>
            </w:pPr>
          </w:p>
        </w:tc>
        <w:tc>
          <w:tcPr>
            <w:tcW w:w="1920" w:type="dxa"/>
            <w:vAlign w:val="center"/>
          </w:tcPr>
          <w:p w14:paraId="7E77117B" w14:textId="77777777" w:rsidR="00FB6BD9" w:rsidRPr="00392B10" w:rsidRDefault="00FB6BD9" w:rsidP="003B634A">
            <w:pPr>
              <w:pStyle w:val="COMTabletext"/>
              <w:jc w:val="center"/>
            </w:pPr>
            <w:r w:rsidRPr="00392B10">
              <w:t>12 mg/m</w:t>
            </w:r>
            <w:r w:rsidRPr="00392B10">
              <w:rPr>
                <w:vertAlign w:val="superscript"/>
              </w:rPr>
              <w:t>2</w:t>
            </w:r>
            <w:r w:rsidRPr="00392B10">
              <w:t xml:space="preserve"> IV on D1-4</w:t>
            </w:r>
          </w:p>
        </w:tc>
        <w:tc>
          <w:tcPr>
            <w:tcW w:w="2221" w:type="dxa"/>
            <w:vMerge/>
            <w:vAlign w:val="center"/>
          </w:tcPr>
          <w:p w14:paraId="38E68A5A" w14:textId="77777777" w:rsidR="00FB6BD9" w:rsidRPr="00392B10" w:rsidRDefault="00FB6BD9" w:rsidP="003B634A">
            <w:pPr>
              <w:pStyle w:val="COMTabletext"/>
              <w:jc w:val="center"/>
            </w:pPr>
          </w:p>
        </w:tc>
        <w:tc>
          <w:tcPr>
            <w:tcW w:w="1718" w:type="dxa"/>
            <w:shd w:val="clear" w:color="auto" w:fill="auto"/>
            <w:tcMar>
              <w:left w:w="57" w:type="dxa"/>
              <w:right w:w="57" w:type="dxa"/>
            </w:tcMar>
            <w:vAlign w:val="center"/>
          </w:tcPr>
          <w:p w14:paraId="7F568378" w14:textId="77777777" w:rsidR="00FB6BD9" w:rsidRPr="00392B10" w:rsidRDefault="00FB6BD9" w:rsidP="003B634A">
            <w:pPr>
              <w:pStyle w:val="COMTabletext"/>
              <w:jc w:val="center"/>
            </w:pPr>
            <w:r w:rsidRPr="00392B10">
              <w:t>5.0</w:t>
            </w:r>
          </w:p>
        </w:tc>
      </w:tr>
      <w:tr w:rsidR="00FB6BD9" w:rsidRPr="00392B10" w14:paraId="7FAAF66A" w14:textId="77777777" w:rsidTr="002B0CC3">
        <w:trPr>
          <w:cantSplit/>
        </w:trPr>
        <w:tc>
          <w:tcPr>
            <w:tcW w:w="1315" w:type="dxa"/>
            <w:tcMar>
              <w:left w:w="57" w:type="dxa"/>
              <w:right w:w="57" w:type="dxa"/>
            </w:tcMar>
            <w:vAlign w:val="center"/>
          </w:tcPr>
          <w:p w14:paraId="2715B97B" w14:textId="77777777" w:rsidR="00FB6BD9" w:rsidRPr="00392B10" w:rsidRDefault="00FB6BD9" w:rsidP="003B634A">
            <w:pPr>
              <w:pStyle w:val="COMTabletext"/>
            </w:pPr>
            <w:r w:rsidRPr="00392B10">
              <w:t>Ohtake 2011</w:t>
            </w:r>
          </w:p>
        </w:tc>
        <w:tc>
          <w:tcPr>
            <w:tcW w:w="1800" w:type="dxa"/>
            <w:shd w:val="clear" w:color="auto" w:fill="auto"/>
            <w:tcMar>
              <w:left w:w="57" w:type="dxa"/>
              <w:right w:w="57" w:type="dxa"/>
            </w:tcMar>
            <w:vAlign w:val="center"/>
          </w:tcPr>
          <w:p w14:paraId="07795BE2" w14:textId="77777777" w:rsidR="00FB6BD9" w:rsidRPr="00392B10" w:rsidRDefault="00FB6BD9" w:rsidP="003B634A">
            <w:pPr>
              <w:pStyle w:val="COMTabletext"/>
              <w:jc w:val="center"/>
            </w:pPr>
            <w:r w:rsidRPr="00392B10">
              <w:t>50 mg/m</w:t>
            </w:r>
            <w:r w:rsidRPr="00392B10">
              <w:rPr>
                <w:vertAlign w:val="superscript"/>
              </w:rPr>
              <w:t>2</w:t>
            </w:r>
            <w:r w:rsidRPr="00392B10">
              <w:t xml:space="preserve"> IV D1-5</w:t>
            </w:r>
          </w:p>
        </w:tc>
        <w:tc>
          <w:tcPr>
            <w:tcW w:w="1920" w:type="dxa"/>
            <w:vAlign w:val="center"/>
          </w:tcPr>
          <w:p w14:paraId="55C6A96B" w14:textId="77777777" w:rsidR="00FB6BD9" w:rsidRPr="00392B10" w:rsidRDefault="00FB6BD9" w:rsidP="003B634A">
            <w:pPr>
              <w:pStyle w:val="COMTabletext"/>
              <w:jc w:val="center"/>
            </w:pPr>
            <w:r w:rsidRPr="00392B10">
              <w:t>12 mg/m</w:t>
            </w:r>
            <w:r w:rsidRPr="00392B10">
              <w:rPr>
                <w:vertAlign w:val="superscript"/>
              </w:rPr>
              <w:t>2</w:t>
            </w:r>
            <w:r w:rsidRPr="00392B10">
              <w:t xml:space="preserve"> IV D1-3</w:t>
            </w:r>
          </w:p>
        </w:tc>
        <w:tc>
          <w:tcPr>
            <w:tcW w:w="2221" w:type="dxa"/>
            <w:vAlign w:val="center"/>
          </w:tcPr>
          <w:p w14:paraId="415E502D" w14:textId="77777777" w:rsidR="00FB6BD9" w:rsidRPr="00392B10" w:rsidRDefault="00FB6BD9" w:rsidP="003B634A">
            <w:pPr>
              <w:pStyle w:val="COMTabletext"/>
              <w:jc w:val="center"/>
            </w:pPr>
            <w:r w:rsidRPr="00392B10">
              <w:t>100 mg/m</w:t>
            </w:r>
            <w:r w:rsidRPr="00392B10">
              <w:rPr>
                <w:vertAlign w:val="superscript"/>
              </w:rPr>
              <w:t>2</w:t>
            </w:r>
            <w:r w:rsidRPr="00392B10">
              <w:t xml:space="preserve"> CIV D1-7</w:t>
            </w:r>
          </w:p>
        </w:tc>
        <w:tc>
          <w:tcPr>
            <w:tcW w:w="1718" w:type="dxa"/>
            <w:shd w:val="clear" w:color="auto" w:fill="auto"/>
            <w:tcMar>
              <w:left w:w="57" w:type="dxa"/>
              <w:right w:w="57" w:type="dxa"/>
            </w:tcMar>
            <w:vAlign w:val="center"/>
          </w:tcPr>
          <w:p w14:paraId="5A36B42D" w14:textId="77777777" w:rsidR="00FB6BD9" w:rsidRPr="00392B10" w:rsidRDefault="00FB6BD9" w:rsidP="003B634A">
            <w:pPr>
              <w:pStyle w:val="COMTabletext"/>
              <w:jc w:val="center"/>
            </w:pPr>
            <w:r w:rsidRPr="00392B10">
              <w:t>6.94</w:t>
            </w:r>
          </w:p>
        </w:tc>
      </w:tr>
      <w:tr w:rsidR="00FB6BD9" w:rsidRPr="00392B10" w14:paraId="56BFB468" w14:textId="77777777" w:rsidTr="002B0CC3">
        <w:trPr>
          <w:cantSplit/>
        </w:trPr>
        <w:tc>
          <w:tcPr>
            <w:tcW w:w="1315" w:type="dxa"/>
            <w:tcMar>
              <w:left w:w="57" w:type="dxa"/>
              <w:right w:w="57" w:type="dxa"/>
            </w:tcMar>
            <w:vAlign w:val="center"/>
          </w:tcPr>
          <w:p w14:paraId="5CBC3911" w14:textId="77777777" w:rsidR="00FB6BD9" w:rsidRPr="00392B10" w:rsidRDefault="00FB6BD9" w:rsidP="003B634A">
            <w:pPr>
              <w:pStyle w:val="COMTabletext"/>
            </w:pPr>
            <w:r w:rsidRPr="00392B10">
              <w:t>Jia 2011</w:t>
            </w:r>
          </w:p>
        </w:tc>
        <w:tc>
          <w:tcPr>
            <w:tcW w:w="1800" w:type="dxa"/>
            <w:shd w:val="clear" w:color="auto" w:fill="auto"/>
            <w:tcMar>
              <w:left w:w="57" w:type="dxa"/>
              <w:right w:w="57" w:type="dxa"/>
            </w:tcMar>
            <w:vAlign w:val="center"/>
          </w:tcPr>
          <w:p w14:paraId="3BE6250E" w14:textId="77777777" w:rsidR="00FB6BD9" w:rsidRPr="00392B10" w:rsidRDefault="00FB6BD9" w:rsidP="003B634A">
            <w:pPr>
              <w:pStyle w:val="COMTabletext"/>
              <w:jc w:val="center"/>
            </w:pPr>
            <w:r w:rsidRPr="00392B10">
              <w:t>25 mg/m</w:t>
            </w:r>
            <w:r w:rsidRPr="00392B10">
              <w:rPr>
                <w:vertAlign w:val="superscript"/>
              </w:rPr>
              <w:t>2</w:t>
            </w:r>
            <w:r w:rsidRPr="00392B10">
              <w:t xml:space="preserve"> IV D1-3</w:t>
            </w:r>
          </w:p>
        </w:tc>
        <w:tc>
          <w:tcPr>
            <w:tcW w:w="1920" w:type="dxa"/>
            <w:vAlign w:val="center"/>
          </w:tcPr>
          <w:p w14:paraId="072868CD" w14:textId="77777777" w:rsidR="00FB6BD9" w:rsidRPr="00392B10" w:rsidRDefault="00FB6BD9" w:rsidP="003B634A">
            <w:pPr>
              <w:pStyle w:val="COMTabletext"/>
              <w:jc w:val="center"/>
            </w:pPr>
            <w:r w:rsidRPr="00392B10">
              <w:t>8 mg/m</w:t>
            </w:r>
            <w:r w:rsidRPr="00392B10">
              <w:rPr>
                <w:vertAlign w:val="superscript"/>
              </w:rPr>
              <w:t>2</w:t>
            </w:r>
            <w:r w:rsidRPr="00392B10">
              <w:t xml:space="preserve"> IV D1-3</w:t>
            </w:r>
          </w:p>
        </w:tc>
        <w:tc>
          <w:tcPr>
            <w:tcW w:w="2221" w:type="dxa"/>
            <w:vAlign w:val="center"/>
          </w:tcPr>
          <w:p w14:paraId="3449245D" w14:textId="77777777" w:rsidR="00FB6BD9" w:rsidRPr="00392B10" w:rsidRDefault="00FB6BD9" w:rsidP="003B634A">
            <w:pPr>
              <w:pStyle w:val="COMTabletext"/>
              <w:jc w:val="center"/>
            </w:pPr>
            <w:r w:rsidRPr="00392B10">
              <w:t>150 mg/m</w:t>
            </w:r>
            <w:r w:rsidRPr="00392B10">
              <w:rPr>
                <w:vertAlign w:val="superscript"/>
              </w:rPr>
              <w:t>2</w:t>
            </w:r>
            <w:r w:rsidRPr="00392B10">
              <w:t xml:space="preserve"> IV D1-7</w:t>
            </w:r>
          </w:p>
        </w:tc>
        <w:tc>
          <w:tcPr>
            <w:tcW w:w="1718" w:type="dxa"/>
            <w:shd w:val="clear" w:color="auto" w:fill="auto"/>
            <w:tcMar>
              <w:left w:w="57" w:type="dxa"/>
              <w:right w:w="57" w:type="dxa"/>
            </w:tcMar>
            <w:vAlign w:val="center"/>
          </w:tcPr>
          <w:p w14:paraId="7504DDD9" w14:textId="77777777" w:rsidR="00FB6BD9" w:rsidRPr="00392B10" w:rsidRDefault="00FB6BD9" w:rsidP="003B634A">
            <w:pPr>
              <w:pStyle w:val="COMTabletext"/>
              <w:jc w:val="center"/>
            </w:pPr>
            <w:r w:rsidRPr="00392B10">
              <w:t>3.125</w:t>
            </w:r>
          </w:p>
        </w:tc>
      </w:tr>
      <w:tr w:rsidR="00FB6BD9" w:rsidRPr="00392B10" w14:paraId="0D500536" w14:textId="77777777" w:rsidTr="002B0CC3">
        <w:trPr>
          <w:cantSplit/>
        </w:trPr>
        <w:tc>
          <w:tcPr>
            <w:tcW w:w="1315" w:type="dxa"/>
            <w:tcBorders>
              <w:bottom w:val="single" w:sz="4" w:space="0" w:color="auto"/>
            </w:tcBorders>
            <w:tcMar>
              <w:left w:w="57" w:type="dxa"/>
              <w:right w:w="57" w:type="dxa"/>
            </w:tcMar>
            <w:vAlign w:val="center"/>
          </w:tcPr>
          <w:p w14:paraId="1378ED40" w14:textId="77777777" w:rsidR="00FB6BD9" w:rsidRPr="00392B10" w:rsidRDefault="00FB6BD9" w:rsidP="003B634A">
            <w:pPr>
              <w:pStyle w:val="COMTabletext"/>
            </w:pPr>
            <w:r w:rsidRPr="00392B10">
              <w:t>Récher 2014</w:t>
            </w:r>
          </w:p>
        </w:tc>
        <w:tc>
          <w:tcPr>
            <w:tcW w:w="1800" w:type="dxa"/>
            <w:tcBorders>
              <w:bottom w:val="single" w:sz="4" w:space="0" w:color="auto"/>
            </w:tcBorders>
            <w:shd w:val="clear" w:color="auto" w:fill="auto"/>
            <w:tcMar>
              <w:left w:w="57" w:type="dxa"/>
              <w:right w:w="57" w:type="dxa"/>
            </w:tcMar>
            <w:vAlign w:val="center"/>
          </w:tcPr>
          <w:p w14:paraId="21326035" w14:textId="77777777" w:rsidR="00FB6BD9" w:rsidRPr="00392B10" w:rsidRDefault="00FB6BD9" w:rsidP="003B634A">
            <w:pPr>
              <w:pStyle w:val="COMTabletext"/>
              <w:jc w:val="center"/>
            </w:pPr>
            <w:r w:rsidRPr="00392B10">
              <w:t>60 mg/m</w:t>
            </w:r>
            <w:r w:rsidRPr="00392B10">
              <w:rPr>
                <w:vertAlign w:val="superscript"/>
              </w:rPr>
              <w:t>2</w:t>
            </w:r>
            <w:r w:rsidRPr="00392B10">
              <w:t xml:space="preserve"> IV D1-3</w:t>
            </w:r>
          </w:p>
        </w:tc>
        <w:tc>
          <w:tcPr>
            <w:tcW w:w="1920" w:type="dxa"/>
            <w:tcBorders>
              <w:bottom w:val="single" w:sz="4" w:space="0" w:color="auto"/>
            </w:tcBorders>
            <w:vAlign w:val="center"/>
          </w:tcPr>
          <w:p w14:paraId="24A18E53" w14:textId="77777777" w:rsidR="00FB6BD9" w:rsidRPr="00392B10" w:rsidRDefault="00FB6BD9" w:rsidP="003B634A">
            <w:pPr>
              <w:pStyle w:val="COMTabletext"/>
              <w:jc w:val="center"/>
            </w:pPr>
            <w:r w:rsidRPr="00392B10">
              <w:t>8 mg/m</w:t>
            </w:r>
            <w:r w:rsidRPr="00392B10">
              <w:rPr>
                <w:vertAlign w:val="superscript"/>
              </w:rPr>
              <w:t>2</w:t>
            </w:r>
            <w:r w:rsidRPr="00392B10">
              <w:t xml:space="preserve"> IV D1-5</w:t>
            </w:r>
          </w:p>
        </w:tc>
        <w:tc>
          <w:tcPr>
            <w:tcW w:w="2221" w:type="dxa"/>
            <w:tcBorders>
              <w:bottom w:val="single" w:sz="4" w:space="0" w:color="auto"/>
            </w:tcBorders>
            <w:vAlign w:val="center"/>
          </w:tcPr>
          <w:p w14:paraId="64DDBB0D" w14:textId="77777777" w:rsidR="00FB6BD9" w:rsidRPr="00392B10" w:rsidRDefault="00FB6BD9" w:rsidP="003B634A">
            <w:pPr>
              <w:pStyle w:val="COMTabletext"/>
              <w:jc w:val="center"/>
            </w:pPr>
            <w:r w:rsidRPr="00392B10">
              <w:t>200 mg/m</w:t>
            </w:r>
            <w:r w:rsidRPr="00392B10">
              <w:rPr>
                <w:vertAlign w:val="superscript"/>
              </w:rPr>
              <w:t>2</w:t>
            </w:r>
            <w:r w:rsidRPr="00392B10">
              <w:t xml:space="preserve"> IV D1-7</w:t>
            </w:r>
          </w:p>
        </w:tc>
        <w:tc>
          <w:tcPr>
            <w:tcW w:w="1718" w:type="dxa"/>
            <w:tcBorders>
              <w:bottom w:val="single" w:sz="4" w:space="0" w:color="auto"/>
            </w:tcBorders>
            <w:shd w:val="clear" w:color="auto" w:fill="auto"/>
            <w:tcMar>
              <w:left w:w="57" w:type="dxa"/>
              <w:right w:w="57" w:type="dxa"/>
            </w:tcMar>
            <w:vAlign w:val="center"/>
          </w:tcPr>
          <w:p w14:paraId="295DC4B4" w14:textId="77777777" w:rsidR="00FB6BD9" w:rsidRPr="00392B10" w:rsidRDefault="00FB6BD9" w:rsidP="003B634A">
            <w:pPr>
              <w:pStyle w:val="COMTabletext"/>
              <w:jc w:val="center"/>
            </w:pPr>
            <w:r w:rsidRPr="00392B10">
              <w:t>4.5</w:t>
            </w:r>
          </w:p>
        </w:tc>
      </w:tr>
      <w:tr w:rsidR="00FB6BD9" w:rsidRPr="00392B10" w14:paraId="48FA68D6" w14:textId="77777777" w:rsidTr="002B0CC3">
        <w:trPr>
          <w:cantSplit/>
        </w:trPr>
        <w:tc>
          <w:tcPr>
            <w:tcW w:w="1315" w:type="dxa"/>
            <w:tcBorders>
              <w:bottom w:val="single" w:sz="4" w:space="0" w:color="auto"/>
            </w:tcBorders>
            <w:tcMar>
              <w:left w:w="57" w:type="dxa"/>
              <w:right w:w="57" w:type="dxa"/>
            </w:tcMar>
            <w:vAlign w:val="center"/>
          </w:tcPr>
          <w:p w14:paraId="51E49799" w14:textId="77777777" w:rsidR="00FB6BD9" w:rsidRPr="00392B10" w:rsidRDefault="00FB6BD9" w:rsidP="003B634A">
            <w:pPr>
              <w:pStyle w:val="COMTabletext"/>
            </w:pPr>
            <w:r w:rsidRPr="00392B10">
              <w:t>Lee 2017</w:t>
            </w:r>
          </w:p>
        </w:tc>
        <w:tc>
          <w:tcPr>
            <w:tcW w:w="1800" w:type="dxa"/>
            <w:tcBorders>
              <w:bottom w:val="single" w:sz="4" w:space="0" w:color="auto"/>
            </w:tcBorders>
            <w:shd w:val="clear" w:color="auto" w:fill="auto"/>
            <w:tcMar>
              <w:left w:w="57" w:type="dxa"/>
              <w:right w:w="57" w:type="dxa"/>
            </w:tcMar>
            <w:vAlign w:val="center"/>
          </w:tcPr>
          <w:p w14:paraId="49989E26" w14:textId="77777777" w:rsidR="00FB6BD9" w:rsidRPr="00392B10" w:rsidRDefault="00FB6BD9" w:rsidP="003B634A">
            <w:pPr>
              <w:pStyle w:val="COMTabletext"/>
              <w:jc w:val="center"/>
            </w:pPr>
            <w:r w:rsidRPr="00392B10">
              <w:t>90 mg/m</w:t>
            </w:r>
            <w:r w:rsidRPr="00392B10">
              <w:rPr>
                <w:vertAlign w:val="superscript"/>
              </w:rPr>
              <w:t>2</w:t>
            </w:r>
            <w:r w:rsidRPr="00392B10">
              <w:t xml:space="preserve"> IV D1-3</w:t>
            </w:r>
          </w:p>
        </w:tc>
        <w:tc>
          <w:tcPr>
            <w:tcW w:w="1920" w:type="dxa"/>
            <w:tcBorders>
              <w:bottom w:val="single" w:sz="4" w:space="0" w:color="auto"/>
            </w:tcBorders>
            <w:vAlign w:val="center"/>
          </w:tcPr>
          <w:p w14:paraId="7EF80246" w14:textId="77777777" w:rsidR="00FB6BD9" w:rsidRPr="00392B10" w:rsidRDefault="00FB6BD9" w:rsidP="003B634A">
            <w:pPr>
              <w:pStyle w:val="COMTabletext"/>
              <w:jc w:val="center"/>
            </w:pPr>
            <w:r w:rsidRPr="00392B10">
              <w:t>12 mg/m</w:t>
            </w:r>
            <w:r w:rsidRPr="00392B10">
              <w:rPr>
                <w:vertAlign w:val="superscript"/>
              </w:rPr>
              <w:t>2</w:t>
            </w:r>
            <w:r w:rsidRPr="00392B10">
              <w:t xml:space="preserve"> IV D1-3</w:t>
            </w:r>
          </w:p>
        </w:tc>
        <w:tc>
          <w:tcPr>
            <w:tcW w:w="2221" w:type="dxa"/>
            <w:tcBorders>
              <w:bottom w:val="single" w:sz="4" w:space="0" w:color="auto"/>
            </w:tcBorders>
            <w:vAlign w:val="center"/>
          </w:tcPr>
          <w:p w14:paraId="0B7C3BE8" w14:textId="77777777" w:rsidR="00FB6BD9" w:rsidRPr="00392B10" w:rsidRDefault="00FB6BD9" w:rsidP="003B634A">
            <w:pPr>
              <w:pStyle w:val="COMTabletext"/>
              <w:jc w:val="center"/>
            </w:pPr>
            <w:r w:rsidRPr="00392B10">
              <w:t>200 mg/m</w:t>
            </w:r>
            <w:r w:rsidRPr="00392B10">
              <w:rPr>
                <w:vertAlign w:val="superscript"/>
              </w:rPr>
              <w:t>2</w:t>
            </w:r>
            <w:r w:rsidRPr="00392B10">
              <w:t xml:space="preserve"> D1- 7</w:t>
            </w:r>
          </w:p>
        </w:tc>
        <w:tc>
          <w:tcPr>
            <w:tcW w:w="1718" w:type="dxa"/>
            <w:tcBorders>
              <w:bottom w:val="single" w:sz="4" w:space="0" w:color="auto"/>
            </w:tcBorders>
            <w:shd w:val="clear" w:color="auto" w:fill="auto"/>
            <w:tcMar>
              <w:left w:w="57" w:type="dxa"/>
              <w:right w:w="57" w:type="dxa"/>
            </w:tcMar>
            <w:vAlign w:val="center"/>
          </w:tcPr>
          <w:p w14:paraId="3812EC27" w14:textId="77777777" w:rsidR="00FB6BD9" w:rsidRPr="00392B10" w:rsidRDefault="00FB6BD9" w:rsidP="003B634A">
            <w:pPr>
              <w:pStyle w:val="COMTabletext"/>
              <w:jc w:val="center"/>
            </w:pPr>
            <w:r w:rsidRPr="00392B10">
              <w:t>7.5</w:t>
            </w:r>
          </w:p>
        </w:tc>
      </w:tr>
    </w:tbl>
    <w:p w14:paraId="4994BD52" w14:textId="77777777" w:rsidR="00FB6BD9" w:rsidRPr="00392B10" w:rsidRDefault="00FB6BD9" w:rsidP="00FB6BD9">
      <w:pPr>
        <w:pStyle w:val="COMTablefooter"/>
      </w:pPr>
      <w:r w:rsidRPr="00392B10">
        <w:t>Source: Table 3, Attachment 1 of the submission.</w:t>
      </w:r>
    </w:p>
    <w:p w14:paraId="6A2FDBFC" w14:textId="50BD62D5" w:rsidR="00FB6BD9" w:rsidRPr="00392B10" w:rsidRDefault="002B0CC3" w:rsidP="00FB6BD9">
      <w:pPr>
        <w:pStyle w:val="COMTablefooter"/>
      </w:pPr>
      <w:r w:rsidRPr="00392B10">
        <w:t>B</w:t>
      </w:r>
      <w:r w:rsidR="00FB6BD9" w:rsidRPr="00392B10">
        <w:t>d</w:t>
      </w:r>
      <w:r w:rsidRPr="00392B10">
        <w:t xml:space="preserve"> =</w:t>
      </w:r>
      <w:r w:rsidR="00FB6BD9" w:rsidRPr="00392B10">
        <w:t xml:space="preserve"> twice daily; CIV</w:t>
      </w:r>
      <w:r w:rsidRPr="00392B10">
        <w:t xml:space="preserve"> =</w:t>
      </w:r>
      <w:r w:rsidR="00FB6BD9" w:rsidRPr="00392B10">
        <w:t xml:space="preserve"> continuous intravenous infusion; CYT</w:t>
      </w:r>
      <w:r w:rsidRPr="00392B10">
        <w:t xml:space="preserve"> =</w:t>
      </w:r>
      <w:r w:rsidR="00FB6BD9" w:rsidRPr="00392B10">
        <w:t xml:space="preserve"> cytarabine; D</w:t>
      </w:r>
      <w:r w:rsidRPr="00392B10">
        <w:t xml:space="preserve"> =</w:t>
      </w:r>
      <w:r w:rsidR="00FB6BD9" w:rsidRPr="00392B10">
        <w:t xml:space="preserve"> day; DAUNO</w:t>
      </w:r>
      <w:r w:rsidRPr="00392B10">
        <w:t xml:space="preserve"> =</w:t>
      </w:r>
      <w:r w:rsidR="00FB6BD9" w:rsidRPr="00392B10">
        <w:t xml:space="preserve"> daunorubicin; IDA</w:t>
      </w:r>
      <w:r w:rsidRPr="00392B10">
        <w:t xml:space="preserve"> =</w:t>
      </w:r>
      <w:r w:rsidR="00FB6BD9" w:rsidRPr="00392B10">
        <w:t xml:space="preserve"> idarubicin; IV</w:t>
      </w:r>
      <w:r w:rsidRPr="00392B10">
        <w:t xml:space="preserve"> =</w:t>
      </w:r>
      <w:r w:rsidR="00FB6BD9" w:rsidRPr="00392B10">
        <w:t xml:space="preserve"> intravenous</w:t>
      </w:r>
    </w:p>
    <w:p w14:paraId="491753A6" w14:textId="6A67250A" w:rsidR="00FB6BD9" w:rsidRPr="00392B10" w:rsidRDefault="00FB6BD9" w:rsidP="00FB6BD9">
      <w:pPr>
        <w:pStyle w:val="COMTablefooter"/>
      </w:pPr>
      <w:r w:rsidRPr="00392B10">
        <w:rPr>
          <w:vertAlign w:val="superscript"/>
        </w:rPr>
        <w:t xml:space="preserve">a </w:t>
      </w:r>
      <w:r w:rsidRPr="00392B10">
        <w:t>Patients aged &gt;</w:t>
      </w:r>
      <w:r w:rsidR="002B0CC3" w:rsidRPr="00392B10">
        <w:t xml:space="preserve"> </w:t>
      </w:r>
      <w:r w:rsidRPr="00392B10">
        <w:t xml:space="preserve">60 years received oral idarubicin, and one day only of </w:t>
      </w:r>
      <w:proofErr w:type="gramStart"/>
      <w:r w:rsidRPr="00392B10">
        <w:t>daunorubicin</w:t>
      </w:r>
      <w:proofErr w:type="gramEnd"/>
    </w:p>
    <w:p w14:paraId="1EF0DFDF" w14:textId="6161A161" w:rsidR="00FB6BD9" w:rsidRPr="00392B10" w:rsidRDefault="00FB6BD9" w:rsidP="00FB6BD9">
      <w:pPr>
        <w:pStyle w:val="COMTablefooter"/>
      </w:pPr>
      <w:r w:rsidRPr="00392B10">
        <w:rPr>
          <w:vertAlign w:val="superscript"/>
        </w:rPr>
        <w:t>b</w:t>
      </w:r>
      <w:r w:rsidRPr="00392B10">
        <w:t xml:space="preserve"> In Creutzig 2001, both treatment arms also received etoposide 150 mg/m</w:t>
      </w:r>
      <w:r w:rsidRPr="00392B10">
        <w:rPr>
          <w:vertAlign w:val="superscript"/>
        </w:rPr>
        <w:t>2</w:t>
      </w:r>
      <w:r w:rsidRPr="00392B10">
        <w:t xml:space="preserve"> IV on </w:t>
      </w:r>
      <w:r w:rsidR="002B0CC3" w:rsidRPr="00392B10">
        <w:t>D</w:t>
      </w:r>
      <w:r w:rsidRPr="00392B10">
        <w:t>ays 6-8</w:t>
      </w:r>
    </w:p>
    <w:p w14:paraId="19C93C50" w14:textId="309D49E2" w:rsidR="00FB6BD9" w:rsidRPr="00392B10" w:rsidRDefault="00FB6BD9" w:rsidP="00FB6BD9">
      <w:pPr>
        <w:pStyle w:val="COMTablefooter"/>
      </w:pPr>
      <w:r w:rsidRPr="00392B10">
        <w:rPr>
          <w:vertAlign w:val="superscript"/>
        </w:rPr>
        <w:t>c</w:t>
      </w:r>
      <w:r w:rsidRPr="00392B10">
        <w:t xml:space="preserve"> In Mandelli 2009, both treatment arms also received etoposide 100 mg/m</w:t>
      </w:r>
      <w:r w:rsidRPr="00392B10">
        <w:rPr>
          <w:vertAlign w:val="superscript"/>
        </w:rPr>
        <w:t>2</w:t>
      </w:r>
      <w:r w:rsidRPr="00392B10">
        <w:t xml:space="preserve"> IV on </w:t>
      </w:r>
      <w:r w:rsidR="002B0CC3" w:rsidRPr="00392B10">
        <w:t>D</w:t>
      </w:r>
      <w:r w:rsidRPr="00392B10">
        <w:t>ays 1 to 5</w:t>
      </w:r>
    </w:p>
    <w:p w14:paraId="350177A2" w14:textId="22FB2DF0" w:rsidR="00C86111" w:rsidRPr="00392B10" w:rsidRDefault="00C86111" w:rsidP="00C86111">
      <w:pPr>
        <w:pStyle w:val="COMexecsumnumberedpara"/>
        <w:rPr>
          <w:snapToGrid/>
        </w:rPr>
      </w:pPr>
      <w:r w:rsidRPr="00392B10">
        <w:rPr>
          <w:snapToGrid/>
        </w:rPr>
        <w:t>The dose equivalence of daunorubicin and idarubicin, when given in combination with cytarabine for induction therapy, is uncertain given substantial variations in doses and dose regimens used in the included trials, yielding cumulative dose ratios of daunorubicin: idarubicin of 3:1 to almost 8:1. None of the trials directly compared the 7+3 regimens containing daunorubicin or idarubicin in combination with cytarabine, using the equi-effective doses proposed in the submission (daunorubicin 60 mg/m</w:t>
      </w:r>
      <w:r w:rsidRPr="00392B10">
        <w:rPr>
          <w:snapToGrid/>
          <w:vertAlign w:val="superscript"/>
        </w:rPr>
        <w:t>2</w:t>
      </w:r>
      <w:r w:rsidRPr="00392B10">
        <w:rPr>
          <w:snapToGrid/>
        </w:rPr>
        <w:t xml:space="preserve"> daily and idarubicin 12 mg/m</w:t>
      </w:r>
      <w:r w:rsidRPr="00392B10">
        <w:rPr>
          <w:snapToGrid/>
          <w:vertAlign w:val="superscript"/>
        </w:rPr>
        <w:t>2</w:t>
      </w:r>
      <w:r w:rsidRPr="00392B10">
        <w:rPr>
          <w:snapToGrid/>
        </w:rPr>
        <w:t xml:space="preserve"> daily for 3 days). Comparative efficacy based on complete remission rates and survival varied across the trials, which is expected given substantial differences in terms of trial populations and treatment regimens (induction, </w:t>
      </w:r>
      <w:r w:rsidR="00593219" w:rsidRPr="00392B10">
        <w:rPr>
          <w:snapToGrid/>
        </w:rPr>
        <w:t xml:space="preserve">second </w:t>
      </w:r>
      <w:r w:rsidRPr="00392B10">
        <w:rPr>
          <w:snapToGrid/>
        </w:rPr>
        <w:t>induction, consolidation).</w:t>
      </w:r>
      <w:r w:rsidR="005222C4" w:rsidRPr="00392B10">
        <w:rPr>
          <w:snapToGrid/>
        </w:rPr>
        <w:t xml:space="preserve"> </w:t>
      </w:r>
      <w:r w:rsidR="005222C4" w:rsidRPr="00392B10">
        <w:t xml:space="preserve">The PSCR stated that as the two anthracycline plus cytarabine regimens endorsed by eviQ </w:t>
      </w:r>
      <w:r w:rsidR="00593219" w:rsidRPr="00392B10">
        <w:t xml:space="preserve">protocols </w:t>
      </w:r>
      <w:r w:rsidR="005222C4" w:rsidRPr="00392B10">
        <w:t>are (i) 7+3 idarubicin</w:t>
      </w:r>
      <w:r w:rsidR="00264E92" w:rsidRPr="00392B10">
        <w:t xml:space="preserve"> </w:t>
      </w:r>
      <w:r w:rsidR="005222C4" w:rsidRPr="00392B10">
        <w:t>(idarubicin 12 mg/m</w:t>
      </w:r>
      <w:r w:rsidR="005222C4" w:rsidRPr="00392B10">
        <w:rPr>
          <w:vertAlign w:val="superscript"/>
        </w:rPr>
        <w:t>2</w:t>
      </w:r>
      <w:r w:rsidR="005222C4" w:rsidRPr="00392B10">
        <w:t xml:space="preserve"> daily for 3 days), and (ii) 7+3 daunorubicin</w:t>
      </w:r>
      <w:r w:rsidR="00264E92" w:rsidRPr="00392B10">
        <w:t xml:space="preserve"> </w:t>
      </w:r>
      <w:r w:rsidR="005222C4" w:rsidRPr="00392B10">
        <w:t>(daunorubicin 60 mg/m</w:t>
      </w:r>
      <w:r w:rsidR="005222C4" w:rsidRPr="00392B10">
        <w:rPr>
          <w:vertAlign w:val="superscript"/>
        </w:rPr>
        <w:t>2</w:t>
      </w:r>
      <w:r w:rsidR="005222C4" w:rsidRPr="00392B10">
        <w:t xml:space="preserve"> daily for 3 days), these two regimens have similar effectiveness when administered as recommended and that the ratio of recommended doses for daunorubicin and idarubicin is 5:1. </w:t>
      </w:r>
      <w:r w:rsidR="00467C9C" w:rsidRPr="00392B10">
        <w:t xml:space="preserve">The ESC considered that the therapeutic equivalence of daunorubicin and idarubicin was not supported by the data presented. </w:t>
      </w:r>
      <w:r w:rsidR="00AC5A84" w:rsidRPr="00392B10">
        <w:t xml:space="preserve">The pre-PBAC response noted that the Australasian Leukaemia and </w:t>
      </w:r>
      <w:r w:rsidR="00AC5A84" w:rsidRPr="00392B10">
        <w:lastRenderedPageBreak/>
        <w:t>Lymphoma Group Acute Leukaemia Working Party AML treatment guidelines consider idarubicin and daunorubicin to be interchangeable.</w:t>
      </w:r>
    </w:p>
    <w:p w14:paraId="50755E66" w14:textId="7F4C07E5" w:rsidR="005222C4" w:rsidRPr="00392B10" w:rsidRDefault="00C86111" w:rsidP="005222C4">
      <w:pPr>
        <w:pStyle w:val="COMexecsumnumberedpara"/>
        <w:rPr>
          <w:snapToGrid/>
        </w:rPr>
      </w:pPr>
      <w:r w:rsidRPr="00392B10">
        <w:t>Multiple systematic reviews comparing idarubicin- and daunorubicin-containing regimens for induction therapy were identified</w:t>
      </w:r>
      <w:r w:rsidR="000B007B" w:rsidRPr="00392B10">
        <w:t>;</w:t>
      </w:r>
      <w:r w:rsidRPr="00392B10">
        <w:t xml:space="preserve"> however, the results were difficult to compare as there was no consistent pattern of inclusion or exclusion of trials. The Li 2015 review had the most comprehensive selection of trials (16 of 17 identified trials in the submission), with results indicating that idarubicin is superior to daunorubicin. The submission argued that most of the systematic reviews d</w:t>
      </w:r>
      <w:r w:rsidR="000B007B" w:rsidRPr="00392B10">
        <w:t>id</w:t>
      </w:r>
      <w:r w:rsidRPr="00392B10">
        <w:t xml:space="preserve"> not account for differences in dose and dosing schedules, and focussed on two reviews (Adige 2019, Teuffel 2013) that suggested potential equipotency between daunorubicin and idarubicin at dose ratios of at least 5:1 or higher. However, the Li 2015 review also presented multiple subgroup analyses by dose, with results indicating no relationship between dose and treatment effect sizes.</w:t>
      </w:r>
      <w:r w:rsidRPr="00392B10">
        <w:rPr>
          <w:snapToGrid/>
        </w:rPr>
        <w:t xml:space="preserve"> </w:t>
      </w:r>
      <w:r w:rsidR="005222C4" w:rsidRPr="00392B10">
        <w:rPr>
          <w:snapToGrid/>
        </w:rPr>
        <w:t>The PSCR stated that Li 2015 demonstrated a strong trend towards non-inferiority at dose ratios of 5:1 or higher, and that it was the inclusion of trial</w:t>
      </w:r>
      <w:r w:rsidR="00467C9C" w:rsidRPr="00392B10">
        <w:rPr>
          <w:snapToGrid/>
        </w:rPr>
        <w:t>s with</w:t>
      </w:r>
      <w:r w:rsidR="005222C4" w:rsidRPr="00392B10">
        <w:rPr>
          <w:snapToGrid/>
        </w:rPr>
        <w:t xml:space="preserve"> lower ratios into the meta-analysis that meant the overall treatment effect favoured idarubicin.</w:t>
      </w:r>
      <w:r w:rsidR="00264E92" w:rsidRPr="00392B10">
        <w:rPr>
          <w:snapToGrid/>
        </w:rPr>
        <w:t xml:space="preserve"> The PSCR presented a cumulative meta-analysis using the same set of studies, suggesting the sequential addition of studies with lower daunorubicin to idarubicin dose ratios resulted in a shift of outcomes from no statistically significant difference towards statistically significant differences in favour of idarubicin (see </w:t>
      </w:r>
      <w:r w:rsidR="002B0CC3" w:rsidRPr="00392B10">
        <w:rPr>
          <w:snapToGrid/>
        </w:rPr>
        <w:fldChar w:fldCharType="begin" w:fldLock="1"/>
      </w:r>
      <w:r w:rsidR="002B0CC3" w:rsidRPr="00392B10">
        <w:rPr>
          <w:snapToGrid/>
        </w:rPr>
        <w:instrText xml:space="preserve"> REF _Ref137732013 \h  \* MERGEFORMAT </w:instrText>
      </w:r>
      <w:r w:rsidR="002B0CC3" w:rsidRPr="00392B10">
        <w:rPr>
          <w:snapToGrid/>
        </w:rPr>
      </w:r>
      <w:r w:rsidR="002B0CC3" w:rsidRPr="00392B10">
        <w:rPr>
          <w:snapToGrid/>
        </w:rPr>
        <w:fldChar w:fldCharType="separate"/>
      </w:r>
      <w:r w:rsidR="002B0CC3" w:rsidRPr="00392B10">
        <w:t xml:space="preserve">Figure </w:t>
      </w:r>
      <w:r w:rsidR="002B0CC3" w:rsidRPr="000366BF">
        <w:t>4</w:t>
      </w:r>
      <w:r w:rsidR="002B0CC3" w:rsidRPr="00392B10">
        <w:rPr>
          <w:snapToGrid/>
        </w:rPr>
        <w:fldChar w:fldCharType="end"/>
      </w:r>
      <w:r w:rsidR="00264E92" w:rsidRPr="00392B10">
        <w:rPr>
          <w:snapToGrid/>
        </w:rPr>
        <w:t xml:space="preserve">). The ESC considered that the validity of the analysis was uncertain due to limited documentation, noting that </w:t>
      </w:r>
      <w:r w:rsidR="00467C9C" w:rsidRPr="00392B10">
        <w:rPr>
          <w:snapToGrid/>
        </w:rPr>
        <w:t>varying</w:t>
      </w:r>
      <w:r w:rsidR="00264E92" w:rsidRPr="00392B10">
        <w:rPr>
          <w:snapToGrid/>
        </w:rPr>
        <w:t xml:space="preserve"> conclusion</w:t>
      </w:r>
      <w:r w:rsidR="00B242B9" w:rsidRPr="00392B10">
        <w:rPr>
          <w:snapToGrid/>
        </w:rPr>
        <w:t>s</w:t>
      </w:r>
      <w:r w:rsidR="00264E92" w:rsidRPr="00392B10">
        <w:rPr>
          <w:snapToGrid/>
        </w:rPr>
        <w:t xml:space="preserve"> from subgroup analyses in Li 2015 suggested no relationship between dose and treatment effect size</w:t>
      </w:r>
      <w:r w:rsidR="00B242B9" w:rsidRPr="00392B10">
        <w:rPr>
          <w:snapToGrid/>
        </w:rPr>
        <w:t>.</w:t>
      </w:r>
    </w:p>
    <w:p w14:paraId="0124D9DA" w14:textId="778C3B1C" w:rsidR="005222C4" w:rsidRPr="00392B10" w:rsidRDefault="002B0CC3" w:rsidP="002B0CC3">
      <w:pPr>
        <w:pStyle w:val="Caption"/>
      </w:pPr>
      <w:bookmarkStart w:id="31" w:name="_Ref137732013"/>
      <w:r w:rsidRPr="00392B10">
        <w:t xml:space="preserve">Figure </w:t>
      </w:r>
      <w:r w:rsidR="00795A1F">
        <w:fldChar w:fldCharType="begin" w:fldLock="1"/>
      </w:r>
      <w:r w:rsidR="00795A1F">
        <w:instrText xml:space="preserve"> SEQ Figure \* ARABIC </w:instrText>
      </w:r>
      <w:r w:rsidR="00795A1F">
        <w:fldChar w:fldCharType="separate"/>
      </w:r>
      <w:r w:rsidRPr="000366BF">
        <w:t>4</w:t>
      </w:r>
      <w:r w:rsidR="00795A1F">
        <w:fldChar w:fldCharType="end"/>
      </w:r>
      <w:bookmarkEnd w:id="31"/>
      <w:r w:rsidRPr="00392B10">
        <w:t xml:space="preserve">: </w:t>
      </w:r>
      <w:r w:rsidR="005222C4" w:rsidRPr="00392B10">
        <w:t>Forest plot of cumulative meta-analysis of idarubicin versus daunorubicin studies reported by Li 2015</w:t>
      </w:r>
    </w:p>
    <w:p w14:paraId="226362B5" w14:textId="35ACAF75" w:rsidR="005222C4" w:rsidRPr="00392B10" w:rsidRDefault="005222C4" w:rsidP="005222C4">
      <w:pPr>
        <w:pStyle w:val="COMexecsumnumberedpara"/>
        <w:numPr>
          <w:ilvl w:val="0"/>
          <w:numId w:val="0"/>
        </w:numPr>
        <w:rPr>
          <w:snapToGrid/>
        </w:rPr>
      </w:pPr>
      <w:r w:rsidRPr="000366BF">
        <w:rPr>
          <w:rFonts w:ascii="Arial Narrow" w:hAnsi="Arial Narrow"/>
          <w:noProof/>
        </w:rPr>
        <w:drawing>
          <wp:inline distT="0" distB="0" distL="0" distR="0" wp14:anchorId="60D96FBD" wp14:editId="05E6FEBF">
            <wp:extent cx="5732145" cy="2735050"/>
            <wp:effectExtent l="0" t="0" r="1905" b="8255"/>
            <wp:docPr id="1665595336" name="Picture 1665595336" descr="Figure 4: Forest plot of cumulative meta-analysis of idarubicin versus daunorubicin studies reported by Li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595336" name="Picture 1665595336" descr="Figure 4: Forest plot of cumulative meta-analysis of idarubicin versus daunorubicin studies reported by Li 2015"/>
                    <pic:cNvPicPr/>
                  </pic:nvPicPr>
                  <pic:blipFill>
                    <a:blip r:embed="rId11"/>
                    <a:stretch>
                      <a:fillRect/>
                    </a:stretch>
                  </pic:blipFill>
                  <pic:spPr>
                    <a:xfrm>
                      <a:off x="0" y="0"/>
                      <a:ext cx="5732145" cy="2735050"/>
                    </a:xfrm>
                    <a:prstGeom prst="rect">
                      <a:avLst/>
                    </a:prstGeom>
                  </pic:spPr>
                </pic:pic>
              </a:graphicData>
            </a:graphic>
          </wp:inline>
        </w:drawing>
      </w:r>
    </w:p>
    <w:p w14:paraId="10DE9ADE" w14:textId="7A9C689F" w:rsidR="005222C4" w:rsidRPr="00392B10" w:rsidRDefault="005222C4" w:rsidP="002B0CC3">
      <w:pPr>
        <w:pStyle w:val="TableText"/>
        <w:spacing w:before="0" w:after="0" w:line="240" w:lineRule="auto"/>
        <w:rPr>
          <w:sz w:val="18"/>
          <w:szCs w:val="18"/>
        </w:rPr>
      </w:pPr>
      <w:r w:rsidRPr="00392B10">
        <w:rPr>
          <w:sz w:val="18"/>
          <w:szCs w:val="18"/>
        </w:rPr>
        <w:t>Source: Figure 3, p3 of the PSCR</w:t>
      </w:r>
    </w:p>
    <w:p w14:paraId="5D6689AE" w14:textId="46607E2D" w:rsidR="00264E92" w:rsidRPr="00392B10" w:rsidRDefault="00264E92" w:rsidP="002B0CC3">
      <w:pPr>
        <w:pStyle w:val="TableText"/>
        <w:spacing w:before="0" w:after="0" w:line="240" w:lineRule="auto"/>
        <w:rPr>
          <w:sz w:val="18"/>
          <w:szCs w:val="18"/>
        </w:rPr>
      </w:pPr>
      <w:r w:rsidRPr="00392B10">
        <w:rPr>
          <w:sz w:val="18"/>
          <w:szCs w:val="18"/>
        </w:rPr>
        <w:t>CI = confidence interval; DAUNO = daunorubicin; IDA = idarubicin</w:t>
      </w:r>
    </w:p>
    <w:p w14:paraId="20FA265E" w14:textId="77777777" w:rsidR="005222C4" w:rsidRPr="00392B10" w:rsidRDefault="005222C4" w:rsidP="002B0CC3">
      <w:pPr>
        <w:pStyle w:val="TableText"/>
        <w:rPr>
          <w:sz w:val="18"/>
          <w:szCs w:val="18"/>
        </w:rPr>
      </w:pPr>
    </w:p>
    <w:p w14:paraId="763D28C8" w14:textId="74172D18" w:rsidR="00C86111" w:rsidRPr="00392B10" w:rsidRDefault="00C86111" w:rsidP="00C86111">
      <w:pPr>
        <w:pStyle w:val="COMexecsumnumberedpara"/>
        <w:rPr>
          <w:snapToGrid/>
        </w:rPr>
      </w:pPr>
      <w:r w:rsidRPr="00392B10">
        <w:lastRenderedPageBreak/>
        <w:t>The evidence base included trials conducted up to more than 30 years ago, with the most recent trial conducted approximately 10 years ago. The data are unlikely to reflect the comparative efficacy and safety of current daunorubicin- and idarubicin-containing regimens due to changing treatment algorithms and disease management protocols over this time period. For example, the role of disease cytogenic and molecular profiles such as FLT3 mutation as a treatment effect modifier was only considered in one of the more recent trials</w:t>
      </w:r>
      <w:r w:rsidR="00392B10">
        <w:t xml:space="preserve">. </w:t>
      </w:r>
    </w:p>
    <w:p w14:paraId="2F419DD0" w14:textId="38D4AA7D" w:rsidR="00DE1044" w:rsidRPr="00392B10" w:rsidRDefault="00C86111" w:rsidP="00EB4E1E">
      <w:pPr>
        <w:pStyle w:val="COMexecsumnumberedpara"/>
        <w:rPr>
          <w:snapToGrid/>
        </w:rPr>
      </w:pPr>
      <w:r w:rsidRPr="00392B10">
        <w:t xml:space="preserve">Overall, the </w:t>
      </w:r>
      <w:r w:rsidR="00264E92" w:rsidRPr="00392B10">
        <w:t xml:space="preserve">ESC considered that the </w:t>
      </w:r>
      <w:r w:rsidRPr="00392B10">
        <w:t>submission’s claim of equi-effectiveness between daunorubicin and idarubicin at the proposed doses was inadequately supported by the available evidence for induction therapy, with no evidence presented that compared the use of these treatments for consolidation.</w:t>
      </w:r>
      <w:r w:rsidR="00AC5A84" w:rsidRPr="00392B10">
        <w:t xml:space="preserve"> The pre-PBAC response maintained that it was reasonable to conclude that daunorubicin 60 mg/m</w:t>
      </w:r>
      <w:r w:rsidR="00AC5A84" w:rsidRPr="00392B10">
        <w:rPr>
          <w:vertAlign w:val="superscript"/>
        </w:rPr>
        <w:t>2</w:t>
      </w:r>
      <w:r w:rsidR="00AC5A84" w:rsidRPr="00392B10">
        <w:t xml:space="preserve"> for 3 days and idarubicin 12 mg/m</w:t>
      </w:r>
      <w:r w:rsidR="00AC5A84" w:rsidRPr="00392B10">
        <w:rPr>
          <w:vertAlign w:val="superscript"/>
        </w:rPr>
        <w:t>2</w:t>
      </w:r>
      <w:r w:rsidR="00AC5A84" w:rsidRPr="00392B10">
        <w:t xml:space="preserve"> for 3 days were approximately equi-effective.</w:t>
      </w:r>
    </w:p>
    <w:p w14:paraId="1452C351" w14:textId="0D19F1B0" w:rsidR="00B60939" w:rsidRPr="00392B10" w:rsidRDefault="00B60939" w:rsidP="00D86231">
      <w:pPr>
        <w:pStyle w:val="COMH2-non-numbered"/>
      </w:pPr>
      <w:bookmarkStart w:id="32" w:name="_Toc22897642"/>
      <w:bookmarkStart w:id="33" w:name="_Toc135056603"/>
      <w:r w:rsidRPr="00392B10">
        <w:t>Comparative harms</w:t>
      </w:r>
      <w:bookmarkEnd w:id="32"/>
      <w:bookmarkEnd w:id="33"/>
    </w:p>
    <w:p w14:paraId="1762FE34" w14:textId="03F89A12" w:rsidR="008B0873" w:rsidRPr="00392B10" w:rsidRDefault="008B0873" w:rsidP="008B0873">
      <w:pPr>
        <w:pStyle w:val="COMexecsumnumberedpara"/>
      </w:pPr>
      <w:bookmarkStart w:id="34" w:name="_Hlk104801403"/>
      <w:r w:rsidRPr="00392B10">
        <w:t>Safety data from Study 301 were reported for the primary analysis period only (31 December 2015 data cut off, median 1.7 years follow-up), with no adverse event data except for deaths and medical observations post-HSCT collected during the extended 5-year follow-up period. Study 301 was open</w:t>
      </w:r>
      <w:r w:rsidR="006066B5" w:rsidRPr="00392B10">
        <w:t xml:space="preserve"> </w:t>
      </w:r>
      <w:r w:rsidRPr="00392B10">
        <w:t xml:space="preserve">label with no blinding of investigators and patients, which may </w:t>
      </w:r>
      <w:r w:rsidR="000B007B" w:rsidRPr="00392B10">
        <w:t xml:space="preserve">have </w:t>
      </w:r>
      <w:r w:rsidRPr="00392B10">
        <w:t>bias</w:t>
      </w:r>
      <w:r w:rsidR="000B007B" w:rsidRPr="00392B10">
        <w:t>ed</w:t>
      </w:r>
      <w:r w:rsidRPr="00392B10">
        <w:t xml:space="preserve"> the reporting of adverse events.</w:t>
      </w:r>
    </w:p>
    <w:bookmarkEnd w:id="34"/>
    <w:p w14:paraId="604EE5F0" w14:textId="77777777" w:rsidR="0024004E" w:rsidRPr="00392B10" w:rsidRDefault="008B0873" w:rsidP="0024004E">
      <w:pPr>
        <w:pStyle w:val="COMexecsumnumberedpara"/>
      </w:pPr>
      <w:r w:rsidRPr="00392B10">
        <w:t>Concomitant medications and supportive care were allowed in the trial for premedication and treatment of nausea and vomiting, hypersensitivity/infusion-related reactions, infection prophylaxis, growth factor support and transfusion support.</w:t>
      </w:r>
    </w:p>
    <w:p w14:paraId="2DAF16D1" w14:textId="2544C39B" w:rsidR="00B60939" w:rsidRPr="00392B10" w:rsidRDefault="00F26658" w:rsidP="0024004E">
      <w:pPr>
        <w:pStyle w:val="COMexecsumnumberedpara"/>
      </w:pPr>
      <w:r w:rsidRPr="00392B10">
        <w:fldChar w:fldCharType="begin" w:fldLock="1"/>
      </w:r>
      <w:r w:rsidRPr="00392B10">
        <w:instrText xml:space="preserve"> REF _Ref134467362 \h </w:instrText>
      </w:r>
      <w:r w:rsidR="000D5FB6" w:rsidRPr="00392B10">
        <w:instrText xml:space="preserve"> \* MERGEFORMAT </w:instrText>
      </w:r>
      <w:r w:rsidRPr="00392B10">
        <w:fldChar w:fldCharType="separate"/>
      </w:r>
      <w:r w:rsidR="00C24535" w:rsidRPr="00392B10">
        <w:t xml:space="preserve">Table </w:t>
      </w:r>
      <w:r w:rsidR="00C24535" w:rsidRPr="000366BF">
        <w:t>8</w:t>
      </w:r>
      <w:r w:rsidRPr="00392B10">
        <w:fldChar w:fldCharType="end"/>
      </w:r>
      <w:r w:rsidRPr="00392B10">
        <w:t xml:space="preserve"> </w:t>
      </w:r>
      <w:r w:rsidR="0024004E" w:rsidRPr="00392B10">
        <w:t>below presents the incidence of treatment-emergent adverse events in the trial.</w:t>
      </w:r>
    </w:p>
    <w:p w14:paraId="37D1AEE9" w14:textId="4807ED48" w:rsidR="0024004E" w:rsidRPr="00392B10" w:rsidRDefault="0024004E" w:rsidP="00F26658">
      <w:pPr>
        <w:pStyle w:val="Caption"/>
      </w:pPr>
      <w:bookmarkStart w:id="35" w:name="_Ref134467362"/>
      <w:r w:rsidRPr="00392B10">
        <w:lastRenderedPageBreak/>
        <w:t xml:space="preserve">Table </w:t>
      </w:r>
      <w:r w:rsidR="00795A1F">
        <w:fldChar w:fldCharType="begin" w:fldLock="1"/>
      </w:r>
      <w:r w:rsidR="00795A1F">
        <w:instrText xml:space="preserve"> SEQ Table \* ARABIC </w:instrText>
      </w:r>
      <w:r w:rsidR="00795A1F">
        <w:fldChar w:fldCharType="separate"/>
      </w:r>
      <w:r w:rsidR="00C24535" w:rsidRPr="000366BF">
        <w:t>8</w:t>
      </w:r>
      <w:r w:rsidR="00795A1F">
        <w:fldChar w:fldCharType="end"/>
      </w:r>
      <w:bookmarkEnd w:id="35"/>
      <w:r w:rsidRPr="00392B10">
        <w:t>: Summary of incidence of treatment-emergent adverse events (safety population, primary analysis)</w:t>
      </w:r>
    </w:p>
    <w:tbl>
      <w:tblPr>
        <w:tblStyle w:val="TableGrid"/>
        <w:tblW w:w="9038" w:type="dxa"/>
        <w:tblCellMar>
          <w:left w:w="28" w:type="dxa"/>
          <w:right w:w="28" w:type="dxa"/>
        </w:tblCellMar>
        <w:tblLook w:val="04A0" w:firstRow="1" w:lastRow="0" w:firstColumn="1" w:lastColumn="0" w:noHBand="0" w:noVBand="1"/>
      </w:tblPr>
      <w:tblGrid>
        <w:gridCol w:w="4195"/>
        <w:gridCol w:w="2520"/>
        <w:gridCol w:w="2323"/>
      </w:tblGrid>
      <w:tr w:rsidR="0024004E" w:rsidRPr="00392B10" w14:paraId="618FE2A2" w14:textId="77777777" w:rsidTr="005368EE">
        <w:tc>
          <w:tcPr>
            <w:tcW w:w="4195" w:type="dxa"/>
            <w:vAlign w:val="center"/>
          </w:tcPr>
          <w:p w14:paraId="022FEC67" w14:textId="77777777" w:rsidR="0024004E" w:rsidRPr="00392B10" w:rsidRDefault="0024004E" w:rsidP="00E75D09">
            <w:pPr>
              <w:pStyle w:val="COMTabletext"/>
              <w:rPr>
                <w:b/>
                <w:bCs w:val="0"/>
              </w:rPr>
            </w:pPr>
            <w:r w:rsidRPr="00392B10">
              <w:rPr>
                <w:b/>
                <w:bCs w:val="0"/>
              </w:rPr>
              <w:t>Patients with events, n (%)</w:t>
            </w:r>
          </w:p>
        </w:tc>
        <w:tc>
          <w:tcPr>
            <w:tcW w:w="2520" w:type="dxa"/>
            <w:vAlign w:val="center"/>
          </w:tcPr>
          <w:p w14:paraId="038CD109" w14:textId="77777777" w:rsidR="0024004E" w:rsidRPr="00392B10" w:rsidRDefault="0024004E" w:rsidP="00E75D09">
            <w:pPr>
              <w:pStyle w:val="COMTableheadingrow"/>
              <w:jc w:val="center"/>
              <w:rPr>
                <w:lang w:val="en-AU"/>
              </w:rPr>
            </w:pPr>
            <w:r w:rsidRPr="00392B10">
              <w:rPr>
                <w:lang w:val="en-AU"/>
              </w:rPr>
              <w:t>Liposomal daunorubicin and cytarabine</w:t>
            </w:r>
          </w:p>
          <w:p w14:paraId="4C3C00CA" w14:textId="77777777" w:rsidR="0024004E" w:rsidRPr="00392B10" w:rsidRDefault="0024004E" w:rsidP="00E75D09">
            <w:pPr>
              <w:pStyle w:val="COMTableheadingrow"/>
              <w:jc w:val="center"/>
              <w:rPr>
                <w:lang w:val="en-AU"/>
              </w:rPr>
            </w:pPr>
            <w:r w:rsidRPr="00392B10">
              <w:rPr>
                <w:lang w:val="en-AU"/>
              </w:rPr>
              <w:t>N=153</w:t>
            </w:r>
          </w:p>
        </w:tc>
        <w:tc>
          <w:tcPr>
            <w:tcW w:w="2323" w:type="dxa"/>
            <w:vAlign w:val="center"/>
          </w:tcPr>
          <w:p w14:paraId="34F730E6" w14:textId="77777777" w:rsidR="0024004E" w:rsidRPr="00392B10" w:rsidRDefault="0024004E" w:rsidP="00E75D09">
            <w:pPr>
              <w:pStyle w:val="COMTableheadingrow"/>
              <w:jc w:val="center"/>
              <w:rPr>
                <w:lang w:val="en-AU"/>
              </w:rPr>
            </w:pPr>
            <w:r w:rsidRPr="00392B10">
              <w:rPr>
                <w:lang w:val="en-AU"/>
              </w:rPr>
              <w:t>Daunorubicin and cytarabine</w:t>
            </w:r>
          </w:p>
          <w:p w14:paraId="0A1BA4DA" w14:textId="77777777" w:rsidR="0024004E" w:rsidRPr="00392B10" w:rsidRDefault="0024004E" w:rsidP="00E75D09">
            <w:pPr>
              <w:pStyle w:val="COMTableheadingrow"/>
              <w:jc w:val="center"/>
              <w:rPr>
                <w:lang w:val="en-AU"/>
              </w:rPr>
            </w:pPr>
            <w:r w:rsidRPr="00392B10">
              <w:rPr>
                <w:lang w:val="en-AU"/>
              </w:rPr>
              <w:t>N=151</w:t>
            </w:r>
          </w:p>
        </w:tc>
      </w:tr>
      <w:tr w:rsidR="0024004E" w:rsidRPr="00392B10" w14:paraId="7288984D" w14:textId="77777777" w:rsidTr="005368EE">
        <w:tc>
          <w:tcPr>
            <w:tcW w:w="4195" w:type="dxa"/>
          </w:tcPr>
          <w:p w14:paraId="67F65DD4" w14:textId="77777777" w:rsidR="0024004E" w:rsidRPr="00392B10" w:rsidRDefault="0024004E" w:rsidP="00E75D09">
            <w:pPr>
              <w:pStyle w:val="COMTabletext"/>
            </w:pPr>
            <w:r w:rsidRPr="00392B10">
              <w:t>Any AE</w:t>
            </w:r>
          </w:p>
        </w:tc>
        <w:tc>
          <w:tcPr>
            <w:tcW w:w="2520" w:type="dxa"/>
            <w:vAlign w:val="center"/>
          </w:tcPr>
          <w:p w14:paraId="717A8D51" w14:textId="77777777" w:rsidR="0024004E" w:rsidRPr="00392B10" w:rsidRDefault="0024004E" w:rsidP="00E75D09">
            <w:pPr>
              <w:pStyle w:val="COMTabletext"/>
              <w:jc w:val="center"/>
            </w:pPr>
            <w:r w:rsidRPr="00392B10">
              <w:t>153 (100)</w:t>
            </w:r>
          </w:p>
        </w:tc>
        <w:tc>
          <w:tcPr>
            <w:tcW w:w="2323" w:type="dxa"/>
            <w:vAlign w:val="center"/>
          </w:tcPr>
          <w:p w14:paraId="058C4D92" w14:textId="77777777" w:rsidR="0024004E" w:rsidRPr="00392B10" w:rsidRDefault="0024004E" w:rsidP="00E75D09">
            <w:pPr>
              <w:pStyle w:val="COMTabletext"/>
              <w:jc w:val="center"/>
            </w:pPr>
            <w:r w:rsidRPr="00392B10">
              <w:t>151 (100)</w:t>
            </w:r>
          </w:p>
        </w:tc>
      </w:tr>
      <w:tr w:rsidR="0024004E" w:rsidRPr="00392B10" w14:paraId="7C48CC3F" w14:textId="77777777" w:rsidTr="005368EE">
        <w:tc>
          <w:tcPr>
            <w:tcW w:w="4195" w:type="dxa"/>
          </w:tcPr>
          <w:p w14:paraId="7D47C000" w14:textId="77777777" w:rsidR="0024004E" w:rsidRPr="00392B10" w:rsidRDefault="0024004E" w:rsidP="00E75D09">
            <w:pPr>
              <w:pStyle w:val="COMTabletext"/>
            </w:pPr>
            <w:r w:rsidRPr="00392B10">
              <w:t>Treatment discontinuation due to AE</w:t>
            </w:r>
          </w:p>
        </w:tc>
        <w:tc>
          <w:tcPr>
            <w:tcW w:w="2520" w:type="dxa"/>
            <w:vAlign w:val="center"/>
          </w:tcPr>
          <w:p w14:paraId="449DADEB" w14:textId="77777777" w:rsidR="0024004E" w:rsidRPr="00392B10" w:rsidRDefault="0024004E" w:rsidP="00E75D09">
            <w:pPr>
              <w:pStyle w:val="COMTabletext"/>
              <w:jc w:val="center"/>
            </w:pPr>
            <w:r w:rsidRPr="00392B10">
              <w:t>3 (2.0)</w:t>
            </w:r>
          </w:p>
        </w:tc>
        <w:tc>
          <w:tcPr>
            <w:tcW w:w="2323" w:type="dxa"/>
            <w:vAlign w:val="center"/>
          </w:tcPr>
          <w:p w14:paraId="7025FC31" w14:textId="77777777" w:rsidR="0024004E" w:rsidRPr="00392B10" w:rsidRDefault="0024004E" w:rsidP="00E75D09">
            <w:pPr>
              <w:pStyle w:val="COMTabletext"/>
              <w:jc w:val="center"/>
            </w:pPr>
            <w:r w:rsidRPr="00392B10">
              <w:t>2 (1.3)</w:t>
            </w:r>
          </w:p>
        </w:tc>
      </w:tr>
      <w:tr w:rsidR="0024004E" w:rsidRPr="00392B10" w14:paraId="43E734D7" w14:textId="77777777" w:rsidTr="005368EE">
        <w:tc>
          <w:tcPr>
            <w:tcW w:w="4195" w:type="dxa"/>
          </w:tcPr>
          <w:p w14:paraId="0FD0952F" w14:textId="3456D604" w:rsidR="0024004E" w:rsidRPr="00392B10" w:rsidRDefault="0024004E" w:rsidP="00E75D09">
            <w:pPr>
              <w:pStyle w:val="COMTabletext"/>
            </w:pPr>
            <w:r w:rsidRPr="00392B10">
              <w:t>Grade ≥</w:t>
            </w:r>
            <w:r w:rsidR="002B0CC3" w:rsidRPr="00392B10">
              <w:t xml:space="preserve"> </w:t>
            </w:r>
            <w:r w:rsidRPr="00392B10">
              <w:t>3 AE</w:t>
            </w:r>
          </w:p>
        </w:tc>
        <w:tc>
          <w:tcPr>
            <w:tcW w:w="2520" w:type="dxa"/>
            <w:vAlign w:val="center"/>
          </w:tcPr>
          <w:p w14:paraId="4FF7EF22" w14:textId="77777777" w:rsidR="0024004E" w:rsidRPr="00392B10" w:rsidRDefault="0024004E" w:rsidP="00E75D09">
            <w:pPr>
              <w:pStyle w:val="COMTabletext"/>
              <w:jc w:val="center"/>
            </w:pPr>
            <w:r w:rsidRPr="00392B10">
              <w:t>141 (92.2)</w:t>
            </w:r>
          </w:p>
        </w:tc>
        <w:tc>
          <w:tcPr>
            <w:tcW w:w="2323" w:type="dxa"/>
            <w:vAlign w:val="center"/>
          </w:tcPr>
          <w:p w14:paraId="759DDAFE" w14:textId="77777777" w:rsidR="0024004E" w:rsidRPr="00392B10" w:rsidRDefault="0024004E" w:rsidP="00E75D09">
            <w:pPr>
              <w:pStyle w:val="COMTabletext"/>
              <w:jc w:val="center"/>
            </w:pPr>
            <w:r w:rsidRPr="00392B10">
              <w:t>137 (90.7)</w:t>
            </w:r>
          </w:p>
        </w:tc>
      </w:tr>
      <w:tr w:rsidR="0024004E" w:rsidRPr="00392B10" w14:paraId="6513DD6B" w14:textId="77777777" w:rsidTr="005368EE">
        <w:tc>
          <w:tcPr>
            <w:tcW w:w="4195" w:type="dxa"/>
          </w:tcPr>
          <w:p w14:paraId="17E2EB9B" w14:textId="77777777" w:rsidR="0024004E" w:rsidRPr="00392B10" w:rsidRDefault="0024004E" w:rsidP="00E75D09">
            <w:pPr>
              <w:pStyle w:val="COMTabletext"/>
            </w:pPr>
            <w:r w:rsidRPr="00392B10">
              <w:t>Serious AE</w:t>
            </w:r>
          </w:p>
        </w:tc>
        <w:tc>
          <w:tcPr>
            <w:tcW w:w="2520" w:type="dxa"/>
            <w:vAlign w:val="center"/>
          </w:tcPr>
          <w:p w14:paraId="7775686E" w14:textId="77777777" w:rsidR="0024004E" w:rsidRPr="00392B10" w:rsidRDefault="0024004E" w:rsidP="00E75D09">
            <w:pPr>
              <w:pStyle w:val="COMTabletext"/>
              <w:jc w:val="center"/>
            </w:pPr>
            <w:r w:rsidRPr="00392B10">
              <w:t>90 (58.8)</w:t>
            </w:r>
          </w:p>
        </w:tc>
        <w:tc>
          <w:tcPr>
            <w:tcW w:w="2323" w:type="dxa"/>
            <w:vAlign w:val="center"/>
          </w:tcPr>
          <w:p w14:paraId="6E343CF8" w14:textId="77777777" w:rsidR="0024004E" w:rsidRPr="00392B10" w:rsidRDefault="0024004E" w:rsidP="00E75D09">
            <w:pPr>
              <w:pStyle w:val="COMTabletext"/>
              <w:jc w:val="center"/>
            </w:pPr>
            <w:r w:rsidRPr="00392B10">
              <w:t>65 (43.0)</w:t>
            </w:r>
          </w:p>
        </w:tc>
      </w:tr>
      <w:tr w:rsidR="0024004E" w:rsidRPr="00392B10" w14:paraId="27EDF871" w14:textId="77777777" w:rsidTr="005368EE">
        <w:tc>
          <w:tcPr>
            <w:tcW w:w="4195" w:type="dxa"/>
          </w:tcPr>
          <w:p w14:paraId="46223E4B" w14:textId="77777777" w:rsidR="0024004E" w:rsidRPr="00392B10" w:rsidRDefault="0024004E" w:rsidP="00E75D09">
            <w:pPr>
              <w:pStyle w:val="COMTabletext"/>
              <w:rPr>
                <w:vertAlign w:val="superscript"/>
              </w:rPr>
            </w:pPr>
            <w:r w:rsidRPr="00392B10">
              <w:t xml:space="preserve">Deaths </w:t>
            </w:r>
            <w:r w:rsidRPr="00392B10">
              <w:rPr>
                <w:vertAlign w:val="superscript"/>
              </w:rPr>
              <w:t>a</w:t>
            </w:r>
          </w:p>
        </w:tc>
        <w:tc>
          <w:tcPr>
            <w:tcW w:w="2520" w:type="dxa"/>
            <w:vAlign w:val="center"/>
          </w:tcPr>
          <w:p w14:paraId="2ABC96B8" w14:textId="77777777" w:rsidR="0024004E" w:rsidRPr="00392B10" w:rsidRDefault="0024004E" w:rsidP="00E75D09">
            <w:pPr>
              <w:pStyle w:val="COMTabletext"/>
              <w:jc w:val="center"/>
            </w:pPr>
            <w:r w:rsidRPr="00392B10">
              <w:t>106 (69.3)</w:t>
            </w:r>
          </w:p>
        </w:tc>
        <w:tc>
          <w:tcPr>
            <w:tcW w:w="2323" w:type="dxa"/>
            <w:vAlign w:val="center"/>
          </w:tcPr>
          <w:p w14:paraId="1FEED1A9" w14:textId="77777777" w:rsidR="0024004E" w:rsidRPr="00392B10" w:rsidRDefault="0024004E" w:rsidP="00E75D09">
            <w:pPr>
              <w:pStyle w:val="COMTabletext"/>
              <w:jc w:val="center"/>
            </w:pPr>
            <w:r w:rsidRPr="00392B10">
              <w:t>128 (84.8)</w:t>
            </w:r>
          </w:p>
        </w:tc>
      </w:tr>
      <w:tr w:rsidR="0024004E" w:rsidRPr="00392B10" w14:paraId="5E703214" w14:textId="77777777" w:rsidTr="005368EE">
        <w:tc>
          <w:tcPr>
            <w:tcW w:w="4195" w:type="dxa"/>
          </w:tcPr>
          <w:p w14:paraId="6F60DBCB" w14:textId="77777777" w:rsidR="0024004E" w:rsidRPr="00392B10" w:rsidRDefault="0024004E" w:rsidP="00E75D09">
            <w:pPr>
              <w:pStyle w:val="COMTabletext"/>
            </w:pPr>
            <w:r w:rsidRPr="00392B10">
              <w:t>- Progressive leukaemia</w:t>
            </w:r>
          </w:p>
        </w:tc>
        <w:tc>
          <w:tcPr>
            <w:tcW w:w="2520" w:type="dxa"/>
            <w:vAlign w:val="center"/>
          </w:tcPr>
          <w:p w14:paraId="71DCE54B" w14:textId="77777777" w:rsidR="0024004E" w:rsidRPr="00392B10" w:rsidRDefault="0024004E" w:rsidP="00E75D09">
            <w:pPr>
              <w:pStyle w:val="COMTabletext"/>
              <w:jc w:val="center"/>
            </w:pPr>
            <w:r w:rsidRPr="00392B10">
              <w:t>65 (61.3)</w:t>
            </w:r>
          </w:p>
        </w:tc>
        <w:tc>
          <w:tcPr>
            <w:tcW w:w="2323" w:type="dxa"/>
            <w:vAlign w:val="center"/>
          </w:tcPr>
          <w:p w14:paraId="42555379" w14:textId="77777777" w:rsidR="0024004E" w:rsidRPr="00392B10" w:rsidRDefault="0024004E" w:rsidP="00E75D09">
            <w:pPr>
              <w:pStyle w:val="COMTabletext"/>
              <w:jc w:val="center"/>
            </w:pPr>
            <w:r w:rsidRPr="00392B10">
              <w:t>67 (52.3)</w:t>
            </w:r>
          </w:p>
        </w:tc>
      </w:tr>
      <w:tr w:rsidR="0024004E" w:rsidRPr="00392B10" w14:paraId="7F8C6A84" w14:textId="77777777" w:rsidTr="005368EE">
        <w:tc>
          <w:tcPr>
            <w:tcW w:w="4195" w:type="dxa"/>
          </w:tcPr>
          <w:p w14:paraId="113E2367" w14:textId="77777777" w:rsidR="0024004E" w:rsidRPr="00392B10" w:rsidRDefault="0024004E" w:rsidP="00E75D09">
            <w:pPr>
              <w:pStyle w:val="COMTabletext"/>
            </w:pPr>
            <w:r w:rsidRPr="00392B10">
              <w:t>- Non-progressive disease, cancer-related organ failure</w:t>
            </w:r>
          </w:p>
        </w:tc>
        <w:tc>
          <w:tcPr>
            <w:tcW w:w="2520" w:type="dxa"/>
            <w:vAlign w:val="center"/>
          </w:tcPr>
          <w:p w14:paraId="17E0DCBE" w14:textId="77777777" w:rsidR="0024004E" w:rsidRPr="00392B10" w:rsidRDefault="0024004E" w:rsidP="00E75D09">
            <w:pPr>
              <w:pStyle w:val="COMTabletext"/>
              <w:jc w:val="center"/>
            </w:pPr>
            <w:r w:rsidRPr="00392B10">
              <w:t>0</w:t>
            </w:r>
          </w:p>
        </w:tc>
        <w:tc>
          <w:tcPr>
            <w:tcW w:w="2323" w:type="dxa"/>
            <w:vAlign w:val="center"/>
          </w:tcPr>
          <w:p w14:paraId="288132F3" w14:textId="77777777" w:rsidR="0024004E" w:rsidRPr="00392B10" w:rsidRDefault="0024004E" w:rsidP="00E75D09">
            <w:pPr>
              <w:pStyle w:val="COMTabletext"/>
              <w:jc w:val="center"/>
            </w:pPr>
            <w:r w:rsidRPr="00392B10">
              <w:t>5 (3.9)</w:t>
            </w:r>
          </w:p>
        </w:tc>
      </w:tr>
      <w:tr w:rsidR="0024004E" w:rsidRPr="00392B10" w14:paraId="036CB943" w14:textId="77777777" w:rsidTr="005368EE">
        <w:tc>
          <w:tcPr>
            <w:tcW w:w="4195" w:type="dxa"/>
          </w:tcPr>
          <w:p w14:paraId="48DF4CC7" w14:textId="77777777" w:rsidR="0024004E" w:rsidRPr="00392B10" w:rsidRDefault="0024004E" w:rsidP="00E75D09">
            <w:pPr>
              <w:pStyle w:val="COMTabletext"/>
            </w:pPr>
            <w:r w:rsidRPr="00392B10">
              <w:t>- Adverse event</w:t>
            </w:r>
          </w:p>
        </w:tc>
        <w:tc>
          <w:tcPr>
            <w:tcW w:w="2520" w:type="dxa"/>
            <w:vAlign w:val="center"/>
          </w:tcPr>
          <w:p w14:paraId="39914DD4" w14:textId="77777777" w:rsidR="0024004E" w:rsidRPr="00392B10" w:rsidRDefault="0024004E" w:rsidP="00E75D09">
            <w:pPr>
              <w:pStyle w:val="COMTabletext"/>
              <w:jc w:val="center"/>
            </w:pPr>
            <w:r w:rsidRPr="00392B10">
              <w:t>15 (14.2)</w:t>
            </w:r>
          </w:p>
        </w:tc>
        <w:tc>
          <w:tcPr>
            <w:tcW w:w="2323" w:type="dxa"/>
            <w:vAlign w:val="center"/>
          </w:tcPr>
          <w:p w14:paraId="16638833" w14:textId="77777777" w:rsidR="0024004E" w:rsidRPr="00392B10" w:rsidRDefault="0024004E" w:rsidP="00E75D09">
            <w:pPr>
              <w:pStyle w:val="COMTabletext"/>
              <w:jc w:val="center"/>
            </w:pPr>
            <w:r w:rsidRPr="00392B10">
              <w:t>19 (14.8)</w:t>
            </w:r>
          </w:p>
        </w:tc>
      </w:tr>
      <w:tr w:rsidR="0024004E" w:rsidRPr="00392B10" w14:paraId="71749F2C" w14:textId="77777777" w:rsidTr="005368EE">
        <w:tc>
          <w:tcPr>
            <w:tcW w:w="4195" w:type="dxa"/>
          </w:tcPr>
          <w:p w14:paraId="7D0C03AC" w14:textId="77777777" w:rsidR="0024004E" w:rsidRPr="00392B10" w:rsidRDefault="0024004E" w:rsidP="00E75D09">
            <w:pPr>
              <w:pStyle w:val="COMTabletext"/>
            </w:pPr>
            <w:r w:rsidRPr="00392B10">
              <w:t>- Unknown</w:t>
            </w:r>
          </w:p>
        </w:tc>
        <w:tc>
          <w:tcPr>
            <w:tcW w:w="2520" w:type="dxa"/>
            <w:vAlign w:val="center"/>
          </w:tcPr>
          <w:p w14:paraId="50F5D080" w14:textId="77777777" w:rsidR="0024004E" w:rsidRPr="00392B10" w:rsidRDefault="0024004E" w:rsidP="00E75D09">
            <w:pPr>
              <w:pStyle w:val="COMTabletext"/>
              <w:jc w:val="center"/>
            </w:pPr>
            <w:r w:rsidRPr="00392B10">
              <w:t>10 (9.4)</w:t>
            </w:r>
          </w:p>
        </w:tc>
        <w:tc>
          <w:tcPr>
            <w:tcW w:w="2323" w:type="dxa"/>
            <w:vAlign w:val="center"/>
          </w:tcPr>
          <w:p w14:paraId="014C9173" w14:textId="77777777" w:rsidR="0024004E" w:rsidRPr="00392B10" w:rsidRDefault="0024004E" w:rsidP="00E75D09">
            <w:pPr>
              <w:pStyle w:val="COMTabletext"/>
              <w:jc w:val="center"/>
            </w:pPr>
            <w:r w:rsidRPr="00392B10">
              <w:t>22 (17.2)</w:t>
            </w:r>
          </w:p>
        </w:tc>
      </w:tr>
      <w:tr w:rsidR="0024004E" w:rsidRPr="00392B10" w14:paraId="27F86643" w14:textId="77777777" w:rsidTr="00E75D09">
        <w:tc>
          <w:tcPr>
            <w:tcW w:w="9038" w:type="dxa"/>
            <w:gridSpan w:val="3"/>
            <w:vAlign w:val="center"/>
          </w:tcPr>
          <w:p w14:paraId="220B563F" w14:textId="77777777" w:rsidR="0024004E" w:rsidRPr="00392B10" w:rsidRDefault="0024004E" w:rsidP="00E75D09">
            <w:pPr>
              <w:pStyle w:val="COMTableheadingrow"/>
              <w:rPr>
                <w:lang w:val="en-AU"/>
              </w:rPr>
            </w:pPr>
            <w:r w:rsidRPr="00392B10">
              <w:rPr>
                <w:lang w:val="en-AU"/>
              </w:rPr>
              <w:t>Adverse events of special interest</w:t>
            </w:r>
          </w:p>
        </w:tc>
      </w:tr>
      <w:tr w:rsidR="0024004E" w:rsidRPr="00392B10" w14:paraId="3C7EA6AF" w14:textId="77777777" w:rsidTr="005368EE">
        <w:tc>
          <w:tcPr>
            <w:tcW w:w="4195" w:type="dxa"/>
          </w:tcPr>
          <w:p w14:paraId="7F77D4BA" w14:textId="77777777" w:rsidR="0024004E" w:rsidRPr="00392B10" w:rsidRDefault="0024004E" w:rsidP="00E75D09">
            <w:pPr>
              <w:pStyle w:val="COMTabletext"/>
            </w:pPr>
            <w:r w:rsidRPr="00392B10">
              <w:t>Infection</w:t>
            </w:r>
          </w:p>
        </w:tc>
        <w:tc>
          <w:tcPr>
            <w:tcW w:w="2520" w:type="dxa"/>
            <w:vAlign w:val="center"/>
          </w:tcPr>
          <w:p w14:paraId="3328F335" w14:textId="77777777" w:rsidR="0024004E" w:rsidRPr="00392B10" w:rsidRDefault="0024004E" w:rsidP="00E75D09">
            <w:pPr>
              <w:pStyle w:val="COMTabletext"/>
              <w:jc w:val="center"/>
            </w:pPr>
            <w:r w:rsidRPr="00392B10">
              <w:t>142 (92.8)</w:t>
            </w:r>
          </w:p>
        </w:tc>
        <w:tc>
          <w:tcPr>
            <w:tcW w:w="2323" w:type="dxa"/>
            <w:vAlign w:val="center"/>
          </w:tcPr>
          <w:p w14:paraId="45071A09" w14:textId="77777777" w:rsidR="0024004E" w:rsidRPr="00392B10" w:rsidRDefault="0024004E" w:rsidP="00E75D09">
            <w:pPr>
              <w:pStyle w:val="COMTabletext"/>
              <w:jc w:val="center"/>
            </w:pPr>
            <w:r w:rsidRPr="00392B10">
              <w:t>140 (92.7)</w:t>
            </w:r>
          </w:p>
        </w:tc>
      </w:tr>
      <w:tr w:rsidR="0024004E" w:rsidRPr="00392B10" w14:paraId="54D9094E" w14:textId="77777777" w:rsidTr="005368EE">
        <w:tc>
          <w:tcPr>
            <w:tcW w:w="4195" w:type="dxa"/>
          </w:tcPr>
          <w:p w14:paraId="61CD5220" w14:textId="77777777" w:rsidR="0024004E" w:rsidRPr="00392B10" w:rsidRDefault="0024004E" w:rsidP="00E75D09">
            <w:pPr>
              <w:pStyle w:val="COMTabletext"/>
            </w:pPr>
            <w:r w:rsidRPr="00392B10">
              <w:t>Bleeding</w:t>
            </w:r>
          </w:p>
        </w:tc>
        <w:tc>
          <w:tcPr>
            <w:tcW w:w="2520" w:type="dxa"/>
            <w:vAlign w:val="center"/>
          </w:tcPr>
          <w:p w14:paraId="1CD48B91" w14:textId="77777777" w:rsidR="0024004E" w:rsidRPr="00392B10" w:rsidRDefault="0024004E" w:rsidP="00E75D09">
            <w:pPr>
              <w:pStyle w:val="COMTabletext"/>
              <w:jc w:val="center"/>
            </w:pPr>
            <w:r w:rsidRPr="00392B10">
              <w:t>114 (74.5)</w:t>
            </w:r>
          </w:p>
        </w:tc>
        <w:tc>
          <w:tcPr>
            <w:tcW w:w="2323" w:type="dxa"/>
            <w:vAlign w:val="center"/>
          </w:tcPr>
          <w:p w14:paraId="20FAE968" w14:textId="77777777" w:rsidR="0024004E" w:rsidRPr="00392B10" w:rsidRDefault="0024004E" w:rsidP="00E75D09">
            <w:pPr>
              <w:pStyle w:val="COMTabletext"/>
              <w:jc w:val="center"/>
            </w:pPr>
            <w:r w:rsidRPr="00392B10">
              <w:t>90 (59.6)</w:t>
            </w:r>
          </w:p>
        </w:tc>
      </w:tr>
      <w:tr w:rsidR="0024004E" w:rsidRPr="00392B10" w14:paraId="1F5B14CA" w14:textId="77777777" w:rsidTr="005368EE">
        <w:tc>
          <w:tcPr>
            <w:tcW w:w="4195" w:type="dxa"/>
          </w:tcPr>
          <w:p w14:paraId="2546DCF7" w14:textId="77777777" w:rsidR="0024004E" w:rsidRPr="00392B10" w:rsidRDefault="0024004E" w:rsidP="00E75D09">
            <w:pPr>
              <w:pStyle w:val="COMTabletext"/>
            </w:pPr>
            <w:r w:rsidRPr="00392B10">
              <w:t>Cardiac</w:t>
            </w:r>
          </w:p>
        </w:tc>
        <w:tc>
          <w:tcPr>
            <w:tcW w:w="2520" w:type="dxa"/>
            <w:vAlign w:val="center"/>
          </w:tcPr>
          <w:p w14:paraId="2A97AB3A" w14:textId="77777777" w:rsidR="0024004E" w:rsidRPr="00392B10" w:rsidRDefault="0024004E" w:rsidP="00E75D09">
            <w:pPr>
              <w:pStyle w:val="COMTabletext"/>
              <w:jc w:val="center"/>
            </w:pPr>
            <w:r w:rsidRPr="00392B10">
              <w:t>75 (49.0)</w:t>
            </w:r>
          </w:p>
        </w:tc>
        <w:tc>
          <w:tcPr>
            <w:tcW w:w="2323" w:type="dxa"/>
            <w:vAlign w:val="center"/>
          </w:tcPr>
          <w:p w14:paraId="17908C17" w14:textId="77777777" w:rsidR="0024004E" w:rsidRPr="00392B10" w:rsidRDefault="0024004E" w:rsidP="00E75D09">
            <w:pPr>
              <w:pStyle w:val="COMTabletext"/>
              <w:jc w:val="center"/>
            </w:pPr>
            <w:r w:rsidRPr="00392B10">
              <w:t>72 (47.7)</w:t>
            </w:r>
          </w:p>
        </w:tc>
      </w:tr>
    </w:tbl>
    <w:p w14:paraId="04395956" w14:textId="77777777" w:rsidR="0024004E" w:rsidRPr="00392B10" w:rsidRDefault="0024004E" w:rsidP="0024004E">
      <w:pPr>
        <w:pStyle w:val="COMTablefooter"/>
        <w:keepNext/>
      </w:pPr>
      <w:r w:rsidRPr="00392B10">
        <w:t>Source: Table 2.11, p51; Table 16, p75; Table 14.3.1.1, p208; Table 14.3.3.2, p401 of the Study 301 trial report</w:t>
      </w:r>
    </w:p>
    <w:p w14:paraId="2724E474" w14:textId="025D2EE6" w:rsidR="0024004E" w:rsidRPr="00392B10" w:rsidRDefault="0024004E" w:rsidP="0024004E">
      <w:pPr>
        <w:pStyle w:val="COMTablefooter"/>
        <w:keepNext/>
      </w:pPr>
      <w:r w:rsidRPr="00392B10">
        <w:t>AE</w:t>
      </w:r>
      <w:r w:rsidR="002B0CC3" w:rsidRPr="00392B10">
        <w:t xml:space="preserve"> =</w:t>
      </w:r>
      <w:r w:rsidRPr="00392B10">
        <w:t xml:space="preserve"> adverse event</w:t>
      </w:r>
    </w:p>
    <w:p w14:paraId="4D5CF00F" w14:textId="77777777" w:rsidR="0024004E" w:rsidRPr="00392B10" w:rsidRDefault="0024004E" w:rsidP="0024004E">
      <w:pPr>
        <w:pStyle w:val="COMTablefooter"/>
        <w:keepNext/>
      </w:pPr>
      <w:r w:rsidRPr="00392B10">
        <w:rPr>
          <w:vertAlign w:val="superscript"/>
        </w:rPr>
        <w:t>a</w:t>
      </w:r>
      <w:r w:rsidRPr="00392B10">
        <w:t xml:space="preserve"> An additional 3 deaths were observed after the end of the follow-up phase, 1 in the liposomal daunorubicin and cytarabine group and 2 in the daunorubicin and cytarabine </w:t>
      </w:r>
      <w:proofErr w:type="gramStart"/>
      <w:r w:rsidRPr="00392B10">
        <w:t>group</w:t>
      </w:r>
      <w:proofErr w:type="gramEnd"/>
    </w:p>
    <w:p w14:paraId="34706E38" w14:textId="25DC5BF4" w:rsidR="0024004E" w:rsidRPr="00392B10" w:rsidRDefault="002F18EA" w:rsidP="0024004E">
      <w:pPr>
        <w:pStyle w:val="COMexecsumnumberedpara"/>
      </w:pPr>
      <w:r w:rsidRPr="00392B10">
        <w:t>All patients in the trial experienced at least one adverse event, with similar types of events occurring in both arms. The most frequently reported adverse events by preferred term, occurring in at least 40% of patients in either treatment group, were febrile neutropenia, diarrhoea, nausea, peripheral oedema, constipation and decreased appetite.</w:t>
      </w:r>
    </w:p>
    <w:p w14:paraId="11C056A4" w14:textId="61FA792E" w:rsidR="002F18EA" w:rsidRPr="00392B10" w:rsidRDefault="002F18EA" w:rsidP="0024004E">
      <w:pPr>
        <w:pStyle w:val="COMexecsumnumberedpara"/>
      </w:pPr>
      <w:r w:rsidRPr="00392B10">
        <w:t>The incidence of serious adverse events was higher in the liposomal daunorubicin and cytarabine arm compared with the daunorubicin and cytarabine arm. A greater proportion of patients in the liposomal daunorubicin and cytarabine arm experienced serious events of febrile neutropenia, respiratory failure, sepsis and pneumonia. Progressive or relapsed disease was the leading cause of death for both arms of the trial.</w:t>
      </w:r>
    </w:p>
    <w:p w14:paraId="6107CFF2" w14:textId="2C0A8B7A" w:rsidR="002F18EA" w:rsidRPr="00392B10" w:rsidRDefault="002F18EA" w:rsidP="0024004E">
      <w:pPr>
        <w:pStyle w:val="COMexecsumnumberedpara"/>
      </w:pPr>
      <w:r w:rsidRPr="00392B10">
        <w:t>More patients in the liposomal daunorubicin and cytarabine arm experienced bleeding-related adverse events. The most notable differences between liposomal daunorubicin and cytarabine versus daunorubicin and cytarabine groups were for epistaxis (35.9% vs 17.9%, respectively), mouth haemorrhage (10.5% vs 5.3%, respectively) and blood blister (9.2% vs 3.3%, respectively).</w:t>
      </w:r>
    </w:p>
    <w:p w14:paraId="2B959D0A" w14:textId="56EC303C" w:rsidR="002F18EA" w:rsidRPr="00392B10" w:rsidRDefault="002F18EA" w:rsidP="0024004E">
      <w:pPr>
        <w:pStyle w:val="COMexecsumnumberedpara"/>
      </w:pPr>
      <w:r w:rsidRPr="00392B10">
        <w:t xml:space="preserve">The median time to neutrophil and platelet recovery was assessed in patients who achieved response after initial induction chemotherapy. The results indicated longer recovery times with liposomal daunorubicin and cytarabine (35-37 days) compared to daunorubicin and cytarabine (29 days). This was consistent with warnings in the </w:t>
      </w:r>
      <w:r w:rsidR="000B007B" w:rsidRPr="00392B10">
        <w:t>P</w:t>
      </w:r>
      <w:r w:rsidRPr="00392B10">
        <w:t xml:space="preserve">roduct </w:t>
      </w:r>
      <w:r w:rsidR="000B007B" w:rsidRPr="00392B10">
        <w:t>I</w:t>
      </w:r>
      <w:r w:rsidRPr="00392B10">
        <w:t>nformation regarding prolonged time to recovery of neutrophils and platelets requiring additional monitoring and use of prophylactic anti-infectives and supportive measures to manage myelosuppressive complications (e.g. colony-stimulating factors, transfusions).</w:t>
      </w:r>
    </w:p>
    <w:p w14:paraId="22EC3784" w14:textId="1C0335F3" w:rsidR="002F18EA" w:rsidRPr="00392B10" w:rsidRDefault="002F18EA" w:rsidP="0024004E">
      <w:pPr>
        <w:pStyle w:val="COMexecsumnumberedpara"/>
      </w:pPr>
      <w:r w:rsidRPr="00392B10">
        <w:lastRenderedPageBreak/>
        <w:t>The submission noted that the longer treatment duration for liposomal daunorubicin and cytarabine could have potentially resulted in the reporting of a greater number of adverse events in this group compared to the daunorubicin and cytarabine group. However, the trial report noted that rates of adverse events (i.e. number of events over follow-up duration) were not calculated.</w:t>
      </w:r>
    </w:p>
    <w:p w14:paraId="7912C686" w14:textId="60EB6480" w:rsidR="002F18EA" w:rsidRPr="00392B10" w:rsidRDefault="002F18EA" w:rsidP="0024004E">
      <w:pPr>
        <w:pStyle w:val="COMexecsumnumberedpara"/>
      </w:pPr>
      <w:r w:rsidRPr="00392B10">
        <w:t xml:space="preserve">The submission conducted an </w:t>
      </w:r>
      <w:r w:rsidRPr="00392B10">
        <w:rPr>
          <w:i/>
          <w:iCs/>
        </w:rPr>
        <w:t>ad hoc</w:t>
      </w:r>
      <w:r w:rsidRPr="00392B10">
        <w:t xml:space="preserve"> analysis of safety data to determine adverse events rates (see </w:t>
      </w:r>
      <w:r w:rsidR="00685B7C" w:rsidRPr="00392B10">
        <w:fldChar w:fldCharType="begin" w:fldLock="1"/>
      </w:r>
      <w:r w:rsidR="00685B7C" w:rsidRPr="00392B10">
        <w:instrText xml:space="preserve"> REF _Ref134467410 \h </w:instrText>
      </w:r>
      <w:r w:rsidR="00685B7C" w:rsidRPr="00392B10">
        <w:fldChar w:fldCharType="separate"/>
      </w:r>
      <w:r w:rsidR="00C24535" w:rsidRPr="00392B10">
        <w:t xml:space="preserve">Table </w:t>
      </w:r>
      <w:r w:rsidR="00C24535" w:rsidRPr="000366BF">
        <w:t>9</w:t>
      </w:r>
      <w:r w:rsidR="00685B7C" w:rsidRPr="00392B10">
        <w:fldChar w:fldCharType="end"/>
      </w:r>
      <w:r w:rsidRPr="00392B10">
        <w:t>).</w:t>
      </w:r>
    </w:p>
    <w:p w14:paraId="21E30826" w14:textId="3497EAE4" w:rsidR="002F18EA" w:rsidRPr="00392B10" w:rsidRDefault="002F18EA" w:rsidP="006135C6">
      <w:pPr>
        <w:pStyle w:val="Caption"/>
      </w:pPr>
      <w:bookmarkStart w:id="36" w:name="_Ref134467410"/>
      <w:r w:rsidRPr="00392B10">
        <w:t xml:space="preserve">Table </w:t>
      </w:r>
      <w:r w:rsidR="00795A1F">
        <w:fldChar w:fldCharType="begin" w:fldLock="1"/>
      </w:r>
      <w:r w:rsidR="00795A1F">
        <w:instrText xml:space="preserve"> SEQ Table \* ARABIC </w:instrText>
      </w:r>
      <w:r w:rsidR="00795A1F">
        <w:fldChar w:fldCharType="separate"/>
      </w:r>
      <w:r w:rsidR="00C24535" w:rsidRPr="000366BF">
        <w:t>9</w:t>
      </w:r>
      <w:r w:rsidR="00795A1F">
        <w:fldChar w:fldCharType="end"/>
      </w:r>
      <w:bookmarkEnd w:id="36"/>
      <w:r w:rsidRPr="00392B10">
        <w:t xml:space="preserve">: Incidence rate of adverse events in Study 301 (safety population, </w:t>
      </w:r>
      <w:r w:rsidRPr="00392B10">
        <w:rPr>
          <w:i/>
          <w:iCs/>
        </w:rPr>
        <w:t>ad hoc</w:t>
      </w:r>
      <w:r w:rsidRPr="00392B10">
        <w:t xml:space="preserve"> analysis)</w:t>
      </w:r>
    </w:p>
    <w:tbl>
      <w:tblPr>
        <w:tblStyle w:val="TableGrid"/>
        <w:tblW w:w="0" w:type="auto"/>
        <w:tblLook w:val="04A0" w:firstRow="1" w:lastRow="0" w:firstColumn="1" w:lastColumn="0" w:noHBand="0" w:noVBand="1"/>
      </w:tblPr>
      <w:tblGrid>
        <w:gridCol w:w="1803"/>
        <w:gridCol w:w="1803"/>
        <w:gridCol w:w="1803"/>
        <w:gridCol w:w="1804"/>
        <w:gridCol w:w="1804"/>
      </w:tblGrid>
      <w:tr w:rsidR="002F18EA" w:rsidRPr="00392B10" w14:paraId="5B5C996C" w14:textId="77777777" w:rsidTr="00E75D09">
        <w:tc>
          <w:tcPr>
            <w:tcW w:w="1803" w:type="dxa"/>
            <w:vMerge w:val="restart"/>
          </w:tcPr>
          <w:p w14:paraId="1DBC6E1A" w14:textId="77777777" w:rsidR="002F18EA" w:rsidRPr="00392B10" w:rsidRDefault="002F18EA" w:rsidP="00E75D09">
            <w:pPr>
              <w:pStyle w:val="COMTabletext"/>
            </w:pPr>
          </w:p>
        </w:tc>
        <w:tc>
          <w:tcPr>
            <w:tcW w:w="3606" w:type="dxa"/>
            <w:gridSpan w:val="2"/>
            <w:vAlign w:val="center"/>
          </w:tcPr>
          <w:p w14:paraId="60D89C2F" w14:textId="77777777" w:rsidR="002F18EA" w:rsidRPr="00392B10" w:rsidRDefault="002F18EA" w:rsidP="00E75D09">
            <w:pPr>
              <w:pStyle w:val="COMTableheadingrow"/>
              <w:jc w:val="center"/>
              <w:rPr>
                <w:lang w:val="en-AU"/>
              </w:rPr>
            </w:pPr>
            <w:r w:rsidRPr="00392B10">
              <w:rPr>
                <w:lang w:val="en-AU"/>
              </w:rPr>
              <w:t>Liposomal daunorubicin and cytarabine</w:t>
            </w:r>
          </w:p>
          <w:p w14:paraId="70EC8E83" w14:textId="77777777" w:rsidR="002F18EA" w:rsidRPr="00392B10" w:rsidRDefault="002F18EA" w:rsidP="00E75D09">
            <w:pPr>
              <w:pStyle w:val="COMTableheadingrow"/>
              <w:jc w:val="center"/>
              <w:rPr>
                <w:lang w:val="en-AU"/>
              </w:rPr>
            </w:pPr>
            <w:r w:rsidRPr="00392B10">
              <w:rPr>
                <w:lang w:val="en-AU"/>
              </w:rPr>
              <w:t>N=153</w:t>
            </w:r>
          </w:p>
        </w:tc>
        <w:tc>
          <w:tcPr>
            <w:tcW w:w="3608" w:type="dxa"/>
            <w:gridSpan w:val="2"/>
            <w:vAlign w:val="center"/>
          </w:tcPr>
          <w:p w14:paraId="3E2436D2" w14:textId="77777777" w:rsidR="002F18EA" w:rsidRPr="00392B10" w:rsidRDefault="002F18EA" w:rsidP="00E75D09">
            <w:pPr>
              <w:pStyle w:val="COMTableheadingrow"/>
              <w:jc w:val="center"/>
              <w:rPr>
                <w:lang w:val="en-AU"/>
              </w:rPr>
            </w:pPr>
            <w:r w:rsidRPr="00392B10">
              <w:rPr>
                <w:lang w:val="en-AU"/>
              </w:rPr>
              <w:t>Daunorubicin and cytarabine</w:t>
            </w:r>
          </w:p>
          <w:p w14:paraId="0E57DA41" w14:textId="77777777" w:rsidR="002F18EA" w:rsidRPr="00392B10" w:rsidRDefault="002F18EA" w:rsidP="00E75D09">
            <w:pPr>
              <w:pStyle w:val="COMTableheadingrow"/>
              <w:jc w:val="center"/>
              <w:rPr>
                <w:lang w:val="en-AU"/>
              </w:rPr>
            </w:pPr>
            <w:r w:rsidRPr="00392B10">
              <w:rPr>
                <w:lang w:val="en-AU"/>
              </w:rPr>
              <w:t>N=151</w:t>
            </w:r>
          </w:p>
        </w:tc>
      </w:tr>
      <w:tr w:rsidR="002F18EA" w:rsidRPr="00392B10" w14:paraId="65DFD191" w14:textId="77777777" w:rsidTr="00E75D09">
        <w:tc>
          <w:tcPr>
            <w:tcW w:w="1803" w:type="dxa"/>
            <w:vMerge/>
          </w:tcPr>
          <w:p w14:paraId="0A76ABB7" w14:textId="77777777" w:rsidR="002F18EA" w:rsidRPr="00392B10" w:rsidRDefault="002F18EA" w:rsidP="00E75D09">
            <w:pPr>
              <w:pStyle w:val="COMTabletext"/>
            </w:pPr>
          </w:p>
        </w:tc>
        <w:tc>
          <w:tcPr>
            <w:tcW w:w="1803" w:type="dxa"/>
            <w:vAlign w:val="center"/>
          </w:tcPr>
          <w:p w14:paraId="05A6390A" w14:textId="77777777" w:rsidR="002F18EA" w:rsidRPr="00392B10" w:rsidRDefault="002F18EA" w:rsidP="00E75D09">
            <w:pPr>
              <w:pStyle w:val="COMTableheadingrow"/>
              <w:jc w:val="center"/>
              <w:rPr>
                <w:lang w:val="en-AU"/>
              </w:rPr>
            </w:pPr>
            <w:r w:rsidRPr="00392B10">
              <w:rPr>
                <w:lang w:val="en-AU"/>
              </w:rPr>
              <w:t>Mean rate per patient-year (SD)</w:t>
            </w:r>
          </w:p>
        </w:tc>
        <w:tc>
          <w:tcPr>
            <w:tcW w:w="1803" w:type="dxa"/>
            <w:vAlign w:val="center"/>
          </w:tcPr>
          <w:p w14:paraId="54E6F8E4" w14:textId="77777777" w:rsidR="002F18EA" w:rsidRPr="00392B10" w:rsidRDefault="002F18EA" w:rsidP="00E75D09">
            <w:pPr>
              <w:pStyle w:val="COMTableheadingrow"/>
              <w:jc w:val="center"/>
              <w:rPr>
                <w:lang w:val="en-AU"/>
              </w:rPr>
            </w:pPr>
            <w:r w:rsidRPr="00392B10">
              <w:rPr>
                <w:lang w:val="en-AU"/>
              </w:rPr>
              <w:t>Median rate per patient-year (range)</w:t>
            </w:r>
          </w:p>
        </w:tc>
        <w:tc>
          <w:tcPr>
            <w:tcW w:w="1804" w:type="dxa"/>
            <w:vAlign w:val="center"/>
          </w:tcPr>
          <w:p w14:paraId="3BE72EE0" w14:textId="77777777" w:rsidR="002F18EA" w:rsidRPr="00392B10" w:rsidRDefault="002F18EA" w:rsidP="00E75D09">
            <w:pPr>
              <w:pStyle w:val="COMTableheadingrow"/>
              <w:jc w:val="center"/>
              <w:rPr>
                <w:lang w:val="en-AU"/>
              </w:rPr>
            </w:pPr>
            <w:r w:rsidRPr="00392B10">
              <w:rPr>
                <w:lang w:val="en-AU"/>
              </w:rPr>
              <w:t>Mean rate per patient-year (SD)</w:t>
            </w:r>
          </w:p>
        </w:tc>
        <w:tc>
          <w:tcPr>
            <w:tcW w:w="1804" w:type="dxa"/>
            <w:vAlign w:val="center"/>
          </w:tcPr>
          <w:p w14:paraId="2EFE1E5E" w14:textId="77777777" w:rsidR="002F18EA" w:rsidRPr="00392B10" w:rsidRDefault="002F18EA" w:rsidP="00E75D09">
            <w:pPr>
              <w:pStyle w:val="COMTableheadingrow"/>
              <w:jc w:val="center"/>
              <w:rPr>
                <w:lang w:val="en-AU"/>
              </w:rPr>
            </w:pPr>
            <w:r w:rsidRPr="00392B10">
              <w:rPr>
                <w:lang w:val="en-AU"/>
              </w:rPr>
              <w:t>Median rate per patient-year (range)</w:t>
            </w:r>
          </w:p>
        </w:tc>
      </w:tr>
      <w:tr w:rsidR="002F18EA" w:rsidRPr="00392B10" w14:paraId="673534D6" w14:textId="77777777" w:rsidTr="00E75D09">
        <w:tc>
          <w:tcPr>
            <w:tcW w:w="1803" w:type="dxa"/>
          </w:tcPr>
          <w:p w14:paraId="56778436" w14:textId="77777777" w:rsidR="002F18EA" w:rsidRPr="00392B10" w:rsidRDefault="002F18EA" w:rsidP="00E75D09">
            <w:pPr>
              <w:pStyle w:val="COMTabletext"/>
            </w:pPr>
            <w:r w:rsidRPr="00392B10">
              <w:t>Any AE</w:t>
            </w:r>
          </w:p>
        </w:tc>
        <w:tc>
          <w:tcPr>
            <w:tcW w:w="1803" w:type="dxa"/>
            <w:vAlign w:val="center"/>
          </w:tcPr>
          <w:p w14:paraId="4217F1F8" w14:textId="77777777" w:rsidR="002F18EA" w:rsidRPr="00392B10" w:rsidRDefault="002F18EA" w:rsidP="00E75D09">
            <w:pPr>
              <w:pStyle w:val="COMTabletext"/>
              <w:jc w:val="center"/>
            </w:pPr>
            <w:r w:rsidRPr="00392B10">
              <w:t>85.3 (46.9)</w:t>
            </w:r>
          </w:p>
        </w:tc>
        <w:tc>
          <w:tcPr>
            <w:tcW w:w="1803" w:type="dxa"/>
            <w:vAlign w:val="center"/>
          </w:tcPr>
          <w:p w14:paraId="2BAA9594" w14:textId="77777777" w:rsidR="002F18EA" w:rsidRPr="00392B10" w:rsidRDefault="002F18EA" w:rsidP="00E75D09">
            <w:pPr>
              <w:pStyle w:val="COMTabletext"/>
              <w:jc w:val="center"/>
            </w:pPr>
            <w:r w:rsidRPr="00392B10">
              <w:t>75.7 (10, 244)</w:t>
            </w:r>
          </w:p>
        </w:tc>
        <w:tc>
          <w:tcPr>
            <w:tcW w:w="1804" w:type="dxa"/>
            <w:vAlign w:val="center"/>
          </w:tcPr>
          <w:p w14:paraId="4A392A7A" w14:textId="77777777" w:rsidR="002F18EA" w:rsidRPr="00392B10" w:rsidRDefault="002F18EA" w:rsidP="00E75D09">
            <w:pPr>
              <w:pStyle w:val="COMTabletext"/>
              <w:jc w:val="center"/>
            </w:pPr>
            <w:r w:rsidRPr="00392B10">
              <w:t>92.6 (43.6)</w:t>
            </w:r>
          </w:p>
        </w:tc>
        <w:tc>
          <w:tcPr>
            <w:tcW w:w="1804" w:type="dxa"/>
            <w:vAlign w:val="center"/>
          </w:tcPr>
          <w:p w14:paraId="0E1F70C0" w14:textId="77777777" w:rsidR="002F18EA" w:rsidRPr="00392B10" w:rsidRDefault="002F18EA" w:rsidP="00E75D09">
            <w:pPr>
              <w:pStyle w:val="COMTabletext"/>
              <w:jc w:val="center"/>
            </w:pPr>
            <w:r w:rsidRPr="00392B10">
              <w:t>87.2 (11, 248)</w:t>
            </w:r>
          </w:p>
        </w:tc>
      </w:tr>
      <w:tr w:rsidR="002F18EA" w:rsidRPr="00392B10" w14:paraId="1A3586EE" w14:textId="77777777" w:rsidTr="00E75D09">
        <w:tc>
          <w:tcPr>
            <w:tcW w:w="1803" w:type="dxa"/>
          </w:tcPr>
          <w:p w14:paraId="7F38F3B1" w14:textId="1543B6FD" w:rsidR="002F18EA" w:rsidRPr="00392B10" w:rsidRDefault="002F18EA" w:rsidP="00E75D09">
            <w:pPr>
              <w:pStyle w:val="COMTabletext"/>
            </w:pPr>
            <w:r w:rsidRPr="00392B10">
              <w:t>Grade ≥</w:t>
            </w:r>
            <w:r w:rsidR="002B0CC3" w:rsidRPr="00392B10">
              <w:t xml:space="preserve"> </w:t>
            </w:r>
            <w:r w:rsidRPr="00392B10">
              <w:t>3 AE</w:t>
            </w:r>
          </w:p>
        </w:tc>
        <w:tc>
          <w:tcPr>
            <w:tcW w:w="1803" w:type="dxa"/>
            <w:vAlign w:val="center"/>
          </w:tcPr>
          <w:p w14:paraId="46E9DA77" w14:textId="77777777" w:rsidR="002F18EA" w:rsidRPr="00392B10" w:rsidRDefault="002F18EA" w:rsidP="00E75D09">
            <w:pPr>
              <w:pStyle w:val="COMTabletext"/>
              <w:jc w:val="center"/>
            </w:pPr>
            <w:r w:rsidRPr="00392B10">
              <w:t>17.1 (15.7)</w:t>
            </w:r>
          </w:p>
        </w:tc>
        <w:tc>
          <w:tcPr>
            <w:tcW w:w="1803" w:type="dxa"/>
            <w:vAlign w:val="center"/>
          </w:tcPr>
          <w:p w14:paraId="146EE92A" w14:textId="77777777" w:rsidR="002F18EA" w:rsidRPr="00392B10" w:rsidRDefault="002F18EA" w:rsidP="00E75D09">
            <w:pPr>
              <w:pStyle w:val="COMTabletext"/>
              <w:jc w:val="center"/>
            </w:pPr>
            <w:r w:rsidRPr="00392B10">
              <w:t>12.2 (0, 80)</w:t>
            </w:r>
          </w:p>
        </w:tc>
        <w:tc>
          <w:tcPr>
            <w:tcW w:w="1804" w:type="dxa"/>
            <w:vAlign w:val="center"/>
          </w:tcPr>
          <w:p w14:paraId="7DF3B33E" w14:textId="77777777" w:rsidR="002F18EA" w:rsidRPr="00392B10" w:rsidRDefault="002F18EA" w:rsidP="00E75D09">
            <w:pPr>
              <w:pStyle w:val="COMTabletext"/>
              <w:jc w:val="center"/>
            </w:pPr>
            <w:r w:rsidRPr="00392B10">
              <w:t>19.2 (18.5)</w:t>
            </w:r>
          </w:p>
        </w:tc>
        <w:tc>
          <w:tcPr>
            <w:tcW w:w="1804" w:type="dxa"/>
            <w:vAlign w:val="center"/>
          </w:tcPr>
          <w:p w14:paraId="09303A34" w14:textId="77777777" w:rsidR="002F18EA" w:rsidRPr="00392B10" w:rsidRDefault="002F18EA" w:rsidP="00E75D09">
            <w:pPr>
              <w:pStyle w:val="COMTabletext"/>
              <w:jc w:val="center"/>
            </w:pPr>
            <w:r w:rsidRPr="00392B10">
              <w:t>13.5 (0, 117)</w:t>
            </w:r>
          </w:p>
        </w:tc>
      </w:tr>
      <w:tr w:rsidR="002F18EA" w:rsidRPr="00392B10" w14:paraId="14FCCDD6" w14:textId="77777777" w:rsidTr="00E75D09">
        <w:tc>
          <w:tcPr>
            <w:tcW w:w="1803" w:type="dxa"/>
          </w:tcPr>
          <w:p w14:paraId="1286081E" w14:textId="77777777" w:rsidR="002F18EA" w:rsidRPr="00392B10" w:rsidRDefault="002F18EA" w:rsidP="00E75D09">
            <w:pPr>
              <w:pStyle w:val="COMTabletext"/>
            </w:pPr>
            <w:r w:rsidRPr="00392B10">
              <w:t>Serious AE</w:t>
            </w:r>
          </w:p>
        </w:tc>
        <w:tc>
          <w:tcPr>
            <w:tcW w:w="1803" w:type="dxa"/>
            <w:vAlign w:val="center"/>
          </w:tcPr>
          <w:p w14:paraId="3AF22E75" w14:textId="77777777" w:rsidR="002F18EA" w:rsidRPr="00392B10" w:rsidRDefault="002F18EA" w:rsidP="00E75D09">
            <w:pPr>
              <w:pStyle w:val="COMTabletext"/>
              <w:jc w:val="center"/>
            </w:pPr>
            <w:r w:rsidRPr="00392B10">
              <w:t>4.9 (5.9)</w:t>
            </w:r>
          </w:p>
        </w:tc>
        <w:tc>
          <w:tcPr>
            <w:tcW w:w="1803" w:type="dxa"/>
            <w:vAlign w:val="center"/>
          </w:tcPr>
          <w:p w14:paraId="77ED03E2" w14:textId="77777777" w:rsidR="002F18EA" w:rsidRPr="00392B10" w:rsidRDefault="002F18EA" w:rsidP="00E75D09">
            <w:pPr>
              <w:pStyle w:val="COMTabletext"/>
              <w:jc w:val="center"/>
            </w:pPr>
            <w:r w:rsidRPr="00392B10">
              <w:t>3.2 (0, 37)</w:t>
            </w:r>
          </w:p>
        </w:tc>
        <w:tc>
          <w:tcPr>
            <w:tcW w:w="1804" w:type="dxa"/>
            <w:vAlign w:val="center"/>
          </w:tcPr>
          <w:p w14:paraId="5ABAFCF2" w14:textId="77777777" w:rsidR="002F18EA" w:rsidRPr="00392B10" w:rsidRDefault="002F18EA" w:rsidP="00E75D09">
            <w:pPr>
              <w:pStyle w:val="COMTabletext"/>
              <w:jc w:val="center"/>
            </w:pPr>
            <w:r w:rsidRPr="00392B10">
              <w:t>4.4 (6.8)</w:t>
            </w:r>
          </w:p>
        </w:tc>
        <w:tc>
          <w:tcPr>
            <w:tcW w:w="1804" w:type="dxa"/>
            <w:vAlign w:val="center"/>
          </w:tcPr>
          <w:p w14:paraId="5286B5E4" w14:textId="77777777" w:rsidR="002F18EA" w:rsidRPr="00392B10" w:rsidRDefault="002F18EA" w:rsidP="00E75D09">
            <w:pPr>
              <w:pStyle w:val="COMTabletext"/>
              <w:jc w:val="center"/>
            </w:pPr>
            <w:r w:rsidRPr="00392B10">
              <w:t>0.0 (0, 31)</w:t>
            </w:r>
          </w:p>
        </w:tc>
      </w:tr>
    </w:tbl>
    <w:p w14:paraId="417154B2" w14:textId="77777777" w:rsidR="002F18EA" w:rsidRPr="00392B10" w:rsidRDefault="002F18EA" w:rsidP="002F18EA">
      <w:pPr>
        <w:pStyle w:val="COMTablefooter"/>
      </w:pPr>
      <w:r w:rsidRPr="00392B10">
        <w:t>Source: Table 2.12, p51 of the submission</w:t>
      </w:r>
    </w:p>
    <w:p w14:paraId="33CB1538" w14:textId="78CAC064" w:rsidR="002F18EA" w:rsidRPr="00392B10" w:rsidRDefault="002F18EA" w:rsidP="002F18EA">
      <w:pPr>
        <w:pStyle w:val="COMTablefooter"/>
      </w:pPr>
      <w:r w:rsidRPr="00392B10">
        <w:t>AE</w:t>
      </w:r>
      <w:r w:rsidR="002B0CC3" w:rsidRPr="00392B10">
        <w:t xml:space="preserve"> =</w:t>
      </w:r>
      <w:r w:rsidRPr="00392B10">
        <w:t xml:space="preserve"> adverse events; SD</w:t>
      </w:r>
      <w:r w:rsidR="002B0CC3" w:rsidRPr="00392B10">
        <w:t xml:space="preserve"> =</w:t>
      </w:r>
      <w:r w:rsidRPr="00392B10">
        <w:t xml:space="preserve"> standard deviation</w:t>
      </w:r>
    </w:p>
    <w:p w14:paraId="33028D43" w14:textId="7AF9C8FF" w:rsidR="002F18EA" w:rsidRPr="00392B10" w:rsidRDefault="002F18EA" w:rsidP="0024004E">
      <w:pPr>
        <w:pStyle w:val="COMexecsumnumberedpara"/>
      </w:pPr>
      <w:r w:rsidRPr="00392B10">
        <w:t>The submission stated that when corrected for treatment exposure, the median rate of any adverse event was lower in the liposomal daunorubicin and cytarabine arm compared to daunorubicin and cytarabine. The submission claimed the analysis supported the clinical clam of non-inferior safety between treatment groups</w:t>
      </w:r>
      <w:r w:rsidR="00392B10">
        <w:t xml:space="preserve">. </w:t>
      </w:r>
    </w:p>
    <w:p w14:paraId="7CC2B965" w14:textId="44060350" w:rsidR="002F18EA" w:rsidRPr="00392B10" w:rsidRDefault="002F18EA" w:rsidP="0024004E">
      <w:pPr>
        <w:pStyle w:val="COMexecsumnumberedpara"/>
      </w:pPr>
      <w:r w:rsidRPr="00392B10">
        <w:t>The rates of adverse events could not be validated during the evaluation due to limited documentation in the submission. Additional documentation was provided by the sponsor during the evaluation, indicating the median rate of adverse events was derived using the incidence of adverse events normalised over the length of the safety reporting period (i.e. time from first administration of study drug through to 30 days after the end of the treatment phase) (poster publication, Medeiros 2017). The source analysis used to calculate the mean rate per patient-year was not provided.</w:t>
      </w:r>
    </w:p>
    <w:p w14:paraId="35B9DD0B" w14:textId="1C7DEE10" w:rsidR="002F18EA" w:rsidRPr="00392B10" w:rsidRDefault="002F18EA" w:rsidP="0024004E">
      <w:pPr>
        <w:pStyle w:val="COMexecsumnumberedpara"/>
      </w:pPr>
      <w:r w:rsidRPr="00392B10">
        <w:t>The submission did not address the higher median rate of serious adverse events for liposomal daunorubicin and cytarabine compared to daunorubicin and cytarabine. The authors of the poster publication noted that the higher rates could be partly due to the greater proportion of patients in the liposomal daunorubicin and cytarabine arm who received consolidation in the outpatient setting. The authors further noted that a move from an outpatient to inpatient setting was documented as a serious adverse event</w:t>
      </w:r>
      <w:r w:rsidR="000B007B" w:rsidRPr="00392B10">
        <w:t>;</w:t>
      </w:r>
      <w:r w:rsidRPr="00392B10">
        <w:t xml:space="preserve"> therefore</w:t>
      </w:r>
      <w:r w:rsidR="000B007B" w:rsidRPr="00392B10">
        <w:t>,</w:t>
      </w:r>
      <w:r w:rsidRPr="00392B10">
        <w:t xml:space="preserve"> subsequent management of an adverse event in an inpatient setting may have contributed to the higher proportion of patients reporting a serious adverse event.</w:t>
      </w:r>
    </w:p>
    <w:p w14:paraId="1038EF2A" w14:textId="4F8D5375" w:rsidR="002F18EA" w:rsidRPr="00392B10" w:rsidRDefault="002F18EA" w:rsidP="0024004E">
      <w:pPr>
        <w:pStyle w:val="COMexecsumnumberedpara"/>
      </w:pPr>
      <w:r w:rsidRPr="00392B10">
        <w:t xml:space="preserve">The interpretation of adverse event rates from the </w:t>
      </w:r>
      <w:r w:rsidRPr="00392B10">
        <w:rPr>
          <w:i/>
          <w:iCs/>
        </w:rPr>
        <w:t>ad hoc</w:t>
      </w:r>
      <w:r w:rsidRPr="00392B10">
        <w:t xml:space="preserve"> analysis was hindered due to limited documentation. Moreover, the rates appeared to be calculated using the incidence of events (i.e. patients with new events only). Event rates over time (calculated using total number of events over total exposure time) would be more informative as individual patients may experience multiple events of the same type, </w:t>
      </w:r>
      <w:r w:rsidRPr="00392B10">
        <w:lastRenderedPageBreak/>
        <w:t>particularly given patients in the liposomal daunorubicin and cytarabine received more subsequent cycles of study treatment.</w:t>
      </w:r>
    </w:p>
    <w:p w14:paraId="04908C7F" w14:textId="1B2C015D" w:rsidR="007F1017" w:rsidRPr="00392B10" w:rsidRDefault="007F1017" w:rsidP="00D86231">
      <w:pPr>
        <w:pStyle w:val="COMH2-non-numbered"/>
      </w:pPr>
      <w:bookmarkStart w:id="37" w:name="_Toc22897643"/>
      <w:bookmarkStart w:id="38" w:name="_Toc135056604"/>
      <w:r w:rsidRPr="00392B10">
        <w:t>Benefits/harms</w:t>
      </w:r>
      <w:bookmarkEnd w:id="37"/>
      <w:bookmarkEnd w:id="38"/>
    </w:p>
    <w:p w14:paraId="0E4AF107" w14:textId="0038D25C" w:rsidR="00264E92" w:rsidRPr="00392B10" w:rsidRDefault="00242C9E" w:rsidP="00264E92">
      <w:pPr>
        <w:pStyle w:val="COMexecsumnumberedpara"/>
        <w:spacing w:after="60"/>
      </w:pPr>
      <w:r w:rsidRPr="00392B10">
        <w:t xml:space="preserve">On the basis of direct evidence presented in the submission (Study 301), </w:t>
      </w:r>
      <w:r w:rsidR="005B2711" w:rsidRPr="00392B10">
        <w:t xml:space="preserve">for every 100 </w:t>
      </w:r>
      <w:r w:rsidR="00CC7BD9" w:rsidRPr="00392B10">
        <w:t xml:space="preserve">patients treated with liposomal daunorubicin and cytarabine </w:t>
      </w:r>
      <w:r w:rsidR="00C63A4C" w:rsidRPr="00392B10">
        <w:t>compared to daunorubicin and cytarabine</w:t>
      </w:r>
      <w:r w:rsidR="000C3755" w:rsidRPr="00392B10">
        <w:t>:</w:t>
      </w:r>
    </w:p>
    <w:p w14:paraId="4F25623C" w14:textId="779E485C" w:rsidR="00264E92" w:rsidRPr="00392B10" w:rsidRDefault="00264E92" w:rsidP="002B0CC3">
      <w:pPr>
        <w:pStyle w:val="COMexecsumnumberedpara"/>
        <w:numPr>
          <w:ilvl w:val="1"/>
          <w:numId w:val="19"/>
        </w:numPr>
        <w:ind w:left="1080" w:hanging="360"/>
      </w:pPr>
      <w:r w:rsidRPr="00392B10">
        <w:t>Approximately 12 additional patients would remain alive after 36 months.</w:t>
      </w:r>
    </w:p>
    <w:p w14:paraId="489B9757" w14:textId="587C6001" w:rsidR="00264E92" w:rsidRPr="00392B10" w:rsidRDefault="00264E92" w:rsidP="00264E92">
      <w:pPr>
        <w:pStyle w:val="COMexecsumnumberedpara"/>
        <w:spacing w:after="60"/>
      </w:pPr>
      <w:r w:rsidRPr="00392B10">
        <w:t>On the basis of direct evidence presented in the submission (Study 301), for every 100 patients treated with liposomal daunorubicin and cytarabine compared to daunorubicin and cytarabine, over a median duration of follow up of 1.7 years:</w:t>
      </w:r>
    </w:p>
    <w:p w14:paraId="101E6B0B" w14:textId="621ED125" w:rsidR="008B3A59" w:rsidRPr="00392B10" w:rsidRDefault="000C3755" w:rsidP="00FF130D">
      <w:pPr>
        <w:pStyle w:val="COMexecsummbulletlist"/>
        <w:spacing w:after="60"/>
      </w:pPr>
      <w:r w:rsidRPr="00392B10">
        <w:t xml:space="preserve">Approximately </w:t>
      </w:r>
      <w:r w:rsidR="00326BBA" w:rsidRPr="00392B10">
        <w:t>14 additional patients would achieve complete remission with or without incomplete recovery of blood counts</w:t>
      </w:r>
      <w:r w:rsidR="00952309" w:rsidRPr="00392B10">
        <w:t>,</w:t>
      </w:r>
      <w:r w:rsidR="00FF130D" w:rsidRPr="00392B10">
        <w:t xml:space="preserve"> but </w:t>
      </w:r>
      <w:r w:rsidR="00952309" w:rsidRPr="00392B10">
        <w:t xml:space="preserve">with </w:t>
      </w:r>
      <w:r w:rsidR="00FF130D" w:rsidRPr="00392B10">
        <w:t>no apparent difference in duration of remission</w:t>
      </w:r>
      <w:r w:rsidR="00E930E1" w:rsidRPr="00392B10">
        <w:t>.</w:t>
      </w:r>
    </w:p>
    <w:p w14:paraId="750337FF" w14:textId="228BACF6" w:rsidR="007E2EA9" w:rsidRPr="00392B10" w:rsidRDefault="0064759F" w:rsidP="007E2EA9">
      <w:pPr>
        <w:pStyle w:val="COMexecsummbulletlist"/>
        <w:spacing w:after="60"/>
      </w:pPr>
      <w:r w:rsidRPr="00392B10">
        <w:t xml:space="preserve">Approximately </w:t>
      </w:r>
      <w:r w:rsidR="00E930E1" w:rsidRPr="00392B10">
        <w:t>9 additional patients would undergo HSCT.</w:t>
      </w:r>
    </w:p>
    <w:p w14:paraId="1B3D66BA" w14:textId="1905C1FA" w:rsidR="00E930E1" w:rsidRPr="00392B10" w:rsidRDefault="00B97B0A" w:rsidP="00D002E4">
      <w:pPr>
        <w:pStyle w:val="COMexecsummbulletlist"/>
        <w:spacing w:after="60"/>
      </w:pPr>
      <w:r w:rsidRPr="00392B10">
        <w:t xml:space="preserve">Approximately </w:t>
      </w:r>
      <w:r w:rsidR="005A2469" w:rsidRPr="00392B10">
        <w:t>1</w:t>
      </w:r>
      <w:r w:rsidR="003501E8" w:rsidRPr="00392B10">
        <w:t>6</w:t>
      </w:r>
      <w:r w:rsidR="005A2469" w:rsidRPr="00392B10">
        <w:t xml:space="preserve"> additional patients w</w:t>
      </w:r>
      <w:r w:rsidR="00FE77F2" w:rsidRPr="00392B10">
        <w:t>ould</w:t>
      </w:r>
      <w:r w:rsidR="005A2469" w:rsidRPr="00392B10">
        <w:t xml:space="preserve"> experience a serious adverse event that is life-threatening or requires hospitalisation.</w:t>
      </w:r>
    </w:p>
    <w:p w14:paraId="1D21EC1B" w14:textId="73206814" w:rsidR="007E04AC" w:rsidRPr="00392B10" w:rsidRDefault="003F428D" w:rsidP="00D002E4">
      <w:pPr>
        <w:pStyle w:val="COMexecsummbulletlist"/>
        <w:spacing w:after="60"/>
      </w:pPr>
      <w:r w:rsidRPr="00392B10">
        <w:t xml:space="preserve">Approximately </w:t>
      </w:r>
      <w:r w:rsidR="003501E8" w:rsidRPr="00392B10">
        <w:t>15 additional patients</w:t>
      </w:r>
      <w:r w:rsidR="007E04AC" w:rsidRPr="00392B10">
        <w:t xml:space="preserve"> would experience bleeding events.</w:t>
      </w:r>
    </w:p>
    <w:p w14:paraId="3D45C06D" w14:textId="0CEF4534" w:rsidR="007E04AC" w:rsidRPr="00392B10" w:rsidRDefault="007E04AC" w:rsidP="007E04AC">
      <w:pPr>
        <w:pStyle w:val="COMexecsummbulletlist"/>
      </w:pPr>
      <w:r w:rsidRPr="00392B10">
        <w:t xml:space="preserve">There </w:t>
      </w:r>
      <w:r w:rsidR="00FE77F2" w:rsidRPr="00392B10">
        <w:t>would</w:t>
      </w:r>
      <w:r w:rsidRPr="00392B10">
        <w:t xml:space="preserve"> be a similar incidence of infections and cardiac events.</w:t>
      </w:r>
    </w:p>
    <w:p w14:paraId="7A1772B6" w14:textId="23BB3145" w:rsidR="00B60939" w:rsidRPr="00392B10" w:rsidRDefault="00B60939" w:rsidP="00E9094A">
      <w:pPr>
        <w:pStyle w:val="COMH2-non-numbered"/>
      </w:pPr>
      <w:bookmarkStart w:id="39" w:name="_Toc22897644"/>
      <w:bookmarkStart w:id="40" w:name="_Toc135056605"/>
      <w:r w:rsidRPr="00392B10">
        <w:t>Clinical claim</w:t>
      </w:r>
      <w:bookmarkEnd w:id="39"/>
      <w:bookmarkEnd w:id="40"/>
    </w:p>
    <w:p w14:paraId="0F83BDDD" w14:textId="57160826" w:rsidR="00A76655" w:rsidRPr="00392B10" w:rsidRDefault="00A76655" w:rsidP="00A76655">
      <w:pPr>
        <w:pStyle w:val="COMexecsumnumberedpara"/>
      </w:pPr>
      <w:r w:rsidRPr="00392B10">
        <w:t xml:space="preserve">The submission described liposomal daunorubicin and cytarabine as superior in terms of efficacy compared to daunorubicin and cytarabine, as a proxy for idarubicin and cytarabine. The </w:t>
      </w:r>
      <w:r w:rsidR="00264E92" w:rsidRPr="00392B10">
        <w:t xml:space="preserve">ESC noted that the </w:t>
      </w:r>
      <w:r w:rsidRPr="00392B10">
        <w:t>data supported superior efficacy when comparing liposomal daunorubicin and cytarabine versus daunorubicin and cytarabine</w:t>
      </w:r>
      <w:r w:rsidR="00264E92" w:rsidRPr="00392B10">
        <w:t xml:space="preserve">. However, the ESC considered that the claim that </w:t>
      </w:r>
      <w:r w:rsidRPr="00392B10">
        <w:t xml:space="preserve">daunorubicin and cytarabine </w:t>
      </w:r>
      <w:r w:rsidR="00264E92" w:rsidRPr="00392B10">
        <w:t>wa</w:t>
      </w:r>
      <w:r w:rsidRPr="00392B10">
        <w:t>s a reasonable proxy for idarubicin and cytarabine</w:t>
      </w:r>
      <w:r w:rsidR="00264E92" w:rsidRPr="00392B10">
        <w:t xml:space="preserve"> was not supported</w:t>
      </w:r>
      <w:r w:rsidRPr="00392B10">
        <w:t>.</w:t>
      </w:r>
    </w:p>
    <w:p w14:paraId="4C178F84" w14:textId="03436EC7" w:rsidR="00A76655" w:rsidRPr="00392B10" w:rsidRDefault="00A76655" w:rsidP="00A76655">
      <w:pPr>
        <w:pStyle w:val="COMexecsumnumberedpara"/>
      </w:pPr>
      <w:r w:rsidRPr="00392B10">
        <w:t xml:space="preserve">The </w:t>
      </w:r>
      <w:r w:rsidR="00264E92" w:rsidRPr="00392B10">
        <w:t xml:space="preserve">ESC considered that the </w:t>
      </w:r>
      <w:r w:rsidRPr="00392B10">
        <w:t xml:space="preserve">therapeutic equivalence of daunorubicin and cytarabine </w:t>
      </w:r>
      <w:r w:rsidR="00264E92" w:rsidRPr="00392B10">
        <w:t xml:space="preserve">remained </w:t>
      </w:r>
      <w:r w:rsidRPr="00392B10">
        <w:t xml:space="preserve">uncertain due to evidence gaps (no direct comparison at proposed equi-effective doses, no comparison of consolidation regimens), contrasting conclusions regarding equi-potency from published systematic reviews and limited applicability of the evidence base that was relatively old (trials conducted up to more than 30 years ago). </w:t>
      </w:r>
    </w:p>
    <w:p w14:paraId="2405F210" w14:textId="38F0940B" w:rsidR="008200FA" w:rsidRPr="00392B10" w:rsidRDefault="008200FA" w:rsidP="000916C2">
      <w:pPr>
        <w:pStyle w:val="COMexecsumnumberedpara"/>
        <w:spacing w:after="60"/>
        <w:rPr>
          <w:rFonts w:eastAsia="Calibri"/>
        </w:rPr>
      </w:pPr>
      <w:r w:rsidRPr="00392B10">
        <w:rPr>
          <w:rFonts w:eastAsia="Calibri"/>
        </w:rPr>
        <w:t xml:space="preserve">The </w:t>
      </w:r>
      <w:r w:rsidR="00264E92" w:rsidRPr="00392B10">
        <w:rPr>
          <w:rFonts w:eastAsia="Calibri"/>
        </w:rPr>
        <w:t>ESC noted that there was</w:t>
      </w:r>
      <w:r w:rsidRPr="00392B10">
        <w:rPr>
          <w:rFonts w:eastAsia="Calibri"/>
        </w:rPr>
        <w:t xml:space="preserve"> added uncertainty associated with the magnitude of benefit associated with liposomal daunorubicin and cytarabine in the Australian setting given the following concerns:</w:t>
      </w:r>
    </w:p>
    <w:p w14:paraId="22A278FA" w14:textId="04DE9441" w:rsidR="008200FA" w:rsidRPr="00392B10" w:rsidRDefault="001A36DF" w:rsidP="000916C2">
      <w:pPr>
        <w:pStyle w:val="COMexecsummmainissuesbullets"/>
        <w:spacing w:after="60"/>
        <w:ind w:left="1077" w:hanging="357"/>
        <w:rPr>
          <w:color w:val="auto"/>
        </w:rPr>
      </w:pPr>
      <w:r w:rsidRPr="00392B10">
        <w:rPr>
          <w:color w:val="auto"/>
        </w:rPr>
        <w:t>R</w:t>
      </w:r>
      <w:r w:rsidR="008200FA" w:rsidRPr="00392B10">
        <w:rPr>
          <w:color w:val="auto"/>
        </w:rPr>
        <w:t xml:space="preserve">egistry data indicated a higher proportion of patients with t-AML or AML-MRC were classified as having poor risk compared to the trial. Cytogenetic risk did not appear to be a treatment effect modifier; however, the absolute magnitude of benefit is likely to be lower due to poorer overall survival in those with adverse </w:t>
      </w:r>
      <w:r w:rsidR="008200FA" w:rsidRPr="00392B10">
        <w:rPr>
          <w:color w:val="auto"/>
        </w:rPr>
        <w:lastRenderedPageBreak/>
        <w:t xml:space="preserve">risk. </w:t>
      </w:r>
      <w:r w:rsidR="005222C4" w:rsidRPr="00392B10">
        <w:rPr>
          <w:color w:val="auto"/>
        </w:rPr>
        <w:t>The PSCR noted that all t-AML and AML-MCR patients have a poor prognosis, independent of karyotype.</w:t>
      </w:r>
    </w:p>
    <w:p w14:paraId="4E07DA7F" w14:textId="373E71C0" w:rsidR="008200FA" w:rsidRPr="00392B10" w:rsidRDefault="008200FA" w:rsidP="000916C2">
      <w:pPr>
        <w:pStyle w:val="COMexecsummmainissuesbullets"/>
        <w:spacing w:after="60"/>
        <w:ind w:left="1077" w:hanging="357"/>
        <w:rPr>
          <w:color w:val="auto"/>
        </w:rPr>
      </w:pPr>
      <w:r w:rsidRPr="00392B10">
        <w:rPr>
          <w:color w:val="auto"/>
        </w:rPr>
        <w:t xml:space="preserve">Expert opinion indicated that more aggressive regimens such as FLAG-Ida and HiDAC/IDAC are used as </w:t>
      </w:r>
      <w:r w:rsidR="00593219" w:rsidRPr="00392B10">
        <w:rPr>
          <w:color w:val="auto"/>
        </w:rPr>
        <w:t xml:space="preserve">second </w:t>
      </w:r>
      <w:r w:rsidRPr="00392B10">
        <w:rPr>
          <w:color w:val="auto"/>
        </w:rPr>
        <w:t xml:space="preserve">induction and consolidation courses, and a higher proportion of </w:t>
      </w:r>
      <w:r w:rsidR="00102FD8" w:rsidRPr="00392B10">
        <w:rPr>
          <w:color w:val="auto"/>
        </w:rPr>
        <w:t>Australian patients receive</w:t>
      </w:r>
      <w:r w:rsidRPr="00392B10">
        <w:rPr>
          <w:color w:val="auto"/>
        </w:rPr>
        <w:t xml:space="preserve"> 2 or more consolidation courses (69%) compared to</w:t>
      </w:r>
      <w:r w:rsidR="00E40B2A" w:rsidRPr="00392B10">
        <w:rPr>
          <w:color w:val="auto"/>
        </w:rPr>
        <w:t xml:space="preserve"> patients in </w:t>
      </w:r>
      <w:r w:rsidRPr="00392B10">
        <w:rPr>
          <w:color w:val="auto"/>
        </w:rPr>
        <w:t xml:space="preserve">the control arm of the trial (15%). </w:t>
      </w:r>
      <w:r w:rsidR="00264E92" w:rsidRPr="00392B10">
        <w:rPr>
          <w:color w:val="auto"/>
        </w:rPr>
        <w:t xml:space="preserve">The ESC considered that idarubicin and cytarabine (5+2 regimen) was not a suitable comparator in the </w:t>
      </w:r>
      <w:r w:rsidR="00593219" w:rsidRPr="00392B10">
        <w:rPr>
          <w:color w:val="auto"/>
        </w:rPr>
        <w:t xml:space="preserve">second </w:t>
      </w:r>
      <w:r w:rsidR="00264E92" w:rsidRPr="00392B10">
        <w:rPr>
          <w:color w:val="auto"/>
        </w:rPr>
        <w:t>induction or consolidation settings.</w:t>
      </w:r>
    </w:p>
    <w:p w14:paraId="297761CD" w14:textId="33654789" w:rsidR="00834D52" w:rsidRPr="00392B10" w:rsidRDefault="00834D52" w:rsidP="00834D52">
      <w:pPr>
        <w:pStyle w:val="COMexecsummmainissuesbullets"/>
        <w:spacing w:after="60"/>
        <w:ind w:left="1077" w:hanging="357"/>
        <w:rPr>
          <w:color w:val="auto"/>
        </w:rPr>
      </w:pPr>
      <w:r w:rsidRPr="00392B10">
        <w:rPr>
          <w:color w:val="auto"/>
        </w:rPr>
        <w:t>The trial was conducted in the US and Canada</w:t>
      </w:r>
      <w:r w:rsidR="000B007B" w:rsidRPr="00392B10">
        <w:rPr>
          <w:color w:val="auto"/>
        </w:rPr>
        <w:t xml:space="preserve"> and reported in-trial</w:t>
      </w:r>
      <w:r w:rsidRPr="00392B10">
        <w:rPr>
          <w:color w:val="auto"/>
        </w:rPr>
        <w:t xml:space="preserve"> HSCT rates that were considerably higher (34% liposomal daunorubicin and cytarabine; 25% daunorubicin and cytarabine) than observed in the Australian registry cohort (7%). </w:t>
      </w:r>
      <w:r w:rsidR="000B007B" w:rsidRPr="00392B10">
        <w:rPr>
          <w:color w:val="auto"/>
        </w:rPr>
        <w:t>Although relatively old, p</w:t>
      </w:r>
      <w:r w:rsidRPr="00392B10">
        <w:rPr>
          <w:color w:val="auto"/>
        </w:rPr>
        <w:t xml:space="preserve">ublished data from 2013 indicated that HSCT rates in Australian and New Zealand patients with AML (21%) were lower compared to the US (29%). </w:t>
      </w:r>
      <w:r w:rsidR="00264E92" w:rsidRPr="00392B10">
        <w:rPr>
          <w:color w:val="auto"/>
        </w:rPr>
        <w:t>The ESC agreed that Australia has a more rigorous patient selection process for HSCT than the US and Canada which results in less HSCTs, but better HSCT outcomes.</w:t>
      </w:r>
    </w:p>
    <w:p w14:paraId="6BC97DF5" w14:textId="3F5CFA61" w:rsidR="008200FA" w:rsidRPr="00392B10" w:rsidRDefault="008200FA" w:rsidP="00BE122A">
      <w:pPr>
        <w:pStyle w:val="COMexecsummmainissuesbullets"/>
        <w:ind w:left="1077" w:hanging="357"/>
        <w:rPr>
          <w:color w:val="auto"/>
        </w:rPr>
      </w:pPr>
      <w:r w:rsidRPr="00392B10">
        <w:rPr>
          <w:color w:val="auto"/>
        </w:rPr>
        <w:t>The impact of MRD status on HSCT rates in the trial was unknown</w:t>
      </w:r>
      <w:r w:rsidR="00912827" w:rsidRPr="00392B10">
        <w:rPr>
          <w:color w:val="auto"/>
        </w:rPr>
        <w:t xml:space="preserve"> as no formal testing was planned</w:t>
      </w:r>
      <w:r w:rsidRPr="00392B10">
        <w:rPr>
          <w:color w:val="auto"/>
        </w:rPr>
        <w:t>.</w:t>
      </w:r>
      <w:r w:rsidR="005222C4" w:rsidRPr="00392B10">
        <w:rPr>
          <w:color w:val="auto"/>
        </w:rPr>
        <w:t xml:space="preserve"> The PSCR noted that Study 301 was initiated in 2012 and completed by 2015. Further, the PSCR stated that the methodologies and thresholds for MRD negativity have only recently been standardised for AML.</w:t>
      </w:r>
    </w:p>
    <w:p w14:paraId="637F83D7" w14:textId="2628AD0A" w:rsidR="003936D5" w:rsidRPr="00392B10" w:rsidRDefault="005F7588" w:rsidP="00E9094A">
      <w:pPr>
        <w:pStyle w:val="COMexecsumnumberedpara"/>
        <w:rPr>
          <w:rFonts w:eastAsia="Calibri"/>
        </w:rPr>
      </w:pPr>
      <w:r w:rsidRPr="00392B10">
        <w:rPr>
          <w:rFonts w:eastAsia="Calibri"/>
        </w:rPr>
        <w:t xml:space="preserve">The submission described </w:t>
      </w:r>
      <w:r w:rsidR="000F1BEF" w:rsidRPr="00392B10">
        <w:rPr>
          <w:rFonts w:eastAsia="Calibri"/>
        </w:rPr>
        <w:t xml:space="preserve">liposomal daunorubicin an cytarabine </w:t>
      </w:r>
      <w:r w:rsidRPr="00392B10">
        <w:rPr>
          <w:rFonts w:eastAsia="Calibri"/>
        </w:rPr>
        <w:t>as non-inferior in term</w:t>
      </w:r>
      <w:r w:rsidR="00156F8F" w:rsidRPr="00392B10">
        <w:rPr>
          <w:rFonts w:eastAsia="Calibri"/>
        </w:rPr>
        <w:t>s</w:t>
      </w:r>
      <w:r w:rsidRPr="00392B10">
        <w:rPr>
          <w:rFonts w:eastAsia="Calibri"/>
        </w:rPr>
        <w:t xml:space="preserve"> of safety compared to </w:t>
      </w:r>
      <w:r w:rsidR="009D4D7F" w:rsidRPr="00392B10">
        <w:t>daunorubicin and cytarabine, as a proxy for idarubicin and cytarabine</w:t>
      </w:r>
      <w:r w:rsidRPr="00392B10">
        <w:rPr>
          <w:rFonts w:eastAsia="Calibri"/>
        </w:rPr>
        <w:t>. Th</w:t>
      </w:r>
      <w:r w:rsidR="00264E92" w:rsidRPr="00392B10">
        <w:rPr>
          <w:rFonts w:eastAsia="Calibri"/>
        </w:rPr>
        <w:t>e ESC considered that th</w:t>
      </w:r>
      <w:r w:rsidRPr="00392B10">
        <w:rPr>
          <w:rFonts w:eastAsia="Calibri"/>
        </w:rPr>
        <w:t xml:space="preserve">is claim was </w:t>
      </w:r>
      <w:r w:rsidR="00912827" w:rsidRPr="00392B10">
        <w:rPr>
          <w:rFonts w:eastAsia="Calibri"/>
        </w:rPr>
        <w:t>in</w:t>
      </w:r>
      <w:r w:rsidRPr="00392B10">
        <w:rPr>
          <w:rFonts w:eastAsia="Calibri"/>
        </w:rPr>
        <w:t>adequately supported</w:t>
      </w:r>
      <w:r w:rsidR="000B007B" w:rsidRPr="00392B10">
        <w:rPr>
          <w:rFonts w:eastAsia="Calibri"/>
        </w:rPr>
        <w:t>, with</w:t>
      </w:r>
      <w:r w:rsidR="00F92D35" w:rsidRPr="00392B10">
        <w:rPr>
          <w:rFonts w:eastAsia="Calibri"/>
        </w:rPr>
        <w:t xml:space="preserve"> </w:t>
      </w:r>
      <w:r w:rsidR="00E92750" w:rsidRPr="00392B10">
        <w:rPr>
          <w:rFonts w:eastAsia="Calibri"/>
        </w:rPr>
        <w:t xml:space="preserve">data from the key trial indicating that </w:t>
      </w:r>
      <w:r w:rsidR="00CF2EA6" w:rsidRPr="00392B10">
        <w:rPr>
          <w:rFonts w:eastAsia="Calibri"/>
        </w:rPr>
        <w:t>liposomal daunorubicin and cytarabine treatment was associated with</w:t>
      </w:r>
      <w:r w:rsidR="00A5469C" w:rsidRPr="00392B10">
        <w:rPr>
          <w:rFonts w:eastAsia="Calibri"/>
        </w:rPr>
        <w:t xml:space="preserve"> a</w:t>
      </w:r>
      <w:r w:rsidR="00CF2EA6" w:rsidRPr="00392B10">
        <w:rPr>
          <w:rFonts w:eastAsia="Calibri"/>
        </w:rPr>
        <w:t xml:space="preserve"> longer treatment duration and consequently increased incidence of adverse events compared to daunorubicin and cytarabine. The data also indicated prolonged time to neutrophil and platelet recovery following treatment </w:t>
      </w:r>
      <w:r w:rsidR="000B007B" w:rsidRPr="00392B10">
        <w:rPr>
          <w:rFonts w:eastAsia="Calibri"/>
        </w:rPr>
        <w:t xml:space="preserve">with liposomal daunorubicin and cytarabine </w:t>
      </w:r>
      <w:r w:rsidR="00CF2EA6" w:rsidRPr="00392B10">
        <w:rPr>
          <w:rFonts w:eastAsia="Calibri"/>
        </w:rPr>
        <w:t>due to the long plasma half-life of the drug, which was associated with increased use of supportive therapies.</w:t>
      </w:r>
    </w:p>
    <w:p w14:paraId="7F613CD1" w14:textId="77AB14E0" w:rsidR="005F7588" w:rsidRPr="00392B10" w:rsidRDefault="003936D5" w:rsidP="00E9094A">
      <w:pPr>
        <w:pStyle w:val="COMexecsumnumberedpara"/>
        <w:rPr>
          <w:rFonts w:eastAsia="Calibri"/>
        </w:rPr>
      </w:pPr>
      <w:r w:rsidRPr="00392B10">
        <w:rPr>
          <w:rFonts w:eastAsia="Calibri"/>
        </w:rPr>
        <w:t>The submission stated there was insufficient data to permit an analysis of comparative safety between daunorubicin and idarubicin a</w:t>
      </w:r>
      <w:r w:rsidR="00FD6162" w:rsidRPr="00392B10">
        <w:rPr>
          <w:rFonts w:eastAsia="Calibri"/>
        </w:rPr>
        <w:t>t</w:t>
      </w:r>
      <w:r w:rsidRPr="00392B10">
        <w:rPr>
          <w:rFonts w:eastAsia="Calibri"/>
        </w:rPr>
        <w:t xml:space="preserve"> the proposed equi-effective doses. </w:t>
      </w:r>
    </w:p>
    <w:p w14:paraId="36BF006A" w14:textId="6E899773" w:rsidR="001A0E96" w:rsidRPr="00392B10" w:rsidRDefault="001A0E96" w:rsidP="001A0E96">
      <w:pPr>
        <w:widowControl w:val="0"/>
        <w:numPr>
          <w:ilvl w:val="1"/>
          <w:numId w:val="1"/>
        </w:numPr>
        <w:spacing w:after="120"/>
        <w:ind w:left="720" w:hanging="720"/>
        <w:rPr>
          <w:rFonts w:asciiTheme="minorHAnsi" w:hAnsiTheme="minorHAnsi"/>
          <w:snapToGrid w:val="0"/>
          <w:szCs w:val="20"/>
        </w:rPr>
      </w:pPr>
      <w:bookmarkStart w:id="41" w:name="_Hlk76376200"/>
      <w:r w:rsidRPr="00392B10">
        <w:rPr>
          <w:rFonts w:asciiTheme="minorHAnsi" w:hAnsiTheme="minorHAnsi"/>
          <w:iCs/>
          <w:snapToGrid w:val="0"/>
        </w:rPr>
        <w:t>The</w:t>
      </w:r>
      <w:r w:rsidRPr="00392B10">
        <w:rPr>
          <w:rFonts w:asciiTheme="minorHAnsi" w:hAnsiTheme="minorHAnsi"/>
          <w:snapToGrid w:val="0"/>
          <w:szCs w:val="20"/>
        </w:rPr>
        <w:t xml:space="preserve"> PBAC considered that the claim of superior comparative effectiveness was reasonable.</w:t>
      </w:r>
    </w:p>
    <w:p w14:paraId="794CC145" w14:textId="659F3446" w:rsidR="001A0E96" w:rsidRPr="00392B10" w:rsidRDefault="001A0E96" w:rsidP="001A0E96">
      <w:pPr>
        <w:widowControl w:val="0"/>
        <w:numPr>
          <w:ilvl w:val="1"/>
          <w:numId w:val="1"/>
        </w:numPr>
        <w:spacing w:after="120"/>
        <w:ind w:left="720" w:hanging="720"/>
        <w:rPr>
          <w:rFonts w:asciiTheme="minorHAnsi" w:hAnsiTheme="minorHAnsi"/>
          <w:snapToGrid w:val="0"/>
          <w:szCs w:val="20"/>
        </w:rPr>
      </w:pPr>
      <w:r w:rsidRPr="00392B10">
        <w:rPr>
          <w:rFonts w:asciiTheme="minorHAnsi" w:hAnsiTheme="minorHAnsi"/>
          <w:snapToGrid w:val="0"/>
          <w:szCs w:val="20"/>
        </w:rPr>
        <w:t>The PBAC considered that the claim of non-inferior comparative safety was not adequately supported by the data.</w:t>
      </w:r>
      <w:bookmarkEnd w:id="41"/>
    </w:p>
    <w:p w14:paraId="74A1172E" w14:textId="128C170E" w:rsidR="00B60939" w:rsidRPr="00392B10" w:rsidRDefault="00B60939" w:rsidP="00E9094A">
      <w:pPr>
        <w:pStyle w:val="COMH2-non-numbered"/>
      </w:pPr>
      <w:bookmarkStart w:id="42" w:name="_Toc22897645"/>
      <w:bookmarkStart w:id="43" w:name="_Toc135056606"/>
      <w:r w:rsidRPr="00392B10">
        <w:t>Economic analysis</w:t>
      </w:r>
      <w:bookmarkEnd w:id="42"/>
      <w:bookmarkEnd w:id="43"/>
      <w:r w:rsidR="00491B3A" w:rsidRPr="00392B10">
        <w:t xml:space="preserve"> </w:t>
      </w:r>
    </w:p>
    <w:p w14:paraId="08C9118E" w14:textId="2CBDEC5C" w:rsidR="00960DAC" w:rsidRPr="000366BF" w:rsidRDefault="00960DAC" w:rsidP="00960DAC">
      <w:pPr>
        <w:pStyle w:val="COMexecsumnumberedpara"/>
        <w:rPr>
          <w:b/>
          <w:bCs/>
        </w:rPr>
      </w:pPr>
      <w:r w:rsidRPr="00392B10">
        <w:t xml:space="preserve">The submission presented a modelled economic evaluation comparing treatment with liposomal daunorubicin and cytarabine versus idarubicin and cytarabine, in patients with newly diagnosed t-AML and AML-MRC. </w:t>
      </w:r>
      <w:r w:rsidRPr="000366BF">
        <w:t xml:space="preserve">The model was based on the liposomal daunorubicin and cytarabine and daunorubicin and cytarabine arms of Study 301, </w:t>
      </w:r>
      <w:r w:rsidRPr="000366BF">
        <w:lastRenderedPageBreak/>
        <w:t xml:space="preserve">using the results </w:t>
      </w:r>
      <w:r w:rsidR="002B0DB5" w:rsidRPr="000366BF">
        <w:t xml:space="preserve">and circumstances of use </w:t>
      </w:r>
      <w:r w:rsidRPr="000366BF">
        <w:t xml:space="preserve">for the daunorubicin and cytarabine arm as a proxy for treatment with idarubicin and cytarabine. </w:t>
      </w:r>
      <w:r w:rsidRPr="00392B10">
        <w:t>The economic evaluation was presented as a stepped cost-effectiveness/cost-utility analysis.</w:t>
      </w:r>
    </w:p>
    <w:p w14:paraId="672E27CD" w14:textId="5E3379D3" w:rsidR="00744F86" w:rsidRPr="00392B10" w:rsidRDefault="00744F86" w:rsidP="00B64C71">
      <w:pPr>
        <w:pStyle w:val="COMtablefigcaption"/>
      </w:pPr>
      <w:r w:rsidRPr="00392B10">
        <w:t xml:space="preserve">Table </w:t>
      </w:r>
      <w:r w:rsidR="00795A1F">
        <w:fldChar w:fldCharType="begin" w:fldLock="1"/>
      </w:r>
      <w:r w:rsidR="00795A1F">
        <w:instrText xml:space="preserve"> SEQ Table \* ARABIC </w:instrText>
      </w:r>
      <w:r w:rsidR="00795A1F">
        <w:fldChar w:fldCharType="separate"/>
      </w:r>
      <w:r w:rsidR="00C24535" w:rsidRPr="000366BF">
        <w:t>10</w:t>
      </w:r>
      <w:r w:rsidR="00795A1F">
        <w:fldChar w:fldCharType="end"/>
      </w:r>
      <w:r w:rsidRPr="00392B10">
        <w:t>: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94"/>
        <w:gridCol w:w="7223"/>
      </w:tblGrid>
      <w:tr w:rsidR="00744F86" w:rsidRPr="00392B10" w14:paraId="520B24CB" w14:textId="77777777" w:rsidTr="002B0DB5">
        <w:trPr>
          <w:tblHeader/>
        </w:trPr>
        <w:tc>
          <w:tcPr>
            <w:tcW w:w="995" w:type="pct"/>
            <w:shd w:val="clear" w:color="auto" w:fill="auto"/>
            <w:vAlign w:val="center"/>
          </w:tcPr>
          <w:p w14:paraId="70B9E0FA" w14:textId="77777777" w:rsidR="00744F86" w:rsidRPr="000366BF" w:rsidRDefault="00744F86" w:rsidP="00B64C71">
            <w:pPr>
              <w:pStyle w:val="COMTableheadingrow"/>
              <w:rPr>
                <w:lang w:val="en-AU"/>
              </w:rPr>
            </w:pPr>
            <w:r w:rsidRPr="000366BF">
              <w:rPr>
                <w:lang w:val="en-AU"/>
              </w:rPr>
              <w:t>Component</w:t>
            </w:r>
          </w:p>
        </w:tc>
        <w:tc>
          <w:tcPr>
            <w:tcW w:w="4005" w:type="pct"/>
            <w:shd w:val="clear" w:color="auto" w:fill="auto"/>
            <w:vAlign w:val="center"/>
          </w:tcPr>
          <w:p w14:paraId="25F8BA2D" w14:textId="77777777" w:rsidR="00744F86" w:rsidRPr="000366BF" w:rsidRDefault="00744F86" w:rsidP="00B64C71">
            <w:pPr>
              <w:pStyle w:val="COMTableheadingrow"/>
              <w:jc w:val="center"/>
              <w:rPr>
                <w:lang w:val="en-AU"/>
              </w:rPr>
            </w:pPr>
            <w:r w:rsidRPr="000366BF">
              <w:rPr>
                <w:lang w:val="en-AU"/>
              </w:rPr>
              <w:t>Summary</w:t>
            </w:r>
          </w:p>
        </w:tc>
      </w:tr>
      <w:tr w:rsidR="00744F86" w:rsidRPr="00392B10" w14:paraId="4173FFF0" w14:textId="77777777" w:rsidTr="002B0DB5">
        <w:tc>
          <w:tcPr>
            <w:tcW w:w="995" w:type="pct"/>
            <w:shd w:val="clear" w:color="auto" w:fill="auto"/>
            <w:vAlign w:val="center"/>
          </w:tcPr>
          <w:p w14:paraId="108F4E6D" w14:textId="77777777" w:rsidR="00744F86" w:rsidRPr="00392B10" w:rsidRDefault="00744F86" w:rsidP="00B64C71">
            <w:pPr>
              <w:pStyle w:val="COMTabletext"/>
            </w:pPr>
            <w:r w:rsidRPr="00392B10">
              <w:t>Treatments</w:t>
            </w:r>
          </w:p>
        </w:tc>
        <w:tc>
          <w:tcPr>
            <w:tcW w:w="4005" w:type="pct"/>
            <w:shd w:val="clear" w:color="auto" w:fill="auto"/>
            <w:vAlign w:val="center"/>
          </w:tcPr>
          <w:p w14:paraId="64C0546F" w14:textId="77777777" w:rsidR="00744F86" w:rsidRPr="00392B10" w:rsidRDefault="00744F86" w:rsidP="00B64C71">
            <w:pPr>
              <w:pStyle w:val="COMTabletext"/>
            </w:pPr>
            <w:r w:rsidRPr="00392B10">
              <w:t>Liposomal daunorubicin and cytarabine (LDC) vs idarubicin and cytarabine (IC).</w:t>
            </w:r>
          </w:p>
        </w:tc>
      </w:tr>
      <w:tr w:rsidR="00744F86" w:rsidRPr="00392B10" w14:paraId="4E4B1BD0" w14:textId="77777777" w:rsidTr="002B0DB5">
        <w:tc>
          <w:tcPr>
            <w:tcW w:w="995" w:type="pct"/>
            <w:shd w:val="clear" w:color="auto" w:fill="auto"/>
            <w:vAlign w:val="center"/>
          </w:tcPr>
          <w:p w14:paraId="1A2E7D52" w14:textId="77777777" w:rsidR="00744F86" w:rsidRPr="00392B10" w:rsidRDefault="00744F86" w:rsidP="00B64C71">
            <w:pPr>
              <w:pStyle w:val="COMTabletext"/>
            </w:pPr>
            <w:r w:rsidRPr="00392B10">
              <w:t>Time horizon</w:t>
            </w:r>
          </w:p>
        </w:tc>
        <w:tc>
          <w:tcPr>
            <w:tcW w:w="4005" w:type="pct"/>
            <w:shd w:val="clear" w:color="auto" w:fill="auto"/>
            <w:vAlign w:val="center"/>
          </w:tcPr>
          <w:p w14:paraId="048A722F" w14:textId="5C30CEA2" w:rsidR="00744F86" w:rsidRPr="00392B10" w:rsidRDefault="00744F86" w:rsidP="00B64C71">
            <w:pPr>
              <w:pStyle w:val="COMTabletext"/>
            </w:pPr>
            <w:r w:rsidRPr="00392B10">
              <w:t>25 years in the model base case versus a median follow-up of 5 years in Study 301.</w:t>
            </w:r>
            <w:r w:rsidR="006066B5" w:rsidRPr="00392B10">
              <w:t xml:space="preserve"> Average age of patients at model entry was 67.7 years.</w:t>
            </w:r>
            <w:r w:rsidR="00511437" w:rsidRPr="00392B10">
              <w:t xml:space="preserve"> </w:t>
            </w:r>
          </w:p>
        </w:tc>
      </w:tr>
      <w:tr w:rsidR="00744F86" w:rsidRPr="00392B10" w14:paraId="6CDCEBE2" w14:textId="77777777" w:rsidTr="002B0DB5">
        <w:tc>
          <w:tcPr>
            <w:tcW w:w="995" w:type="pct"/>
            <w:shd w:val="clear" w:color="auto" w:fill="auto"/>
            <w:vAlign w:val="center"/>
          </w:tcPr>
          <w:p w14:paraId="3276D0E2" w14:textId="77777777" w:rsidR="00744F86" w:rsidRPr="00392B10" w:rsidRDefault="00744F86" w:rsidP="00B64C71">
            <w:pPr>
              <w:pStyle w:val="COMTabletext"/>
            </w:pPr>
            <w:r w:rsidRPr="00392B10">
              <w:t>Outcomes</w:t>
            </w:r>
          </w:p>
        </w:tc>
        <w:tc>
          <w:tcPr>
            <w:tcW w:w="4005" w:type="pct"/>
            <w:shd w:val="clear" w:color="auto" w:fill="auto"/>
            <w:vAlign w:val="center"/>
          </w:tcPr>
          <w:p w14:paraId="13382B2C" w14:textId="77777777" w:rsidR="00744F86" w:rsidRPr="00392B10" w:rsidRDefault="00744F86" w:rsidP="00B64C71">
            <w:pPr>
              <w:pStyle w:val="COMTabletext"/>
            </w:pPr>
            <w:r w:rsidRPr="00392B10">
              <w:t>Quality-adjusted life years; life years.</w:t>
            </w:r>
          </w:p>
        </w:tc>
      </w:tr>
      <w:tr w:rsidR="00744F86" w:rsidRPr="00392B10" w14:paraId="1398D3B5" w14:textId="77777777" w:rsidTr="002B0DB5">
        <w:tc>
          <w:tcPr>
            <w:tcW w:w="995" w:type="pct"/>
            <w:shd w:val="clear" w:color="auto" w:fill="auto"/>
            <w:vAlign w:val="center"/>
          </w:tcPr>
          <w:p w14:paraId="72522014" w14:textId="77777777" w:rsidR="00744F86" w:rsidRPr="00392B10" w:rsidRDefault="00744F86" w:rsidP="00B64C71">
            <w:pPr>
              <w:pStyle w:val="COMTabletext"/>
            </w:pPr>
            <w:r w:rsidRPr="00392B10">
              <w:t>Methods used to generate results</w:t>
            </w:r>
          </w:p>
        </w:tc>
        <w:tc>
          <w:tcPr>
            <w:tcW w:w="4005" w:type="pct"/>
            <w:shd w:val="clear" w:color="auto" w:fill="auto"/>
            <w:vAlign w:val="center"/>
          </w:tcPr>
          <w:p w14:paraId="53A59D85" w14:textId="77777777" w:rsidR="00744F86" w:rsidRPr="00392B10" w:rsidRDefault="00744F86" w:rsidP="00B64C71">
            <w:pPr>
              <w:pStyle w:val="COMTabletext"/>
            </w:pPr>
            <w:r w:rsidRPr="00392B10">
              <w:t>Partitioned survival analysis</w:t>
            </w:r>
          </w:p>
        </w:tc>
      </w:tr>
      <w:tr w:rsidR="00744F86" w:rsidRPr="00392B10" w14:paraId="4FAB3846" w14:textId="77777777" w:rsidTr="002B0DB5">
        <w:tc>
          <w:tcPr>
            <w:tcW w:w="995" w:type="pct"/>
            <w:shd w:val="clear" w:color="auto" w:fill="auto"/>
            <w:vAlign w:val="center"/>
          </w:tcPr>
          <w:p w14:paraId="68FE78CE" w14:textId="77777777" w:rsidR="00744F86" w:rsidRPr="00392B10" w:rsidRDefault="00744F86" w:rsidP="00B64C71">
            <w:pPr>
              <w:pStyle w:val="COMTabletext"/>
            </w:pPr>
            <w:r w:rsidRPr="00392B10">
              <w:t>Health states</w:t>
            </w:r>
          </w:p>
        </w:tc>
        <w:tc>
          <w:tcPr>
            <w:tcW w:w="4005" w:type="pct"/>
            <w:shd w:val="clear" w:color="auto" w:fill="auto"/>
            <w:vAlign w:val="center"/>
          </w:tcPr>
          <w:p w14:paraId="056D5D91" w14:textId="77777777" w:rsidR="00744F86" w:rsidRPr="00392B10" w:rsidRDefault="00744F86" w:rsidP="00B64C71">
            <w:pPr>
              <w:pStyle w:val="COMTabletext"/>
            </w:pPr>
            <w:r w:rsidRPr="00392B10">
              <w:t>Event-free survival; post-event survival; dead.</w:t>
            </w:r>
          </w:p>
        </w:tc>
      </w:tr>
      <w:tr w:rsidR="00744F86" w:rsidRPr="00392B10" w14:paraId="22397A68" w14:textId="77777777" w:rsidTr="002B0DB5">
        <w:tc>
          <w:tcPr>
            <w:tcW w:w="995" w:type="pct"/>
            <w:shd w:val="clear" w:color="auto" w:fill="auto"/>
            <w:vAlign w:val="center"/>
          </w:tcPr>
          <w:p w14:paraId="769AC2E6" w14:textId="77777777" w:rsidR="00744F86" w:rsidRPr="00392B10" w:rsidRDefault="00744F86" w:rsidP="00B64C71">
            <w:pPr>
              <w:pStyle w:val="COMTabletext"/>
            </w:pPr>
            <w:r w:rsidRPr="00392B10">
              <w:t>Cycle length</w:t>
            </w:r>
          </w:p>
        </w:tc>
        <w:tc>
          <w:tcPr>
            <w:tcW w:w="4005" w:type="pct"/>
            <w:shd w:val="clear" w:color="auto" w:fill="auto"/>
            <w:vAlign w:val="center"/>
          </w:tcPr>
          <w:p w14:paraId="2A33D9DB" w14:textId="77777777" w:rsidR="00744F86" w:rsidRPr="00392B10" w:rsidRDefault="00744F86" w:rsidP="00B64C71">
            <w:pPr>
              <w:pStyle w:val="COMTabletext"/>
            </w:pPr>
            <w:r w:rsidRPr="00392B10">
              <w:t>1 month</w:t>
            </w:r>
          </w:p>
        </w:tc>
      </w:tr>
      <w:tr w:rsidR="00744F86" w:rsidRPr="00392B10" w14:paraId="7ED67E17" w14:textId="77777777" w:rsidTr="002B0DB5">
        <w:tc>
          <w:tcPr>
            <w:tcW w:w="995" w:type="pct"/>
            <w:shd w:val="clear" w:color="auto" w:fill="auto"/>
            <w:vAlign w:val="center"/>
          </w:tcPr>
          <w:p w14:paraId="1219A513" w14:textId="77777777" w:rsidR="00744F86" w:rsidRPr="00392B10" w:rsidRDefault="00744F86" w:rsidP="00B64C71">
            <w:pPr>
              <w:pStyle w:val="COMTabletext"/>
            </w:pPr>
            <w:r w:rsidRPr="00392B10">
              <w:t>Allocation to health states</w:t>
            </w:r>
          </w:p>
        </w:tc>
        <w:tc>
          <w:tcPr>
            <w:tcW w:w="4005" w:type="pct"/>
            <w:shd w:val="clear" w:color="auto" w:fill="auto"/>
          </w:tcPr>
          <w:p w14:paraId="7CDE93B4" w14:textId="77777777" w:rsidR="00744F86" w:rsidRPr="00392B10" w:rsidRDefault="00744F86" w:rsidP="00B64C71">
            <w:pPr>
              <w:pStyle w:val="COMTabletext"/>
            </w:pPr>
            <w:r w:rsidRPr="00392B10">
              <w:t>LDC arm: Kaplan-Meier estimates of event-free survival and overall survival for the liposomal daunorubicin and cytarabine arm of Study 301, extrapolated using parametric functions.</w:t>
            </w:r>
          </w:p>
          <w:p w14:paraId="01D55D60" w14:textId="77777777" w:rsidR="00744F86" w:rsidRPr="00392B10" w:rsidRDefault="00744F86" w:rsidP="00B64C71">
            <w:pPr>
              <w:pStyle w:val="COMTabletext"/>
            </w:pPr>
          </w:p>
          <w:p w14:paraId="716BDE73" w14:textId="2AB79208" w:rsidR="00744F86" w:rsidRPr="00392B10" w:rsidRDefault="00744F86" w:rsidP="00B64C71">
            <w:pPr>
              <w:pStyle w:val="COMTabletext"/>
            </w:pPr>
            <w:r w:rsidRPr="00392B10">
              <w:t>IC arm: Kaplan-Meier estimates of event-free survival and overall survival for the daunorubicin and cytarabine arm of Study 301 (as a proxy for treatment with idarubicin and cytarabine), extrapolated using parametric functions.</w:t>
            </w:r>
          </w:p>
          <w:p w14:paraId="5241D2EC" w14:textId="77777777" w:rsidR="00744F86" w:rsidRPr="00392B10" w:rsidRDefault="00744F86" w:rsidP="00B64C71">
            <w:pPr>
              <w:pStyle w:val="COMTabletext"/>
            </w:pPr>
          </w:p>
          <w:p w14:paraId="42457CEE" w14:textId="77777777" w:rsidR="00744F86" w:rsidRPr="00392B10" w:rsidRDefault="00744F86" w:rsidP="00B64C71">
            <w:pPr>
              <w:pStyle w:val="COMTabletext"/>
            </w:pPr>
            <w:r w:rsidRPr="00392B10">
              <w:t>Background population mortality and additional disease-related mortality (assumed to be 50% of background population mortality) applied from the point at which extrapolation occurred.</w:t>
            </w:r>
          </w:p>
        </w:tc>
      </w:tr>
      <w:tr w:rsidR="00744F86" w:rsidRPr="00392B10" w14:paraId="4788E63A" w14:textId="77777777" w:rsidTr="002B0DB5">
        <w:tc>
          <w:tcPr>
            <w:tcW w:w="995" w:type="pct"/>
            <w:shd w:val="clear" w:color="auto" w:fill="auto"/>
            <w:vAlign w:val="center"/>
          </w:tcPr>
          <w:p w14:paraId="05B02B13" w14:textId="77777777" w:rsidR="00744F86" w:rsidRPr="00392B10" w:rsidRDefault="00744F86" w:rsidP="00B64C71">
            <w:pPr>
              <w:pStyle w:val="COMTabletext"/>
            </w:pPr>
            <w:r w:rsidRPr="00392B10">
              <w:t>Extrapolation method</w:t>
            </w:r>
          </w:p>
        </w:tc>
        <w:tc>
          <w:tcPr>
            <w:tcW w:w="4005" w:type="pct"/>
            <w:shd w:val="clear" w:color="auto" w:fill="auto"/>
            <w:vAlign w:val="center"/>
          </w:tcPr>
          <w:p w14:paraId="52712EF9" w14:textId="77777777" w:rsidR="00744F86" w:rsidRPr="00392B10" w:rsidRDefault="00744F86" w:rsidP="00B64C71">
            <w:pPr>
              <w:pStyle w:val="COMTabletext"/>
            </w:pPr>
            <w:r w:rsidRPr="00392B10">
              <w:t xml:space="preserve">Event-free survival: Dependent parametric model fitted to each treatment arm based on the assumption of proportional hazards. Generalised gamma function selected for the base case based on goodness of fit statistics and visual inspection. Parametric function applied from the point at which 15% of patients remain at risk (10 months in the LDC arm and 8 months in the IC arm). </w:t>
            </w:r>
          </w:p>
          <w:p w14:paraId="5B23F3B3" w14:textId="77777777" w:rsidR="00744F86" w:rsidRPr="00392B10" w:rsidRDefault="00744F86" w:rsidP="00B64C71">
            <w:pPr>
              <w:pStyle w:val="COMTabletext"/>
            </w:pPr>
          </w:p>
          <w:p w14:paraId="0D4913CA" w14:textId="77777777" w:rsidR="00744F86" w:rsidRPr="00392B10" w:rsidRDefault="00744F86" w:rsidP="00B64C71">
            <w:pPr>
              <w:pStyle w:val="COMTabletext"/>
            </w:pPr>
            <w:r w:rsidRPr="00392B10">
              <w:t>Overall survival: Dependent parametric model fitted to each treatment arm based on the assumption of proportional hazards. Gompertz function selected for the base case based on goodness of fit statistics and visual inspection. Parametric function applied from the point at which 15% of patients remain at risk (60 months in the LDC arm and 21 months in the IC arm).</w:t>
            </w:r>
          </w:p>
        </w:tc>
      </w:tr>
      <w:tr w:rsidR="00744F86" w:rsidRPr="00392B10" w14:paraId="28F7DA99" w14:textId="77777777" w:rsidTr="002B0DB5">
        <w:tc>
          <w:tcPr>
            <w:tcW w:w="995" w:type="pct"/>
            <w:shd w:val="clear" w:color="auto" w:fill="auto"/>
            <w:vAlign w:val="center"/>
          </w:tcPr>
          <w:p w14:paraId="69F52199" w14:textId="77777777" w:rsidR="00744F86" w:rsidRPr="00392B10" w:rsidRDefault="00744F86" w:rsidP="00B64C71">
            <w:pPr>
              <w:pStyle w:val="COMTabletext"/>
            </w:pPr>
            <w:r w:rsidRPr="00392B10">
              <w:t>Health related quality of life</w:t>
            </w:r>
          </w:p>
        </w:tc>
        <w:tc>
          <w:tcPr>
            <w:tcW w:w="4005" w:type="pct"/>
            <w:shd w:val="clear" w:color="auto" w:fill="auto"/>
            <w:vAlign w:val="center"/>
          </w:tcPr>
          <w:p w14:paraId="7C16E550" w14:textId="46A7CAC2" w:rsidR="00744F86" w:rsidRPr="00392B10" w:rsidRDefault="00744F86" w:rsidP="00B64C71">
            <w:pPr>
              <w:pStyle w:val="COMTabletext"/>
            </w:pPr>
            <w:r w:rsidRPr="00392B10">
              <w:t>Health state utility during the initial 3 years of the model for event-free survival (0.55) and post-event health states (0.5</w:t>
            </w:r>
            <w:r w:rsidR="00DF59E2" w:rsidRPr="00392B10">
              <w:t>2</w:t>
            </w:r>
            <w:r w:rsidRPr="00392B10">
              <w:t>) based on a published time-trade off study (Matza et al., 2019).</w:t>
            </w:r>
          </w:p>
          <w:p w14:paraId="15681C23" w14:textId="77777777" w:rsidR="00744F86" w:rsidRPr="00392B10" w:rsidRDefault="00744F86" w:rsidP="00B64C71">
            <w:pPr>
              <w:pStyle w:val="COMTabletext"/>
            </w:pPr>
          </w:p>
          <w:p w14:paraId="560C17BF" w14:textId="77777777" w:rsidR="00744F86" w:rsidRPr="00392B10" w:rsidRDefault="00744F86" w:rsidP="00B64C71">
            <w:pPr>
              <w:pStyle w:val="COMTabletext"/>
            </w:pPr>
            <w:r w:rsidRPr="00392B10">
              <w:t>Health state utility in event-free survival and post-event survival states beyond 3 years (0.80) based on the mean Australian EQ-5D-3L utility value for persons aged 65-74 years (0.82) reported by Clemens et al. (2014), with a small downward adjustment.</w:t>
            </w:r>
          </w:p>
        </w:tc>
      </w:tr>
      <w:tr w:rsidR="00744F86" w:rsidRPr="00392B10" w14:paraId="03F6E6A2" w14:textId="77777777" w:rsidTr="002B0DB5">
        <w:tc>
          <w:tcPr>
            <w:tcW w:w="995" w:type="pct"/>
            <w:shd w:val="clear" w:color="auto" w:fill="auto"/>
            <w:vAlign w:val="center"/>
          </w:tcPr>
          <w:p w14:paraId="4789DBC0" w14:textId="77777777" w:rsidR="00744F86" w:rsidRPr="00392B10" w:rsidRDefault="00744F86" w:rsidP="003B634A">
            <w:pPr>
              <w:pStyle w:val="COMTabletext"/>
              <w:keepNext w:val="0"/>
            </w:pPr>
            <w:r w:rsidRPr="00392B10">
              <w:t xml:space="preserve">Costs </w:t>
            </w:r>
          </w:p>
        </w:tc>
        <w:tc>
          <w:tcPr>
            <w:tcW w:w="4005" w:type="pct"/>
            <w:shd w:val="clear" w:color="auto" w:fill="auto"/>
            <w:vAlign w:val="center"/>
          </w:tcPr>
          <w:p w14:paraId="0EC0291F" w14:textId="77777777" w:rsidR="00744F86" w:rsidRPr="00392B10" w:rsidRDefault="00744F86" w:rsidP="003B634A">
            <w:pPr>
              <w:pStyle w:val="COMTabletext"/>
              <w:keepNext w:val="0"/>
            </w:pPr>
            <w:r w:rsidRPr="00392B10">
              <w:t xml:space="preserve">LDC cost based on proposed effective AEMP. Treatment regimen based on LDC regimen in Study 301. </w:t>
            </w:r>
          </w:p>
          <w:p w14:paraId="7CF651F7" w14:textId="77777777" w:rsidR="00744F86" w:rsidRPr="00392B10" w:rsidRDefault="00744F86" w:rsidP="003B634A">
            <w:pPr>
              <w:pStyle w:val="COMTabletext"/>
              <w:keepNext w:val="0"/>
            </w:pPr>
          </w:p>
          <w:p w14:paraId="10B36A6B" w14:textId="77777777" w:rsidR="00744F86" w:rsidRPr="00392B10" w:rsidRDefault="00744F86" w:rsidP="003B634A">
            <w:pPr>
              <w:pStyle w:val="COMTabletext"/>
              <w:keepNext w:val="0"/>
            </w:pPr>
            <w:r w:rsidRPr="00392B10">
              <w:t>IC cost based on published AEMPs for idarubicin and cytarabine. Treatment regimen based on IC regimen included in eviQ protocol.</w:t>
            </w:r>
          </w:p>
          <w:p w14:paraId="4E063DBF" w14:textId="77777777" w:rsidR="00744F86" w:rsidRPr="00392B10" w:rsidRDefault="00744F86" w:rsidP="003B634A">
            <w:pPr>
              <w:pStyle w:val="COMTabletext"/>
              <w:keepNext w:val="0"/>
            </w:pPr>
          </w:p>
          <w:p w14:paraId="607BAF09" w14:textId="77777777" w:rsidR="00744F86" w:rsidRPr="00392B10" w:rsidRDefault="00744F86" w:rsidP="003B634A">
            <w:pPr>
              <w:pStyle w:val="COMTabletext"/>
              <w:keepNext w:val="0"/>
            </w:pPr>
            <w:r w:rsidRPr="00392B10">
              <w:t>Proportions of patients receiving first/second induction, first/second consolidation, and HSCT based on LDC and DC arms of Study 301. Proportions of patients receiving induction/consolidation treatment in an inpatient versus outpatient setting based on LDC and DC arms of Study 301.</w:t>
            </w:r>
          </w:p>
        </w:tc>
      </w:tr>
    </w:tbl>
    <w:p w14:paraId="31FA79B8" w14:textId="6375011F" w:rsidR="00744F86" w:rsidRPr="00392B10" w:rsidRDefault="00744F86" w:rsidP="00744F86">
      <w:pPr>
        <w:pStyle w:val="COMTablefooter"/>
      </w:pPr>
      <w:r w:rsidRPr="00392B10">
        <w:t>Source: Section 3.3, pp67-68; Section 3.4, pp69-81; Section 3.5, pp82-84; Section 3.6, pp85-88 of the submission; Section 3 economic model Excel workbook</w:t>
      </w:r>
    </w:p>
    <w:p w14:paraId="0A302A8B" w14:textId="6DD16614" w:rsidR="00960DAC" w:rsidRPr="00392B10" w:rsidRDefault="00744F86" w:rsidP="00744F86">
      <w:pPr>
        <w:pStyle w:val="COMTablefooter"/>
      </w:pPr>
      <w:r w:rsidRPr="00392B10">
        <w:t>AEMP</w:t>
      </w:r>
      <w:r w:rsidR="002B0CC3" w:rsidRPr="00392B10">
        <w:t xml:space="preserve"> =</w:t>
      </w:r>
      <w:r w:rsidRPr="00392B10">
        <w:t xml:space="preserve"> approved ex-manufacturer price; DC</w:t>
      </w:r>
      <w:r w:rsidR="002B0CC3" w:rsidRPr="00392B10">
        <w:t xml:space="preserve"> =</w:t>
      </w:r>
      <w:r w:rsidRPr="00392B10">
        <w:t xml:space="preserve"> daunorubicin and cytarabine; HSCT</w:t>
      </w:r>
      <w:r w:rsidR="002B0CC3" w:rsidRPr="00392B10">
        <w:t xml:space="preserve"> =</w:t>
      </w:r>
      <w:r w:rsidRPr="00392B10">
        <w:t xml:space="preserve"> haematopoietic stem cell transplant; IC</w:t>
      </w:r>
      <w:r w:rsidR="002B0CC3" w:rsidRPr="00392B10">
        <w:t xml:space="preserve"> =</w:t>
      </w:r>
      <w:r w:rsidRPr="00392B10">
        <w:t xml:space="preserve"> idarubicin and cytarabine; LDC</w:t>
      </w:r>
      <w:r w:rsidR="002B0CC3" w:rsidRPr="00392B10">
        <w:t xml:space="preserve"> =</w:t>
      </w:r>
      <w:r w:rsidRPr="00392B10">
        <w:t xml:space="preserve"> liposomal daunorubicin and cytarabine</w:t>
      </w:r>
    </w:p>
    <w:p w14:paraId="064A3072" w14:textId="51069551" w:rsidR="00B810B5" w:rsidRPr="000366BF" w:rsidRDefault="00B810B5" w:rsidP="00B810B5">
      <w:pPr>
        <w:pStyle w:val="COMexecsumnumberedpara"/>
        <w:rPr>
          <w:b/>
          <w:bCs/>
        </w:rPr>
      </w:pPr>
      <w:r w:rsidRPr="00392B10">
        <w:t xml:space="preserve">A partitioned survival design, using extrapolated event-free survival and overall survival data, was used to distribute patients between model health states. </w:t>
      </w:r>
    </w:p>
    <w:p w14:paraId="673147F3" w14:textId="6D03094D" w:rsidR="00B810B5" w:rsidRPr="00392B10" w:rsidRDefault="00B810B5" w:rsidP="00B810B5">
      <w:pPr>
        <w:pStyle w:val="COMexecsumnumberedpara"/>
      </w:pPr>
      <w:r w:rsidRPr="00392B10">
        <w:lastRenderedPageBreak/>
        <w:t xml:space="preserve">Event-free survival and overall survival estimates were derived from Kaplan-Meier survival data for the liposomal daunorubicin and cytarabine and daunorubicin and cytarabine arms in Study 301. The results for the daunorubicin and cytarabine arm of Study 301 were used as a proxy for treatment with idarubicin and cytarabine. </w:t>
      </w:r>
    </w:p>
    <w:p w14:paraId="68A21A81" w14:textId="2873D999" w:rsidR="00B810B5" w:rsidRPr="00392B10" w:rsidRDefault="00A17DEC" w:rsidP="00B810B5">
      <w:pPr>
        <w:pStyle w:val="COMexecsumnumberedpara"/>
      </w:pPr>
      <w:r w:rsidRPr="00392B10">
        <w:t xml:space="preserve">Dependent parametric models fitted to the Kaplan-Meier plot of event-free survival for </w:t>
      </w:r>
      <w:r w:rsidR="007902A7" w:rsidRPr="00392B10">
        <w:t xml:space="preserve">the </w:t>
      </w:r>
      <w:r w:rsidRPr="00392B10">
        <w:t xml:space="preserve">liposomal daunorubicin and cytarabine and daunorubicin and cytarabine </w:t>
      </w:r>
      <w:r w:rsidR="007902A7" w:rsidRPr="00392B10">
        <w:t xml:space="preserve">arms of Study 301 </w:t>
      </w:r>
      <w:r w:rsidRPr="00392B10">
        <w:t xml:space="preserve">are presented in </w:t>
      </w:r>
      <w:r w:rsidR="00B810B5" w:rsidRPr="00392B10">
        <w:fldChar w:fldCharType="begin" w:fldLock="1"/>
      </w:r>
      <w:r w:rsidR="00B810B5" w:rsidRPr="00392B10">
        <w:instrText xml:space="preserve"> REF _Ref134279362 \h </w:instrText>
      </w:r>
      <w:r w:rsidR="001A0E96" w:rsidRPr="00392B10">
        <w:instrText xml:space="preserve"> \* MERGEFORMAT </w:instrText>
      </w:r>
      <w:r w:rsidR="00B810B5" w:rsidRPr="00392B10">
        <w:fldChar w:fldCharType="separate"/>
      </w:r>
      <w:r w:rsidR="002B0CC3" w:rsidRPr="00392B10">
        <w:t xml:space="preserve">Figure </w:t>
      </w:r>
      <w:r w:rsidR="002B0CC3" w:rsidRPr="000366BF">
        <w:t>5</w:t>
      </w:r>
      <w:r w:rsidR="00B810B5" w:rsidRPr="00392B10">
        <w:fldChar w:fldCharType="end"/>
      </w:r>
      <w:r w:rsidRPr="00392B10">
        <w:t xml:space="preserve"> and </w:t>
      </w:r>
      <w:r w:rsidR="00C52728" w:rsidRPr="00392B10">
        <w:fldChar w:fldCharType="begin" w:fldLock="1"/>
      </w:r>
      <w:r w:rsidR="00C52728" w:rsidRPr="00392B10">
        <w:instrText xml:space="preserve"> REF _Ref134776681 \h </w:instrText>
      </w:r>
      <w:r w:rsidR="001A0E96" w:rsidRPr="00392B10">
        <w:instrText xml:space="preserve"> \* MERGEFORMAT </w:instrText>
      </w:r>
      <w:r w:rsidR="00C52728" w:rsidRPr="00392B10">
        <w:fldChar w:fldCharType="separate"/>
      </w:r>
      <w:r w:rsidR="002B0CC3" w:rsidRPr="00392B10">
        <w:t xml:space="preserve">Figure </w:t>
      </w:r>
      <w:r w:rsidR="002B0CC3" w:rsidRPr="000366BF">
        <w:t>6</w:t>
      </w:r>
      <w:r w:rsidR="00C52728" w:rsidRPr="00392B10">
        <w:fldChar w:fldCharType="end"/>
      </w:r>
      <w:r w:rsidRPr="00392B10">
        <w:t>, respectively</w:t>
      </w:r>
      <w:r w:rsidR="00B810B5" w:rsidRPr="00392B10">
        <w:t>.</w:t>
      </w:r>
    </w:p>
    <w:p w14:paraId="3696764A" w14:textId="7539940D" w:rsidR="00D96EF9" w:rsidRPr="000366BF" w:rsidRDefault="00D96EF9" w:rsidP="008B5C5E">
      <w:pPr>
        <w:pStyle w:val="COMTableheadingrow"/>
        <w:jc w:val="both"/>
        <w:rPr>
          <w:lang w:val="en-AU"/>
        </w:rPr>
      </w:pPr>
      <w:bookmarkStart w:id="44" w:name="_Ref134279362"/>
      <w:r w:rsidRPr="000366BF">
        <w:rPr>
          <w:lang w:val="en-AU"/>
        </w:rPr>
        <w:t xml:space="preserve">Figure </w:t>
      </w:r>
      <w:r w:rsidR="002B0CC3" w:rsidRPr="000366BF">
        <w:rPr>
          <w:lang w:val="en-AU"/>
        </w:rPr>
        <w:fldChar w:fldCharType="begin" w:fldLock="1"/>
      </w:r>
      <w:r w:rsidR="002B0CC3" w:rsidRPr="000366BF">
        <w:rPr>
          <w:lang w:val="en-AU"/>
        </w:rPr>
        <w:instrText xml:space="preserve"> SEQ Figure \* ARABIC </w:instrText>
      </w:r>
      <w:r w:rsidR="002B0CC3" w:rsidRPr="000366BF">
        <w:rPr>
          <w:lang w:val="en-AU"/>
        </w:rPr>
        <w:fldChar w:fldCharType="separate"/>
      </w:r>
      <w:r w:rsidR="002B0CC3" w:rsidRPr="000366BF">
        <w:rPr>
          <w:lang w:val="en-AU"/>
        </w:rPr>
        <w:t>5</w:t>
      </w:r>
      <w:r w:rsidR="002B0CC3" w:rsidRPr="000366BF">
        <w:rPr>
          <w:lang w:val="en-AU"/>
        </w:rPr>
        <w:fldChar w:fldCharType="end"/>
      </w:r>
      <w:bookmarkEnd w:id="44"/>
      <w:r w:rsidRPr="000366BF">
        <w:rPr>
          <w:lang w:val="en-AU"/>
        </w:rPr>
        <w:t xml:space="preserve">: </w:t>
      </w:r>
      <w:r w:rsidR="00A17DEC" w:rsidRPr="000366BF">
        <w:rPr>
          <w:lang w:val="en-AU"/>
        </w:rPr>
        <w:t xml:space="preserve">Parametric models fitted to the Kaplan-Meier plot of event-free survival for the liposomal daunorubicin and cytarabine </w:t>
      </w:r>
      <w:proofErr w:type="gramStart"/>
      <w:r w:rsidR="00A17DEC" w:rsidRPr="000366BF">
        <w:rPr>
          <w:lang w:val="en-AU"/>
        </w:rPr>
        <w:t>arm</w:t>
      </w:r>
      <w:proofErr w:type="gramEnd"/>
    </w:p>
    <w:p w14:paraId="0A41AB95" w14:textId="5C6F9465" w:rsidR="00A17DEC" w:rsidRPr="00392B10" w:rsidRDefault="00A17DEC" w:rsidP="00A17DEC">
      <w:pPr>
        <w:jc w:val="center"/>
      </w:pPr>
      <w:r w:rsidRPr="000366BF">
        <w:rPr>
          <w:noProof/>
        </w:rPr>
        <w:drawing>
          <wp:inline distT="0" distB="0" distL="0" distR="0" wp14:anchorId="4F282B43" wp14:editId="531090F7">
            <wp:extent cx="5008157" cy="3343047"/>
            <wp:effectExtent l="0" t="0" r="2540" b="0"/>
            <wp:docPr id="41" name="Picture 41" descr="A picture containing text, screenshot, plo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 picture containing text, screenshot, plot, lin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6652" cy="3355393"/>
                    </a:xfrm>
                    <a:prstGeom prst="rect">
                      <a:avLst/>
                    </a:prstGeom>
                    <a:noFill/>
                  </pic:spPr>
                </pic:pic>
              </a:graphicData>
            </a:graphic>
          </wp:inline>
        </w:drawing>
      </w:r>
    </w:p>
    <w:p w14:paraId="14601752" w14:textId="77777777" w:rsidR="00A17DEC" w:rsidRPr="00392B10" w:rsidRDefault="00A17DEC" w:rsidP="00A17DEC">
      <w:pPr>
        <w:pStyle w:val="COMTablefooter"/>
      </w:pPr>
      <w:r w:rsidRPr="00392B10">
        <w:t>Source: Constructed during the evaluation using the Section 3 economic model Excel workbook</w:t>
      </w:r>
    </w:p>
    <w:p w14:paraId="456B745D" w14:textId="69A6F8FA" w:rsidR="00A17DEC" w:rsidRPr="00392B10" w:rsidRDefault="00A17DEC" w:rsidP="00A17DEC">
      <w:pPr>
        <w:pStyle w:val="COMTablefooter"/>
      </w:pPr>
      <w:r w:rsidRPr="00392B10">
        <w:t>Gen gamma</w:t>
      </w:r>
      <w:r w:rsidR="002B0CC3" w:rsidRPr="00392B10">
        <w:t xml:space="preserve"> =</w:t>
      </w:r>
      <w:r w:rsidRPr="00392B10">
        <w:t xml:space="preserve"> generalised gamma; </w:t>
      </w:r>
      <w:r w:rsidR="003F5DEB" w:rsidRPr="00392B10">
        <w:t>KM</w:t>
      </w:r>
      <w:r w:rsidR="002B0CC3" w:rsidRPr="00392B10">
        <w:t xml:space="preserve"> =</w:t>
      </w:r>
      <w:r w:rsidR="003F5DEB" w:rsidRPr="00392B10">
        <w:t xml:space="preserve"> Kaplan-Meier; </w:t>
      </w:r>
      <w:r w:rsidRPr="00392B10">
        <w:t>LDC</w:t>
      </w:r>
      <w:r w:rsidR="002B0CC3" w:rsidRPr="00392B10">
        <w:t xml:space="preserve"> =</w:t>
      </w:r>
      <w:r w:rsidRPr="00392B10">
        <w:t xml:space="preserve"> liposomal daunorubicin and cytarabine</w:t>
      </w:r>
    </w:p>
    <w:p w14:paraId="0DC05A1B" w14:textId="2F26E913" w:rsidR="00A17DEC" w:rsidRPr="000366BF" w:rsidRDefault="00A17DEC" w:rsidP="008B5C5E">
      <w:pPr>
        <w:pStyle w:val="COMTableheadingrow"/>
        <w:jc w:val="both"/>
        <w:rPr>
          <w:lang w:val="en-AU"/>
        </w:rPr>
      </w:pPr>
      <w:bookmarkStart w:id="45" w:name="_Ref134776681"/>
      <w:r w:rsidRPr="000366BF">
        <w:rPr>
          <w:lang w:val="en-AU"/>
        </w:rPr>
        <w:lastRenderedPageBreak/>
        <w:t xml:space="preserve">Figure </w:t>
      </w:r>
      <w:r w:rsidR="002B0CC3" w:rsidRPr="000366BF">
        <w:rPr>
          <w:lang w:val="en-AU"/>
        </w:rPr>
        <w:fldChar w:fldCharType="begin" w:fldLock="1"/>
      </w:r>
      <w:r w:rsidR="002B0CC3" w:rsidRPr="000366BF">
        <w:rPr>
          <w:lang w:val="en-AU"/>
        </w:rPr>
        <w:instrText xml:space="preserve"> SEQ Figure \* ARABIC </w:instrText>
      </w:r>
      <w:r w:rsidR="002B0CC3" w:rsidRPr="000366BF">
        <w:rPr>
          <w:lang w:val="en-AU"/>
        </w:rPr>
        <w:fldChar w:fldCharType="separate"/>
      </w:r>
      <w:r w:rsidR="002B0CC3" w:rsidRPr="000366BF">
        <w:rPr>
          <w:lang w:val="en-AU"/>
        </w:rPr>
        <w:t>6</w:t>
      </w:r>
      <w:r w:rsidR="002B0CC3" w:rsidRPr="000366BF">
        <w:rPr>
          <w:lang w:val="en-AU"/>
        </w:rPr>
        <w:fldChar w:fldCharType="end"/>
      </w:r>
      <w:bookmarkEnd w:id="45"/>
      <w:r w:rsidRPr="000366BF">
        <w:rPr>
          <w:lang w:val="en-AU"/>
        </w:rPr>
        <w:t xml:space="preserve">: Parametric models fitted to the Kaplan-Meier plot of event-free survival for the daunorubicin and cytarabine </w:t>
      </w:r>
      <w:proofErr w:type="gramStart"/>
      <w:r w:rsidRPr="000366BF">
        <w:rPr>
          <w:lang w:val="en-AU"/>
        </w:rPr>
        <w:t>arm</w:t>
      </w:r>
      <w:proofErr w:type="gramEnd"/>
    </w:p>
    <w:p w14:paraId="1741C789" w14:textId="7FCA5560" w:rsidR="003F5DEB" w:rsidRPr="00392B10" w:rsidRDefault="003F5DEB" w:rsidP="00A17DEC">
      <w:r w:rsidRPr="000366BF">
        <w:rPr>
          <w:noProof/>
        </w:rPr>
        <w:drawing>
          <wp:inline distT="0" distB="0" distL="0" distR="0" wp14:anchorId="103A4BE0" wp14:editId="277D7790">
            <wp:extent cx="5054803" cy="3374184"/>
            <wp:effectExtent l="0" t="0" r="0" b="0"/>
            <wp:docPr id="42" name="Picture 42" descr="A picture containing text, screenshot, plo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A picture containing text, screenshot, plot, lin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72593" cy="3386060"/>
                    </a:xfrm>
                    <a:prstGeom prst="rect">
                      <a:avLst/>
                    </a:prstGeom>
                    <a:noFill/>
                  </pic:spPr>
                </pic:pic>
              </a:graphicData>
            </a:graphic>
          </wp:inline>
        </w:drawing>
      </w:r>
    </w:p>
    <w:p w14:paraId="3FBD0FB2" w14:textId="522033FD" w:rsidR="00A17DEC" w:rsidRPr="00392B10" w:rsidRDefault="00A17DEC" w:rsidP="00A17DEC"/>
    <w:p w14:paraId="48003601" w14:textId="77777777" w:rsidR="003F5DEB" w:rsidRPr="00392B10" w:rsidRDefault="003F5DEB" w:rsidP="003F5DEB">
      <w:pPr>
        <w:pStyle w:val="COMTablefooter"/>
      </w:pPr>
      <w:r w:rsidRPr="00392B10">
        <w:t>Source: Constructed during the evaluation using the Section 3 economic model Excel workbook</w:t>
      </w:r>
    </w:p>
    <w:p w14:paraId="4B248F71" w14:textId="3B418447" w:rsidR="003F5DEB" w:rsidRPr="00392B10" w:rsidRDefault="003F5DEB" w:rsidP="003F5DEB">
      <w:pPr>
        <w:pStyle w:val="COMTablefooter"/>
      </w:pPr>
      <w:r w:rsidRPr="00392B10">
        <w:t>Gen gamma</w:t>
      </w:r>
      <w:r w:rsidR="002B0CC3" w:rsidRPr="00392B10">
        <w:t xml:space="preserve"> =</w:t>
      </w:r>
      <w:r w:rsidRPr="00392B10">
        <w:t xml:space="preserve"> generalised gamma; IC</w:t>
      </w:r>
      <w:r w:rsidR="002B0CC3" w:rsidRPr="00392B10">
        <w:t xml:space="preserve"> =</w:t>
      </w:r>
      <w:r w:rsidRPr="00392B10">
        <w:t xml:space="preserve"> idarubicin and cytarabine; KM</w:t>
      </w:r>
      <w:r w:rsidR="002B0CC3" w:rsidRPr="00392B10">
        <w:t xml:space="preserve"> =</w:t>
      </w:r>
      <w:r w:rsidRPr="00392B10">
        <w:t xml:space="preserve"> Kaplan-Meier</w:t>
      </w:r>
    </w:p>
    <w:p w14:paraId="21E67123" w14:textId="0A7B69F8" w:rsidR="004C11E7" w:rsidRPr="00392B10" w:rsidRDefault="004C11E7" w:rsidP="006066B5">
      <w:pPr>
        <w:pStyle w:val="COMexecsumnumberedpara"/>
      </w:pPr>
      <w:r w:rsidRPr="00392B10">
        <w:t xml:space="preserve">Based on the Akaike information criterion (AIC) and Bayesian information criterion (BIC), the generalised gamma function demonstrated the best statistical fit. </w:t>
      </w:r>
      <w:r w:rsidR="008F0981" w:rsidRPr="00392B10">
        <w:t>B</w:t>
      </w:r>
      <w:r w:rsidRPr="00392B10">
        <w:t>ased on visual inspection, the generalised gamma function appeared to overestimate the event-free survival compared to the Kaplan-Meier data</w:t>
      </w:r>
      <w:r w:rsidR="008F0981" w:rsidRPr="00392B10">
        <w:t>. However, s</w:t>
      </w:r>
      <w:r w:rsidR="00FB1AD6" w:rsidRPr="00392B10">
        <w:t xml:space="preserve">ensitivity analyses </w:t>
      </w:r>
      <w:r w:rsidR="008F0981" w:rsidRPr="00392B10">
        <w:t xml:space="preserve">indicated </w:t>
      </w:r>
      <w:r w:rsidR="00FB1AD6" w:rsidRPr="00392B10">
        <w:t>that the choice of function used to extrapolate event-free survival had minimal impact on the modelled results</w:t>
      </w:r>
      <w:r w:rsidR="00392B10">
        <w:t xml:space="preserve">. </w:t>
      </w:r>
    </w:p>
    <w:p w14:paraId="33D0F7B4" w14:textId="61E3E29D" w:rsidR="004C11E7" w:rsidRPr="00392B10" w:rsidRDefault="004C11E7" w:rsidP="004C11E7">
      <w:pPr>
        <w:pStyle w:val="COMexecsumnumberedpara"/>
      </w:pPr>
      <w:r w:rsidRPr="00392B10">
        <w:t xml:space="preserve">Dependent parametric models fitted to the Kaplan-Meier plot of overall survival for </w:t>
      </w:r>
      <w:r w:rsidR="007902A7" w:rsidRPr="00392B10">
        <w:t xml:space="preserve">the </w:t>
      </w:r>
      <w:r w:rsidRPr="00392B10">
        <w:t xml:space="preserve">liposomal daunorubicin and cytarabine and daunorubicin and cytarabine </w:t>
      </w:r>
      <w:r w:rsidR="007902A7" w:rsidRPr="00392B10">
        <w:t xml:space="preserve">arms of Study 301 </w:t>
      </w:r>
      <w:r w:rsidRPr="00392B10">
        <w:t xml:space="preserve">are presented in </w:t>
      </w:r>
      <w:r w:rsidR="00C52728" w:rsidRPr="00392B10">
        <w:fldChar w:fldCharType="begin" w:fldLock="1"/>
      </w:r>
      <w:r w:rsidR="00C52728" w:rsidRPr="00392B10">
        <w:instrText xml:space="preserve"> REF _Ref134776695 \h </w:instrText>
      </w:r>
      <w:r w:rsidR="000D5FB6" w:rsidRPr="00392B10">
        <w:instrText xml:space="preserve"> \* MERGEFORMAT </w:instrText>
      </w:r>
      <w:r w:rsidR="00C52728" w:rsidRPr="00392B10">
        <w:fldChar w:fldCharType="separate"/>
      </w:r>
      <w:r w:rsidR="002B0CC3" w:rsidRPr="00392B10">
        <w:t xml:space="preserve">Figure </w:t>
      </w:r>
      <w:r w:rsidR="002B0CC3" w:rsidRPr="000366BF">
        <w:t>7</w:t>
      </w:r>
      <w:r w:rsidR="00C52728" w:rsidRPr="00392B10">
        <w:fldChar w:fldCharType="end"/>
      </w:r>
      <w:r w:rsidRPr="00392B10">
        <w:t xml:space="preserve"> and </w:t>
      </w:r>
      <w:r w:rsidR="00C52728" w:rsidRPr="00392B10">
        <w:fldChar w:fldCharType="begin" w:fldLock="1"/>
      </w:r>
      <w:r w:rsidR="00C52728" w:rsidRPr="00392B10">
        <w:instrText xml:space="preserve"> REF _Ref134776712 \h </w:instrText>
      </w:r>
      <w:r w:rsidR="000D5FB6" w:rsidRPr="00392B10">
        <w:instrText xml:space="preserve"> \* MERGEFORMAT </w:instrText>
      </w:r>
      <w:r w:rsidR="00C52728" w:rsidRPr="00392B10">
        <w:fldChar w:fldCharType="separate"/>
      </w:r>
      <w:r w:rsidR="002B0CC3" w:rsidRPr="00392B10">
        <w:t xml:space="preserve">Figure </w:t>
      </w:r>
      <w:r w:rsidR="002B0CC3" w:rsidRPr="000366BF">
        <w:t>8</w:t>
      </w:r>
      <w:r w:rsidR="00C52728" w:rsidRPr="00392B10">
        <w:fldChar w:fldCharType="end"/>
      </w:r>
      <w:r w:rsidRPr="00392B10">
        <w:t>, respectively.</w:t>
      </w:r>
    </w:p>
    <w:p w14:paraId="1EE48CFD" w14:textId="0AC39347" w:rsidR="004C11E7" w:rsidRPr="000366BF" w:rsidRDefault="004C11E7" w:rsidP="004C11E7">
      <w:pPr>
        <w:pStyle w:val="COMTableheadingrow"/>
        <w:jc w:val="both"/>
        <w:rPr>
          <w:lang w:val="en-AU"/>
        </w:rPr>
      </w:pPr>
      <w:bookmarkStart w:id="46" w:name="_Ref134776695"/>
      <w:r w:rsidRPr="000366BF">
        <w:rPr>
          <w:lang w:val="en-AU"/>
        </w:rPr>
        <w:lastRenderedPageBreak/>
        <w:t xml:space="preserve">Figure </w:t>
      </w:r>
      <w:r w:rsidR="002B0CC3" w:rsidRPr="000366BF">
        <w:rPr>
          <w:lang w:val="en-AU"/>
        </w:rPr>
        <w:fldChar w:fldCharType="begin" w:fldLock="1"/>
      </w:r>
      <w:r w:rsidR="002B0CC3" w:rsidRPr="000366BF">
        <w:rPr>
          <w:lang w:val="en-AU"/>
        </w:rPr>
        <w:instrText xml:space="preserve"> SEQ Figure \* ARABIC </w:instrText>
      </w:r>
      <w:r w:rsidR="002B0CC3" w:rsidRPr="000366BF">
        <w:rPr>
          <w:lang w:val="en-AU"/>
        </w:rPr>
        <w:fldChar w:fldCharType="separate"/>
      </w:r>
      <w:r w:rsidR="002B0CC3" w:rsidRPr="000366BF">
        <w:rPr>
          <w:lang w:val="en-AU"/>
        </w:rPr>
        <w:t>7</w:t>
      </w:r>
      <w:r w:rsidR="002B0CC3" w:rsidRPr="000366BF">
        <w:rPr>
          <w:lang w:val="en-AU"/>
        </w:rPr>
        <w:fldChar w:fldCharType="end"/>
      </w:r>
      <w:bookmarkEnd w:id="46"/>
      <w:r w:rsidRPr="000366BF">
        <w:rPr>
          <w:lang w:val="en-AU"/>
        </w:rPr>
        <w:t xml:space="preserve">: Parametric models fitted to the Kaplan-Meier plot of overall survival for the liposomal daunorubicin and cytarabine </w:t>
      </w:r>
      <w:proofErr w:type="gramStart"/>
      <w:r w:rsidRPr="000366BF">
        <w:rPr>
          <w:lang w:val="en-AU"/>
        </w:rPr>
        <w:t>arm</w:t>
      </w:r>
      <w:proofErr w:type="gramEnd"/>
    </w:p>
    <w:p w14:paraId="737EB4FC" w14:textId="3C139C5D" w:rsidR="004C11E7" w:rsidRPr="00392B10" w:rsidRDefault="004C11E7" w:rsidP="004C11E7">
      <w:pPr>
        <w:pStyle w:val="COMexecsumnumberedpara"/>
        <w:numPr>
          <w:ilvl w:val="0"/>
          <w:numId w:val="0"/>
        </w:numPr>
      </w:pPr>
      <w:r w:rsidRPr="000366BF">
        <w:rPr>
          <w:noProof/>
        </w:rPr>
        <w:drawing>
          <wp:inline distT="0" distB="0" distL="0" distR="0" wp14:anchorId="78C8FABF" wp14:editId="51485BDC">
            <wp:extent cx="5040173" cy="3379965"/>
            <wp:effectExtent l="0" t="0" r="8255" b="0"/>
            <wp:docPr id="45" name="Picture 45" descr="A picture containing text, screenshot, line,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A picture containing text, screenshot, line, plo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52271" cy="3388078"/>
                    </a:xfrm>
                    <a:prstGeom prst="rect">
                      <a:avLst/>
                    </a:prstGeom>
                    <a:noFill/>
                  </pic:spPr>
                </pic:pic>
              </a:graphicData>
            </a:graphic>
          </wp:inline>
        </w:drawing>
      </w:r>
    </w:p>
    <w:p w14:paraId="2044D939" w14:textId="77777777" w:rsidR="004C11E7" w:rsidRPr="00392B10" w:rsidRDefault="004C11E7" w:rsidP="004C11E7">
      <w:pPr>
        <w:pStyle w:val="COMTablefooter"/>
      </w:pPr>
      <w:r w:rsidRPr="00392B10">
        <w:t>Source: Constructed during the evaluation using the Section 3 economic model Excel workbook</w:t>
      </w:r>
    </w:p>
    <w:p w14:paraId="0C4E161C" w14:textId="66575EFF" w:rsidR="004C11E7" w:rsidRPr="00392B10" w:rsidRDefault="004C11E7" w:rsidP="004C11E7">
      <w:pPr>
        <w:pStyle w:val="COMTablefooter"/>
      </w:pPr>
      <w:r w:rsidRPr="00392B10">
        <w:t>Gen gamma</w:t>
      </w:r>
      <w:r w:rsidR="002B0CC3" w:rsidRPr="00392B10">
        <w:t xml:space="preserve"> =</w:t>
      </w:r>
      <w:r w:rsidRPr="00392B10">
        <w:t xml:space="preserve"> generalised gamma; KM</w:t>
      </w:r>
      <w:r w:rsidR="002B0CC3" w:rsidRPr="00392B10">
        <w:t xml:space="preserve"> =</w:t>
      </w:r>
      <w:r w:rsidRPr="00392B10">
        <w:t xml:space="preserve"> Kaplan-Meier; LDC</w:t>
      </w:r>
      <w:r w:rsidR="002B0CC3" w:rsidRPr="00392B10">
        <w:t xml:space="preserve"> =</w:t>
      </w:r>
      <w:r w:rsidRPr="00392B10">
        <w:t xml:space="preserve"> liposomal daunorubicin and cytarabine</w:t>
      </w:r>
    </w:p>
    <w:p w14:paraId="16BD52B6" w14:textId="32DFF184" w:rsidR="00CD4C06" w:rsidRPr="000366BF" w:rsidRDefault="00CD4C06" w:rsidP="00CD4C06">
      <w:pPr>
        <w:pStyle w:val="COMTableheadingrow"/>
        <w:jc w:val="both"/>
        <w:rPr>
          <w:lang w:val="en-AU"/>
        </w:rPr>
      </w:pPr>
      <w:bookmarkStart w:id="47" w:name="_Ref134776712"/>
      <w:r w:rsidRPr="000366BF">
        <w:rPr>
          <w:lang w:val="en-AU"/>
        </w:rPr>
        <w:t xml:space="preserve">Figure </w:t>
      </w:r>
      <w:r w:rsidR="002B0CC3" w:rsidRPr="000366BF">
        <w:rPr>
          <w:lang w:val="en-AU"/>
        </w:rPr>
        <w:fldChar w:fldCharType="begin" w:fldLock="1"/>
      </w:r>
      <w:r w:rsidR="002B0CC3" w:rsidRPr="000366BF">
        <w:rPr>
          <w:lang w:val="en-AU"/>
        </w:rPr>
        <w:instrText xml:space="preserve"> SEQ Figure \* ARABIC </w:instrText>
      </w:r>
      <w:r w:rsidR="002B0CC3" w:rsidRPr="000366BF">
        <w:rPr>
          <w:lang w:val="en-AU"/>
        </w:rPr>
        <w:fldChar w:fldCharType="separate"/>
      </w:r>
      <w:r w:rsidR="002B0CC3" w:rsidRPr="000366BF">
        <w:rPr>
          <w:lang w:val="en-AU"/>
        </w:rPr>
        <w:t>8</w:t>
      </w:r>
      <w:r w:rsidR="002B0CC3" w:rsidRPr="000366BF">
        <w:rPr>
          <w:lang w:val="en-AU"/>
        </w:rPr>
        <w:fldChar w:fldCharType="end"/>
      </w:r>
      <w:bookmarkEnd w:id="47"/>
      <w:r w:rsidRPr="000366BF">
        <w:rPr>
          <w:lang w:val="en-AU"/>
        </w:rPr>
        <w:t xml:space="preserve">: Parametric models fitted to the Kaplan-Meier plot of overall survival for the daunorubicin and cytarabine </w:t>
      </w:r>
      <w:proofErr w:type="gramStart"/>
      <w:r w:rsidRPr="000366BF">
        <w:rPr>
          <w:lang w:val="en-AU"/>
        </w:rPr>
        <w:t>arm</w:t>
      </w:r>
      <w:proofErr w:type="gramEnd"/>
    </w:p>
    <w:p w14:paraId="57627A91" w14:textId="325B63F2" w:rsidR="004C11E7" w:rsidRPr="00392B10" w:rsidRDefault="00CD4C06" w:rsidP="004C11E7">
      <w:pPr>
        <w:pStyle w:val="COMexecsumnumberedpara"/>
        <w:numPr>
          <w:ilvl w:val="0"/>
          <w:numId w:val="0"/>
        </w:numPr>
      </w:pPr>
      <w:r w:rsidRPr="000366BF">
        <w:rPr>
          <w:noProof/>
        </w:rPr>
        <w:drawing>
          <wp:inline distT="0" distB="0" distL="0" distR="0" wp14:anchorId="052A8335" wp14:editId="4AF83450">
            <wp:extent cx="5032858" cy="3375059"/>
            <wp:effectExtent l="0" t="0" r="0" b="0"/>
            <wp:docPr id="46" name="Picture 46" descr="A picture containing text, screenshot, plo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picture containing text, screenshot, plot, lin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8266" cy="3385392"/>
                    </a:xfrm>
                    <a:prstGeom prst="rect">
                      <a:avLst/>
                    </a:prstGeom>
                    <a:noFill/>
                  </pic:spPr>
                </pic:pic>
              </a:graphicData>
            </a:graphic>
          </wp:inline>
        </w:drawing>
      </w:r>
    </w:p>
    <w:p w14:paraId="2EABE039" w14:textId="77777777" w:rsidR="00CD4C06" w:rsidRPr="00392B10" w:rsidRDefault="00CD4C06" w:rsidP="00CD4C06">
      <w:pPr>
        <w:pStyle w:val="COMTablefooter"/>
      </w:pPr>
      <w:r w:rsidRPr="00392B10">
        <w:t>Source: Constructed during the evaluation using the Section 3 economic model Excel workbook</w:t>
      </w:r>
    </w:p>
    <w:p w14:paraId="356273CF" w14:textId="56D730E1" w:rsidR="004C11E7" w:rsidRPr="00392B10" w:rsidRDefault="00CD4C06" w:rsidP="006066B5">
      <w:pPr>
        <w:pStyle w:val="COMTablefooter"/>
      </w:pPr>
      <w:r w:rsidRPr="00392B10">
        <w:t>Gen gamma</w:t>
      </w:r>
      <w:r w:rsidR="002B0CC3" w:rsidRPr="00392B10">
        <w:t xml:space="preserve"> =</w:t>
      </w:r>
      <w:r w:rsidRPr="00392B10">
        <w:t xml:space="preserve"> generalised gamma; IC</w:t>
      </w:r>
      <w:r w:rsidR="002B0CC3" w:rsidRPr="00392B10">
        <w:t xml:space="preserve"> =</w:t>
      </w:r>
      <w:r w:rsidRPr="00392B10">
        <w:t xml:space="preserve"> idarubicin and cytarabine; KM</w:t>
      </w:r>
      <w:r w:rsidR="002B0CC3" w:rsidRPr="00392B10">
        <w:t xml:space="preserve"> =</w:t>
      </w:r>
      <w:r w:rsidRPr="00392B10">
        <w:t xml:space="preserve"> Kaplan-Meier</w:t>
      </w:r>
    </w:p>
    <w:p w14:paraId="1889E260" w14:textId="0757CA4E" w:rsidR="005222C4" w:rsidRPr="00392B10" w:rsidRDefault="00CD4C06" w:rsidP="002B0CC3">
      <w:pPr>
        <w:pStyle w:val="COMexecsumnumberedpara"/>
      </w:pPr>
      <w:r w:rsidRPr="00392B10">
        <w:lastRenderedPageBreak/>
        <w:t>Based on the AIC and BIC, the Gompertz function demonstrated the best statistical fit</w:t>
      </w:r>
      <w:r w:rsidR="00030616" w:rsidRPr="00392B10">
        <w:t xml:space="preserve">, and was selected for the extrapolation of overall survival in the model. </w:t>
      </w:r>
      <w:r w:rsidR="008F0981" w:rsidRPr="00392B10">
        <w:t>T</w:t>
      </w:r>
      <w:r w:rsidR="00030616" w:rsidRPr="00392B10">
        <w:t xml:space="preserve">he </w:t>
      </w:r>
      <w:r w:rsidR="008F0981" w:rsidRPr="00392B10">
        <w:t xml:space="preserve">selected </w:t>
      </w:r>
      <w:r w:rsidR="005C6B2F" w:rsidRPr="00392B10">
        <w:t>Gompertz</w:t>
      </w:r>
      <w:r w:rsidR="008F0981" w:rsidRPr="00392B10">
        <w:t xml:space="preserve"> function </w:t>
      </w:r>
      <w:r w:rsidR="00030616" w:rsidRPr="00392B10">
        <w:t>lacked face validity, at it resulted in indefinite survival for patients beyond approximately 9 years.</w:t>
      </w:r>
      <w:r w:rsidR="005222C4" w:rsidRPr="00392B10">
        <w:t xml:space="preserve"> </w:t>
      </w:r>
      <w:bookmarkStart w:id="48" w:name="_Ref137732926"/>
      <w:r w:rsidR="00AF2CAA" w:rsidRPr="00392B10">
        <w:t>The submission noted that extrapolation of overall survival using a Gompertz function resulted in the appearance of indefinite survival</w:t>
      </w:r>
      <w:r w:rsidR="00F11C94" w:rsidRPr="00392B10">
        <w:t xml:space="preserve"> </w:t>
      </w:r>
      <w:r w:rsidR="00AF2CAA" w:rsidRPr="00392B10">
        <w:t xml:space="preserve">but argued that the application of background population mortality (based on Australian life tables) and an additional disease-related mortality factor (50% of background population mortality) </w:t>
      </w:r>
      <w:r w:rsidR="00511437" w:rsidRPr="00392B10">
        <w:t xml:space="preserve">applied consistently across both arms </w:t>
      </w:r>
      <w:r w:rsidR="00AF2CAA" w:rsidRPr="00392B10">
        <w:t xml:space="preserve">resulted in plausible survival estimates. </w:t>
      </w:r>
      <w:r w:rsidR="00921BB0" w:rsidRPr="00392B10">
        <w:t>The ESC considered i</w:t>
      </w:r>
      <w:r w:rsidR="00264E92" w:rsidRPr="00392B10">
        <w:t>t was uncertain whether the resulting overall survival curve adequately reflected the long-term survival outcomes for patients with t-AML or AML-ARC</w:t>
      </w:r>
      <w:r w:rsidR="00AF2CAA" w:rsidRPr="00392B10">
        <w:t>. Mortality rates among patients with t-AML or AML-MRC may be higher than estimated in the submission due to comorbidities associated with prior chemotherapy treatments, the potential for disease recurrence, and issues associated with HSCT (e.g., graft versus host disease).</w:t>
      </w:r>
      <w:r w:rsidR="005222C4" w:rsidRPr="00392B10">
        <w:t xml:space="preserve"> The PSCR stated that the majority of patients who survived beyond 3 years in Study 301 were those who had received HSCT, which is curative in some patients. Further, the PSCR stated that the inclusion of background mortality and an assumption of 50% excess mortality in patients with a history of HSCT ensured life expectancy was not overestimated</w:t>
      </w:r>
      <w:r w:rsidR="00264E92" w:rsidRPr="00392B10">
        <w:t>.</w:t>
      </w:r>
      <w:r w:rsidR="002B0CC3" w:rsidRPr="00392B10">
        <w:t xml:space="preserve"> The ESC noted that the current extrapolation approach resulted in overall survival estimates that were not clinically plausible over the modelled time horizon and hence, relied on adjustment with an inflated population mortality rate. The ESC noted that the ICER was moderately sensitive to the additional disease-related mortality factor (50%), especially in the context of only 18% of patients in the liposomal daunorubicin and cytarabine arm being alive at 5 years (see </w:t>
      </w:r>
      <w:r w:rsidR="002B0CC3" w:rsidRPr="00392B10">
        <w:fldChar w:fldCharType="begin" w:fldLock="1"/>
      </w:r>
      <w:r w:rsidR="002B0CC3" w:rsidRPr="00392B10">
        <w:instrText xml:space="preserve"> REF _Ref134466929 \h  \* MERGEFORMAT </w:instrText>
      </w:r>
      <w:r w:rsidR="002B0CC3" w:rsidRPr="00392B10">
        <w:fldChar w:fldCharType="separate"/>
      </w:r>
      <w:r w:rsidR="002B0CC3" w:rsidRPr="00392B10">
        <w:t xml:space="preserve">Figure </w:t>
      </w:r>
      <w:r w:rsidR="002B0CC3" w:rsidRPr="000366BF">
        <w:t>2</w:t>
      </w:r>
      <w:r w:rsidR="002B0CC3" w:rsidRPr="00392B10">
        <w:fldChar w:fldCharType="end"/>
      </w:r>
      <w:r w:rsidR="002B0CC3" w:rsidRPr="00392B10">
        <w:t xml:space="preserve">). The ESC considered the life years modelled for the additional 10% of patients alive at 5 years to be uncertain, and that applying convergence to the </w:t>
      </w:r>
      <w:r w:rsidR="00467C9C" w:rsidRPr="00392B10">
        <w:t xml:space="preserve">overall </w:t>
      </w:r>
      <w:r w:rsidR="002B0CC3" w:rsidRPr="00392B10">
        <w:t>curves from approximately 10 years would be appropriate to reflect the lack of evidence in long term outcomes.</w:t>
      </w:r>
      <w:bookmarkEnd w:id="48"/>
      <w:r w:rsidR="002B0CC3" w:rsidRPr="00392B10">
        <w:t xml:space="preserve"> </w:t>
      </w:r>
      <w:r w:rsidR="00AC5A84" w:rsidRPr="00392B10">
        <w:t>The pre-PBAC response stated that convergence of the survival outcomes beyond 5 years was applied in the submission, with the curves converging by approximately 28 years.</w:t>
      </w:r>
      <w:r w:rsidR="00264E92" w:rsidRPr="00392B10">
        <w:t xml:space="preserve"> </w:t>
      </w:r>
    </w:p>
    <w:p w14:paraId="41710B4B" w14:textId="0C54EFE9" w:rsidR="00AF2CAA" w:rsidRPr="00392B10" w:rsidRDefault="00AF2CAA" w:rsidP="00AF2CAA">
      <w:pPr>
        <w:pStyle w:val="COMexecsumnumberedpara"/>
      </w:pPr>
      <w:r w:rsidRPr="00392B10">
        <w:t>Due to the partitioned survival design of the model, which incorporated event-free survival and overall survival results from Study 301, the modelled outcomes reflect the treatments administered in Study 301. The</w:t>
      </w:r>
      <w:r w:rsidR="00264E92" w:rsidRPr="00392B10">
        <w:t xml:space="preserve"> ESC noted that the</w:t>
      </w:r>
      <w:r w:rsidRPr="00392B10">
        <w:t xml:space="preserve">re were concerns regarding the applicability of Study 301 to the PBS population due to potential differences in the </w:t>
      </w:r>
      <w:r w:rsidR="00D20AD3" w:rsidRPr="00392B10">
        <w:t xml:space="preserve">chemotherapy </w:t>
      </w:r>
      <w:r w:rsidR="005C6B2F" w:rsidRPr="00392B10">
        <w:t xml:space="preserve">treatments used for </w:t>
      </w:r>
      <w:r w:rsidR="00593219" w:rsidRPr="00392B10">
        <w:t xml:space="preserve">second </w:t>
      </w:r>
      <w:r w:rsidRPr="00392B10">
        <w:t xml:space="preserve">induction and consolidation, the proportions of patients receiving </w:t>
      </w:r>
      <w:r w:rsidR="00593219" w:rsidRPr="00392B10">
        <w:t xml:space="preserve">second </w:t>
      </w:r>
      <w:r w:rsidRPr="00392B10">
        <w:t>induction and consolidation courses, and HSCT rates. These differences may affect survival outcomes associated with treatment among patients in the PBS population.</w:t>
      </w:r>
    </w:p>
    <w:p w14:paraId="28CB12F1" w14:textId="58A146A5" w:rsidR="00AF2CAA" w:rsidRPr="00392B10" w:rsidRDefault="00AF2CAA" w:rsidP="00AF2CAA">
      <w:pPr>
        <w:pStyle w:val="COMexecsumnumberedpara"/>
      </w:pPr>
      <w:r w:rsidRPr="00392B10">
        <w:t>The submission stated that utilities in the model were sourced from published literature, as health-related quality of life was not measured in Study 301. During the initial 3 years of the model, patients in the event-free survival health state were assumed to have a utility of 0.5</w:t>
      </w:r>
      <w:r w:rsidR="00E44A3D" w:rsidRPr="00392B10">
        <w:t>5</w:t>
      </w:r>
      <w:r w:rsidRPr="00392B10">
        <w:t xml:space="preserve"> and patients in the post-event survival health state were assumed to have a utility of 0.5</w:t>
      </w:r>
      <w:r w:rsidR="00E44A3D" w:rsidRPr="00392B10">
        <w:t>2</w:t>
      </w:r>
      <w:r w:rsidRPr="00392B10">
        <w:t xml:space="preserve">, based on health state utilities reported in a </w:t>
      </w:r>
      <w:r w:rsidRPr="00392B10">
        <w:lastRenderedPageBreak/>
        <w:t xml:space="preserve">published time-trade off study of patients with AML (Matza et al., 2019). The assumed utilities did not appear to be appropriate as the model health states did not align with the descriptions included in the vignettes (the pre-event survival utility was based on a vignette which described a patient with active AML, typically a newly diagnosed patient, prior to receiving treatment; the post-event survival utility was based on a vignette which described a patient who is not considered a good candidate for chemotherapy and transplants, receiving best supportive care). </w:t>
      </w:r>
      <w:r w:rsidR="00264E92" w:rsidRPr="00392B10">
        <w:t>The ESC noted that the utility values applied were broadly consistent with those applied in the gemtuzumab ozogamicin submissio</w:t>
      </w:r>
      <w:r w:rsidR="002B0CC3" w:rsidRPr="00392B10">
        <w:t>n (Table 8, gemtuzumab ozogamicin PSD, November 2021 PBAC meeting)</w:t>
      </w:r>
      <w:r w:rsidR="00264E92" w:rsidRPr="00392B10">
        <w:t xml:space="preserve"> but were lower than the values applied in the venetoclax submission</w:t>
      </w:r>
      <w:r w:rsidR="002B0CC3" w:rsidRPr="00392B10">
        <w:t xml:space="preserve"> (Table 11, venetoclax PSD, March 2021)</w:t>
      </w:r>
      <w:r w:rsidR="00264E92" w:rsidRPr="00392B10">
        <w:t>.</w:t>
      </w:r>
    </w:p>
    <w:p w14:paraId="11A26119" w14:textId="77777777" w:rsidR="00AF2CAA" w:rsidRPr="00392B10" w:rsidRDefault="00AF2CAA" w:rsidP="00AF2CAA">
      <w:pPr>
        <w:pStyle w:val="COMexecsumnumberedpara"/>
      </w:pPr>
      <w:r w:rsidRPr="00392B10">
        <w:t>The assumed health state utility for patients surviving beyond 3 years in the model (0.80) was based on the mean Australian EQ-5D-3L utility value for persons aged 65-74 years (0.82) reported by Clemens et al. (2014), with a small downward adjustment. The quality of life among patients surviving beyond 3 years may be worse than assumed in the submission, given comorbidity associated with t-AML/AML-MRC and prior chemotherapy treatments, the risk of disease recurrence, and issues associated with HSCT (e.g., graft versus host disease).</w:t>
      </w:r>
    </w:p>
    <w:p w14:paraId="1D73C2BE" w14:textId="716C7B22" w:rsidR="00AF2CAA" w:rsidRPr="00392B10" w:rsidRDefault="00AF2CAA" w:rsidP="00AF2CAA">
      <w:pPr>
        <w:pStyle w:val="COMexecsumnumberedpara"/>
      </w:pPr>
      <w:bookmarkStart w:id="49" w:name="_Ref137732946"/>
      <w:r w:rsidRPr="000366BF">
        <w:t xml:space="preserve">The model included drug costs, hospitalisation costs and costs associated with undergoing HSCT. </w:t>
      </w:r>
      <w:r w:rsidRPr="00392B10">
        <w:t xml:space="preserve">No costs were included for subsequent lines of therapy. This was inconsistent with trial data suggesting that most patients received salvage therapies in the trial, with more patients in the intervention arm (77%) receiving </w:t>
      </w:r>
      <w:r w:rsidR="000B007B" w:rsidRPr="00392B10">
        <w:t xml:space="preserve">salvage </w:t>
      </w:r>
      <w:r w:rsidRPr="00392B10">
        <w:t>therapy versus the comparator arm (70%). No costs were included for pre- and post-transplant costs associated with HSCT, which was inconsistent with HSCT-related information from the trial. No costs were included for disease monitoring, disease management or use of supportive treatments. The omission of these costs was inconsistent with trial data indicating more tests for monitoring and greater use of prophylactic anti-infectives, blood transfusions and granulocyte-colony stimulating factors (G-CSF) in the liposomal daunorubicin and cytarabine arm of the trial. Exclusion of these costs favoured the liposomal daunorubicin and cytarabine arm and was not adequately justified in the submission.</w:t>
      </w:r>
      <w:r w:rsidR="005222C4" w:rsidRPr="00392B10">
        <w:t xml:space="preserve"> The PSCR noted the sensitivity analysis conducted during the evaluation that increased the costs associated with HSCT by 50%. The PSCR noted that this increased the ICER by 6% and could be considered indicative of examining the impact of increasing costs associated with subsequent lines of therapy, disease monitoring, disease management, supportive treatments and pre- and post-transplant costs.</w:t>
      </w:r>
      <w:r w:rsidR="00264E92" w:rsidRPr="00392B10">
        <w:t xml:space="preserve"> The ESC noted that the sensitivity analysis did not capture the potential impact of non-HSCT-related costs and advised that costs associated with subsequent therapies, disease monitoring and management, supportive treatments and adverse events should be included in the base case analysis. The ESC noted that exclusion of these costs was inconsistent with health resource utilisation data from the trial that indicated greater resource use in the liposomal daunorubicin and cytarabine arm.</w:t>
      </w:r>
      <w:bookmarkEnd w:id="49"/>
    </w:p>
    <w:p w14:paraId="7D02B183" w14:textId="43835C3B" w:rsidR="00AF2CAA" w:rsidRPr="00392B10" w:rsidRDefault="00AF2CAA" w:rsidP="00AF2CAA">
      <w:pPr>
        <w:pStyle w:val="COMexecsumnumberedpara"/>
      </w:pPr>
      <w:bookmarkStart w:id="50" w:name="_Ref137732955"/>
      <w:r w:rsidRPr="00392B10">
        <w:lastRenderedPageBreak/>
        <w:t>The submission argued that the inclusion of adverse event costs was not necessary as the clinical evidence suggests similar safety between treatments in the trial when adjusted for duration of treatment exposure. Th</w:t>
      </w:r>
      <w:r w:rsidR="00264E92" w:rsidRPr="00392B10">
        <w:t>e ESC considered that th</w:t>
      </w:r>
      <w:r w:rsidRPr="00392B10">
        <w:t>is argument was inadequately justified as the data indicated that liposomal daunorubicin and cytarabine treatment was associated with a longer treatment duration, and consequently an increased incidence of adverse events compared to daunorubicin and cytarabine. The data also indicated prolonged time to neutrophil and platelet recovery following treatment, due to the long plasma half-life of the drug</w:t>
      </w:r>
      <w:r w:rsidR="00264E92" w:rsidRPr="00392B10">
        <w:t>, which the ESC considered would prolong hospitalisation by approximately 6-8 days and</w:t>
      </w:r>
      <w:r w:rsidR="00461A74" w:rsidRPr="00392B10">
        <w:t xml:space="preserve"> the associated costs </w:t>
      </w:r>
      <w:r w:rsidR="00264E92" w:rsidRPr="00392B10">
        <w:t>should be included in the model.</w:t>
      </w:r>
      <w:bookmarkEnd w:id="50"/>
      <w:r w:rsidR="00264E92" w:rsidRPr="00392B10">
        <w:t xml:space="preserve"> </w:t>
      </w:r>
    </w:p>
    <w:p w14:paraId="6B60DB29" w14:textId="197EDC6A" w:rsidR="00AF2CAA" w:rsidRPr="00392B10" w:rsidRDefault="00AF2CAA" w:rsidP="0012415F">
      <w:pPr>
        <w:pStyle w:val="COMexecsumnumberedpara"/>
      </w:pPr>
      <w:r w:rsidRPr="00392B10">
        <w:t xml:space="preserve">The key drivers of the model are summarised in </w:t>
      </w:r>
      <w:r w:rsidR="000B007B" w:rsidRPr="00392B10">
        <w:fldChar w:fldCharType="begin" w:fldLock="1"/>
      </w:r>
      <w:r w:rsidR="000B007B" w:rsidRPr="00392B10">
        <w:instrText xml:space="preserve"> REF _Ref134620216 \h </w:instrText>
      </w:r>
      <w:r w:rsidR="000D5FB6" w:rsidRPr="00392B10">
        <w:instrText xml:space="preserve"> \* MERGEFORMAT </w:instrText>
      </w:r>
      <w:r w:rsidR="000B007B" w:rsidRPr="00392B10">
        <w:fldChar w:fldCharType="separate"/>
      </w:r>
      <w:r w:rsidR="000B007B" w:rsidRPr="00392B10">
        <w:t xml:space="preserve">Table </w:t>
      </w:r>
      <w:r w:rsidR="000B007B" w:rsidRPr="000366BF">
        <w:t>11</w:t>
      </w:r>
      <w:r w:rsidR="000B007B" w:rsidRPr="00392B10">
        <w:fldChar w:fldCharType="end"/>
      </w:r>
      <w:r w:rsidRPr="00392B10">
        <w:t>.</w:t>
      </w:r>
    </w:p>
    <w:p w14:paraId="2196443A" w14:textId="092DB781" w:rsidR="00AC5283" w:rsidRPr="000366BF" w:rsidRDefault="00AC5283" w:rsidP="0012415F">
      <w:pPr>
        <w:pStyle w:val="COMTableheadingrow"/>
        <w:rPr>
          <w:lang w:val="en-AU"/>
        </w:rPr>
      </w:pPr>
      <w:bookmarkStart w:id="51" w:name="_Ref134620216"/>
      <w:bookmarkStart w:id="52" w:name="_Ref134620203"/>
      <w:r w:rsidRPr="000366BF">
        <w:rPr>
          <w:lang w:val="en-AU"/>
        </w:rPr>
        <w:t xml:space="preserve">Table </w:t>
      </w:r>
      <w:r w:rsidRPr="000366BF">
        <w:rPr>
          <w:lang w:val="en-AU"/>
        </w:rPr>
        <w:fldChar w:fldCharType="begin" w:fldLock="1"/>
      </w:r>
      <w:r w:rsidRPr="000366BF">
        <w:rPr>
          <w:lang w:val="en-AU"/>
        </w:rPr>
        <w:instrText xml:space="preserve"> SEQ Table \* ARABIC </w:instrText>
      </w:r>
      <w:r w:rsidRPr="000366BF">
        <w:rPr>
          <w:lang w:val="en-AU"/>
        </w:rPr>
        <w:fldChar w:fldCharType="separate"/>
      </w:r>
      <w:r w:rsidR="00C24535" w:rsidRPr="000366BF">
        <w:rPr>
          <w:lang w:val="en-AU"/>
        </w:rPr>
        <w:t>11</w:t>
      </w:r>
      <w:r w:rsidRPr="000366BF">
        <w:rPr>
          <w:lang w:val="en-AU"/>
        </w:rPr>
        <w:fldChar w:fldCharType="end"/>
      </w:r>
      <w:bookmarkEnd w:id="51"/>
      <w:r w:rsidRPr="000366BF">
        <w:rPr>
          <w:lang w:val="en-AU"/>
        </w:rPr>
        <w:t>: Key drivers of the model</w:t>
      </w:r>
      <w:bookmarkEnd w:id="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6095"/>
        <w:gridCol w:w="1793"/>
      </w:tblGrid>
      <w:tr w:rsidR="00AC5283" w:rsidRPr="00392B10" w14:paraId="1D44A1B1" w14:textId="77777777" w:rsidTr="003B634A">
        <w:trPr>
          <w:tblHeader/>
        </w:trPr>
        <w:tc>
          <w:tcPr>
            <w:tcW w:w="626" w:type="pct"/>
            <w:shd w:val="clear" w:color="auto" w:fill="auto"/>
            <w:vAlign w:val="center"/>
          </w:tcPr>
          <w:p w14:paraId="1CC41CBF" w14:textId="77777777" w:rsidR="00AC5283" w:rsidRPr="000366BF" w:rsidRDefault="00AC5283" w:rsidP="003B634A">
            <w:pPr>
              <w:pStyle w:val="COMTableheadingrow"/>
              <w:jc w:val="center"/>
              <w:rPr>
                <w:lang w:val="en-AU"/>
              </w:rPr>
            </w:pPr>
            <w:r w:rsidRPr="000366BF">
              <w:rPr>
                <w:lang w:val="en-AU"/>
              </w:rPr>
              <w:t>Description</w:t>
            </w:r>
          </w:p>
        </w:tc>
        <w:tc>
          <w:tcPr>
            <w:tcW w:w="3380" w:type="pct"/>
            <w:shd w:val="clear" w:color="auto" w:fill="auto"/>
            <w:vAlign w:val="center"/>
          </w:tcPr>
          <w:p w14:paraId="2A8F7D4A" w14:textId="77777777" w:rsidR="00AC5283" w:rsidRPr="000366BF" w:rsidRDefault="00AC5283" w:rsidP="003B634A">
            <w:pPr>
              <w:pStyle w:val="COMTableheadingrow"/>
              <w:jc w:val="center"/>
              <w:rPr>
                <w:lang w:val="en-AU"/>
              </w:rPr>
            </w:pPr>
            <w:r w:rsidRPr="000366BF">
              <w:rPr>
                <w:lang w:val="en-AU"/>
              </w:rPr>
              <w:t>Method/Value</w:t>
            </w:r>
          </w:p>
        </w:tc>
        <w:tc>
          <w:tcPr>
            <w:tcW w:w="994" w:type="pct"/>
            <w:shd w:val="clear" w:color="auto" w:fill="auto"/>
            <w:vAlign w:val="center"/>
          </w:tcPr>
          <w:p w14:paraId="5DC658AC" w14:textId="77777777" w:rsidR="00AC5283" w:rsidRPr="000366BF" w:rsidRDefault="00AC5283" w:rsidP="003B634A">
            <w:pPr>
              <w:pStyle w:val="COMTableheadingrow"/>
              <w:jc w:val="center"/>
              <w:rPr>
                <w:lang w:val="en-AU"/>
              </w:rPr>
            </w:pPr>
            <w:r w:rsidRPr="000366BF">
              <w:rPr>
                <w:lang w:val="en-AU"/>
              </w:rPr>
              <w:t>Impact</w:t>
            </w:r>
          </w:p>
        </w:tc>
      </w:tr>
      <w:tr w:rsidR="00AC5283" w:rsidRPr="00392B10" w14:paraId="570CF853" w14:textId="77777777" w:rsidTr="003B634A">
        <w:tc>
          <w:tcPr>
            <w:tcW w:w="626" w:type="pct"/>
            <w:shd w:val="clear" w:color="auto" w:fill="auto"/>
            <w:vAlign w:val="center"/>
          </w:tcPr>
          <w:p w14:paraId="6CFBC9A8" w14:textId="77777777" w:rsidR="00AC5283" w:rsidRPr="000366BF" w:rsidRDefault="00AC5283" w:rsidP="003B634A">
            <w:pPr>
              <w:pStyle w:val="COMTabletext"/>
            </w:pPr>
            <w:r w:rsidRPr="000366BF">
              <w:t>Time horizon</w:t>
            </w:r>
          </w:p>
        </w:tc>
        <w:tc>
          <w:tcPr>
            <w:tcW w:w="3380" w:type="pct"/>
            <w:shd w:val="clear" w:color="auto" w:fill="auto"/>
            <w:vAlign w:val="center"/>
          </w:tcPr>
          <w:p w14:paraId="12742161" w14:textId="77777777" w:rsidR="00AC5283" w:rsidRPr="000366BF" w:rsidRDefault="00AC5283" w:rsidP="003B634A">
            <w:pPr>
              <w:pStyle w:val="COMTabletext"/>
            </w:pPr>
            <w:r w:rsidRPr="000366BF">
              <w:t>The model base case incorporated a 25-year time horizon, versus a median follow-up of 5 years in Study 301. There was a large amount of uncertainty associated with the extrapolation of the survival data from 5 years to 25 years.</w:t>
            </w:r>
          </w:p>
        </w:tc>
        <w:tc>
          <w:tcPr>
            <w:tcW w:w="994" w:type="pct"/>
            <w:shd w:val="clear" w:color="auto" w:fill="auto"/>
            <w:vAlign w:val="center"/>
          </w:tcPr>
          <w:p w14:paraId="0C3136B8" w14:textId="77777777" w:rsidR="00AC5283" w:rsidRPr="000366BF" w:rsidRDefault="00AC5283" w:rsidP="003B634A">
            <w:pPr>
              <w:pStyle w:val="COMTabletext"/>
              <w:jc w:val="center"/>
            </w:pPr>
            <w:r w:rsidRPr="000366BF">
              <w:t>Moderate, favours LDC</w:t>
            </w:r>
          </w:p>
        </w:tc>
      </w:tr>
      <w:tr w:rsidR="00AC5283" w:rsidRPr="00392B10" w14:paraId="2EB8532B" w14:textId="77777777" w:rsidTr="003B634A">
        <w:tc>
          <w:tcPr>
            <w:tcW w:w="626" w:type="pct"/>
            <w:shd w:val="clear" w:color="auto" w:fill="auto"/>
            <w:vAlign w:val="center"/>
          </w:tcPr>
          <w:p w14:paraId="279F6CEF" w14:textId="77777777" w:rsidR="00AC5283" w:rsidRPr="000366BF" w:rsidRDefault="00AC5283" w:rsidP="003B634A">
            <w:pPr>
              <w:pStyle w:val="COMTabletext"/>
            </w:pPr>
            <w:r w:rsidRPr="000366BF">
              <w:t>Extrapolation</w:t>
            </w:r>
          </w:p>
        </w:tc>
        <w:tc>
          <w:tcPr>
            <w:tcW w:w="3380" w:type="pct"/>
            <w:shd w:val="clear" w:color="auto" w:fill="auto"/>
            <w:vAlign w:val="center"/>
          </w:tcPr>
          <w:p w14:paraId="2A22CC11" w14:textId="77777777" w:rsidR="00AC5283" w:rsidRPr="000366BF" w:rsidRDefault="00AC5283" w:rsidP="003B634A">
            <w:pPr>
              <w:pStyle w:val="COMTabletext"/>
            </w:pPr>
            <w:r w:rsidRPr="000366BF">
              <w:t>A Gompertz function was used to extrapolate overall survival in the model, with adjustment for background population mortality and additional mortality associated with the disease. The modelled overall survival may not adequately reflect survival outcomes among patients with t-AML and AML-MRC, due to comorbidities associated with prior chemotherapy treatments, the potential for disease recurrence, and issues associated with HSCT (e.g., graft versus host disease).</w:t>
            </w:r>
          </w:p>
        </w:tc>
        <w:tc>
          <w:tcPr>
            <w:tcW w:w="994" w:type="pct"/>
            <w:shd w:val="clear" w:color="auto" w:fill="auto"/>
            <w:vAlign w:val="center"/>
          </w:tcPr>
          <w:p w14:paraId="13FB6758" w14:textId="77777777" w:rsidR="00AC5283" w:rsidRPr="000366BF" w:rsidRDefault="00AC5283" w:rsidP="003B634A">
            <w:pPr>
              <w:pStyle w:val="COMTabletext"/>
              <w:jc w:val="center"/>
            </w:pPr>
            <w:r w:rsidRPr="000366BF">
              <w:t>Moderate, favours LDC</w:t>
            </w:r>
          </w:p>
        </w:tc>
      </w:tr>
      <w:tr w:rsidR="00AC5283" w:rsidRPr="00392B10" w14:paraId="4D2B0500" w14:textId="77777777" w:rsidTr="003B634A">
        <w:tc>
          <w:tcPr>
            <w:tcW w:w="626" w:type="pct"/>
            <w:shd w:val="clear" w:color="auto" w:fill="auto"/>
            <w:vAlign w:val="center"/>
          </w:tcPr>
          <w:p w14:paraId="705B54F0" w14:textId="77777777" w:rsidR="00AC5283" w:rsidRPr="000366BF" w:rsidRDefault="00AC5283" w:rsidP="003B634A">
            <w:pPr>
              <w:pStyle w:val="COMTabletext"/>
            </w:pPr>
            <w:r w:rsidRPr="000366BF">
              <w:t>Utilities</w:t>
            </w:r>
          </w:p>
        </w:tc>
        <w:tc>
          <w:tcPr>
            <w:tcW w:w="3380" w:type="pct"/>
            <w:shd w:val="clear" w:color="auto" w:fill="auto"/>
            <w:vAlign w:val="center"/>
          </w:tcPr>
          <w:p w14:paraId="7AD65D7D" w14:textId="77777777" w:rsidR="00AC5283" w:rsidRPr="000366BF" w:rsidRDefault="00AC5283" w:rsidP="003B634A">
            <w:pPr>
              <w:pStyle w:val="COMTabletext"/>
            </w:pPr>
            <w:r w:rsidRPr="000366BF">
              <w:t>Utilities for the pre- and post-event health states during the initial 3 years of the model (0.55 for patients in the pre-event survival state; 0.52 for patients in the post-event survival state) were sourced from Matza et al. (2019). The model health states did not match the health state descriptions included in Matza et al. (2019).</w:t>
            </w:r>
          </w:p>
          <w:p w14:paraId="0CCD909B" w14:textId="77777777" w:rsidR="00AC5283" w:rsidRPr="000366BF" w:rsidRDefault="00AC5283" w:rsidP="003B634A">
            <w:pPr>
              <w:pStyle w:val="COMTabletext"/>
            </w:pPr>
          </w:p>
          <w:p w14:paraId="45313817" w14:textId="77777777" w:rsidR="00AC5283" w:rsidRPr="000366BF" w:rsidRDefault="00AC5283" w:rsidP="003B634A">
            <w:pPr>
              <w:pStyle w:val="COMTabletext"/>
            </w:pPr>
            <w:r w:rsidRPr="000366BF">
              <w:t>The assumed health state utility for patients surviving beyond 3 years in the model (0.80) was based on the mean Australian EQ-5D-3L utility value for persons aged 65-74 years of 0.82 reported by Clemens et al. (2014), with a small downward adjustment. The quality of life among patients surviving greater than 3 years may be worse than assumed in the submission, given comorbidity associated with t-AML/AML-MRC and prior chemotherapy treatments, the risk of disease recurrence, and issues associated with HSCT (e.g., graft versus host disease).</w:t>
            </w:r>
          </w:p>
        </w:tc>
        <w:tc>
          <w:tcPr>
            <w:tcW w:w="994" w:type="pct"/>
            <w:shd w:val="clear" w:color="auto" w:fill="auto"/>
            <w:vAlign w:val="center"/>
          </w:tcPr>
          <w:p w14:paraId="0C41A386" w14:textId="77777777" w:rsidR="00AC5283" w:rsidRPr="000366BF" w:rsidRDefault="00AC5283" w:rsidP="003B634A">
            <w:pPr>
              <w:pStyle w:val="COMTabletext"/>
              <w:jc w:val="center"/>
            </w:pPr>
            <w:r w:rsidRPr="000366BF">
              <w:t>Moderate, favours LDC</w:t>
            </w:r>
          </w:p>
        </w:tc>
      </w:tr>
      <w:tr w:rsidR="00AC5283" w:rsidRPr="00392B10" w14:paraId="2B19554A" w14:textId="77777777" w:rsidTr="003B634A">
        <w:trPr>
          <w:trHeight w:val="303"/>
        </w:trPr>
        <w:tc>
          <w:tcPr>
            <w:tcW w:w="626" w:type="pct"/>
            <w:shd w:val="clear" w:color="auto" w:fill="auto"/>
            <w:vAlign w:val="center"/>
          </w:tcPr>
          <w:p w14:paraId="066BA91F" w14:textId="77777777" w:rsidR="00AC5283" w:rsidRPr="000366BF" w:rsidRDefault="00AC5283" w:rsidP="003B634A">
            <w:pPr>
              <w:pStyle w:val="COMTabletext"/>
            </w:pPr>
            <w:r w:rsidRPr="000366BF">
              <w:t>Costs</w:t>
            </w:r>
          </w:p>
        </w:tc>
        <w:tc>
          <w:tcPr>
            <w:tcW w:w="3380" w:type="pct"/>
            <w:shd w:val="clear" w:color="auto" w:fill="auto"/>
            <w:vAlign w:val="center"/>
          </w:tcPr>
          <w:p w14:paraId="6B43AEC0" w14:textId="77777777" w:rsidR="00AC5283" w:rsidRPr="000366BF" w:rsidRDefault="00AC5283" w:rsidP="003B634A">
            <w:pPr>
              <w:pStyle w:val="COMTabletext"/>
            </w:pPr>
            <w:r w:rsidRPr="000366BF">
              <w:t>The model included drug costs, hospitalisation costs, and HSCT costs only. Costs associated with subsequent lines of therapy, disease monitoring, disease management, supportive treatments, adverse events, and pre- and post-transplant costs associated with HSCT were not included in the model.</w:t>
            </w:r>
          </w:p>
        </w:tc>
        <w:tc>
          <w:tcPr>
            <w:tcW w:w="994" w:type="pct"/>
            <w:shd w:val="clear" w:color="auto" w:fill="auto"/>
            <w:vAlign w:val="center"/>
          </w:tcPr>
          <w:p w14:paraId="1E93E733" w14:textId="77777777" w:rsidR="00AC5283" w:rsidRPr="000366BF" w:rsidRDefault="00AC5283" w:rsidP="003B634A">
            <w:pPr>
              <w:pStyle w:val="COMTabletext"/>
              <w:jc w:val="center"/>
            </w:pPr>
            <w:r w:rsidRPr="000366BF">
              <w:t>Moderate, favours LDC</w:t>
            </w:r>
          </w:p>
        </w:tc>
      </w:tr>
    </w:tbl>
    <w:p w14:paraId="05E9AF7C" w14:textId="77777777" w:rsidR="00AC5283" w:rsidRPr="00392B10" w:rsidRDefault="00AC5283" w:rsidP="00AC5283">
      <w:pPr>
        <w:pStyle w:val="COMTablefooter"/>
      </w:pPr>
      <w:r w:rsidRPr="00392B10">
        <w:t>Source: Constructed during the evaluation based on Section 3, pp57-95 of the submission</w:t>
      </w:r>
    </w:p>
    <w:p w14:paraId="06FD8F21" w14:textId="03AF0526" w:rsidR="00107A2C" w:rsidRPr="00392B10" w:rsidRDefault="002B0CC3" w:rsidP="00AC5283">
      <w:pPr>
        <w:pStyle w:val="COMTablefooter"/>
        <w:rPr>
          <w:sz w:val="20"/>
        </w:rPr>
      </w:pPr>
      <w:r w:rsidRPr="00392B10">
        <w:t xml:space="preserve">AML-MRC = acute myeloid leukaemia with myelodysplasia-related changes; HSCT = haematopoietic stem cell transplant; </w:t>
      </w:r>
      <w:r w:rsidR="00AC5283" w:rsidRPr="00392B10">
        <w:t>LDC</w:t>
      </w:r>
      <w:r w:rsidRPr="00392B10">
        <w:t xml:space="preserve"> =</w:t>
      </w:r>
      <w:r w:rsidR="00AC5283" w:rsidRPr="00392B10">
        <w:t xml:space="preserve"> liposomal daunorubicin and cytarabine</w:t>
      </w:r>
      <w:r w:rsidRPr="00392B10">
        <w:t>; t-AML = therapy-related acute myeloid leukaemia</w:t>
      </w:r>
    </w:p>
    <w:p w14:paraId="08760DBE" w14:textId="077AF19A" w:rsidR="00E72402" w:rsidRPr="00392B10" w:rsidRDefault="00E72402" w:rsidP="00E72402">
      <w:pPr>
        <w:pStyle w:val="COMexecsumnumberedpara"/>
      </w:pPr>
      <w:r w:rsidRPr="00392B10">
        <w:t xml:space="preserve">Model traces for the liposomal daunorubicin and cytarabine and idarubicin and cytarabine arms are presented in </w:t>
      </w:r>
      <w:r w:rsidRPr="00392B10">
        <w:fldChar w:fldCharType="begin" w:fldLock="1"/>
      </w:r>
      <w:r w:rsidRPr="00392B10">
        <w:instrText xml:space="preserve"> REF _Ref134525411 \h </w:instrText>
      </w:r>
      <w:r w:rsidRPr="00392B10">
        <w:fldChar w:fldCharType="separate"/>
      </w:r>
      <w:r w:rsidR="002B0CC3" w:rsidRPr="00392B10">
        <w:t xml:space="preserve">Figure </w:t>
      </w:r>
      <w:r w:rsidR="002B0CC3" w:rsidRPr="000366BF">
        <w:t>9</w:t>
      </w:r>
      <w:r w:rsidRPr="00392B10">
        <w:fldChar w:fldCharType="end"/>
      </w:r>
      <w:r w:rsidRPr="00392B10">
        <w:t>.</w:t>
      </w:r>
    </w:p>
    <w:p w14:paraId="54552EB2" w14:textId="132B0408" w:rsidR="00E87370" w:rsidRPr="000366BF" w:rsidRDefault="00E87370" w:rsidP="00E87370">
      <w:pPr>
        <w:pStyle w:val="COMTableheadingrow"/>
        <w:rPr>
          <w:lang w:val="en-AU"/>
        </w:rPr>
      </w:pPr>
      <w:bookmarkStart w:id="53" w:name="_Ref134525411"/>
      <w:r w:rsidRPr="000366BF">
        <w:rPr>
          <w:lang w:val="en-AU"/>
        </w:rPr>
        <w:lastRenderedPageBreak/>
        <w:t xml:space="preserve">Figure </w:t>
      </w:r>
      <w:r w:rsidR="002B0CC3" w:rsidRPr="000366BF">
        <w:rPr>
          <w:lang w:val="en-AU"/>
        </w:rPr>
        <w:fldChar w:fldCharType="begin" w:fldLock="1"/>
      </w:r>
      <w:r w:rsidR="002B0CC3" w:rsidRPr="000366BF">
        <w:rPr>
          <w:lang w:val="en-AU"/>
        </w:rPr>
        <w:instrText xml:space="preserve"> SEQ Figure \* ARABIC </w:instrText>
      </w:r>
      <w:r w:rsidR="002B0CC3" w:rsidRPr="000366BF">
        <w:rPr>
          <w:lang w:val="en-AU"/>
        </w:rPr>
        <w:fldChar w:fldCharType="separate"/>
      </w:r>
      <w:r w:rsidR="002B0CC3" w:rsidRPr="000366BF">
        <w:rPr>
          <w:lang w:val="en-AU"/>
        </w:rPr>
        <w:t>9</w:t>
      </w:r>
      <w:r w:rsidR="002B0CC3" w:rsidRPr="000366BF">
        <w:rPr>
          <w:lang w:val="en-AU"/>
        </w:rPr>
        <w:fldChar w:fldCharType="end"/>
      </w:r>
      <w:bookmarkEnd w:id="53"/>
      <w:r w:rsidRPr="000366BF">
        <w:rPr>
          <w:lang w:val="en-AU"/>
        </w:rPr>
        <w:t xml:space="preserve">: Model traces for the liposomal daunorubicin and cytarabine and idarubicin and cytarabine arms </w:t>
      </w:r>
      <w:r w:rsidRPr="000366BF">
        <w:rPr>
          <w:noProof/>
          <w:lang w:val="en-AU"/>
        </w:rPr>
        <w:drawing>
          <wp:inline distT="0" distB="0" distL="0" distR="0" wp14:anchorId="2D51E4BA" wp14:editId="6ECCF0B0">
            <wp:extent cx="5698541" cy="3400963"/>
            <wp:effectExtent l="0" t="0" r="0" b="9525"/>
            <wp:docPr id="38" name="Picture 38" descr="A picture containing text, line, plo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picture containing text, line, plot, diagra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9328" cy="3419337"/>
                    </a:xfrm>
                    <a:prstGeom prst="rect">
                      <a:avLst/>
                    </a:prstGeom>
                    <a:noFill/>
                  </pic:spPr>
                </pic:pic>
              </a:graphicData>
            </a:graphic>
          </wp:inline>
        </w:drawing>
      </w:r>
    </w:p>
    <w:p w14:paraId="62ED4664" w14:textId="77777777" w:rsidR="00E87370" w:rsidRPr="00392B10" w:rsidRDefault="00E87370" w:rsidP="00E87370">
      <w:pPr>
        <w:pStyle w:val="COMTablefooter"/>
      </w:pPr>
      <w:r w:rsidRPr="00392B10">
        <w:t>Source: Constructed during the evaluation using the Section 3 economic model Excel workbook</w:t>
      </w:r>
    </w:p>
    <w:p w14:paraId="4437F6A0" w14:textId="27C589D4" w:rsidR="00E72402" w:rsidRPr="00392B10" w:rsidRDefault="002B0CC3" w:rsidP="00E87370">
      <w:pPr>
        <w:pStyle w:val="COMTablefooter"/>
      </w:pPr>
      <w:r w:rsidRPr="00392B10">
        <w:t xml:space="preserve">EFS = event-free survival; </w:t>
      </w:r>
      <w:r w:rsidR="00E87370" w:rsidRPr="00392B10">
        <w:t>IC</w:t>
      </w:r>
      <w:r w:rsidRPr="00392B10">
        <w:t xml:space="preserve"> =</w:t>
      </w:r>
      <w:r w:rsidR="00E87370" w:rsidRPr="00392B10">
        <w:t xml:space="preserve"> idarubicin and cytarabine; LDC</w:t>
      </w:r>
      <w:r w:rsidRPr="00392B10">
        <w:t xml:space="preserve"> =</w:t>
      </w:r>
      <w:r w:rsidR="00E87370" w:rsidRPr="00392B10">
        <w:t xml:space="preserve"> liposomal daunorubicin and cytarabine; OS</w:t>
      </w:r>
      <w:r w:rsidRPr="00392B10">
        <w:t xml:space="preserve"> =</w:t>
      </w:r>
      <w:r w:rsidR="00E87370" w:rsidRPr="00392B10">
        <w:t xml:space="preserve"> overall survival</w:t>
      </w:r>
    </w:p>
    <w:p w14:paraId="02562F62" w14:textId="77777777" w:rsidR="00582BFF" w:rsidRPr="00392B10" w:rsidRDefault="00582BFF" w:rsidP="00582BFF">
      <w:pPr>
        <w:pStyle w:val="COMexecsumnumberedpara"/>
        <w:spacing w:after="60"/>
      </w:pPr>
      <w:r w:rsidRPr="00392B10">
        <w:t>The model traces indicate that:</w:t>
      </w:r>
    </w:p>
    <w:p w14:paraId="3F647F25" w14:textId="77777777" w:rsidR="00582BFF" w:rsidRPr="00392B10" w:rsidRDefault="00582BFF" w:rsidP="00582BFF">
      <w:pPr>
        <w:pStyle w:val="COMexecsummbulletlist"/>
        <w:spacing w:after="0"/>
        <w:ind w:hanging="357"/>
      </w:pPr>
      <w:r w:rsidRPr="00392B10">
        <w:t>At 5 years, approximately 18% of patients in the liposomal daunorubicin and cytarabine arm versus 7% of patients in the daunorubicin and cytarabine arm are alive, with approximately 6% versus 4% of patients remaining event-free, respectively. The reported 5-year overall survival rates for Study 301 were 18% for the liposomal daunorubicin and cytarabine arm and 8% for the daunorubicin and cytarabine arm.</w:t>
      </w:r>
    </w:p>
    <w:p w14:paraId="0D6E7F4B" w14:textId="77777777" w:rsidR="00582BFF" w:rsidRPr="00392B10" w:rsidRDefault="00582BFF" w:rsidP="00582BFF">
      <w:pPr>
        <w:pStyle w:val="COMexecsummbulletlist"/>
        <w:spacing w:after="0"/>
        <w:ind w:hanging="357"/>
      </w:pPr>
      <w:r w:rsidRPr="00392B10">
        <w:t>At 15 years, approximately 11% of patients in the liposomal daunorubicin and cytarabine arm versus 4% of patients in the daunorubicin and cytarabine arm are alive, with approximately 2% versus 1% of patients remaining event-free, respectively.</w:t>
      </w:r>
    </w:p>
    <w:p w14:paraId="63162A59" w14:textId="77777777" w:rsidR="00582BFF" w:rsidRPr="00392B10" w:rsidRDefault="00582BFF" w:rsidP="00582BFF">
      <w:pPr>
        <w:pStyle w:val="COMexecsummbulletlist"/>
      </w:pPr>
      <w:r w:rsidRPr="00392B10">
        <w:t>At 25 years, approximately 2% of patients in the liposomal daunorubicin and cytarabine arm versus 0% of patients in the daunorubicin and cytarabine arm are alive, with 0% of patients in either arm remaining event-free.</w:t>
      </w:r>
    </w:p>
    <w:p w14:paraId="64638AD2" w14:textId="77777777" w:rsidR="00582BFF" w:rsidRPr="00392B10" w:rsidRDefault="00582BFF" w:rsidP="00582BFF">
      <w:pPr>
        <w:pStyle w:val="COMexecsumnumberedpara"/>
      </w:pPr>
      <w:r w:rsidRPr="00392B10">
        <w:t>The submission claimed that the modelled median overall survival in the idarubicin and cytarabine arm of the model (6 months) is similar to the median survival reported by Ong et al. (2018), in a study of Australian patients included in the Victorian Cancer Registry with t-AML (n=73) and secondary AML (non-proliferative neoplasm or myelodysplastic syndrome as the primary malignancy; n=365) between 2003 and 2014. No data were presented to validate the longer-term modelled outcomes for patients with t-AML and AML-MRD.</w:t>
      </w:r>
    </w:p>
    <w:p w14:paraId="0719ACCA" w14:textId="5BA843DF" w:rsidR="00582BFF" w:rsidRPr="00392B10" w:rsidRDefault="00582BFF" w:rsidP="00582BFF">
      <w:pPr>
        <w:pStyle w:val="COMexecsumnumberedpara"/>
        <w:rPr>
          <w:b/>
          <w:bCs/>
          <w:color w:val="0066FF"/>
        </w:rPr>
      </w:pPr>
      <w:r w:rsidRPr="00392B10">
        <w:lastRenderedPageBreak/>
        <w:t xml:space="preserve">The results of the stepped economic evaluation are presented in </w:t>
      </w:r>
      <w:r w:rsidR="000B007B" w:rsidRPr="00392B10">
        <w:fldChar w:fldCharType="begin" w:fldLock="1"/>
      </w:r>
      <w:r w:rsidR="000B007B" w:rsidRPr="00392B10">
        <w:instrText xml:space="preserve"> REF _Ref134620396 \h </w:instrText>
      </w:r>
      <w:r w:rsidR="000B007B" w:rsidRPr="00392B10">
        <w:fldChar w:fldCharType="separate"/>
      </w:r>
      <w:r w:rsidR="000B007B" w:rsidRPr="00392B10">
        <w:t xml:space="preserve">Table </w:t>
      </w:r>
      <w:r w:rsidR="000B007B" w:rsidRPr="000366BF">
        <w:t>12</w:t>
      </w:r>
      <w:r w:rsidR="000B007B" w:rsidRPr="00392B10">
        <w:fldChar w:fldCharType="end"/>
      </w:r>
      <w:r w:rsidRPr="00392B10">
        <w:t>.</w:t>
      </w:r>
    </w:p>
    <w:p w14:paraId="414CF824" w14:textId="0D39C27B" w:rsidR="00DA08D5" w:rsidRPr="000366BF" w:rsidRDefault="00DA08D5" w:rsidP="00DA08D5">
      <w:pPr>
        <w:pStyle w:val="COMTableheadingrow"/>
        <w:rPr>
          <w:lang w:val="en-AU"/>
        </w:rPr>
      </w:pPr>
      <w:bookmarkStart w:id="54" w:name="_Ref134620396"/>
      <w:bookmarkStart w:id="55" w:name="_Ref134301109"/>
      <w:r w:rsidRPr="000366BF">
        <w:rPr>
          <w:lang w:val="en-AU"/>
        </w:rPr>
        <w:t xml:space="preserve">Table </w:t>
      </w:r>
      <w:r w:rsidRPr="000366BF">
        <w:rPr>
          <w:lang w:val="en-AU"/>
        </w:rPr>
        <w:fldChar w:fldCharType="begin" w:fldLock="1"/>
      </w:r>
      <w:r w:rsidRPr="000366BF">
        <w:rPr>
          <w:lang w:val="en-AU"/>
        </w:rPr>
        <w:instrText xml:space="preserve"> SEQ Table \* ARABIC </w:instrText>
      </w:r>
      <w:r w:rsidRPr="000366BF">
        <w:rPr>
          <w:lang w:val="en-AU"/>
        </w:rPr>
        <w:fldChar w:fldCharType="separate"/>
      </w:r>
      <w:r w:rsidR="00C24535" w:rsidRPr="000366BF">
        <w:rPr>
          <w:lang w:val="en-AU"/>
        </w:rPr>
        <w:t>12</w:t>
      </w:r>
      <w:r w:rsidRPr="000366BF">
        <w:rPr>
          <w:lang w:val="en-AU"/>
        </w:rPr>
        <w:fldChar w:fldCharType="end"/>
      </w:r>
      <w:bookmarkEnd w:id="54"/>
      <w:r w:rsidRPr="000366BF">
        <w:rPr>
          <w:lang w:val="en-AU"/>
        </w:rPr>
        <w:t>: Results of the stepped economic evaluation</w:t>
      </w:r>
      <w:bookmarkEnd w:id="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8"/>
        <w:gridCol w:w="2278"/>
        <w:gridCol w:w="2279"/>
        <w:gridCol w:w="1702"/>
      </w:tblGrid>
      <w:tr w:rsidR="00DA08D5" w:rsidRPr="00392B10" w14:paraId="518794BB" w14:textId="77777777" w:rsidTr="00FB7980">
        <w:trPr>
          <w:tblHeader/>
        </w:trPr>
        <w:tc>
          <w:tcPr>
            <w:tcW w:w="1529" w:type="pct"/>
            <w:vAlign w:val="center"/>
          </w:tcPr>
          <w:p w14:paraId="40D85964" w14:textId="77777777" w:rsidR="00DA08D5" w:rsidRPr="000366BF" w:rsidRDefault="00DA08D5" w:rsidP="003B634A">
            <w:pPr>
              <w:pStyle w:val="COMTableheadingrow"/>
              <w:rPr>
                <w:lang w:val="en-AU"/>
              </w:rPr>
            </w:pPr>
            <w:r w:rsidRPr="000366BF">
              <w:rPr>
                <w:lang w:val="en-AU"/>
              </w:rPr>
              <w:t>Step and component</w:t>
            </w:r>
          </w:p>
        </w:tc>
        <w:tc>
          <w:tcPr>
            <w:tcW w:w="1263" w:type="pct"/>
            <w:vAlign w:val="center"/>
          </w:tcPr>
          <w:p w14:paraId="46EA22C6" w14:textId="4F77C2C7" w:rsidR="00DA08D5" w:rsidRPr="000366BF" w:rsidRDefault="00DA08D5" w:rsidP="003B634A">
            <w:pPr>
              <w:pStyle w:val="COMTableheadingrow"/>
              <w:jc w:val="center"/>
              <w:rPr>
                <w:lang w:val="en-AU"/>
              </w:rPr>
            </w:pPr>
            <w:r w:rsidRPr="000366BF">
              <w:rPr>
                <w:lang w:val="en-AU"/>
              </w:rPr>
              <w:t>Liposomal daunorubicin</w:t>
            </w:r>
            <w:r w:rsidR="00B77FB2" w:rsidRPr="000366BF">
              <w:rPr>
                <w:lang w:val="en-AU"/>
              </w:rPr>
              <w:t xml:space="preserve"> and cytarabine</w:t>
            </w:r>
          </w:p>
        </w:tc>
        <w:tc>
          <w:tcPr>
            <w:tcW w:w="1264" w:type="pct"/>
            <w:vAlign w:val="center"/>
          </w:tcPr>
          <w:p w14:paraId="1F44F0C8" w14:textId="5B5CB8DF" w:rsidR="00DA08D5" w:rsidRPr="000366BF" w:rsidRDefault="00B77FB2" w:rsidP="003B634A">
            <w:pPr>
              <w:pStyle w:val="COMTableheadingrow"/>
              <w:jc w:val="center"/>
              <w:rPr>
                <w:lang w:val="en-AU"/>
              </w:rPr>
            </w:pPr>
            <w:r w:rsidRPr="000366BF">
              <w:rPr>
                <w:lang w:val="en-AU"/>
              </w:rPr>
              <w:t>Idarubicin and c</w:t>
            </w:r>
            <w:r w:rsidR="00DA08D5" w:rsidRPr="000366BF">
              <w:rPr>
                <w:lang w:val="en-AU"/>
              </w:rPr>
              <w:t xml:space="preserve">ytarabine </w:t>
            </w:r>
          </w:p>
        </w:tc>
        <w:tc>
          <w:tcPr>
            <w:tcW w:w="944" w:type="pct"/>
            <w:vAlign w:val="center"/>
          </w:tcPr>
          <w:p w14:paraId="32D5DCE2" w14:textId="77777777" w:rsidR="00DA08D5" w:rsidRPr="000366BF" w:rsidRDefault="00DA08D5" w:rsidP="003B634A">
            <w:pPr>
              <w:pStyle w:val="COMTableheadingrow"/>
              <w:jc w:val="center"/>
              <w:rPr>
                <w:lang w:val="en-AU"/>
              </w:rPr>
            </w:pPr>
            <w:r w:rsidRPr="000366BF">
              <w:rPr>
                <w:lang w:val="en-AU"/>
              </w:rPr>
              <w:t>Increment</w:t>
            </w:r>
          </w:p>
        </w:tc>
      </w:tr>
      <w:tr w:rsidR="00DA08D5" w:rsidRPr="00392B10" w14:paraId="11563A4C" w14:textId="77777777" w:rsidTr="003B634A">
        <w:tc>
          <w:tcPr>
            <w:tcW w:w="5000" w:type="pct"/>
            <w:gridSpan w:val="4"/>
            <w:vAlign w:val="center"/>
          </w:tcPr>
          <w:p w14:paraId="5961A079" w14:textId="77777777" w:rsidR="00DA08D5" w:rsidRPr="00392B10" w:rsidRDefault="00DA08D5" w:rsidP="003B634A">
            <w:pPr>
              <w:pStyle w:val="COMTabletext"/>
              <w:rPr>
                <w:b/>
                <w:bCs w:val="0"/>
              </w:rPr>
            </w:pPr>
            <w:r w:rsidRPr="00392B10">
              <w:rPr>
                <w:b/>
                <w:bCs w:val="0"/>
              </w:rPr>
              <w:t>Step 1: Trial-based analysis over 5 years including drug acquisition costs (undiscounted)</w:t>
            </w:r>
          </w:p>
        </w:tc>
      </w:tr>
      <w:tr w:rsidR="00DA08D5" w:rsidRPr="00392B10" w14:paraId="71B9DFC8" w14:textId="77777777" w:rsidTr="00FB7980">
        <w:tc>
          <w:tcPr>
            <w:tcW w:w="1529" w:type="pct"/>
            <w:vAlign w:val="center"/>
          </w:tcPr>
          <w:p w14:paraId="34071E26" w14:textId="77777777" w:rsidR="00DA08D5" w:rsidRPr="00392B10" w:rsidRDefault="00DA08D5" w:rsidP="003B634A">
            <w:pPr>
              <w:pStyle w:val="COMTabletext"/>
              <w:rPr>
                <w:rFonts w:ascii="Times" w:hAnsi="Times"/>
              </w:rPr>
            </w:pPr>
            <w:r w:rsidRPr="00392B10">
              <w:t>Costs</w:t>
            </w:r>
          </w:p>
        </w:tc>
        <w:tc>
          <w:tcPr>
            <w:tcW w:w="1263" w:type="pct"/>
            <w:vAlign w:val="center"/>
          </w:tcPr>
          <w:p w14:paraId="101C558D" w14:textId="23E09DAA" w:rsidR="00DA08D5" w:rsidRPr="00392B10" w:rsidRDefault="00DA08D5" w:rsidP="003B634A">
            <w:pPr>
              <w:pStyle w:val="COMTabletext"/>
              <w:jc w:val="center"/>
              <w:rPr>
                <w:rFonts w:ascii="Times" w:hAnsi="Times"/>
              </w:rPr>
            </w:pPr>
            <w:r w:rsidRPr="00392B10">
              <w:t>$</w:t>
            </w:r>
            <w:r w:rsidR="00EA163B" w:rsidRPr="00EA163B">
              <w:rPr>
                <w:color w:val="000000"/>
                <w:shd w:val="solid" w:color="000000" w:fill="000000"/>
                <w14:textFill>
                  <w14:solidFill>
                    <w14:srgbClr w14:val="000000">
                      <w14:alpha w14:val="100000"/>
                    </w14:srgbClr>
                  </w14:solidFill>
                </w14:textFill>
              </w:rPr>
              <w:t>|</w:t>
            </w:r>
          </w:p>
        </w:tc>
        <w:tc>
          <w:tcPr>
            <w:tcW w:w="1264" w:type="pct"/>
            <w:vAlign w:val="center"/>
          </w:tcPr>
          <w:p w14:paraId="2A0AA91D" w14:textId="77777777" w:rsidR="00DA08D5" w:rsidRPr="00392B10" w:rsidRDefault="00DA08D5" w:rsidP="003B634A">
            <w:pPr>
              <w:pStyle w:val="COMTabletext"/>
              <w:jc w:val="center"/>
              <w:rPr>
                <w:rFonts w:ascii="Times" w:hAnsi="Times"/>
              </w:rPr>
            </w:pPr>
            <w:r w:rsidRPr="00392B10">
              <w:t>$2,499</w:t>
            </w:r>
          </w:p>
        </w:tc>
        <w:tc>
          <w:tcPr>
            <w:tcW w:w="944" w:type="pct"/>
            <w:vAlign w:val="center"/>
          </w:tcPr>
          <w:p w14:paraId="76067B6C" w14:textId="6749FC29" w:rsidR="00DA08D5" w:rsidRPr="00392B10" w:rsidRDefault="00DA08D5" w:rsidP="003B634A">
            <w:pPr>
              <w:pStyle w:val="COMTabletext"/>
              <w:jc w:val="center"/>
              <w:rPr>
                <w:rFonts w:ascii="Times" w:hAnsi="Times"/>
              </w:rPr>
            </w:pPr>
            <w:r w:rsidRPr="00392B10">
              <w:t>$</w:t>
            </w:r>
            <w:r w:rsidR="00EA163B" w:rsidRPr="00EA163B">
              <w:rPr>
                <w:color w:val="000000"/>
                <w:shd w:val="solid" w:color="000000" w:fill="000000"/>
                <w14:textFill>
                  <w14:solidFill>
                    <w14:srgbClr w14:val="000000">
                      <w14:alpha w14:val="100000"/>
                    </w14:srgbClr>
                  </w14:solidFill>
                </w14:textFill>
              </w:rPr>
              <w:t>|</w:t>
            </w:r>
          </w:p>
        </w:tc>
      </w:tr>
      <w:tr w:rsidR="00DA08D5" w:rsidRPr="00392B10" w14:paraId="6A7976E0" w14:textId="77777777" w:rsidTr="00FB7980">
        <w:tc>
          <w:tcPr>
            <w:tcW w:w="1529" w:type="pct"/>
            <w:vAlign w:val="center"/>
          </w:tcPr>
          <w:p w14:paraId="02CAFE1C" w14:textId="77777777" w:rsidR="00DA08D5" w:rsidRPr="00392B10" w:rsidRDefault="00DA08D5" w:rsidP="003B634A">
            <w:pPr>
              <w:pStyle w:val="COMTabletext"/>
              <w:rPr>
                <w:rFonts w:ascii="Times" w:hAnsi="Times"/>
              </w:rPr>
            </w:pPr>
            <w:r w:rsidRPr="00392B10">
              <w:t>Life years</w:t>
            </w:r>
          </w:p>
        </w:tc>
        <w:tc>
          <w:tcPr>
            <w:tcW w:w="1263" w:type="pct"/>
            <w:vAlign w:val="center"/>
          </w:tcPr>
          <w:p w14:paraId="408334CA" w14:textId="77777777" w:rsidR="00DA08D5" w:rsidRPr="00392B10" w:rsidRDefault="00DA08D5" w:rsidP="003B634A">
            <w:pPr>
              <w:pStyle w:val="COMTabletext"/>
              <w:jc w:val="center"/>
              <w:rPr>
                <w:rFonts w:ascii="Times" w:hAnsi="Times"/>
              </w:rPr>
            </w:pPr>
            <w:r w:rsidRPr="00392B10">
              <w:t>1.620</w:t>
            </w:r>
          </w:p>
        </w:tc>
        <w:tc>
          <w:tcPr>
            <w:tcW w:w="1264" w:type="pct"/>
            <w:vAlign w:val="center"/>
          </w:tcPr>
          <w:p w14:paraId="048D0134" w14:textId="77777777" w:rsidR="00DA08D5" w:rsidRPr="00392B10" w:rsidRDefault="00DA08D5" w:rsidP="003B634A">
            <w:pPr>
              <w:pStyle w:val="COMTabletext"/>
              <w:jc w:val="center"/>
              <w:rPr>
                <w:rFonts w:ascii="Times" w:hAnsi="Times"/>
              </w:rPr>
            </w:pPr>
            <w:r w:rsidRPr="00392B10">
              <w:t>1.013</w:t>
            </w:r>
          </w:p>
        </w:tc>
        <w:tc>
          <w:tcPr>
            <w:tcW w:w="944" w:type="pct"/>
            <w:vAlign w:val="center"/>
          </w:tcPr>
          <w:p w14:paraId="3073EDE0" w14:textId="77777777" w:rsidR="00DA08D5" w:rsidRPr="00392B10" w:rsidRDefault="00DA08D5" w:rsidP="003B634A">
            <w:pPr>
              <w:pStyle w:val="COMTabletext"/>
              <w:jc w:val="center"/>
            </w:pPr>
            <w:r w:rsidRPr="00392B10">
              <w:t>0.607</w:t>
            </w:r>
          </w:p>
        </w:tc>
      </w:tr>
      <w:tr w:rsidR="00DA08D5" w:rsidRPr="00392B10" w14:paraId="1C1D0496" w14:textId="77777777" w:rsidTr="00FB7980">
        <w:tc>
          <w:tcPr>
            <w:tcW w:w="4056" w:type="pct"/>
            <w:gridSpan w:val="3"/>
            <w:vAlign w:val="center"/>
          </w:tcPr>
          <w:p w14:paraId="50D25AAC" w14:textId="77777777" w:rsidR="00DA08D5" w:rsidRPr="00392B10" w:rsidRDefault="00DA08D5" w:rsidP="003B634A">
            <w:pPr>
              <w:pStyle w:val="COMTabletext"/>
              <w:rPr>
                <w:rFonts w:ascii="Times" w:hAnsi="Times"/>
              </w:rPr>
            </w:pPr>
            <w:r w:rsidRPr="00392B10">
              <w:t>Incremental cost/extra life year gained</w:t>
            </w:r>
          </w:p>
        </w:tc>
        <w:tc>
          <w:tcPr>
            <w:tcW w:w="944" w:type="pct"/>
            <w:vAlign w:val="center"/>
          </w:tcPr>
          <w:p w14:paraId="30ED5685" w14:textId="5C50D0E4" w:rsidR="00DA08D5" w:rsidRPr="00591AC0" w:rsidRDefault="00DA08D5" w:rsidP="003B634A">
            <w:pPr>
              <w:pStyle w:val="COMTabletext"/>
              <w:jc w:val="center"/>
              <w:rPr>
                <w:rFonts w:ascii="Times" w:hAnsi="Times"/>
                <w:vertAlign w:val="superscript"/>
              </w:rPr>
            </w:pPr>
            <w:r w:rsidRPr="00392B10">
              <w:t>$</w:t>
            </w:r>
            <w:r w:rsidR="00EA163B" w:rsidRPr="00EA163B">
              <w:rPr>
                <w:color w:val="000000"/>
                <w:shd w:val="solid" w:color="000000" w:fill="000000"/>
                <w14:textFill>
                  <w14:solidFill>
                    <w14:srgbClr w14:val="000000">
                      <w14:alpha w14:val="100000"/>
                    </w14:srgbClr>
                  </w14:solidFill>
                </w14:textFill>
              </w:rPr>
              <w:t>|</w:t>
            </w:r>
            <w:r w:rsidR="00591AC0">
              <w:rPr>
                <w:vertAlign w:val="superscript"/>
              </w:rPr>
              <w:t>1</w:t>
            </w:r>
          </w:p>
        </w:tc>
      </w:tr>
      <w:tr w:rsidR="00DA08D5" w:rsidRPr="00392B10" w14:paraId="2A3B3A94" w14:textId="77777777" w:rsidTr="003B634A">
        <w:tc>
          <w:tcPr>
            <w:tcW w:w="5000" w:type="pct"/>
            <w:gridSpan w:val="4"/>
            <w:vAlign w:val="center"/>
          </w:tcPr>
          <w:p w14:paraId="2045A0EC" w14:textId="0545355F" w:rsidR="00DA08D5" w:rsidRPr="000366BF" w:rsidRDefault="00DA08D5" w:rsidP="003B634A">
            <w:pPr>
              <w:pStyle w:val="COMTableheadingrow"/>
              <w:rPr>
                <w:vertAlign w:val="superscript"/>
                <w:lang w:val="en-AU"/>
              </w:rPr>
            </w:pPr>
            <w:r w:rsidRPr="000366BF">
              <w:rPr>
                <w:lang w:val="en-AU"/>
              </w:rPr>
              <w:t>Step 2: Modelled analysis over 25 years including all costs (discounted)</w:t>
            </w:r>
            <w:r w:rsidR="007F41DB" w:rsidRPr="000366BF">
              <w:rPr>
                <w:lang w:val="en-AU"/>
              </w:rPr>
              <w:t xml:space="preserve"> </w:t>
            </w:r>
            <w:r w:rsidR="007F41DB" w:rsidRPr="000366BF">
              <w:rPr>
                <w:vertAlign w:val="superscript"/>
                <w:lang w:val="en-AU"/>
              </w:rPr>
              <w:t>a</w:t>
            </w:r>
          </w:p>
        </w:tc>
      </w:tr>
      <w:tr w:rsidR="00DA08D5" w:rsidRPr="00392B10" w14:paraId="70EED74D" w14:textId="77777777" w:rsidTr="00FB7980">
        <w:tc>
          <w:tcPr>
            <w:tcW w:w="1529" w:type="pct"/>
            <w:vAlign w:val="center"/>
          </w:tcPr>
          <w:p w14:paraId="3D430620" w14:textId="77777777" w:rsidR="00DA08D5" w:rsidRPr="00392B10" w:rsidRDefault="00DA08D5" w:rsidP="003B634A">
            <w:pPr>
              <w:pStyle w:val="COMTabletext"/>
              <w:rPr>
                <w:rFonts w:ascii="Times" w:hAnsi="Times"/>
              </w:rPr>
            </w:pPr>
            <w:r w:rsidRPr="00392B10">
              <w:t>Costs</w:t>
            </w:r>
          </w:p>
        </w:tc>
        <w:tc>
          <w:tcPr>
            <w:tcW w:w="1263" w:type="pct"/>
            <w:vAlign w:val="center"/>
          </w:tcPr>
          <w:p w14:paraId="4F4EC29B" w14:textId="4297C204" w:rsidR="00DA08D5" w:rsidRPr="00392B10" w:rsidRDefault="00DA08D5" w:rsidP="003B634A">
            <w:pPr>
              <w:pStyle w:val="COMTabletext"/>
              <w:jc w:val="center"/>
              <w:rPr>
                <w:rFonts w:ascii="Times" w:hAnsi="Times"/>
              </w:rPr>
            </w:pPr>
            <w:r w:rsidRPr="00392B10">
              <w:t>$</w:t>
            </w:r>
            <w:r w:rsidR="00EA163B" w:rsidRPr="00EA163B">
              <w:rPr>
                <w:color w:val="000000"/>
                <w:shd w:val="solid" w:color="000000" w:fill="000000"/>
                <w14:textFill>
                  <w14:solidFill>
                    <w14:srgbClr w14:val="000000">
                      <w14:alpha w14:val="100000"/>
                    </w14:srgbClr>
                  </w14:solidFill>
                </w14:textFill>
              </w:rPr>
              <w:t>|</w:t>
            </w:r>
          </w:p>
        </w:tc>
        <w:tc>
          <w:tcPr>
            <w:tcW w:w="1264" w:type="pct"/>
            <w:vAlign w:val="center"/>
          </w:tcPr>
          <w:p w14:paraId="1B8C8B01" w14:textId="77777777" w:rsidR="00DA08D5" w:rsidRPr="00392B10" w:rsidRDefault="00DA08D5" w:rsidP="003B634A">
            <w:pPr>
              <w:pStyle w:val="COMTabletext"/>
              <w:jc w:val="center"/>
              <w:rPr>
                <w:rFonts w:ascii="Times" w:hAnsi="Times"/>
              </w:rPr>
            </w:pPr>
            <w:r w:rsidRPr="00392B10">
              <w:t>$96,591</w:t>
            </w:r>
          </w:p>
        </w:tc>
        <w:tc>
          <w:tcPr>
            <w:tcW w:w="944" w:type="pct"/>
            <w:vAlign w:val="center"/>
          </w:tcPr>
          <w:p w14:paraId="79BD5EE8" w14:textId="41D9960E" w:rsidR="00DA08D5" w:rsidRPr="00392B10" w:rsidRDefault="00DA08D5" w:rsidP="003B634A">
            <w:pPr>
              <w:pStyle w:val="COMTabletext"/>
              <w:jc w:val="center"/>
              <w:rPr>
                <w:rFonts w:ascii="Times" w:hAnsi="Times"/>
              </w:rPr>
            </w:pPr>
            <w:r w:rsidRPr="00392B10">
              <w:t>$</w:t>
            </w:r>
            <w:r w:rsidR="00EA163B" w:rsidRPr="00EA163B">
              <w:rPr>
                <w:color w:val="000000"/>
                <w:shd w:val="solid" w:color="000000" w:fill="000000"/>
                <w14:textFill>
                  <w14:solidFill>
                    <w14:srgbClr w14:val="000000">
                      <w14:alpha w14:val="100000"/>
                    </w14:srgbClr>
                  </w14:solidFill>
                </w14:textFill>
              </w:rPr>
              <w:t>|</w:t>
            </w:r>
          </w:p>
        </w:tc>
      </w:tr>
      <w:tr w:rsidR="00DA08D5" w:rsidRPr="00392B10" w14:paraId="5EB61910" w14:textId="77777777" w:rsidTr="00FB7980">
        <w:tc>
          <w:tcPr>
            <w:tcW w:w="1529" w:type="pct"/>
            <w:vAlign w:val="center"/>
          </w:tcPr>
          <w:p w14:paraId="15C689E7" w14:textId="77777777" w:rsidR="00DA08D5" w:rsidRPr="00392B10" w:rsidRDefault="00DA08D5" w:rsidP="003B634A">
            <w:pPr>
              <w:pStyle w:val="COMTabletext"/>
              <w:rPr>
                <w:rFonts w:ascii="Times" w:hAnsi="Times"/>
              </w:rPr>
            </w:pPr>
            <w:r w:rsidRPr="00392B10">
              <w:t>Life years</w:t>
            </w:r>
          </w:p>
        </w:tc>
        <w:tc>
          <w:tcPr>
            <w:tcW w:w="1263" w:type="pct"/>
            <w:vAlign w:val="center"/>
          </w:tcPr>
          <w:p w14:paraId="7CA5302A" w14:textId="77777777" w:rsidR="00DA08D5" w:rsidRPr="00392B10" w:rsidRDefault="00DA08D5" w:rsidP="003B634A">
            <w:pPr>
              <w:pStyle w:val="COMTabletext"/>
              <w:jc w:val="center"/>
              <w:rPr>
                <w:rFonts w:ascii="Times" w:hAnsi="Times"/>
              </w:rPr>
            </w:pPr>
            <w:r w:rsidRPr="00392B10">
              <w:t>2.683</w:t>
            </w:r>
          </w:p>
        </w:tc>
        <w:tc>
          <w:tcPr>
            <w:tcW w:w="1264" w:type="pct"/>
            <w:vAlign w:val="center"/>
          </w:tcPr>
          <w:p w14:paraId="6835C5DF" w14:textId="77777777" w:rsidR="00DA08D5" w:rsidRPr="00392B10" w:rsidRDefault="00DA08D5" w:rsidP="003B634A">
            <w:pPr>
              <w:pStyle w:val="COMTabletext"/>
              <w:jc w:val="center"/>
              <w:rPr>
                <w:rFonts w:ascii="Times" w:hAnsi="Times"/>
              </w:rPr>
            </w:pPr>
            <w:r w:rsidRPr="00392B10">
              <w:t>1.407</w:t>
            </w:r>
          </w:p>
        </w:tc>
        <w:tc>
          <w:tcPr>
            <w:tcW w:w="944" w:type="pct"/>
            <w:vAlign w:val="center"/>
          </w:tcPr>
          <w:p w14:paraId="71F4FDB6" w14:textId="77777777" w:rsidR="00DA08D5" w:rsidRPr="00392B10" w:rsidRDefault="00DA08D5" w:rsidP="003B634A">
            <w:pPr>
              <w:pStyle w:val="COMTabletext"/>
              <w:jc w:val="center"/>
            </w:pPr>
            <w:r w:rsidRPr="00392B10">
              <w:t>1.276</w:t>
            </w:r>
          </w:p>
        </w:tc>
      </w:tr>
      <w:tr w:rsidR="00DA08D5" w:rsidRPr="00392B10" w14:paraId="664DFFC2" w14:textId="77777777" w:rsidTr="00FB7980">
        <w:tc>
          <w:tcPr>
            <w:tcW w:w="4056" w:type="pct"/>
            <w:gridSpan w:val="3"/>
            <w:vAlign w:val="center"/>
          </w:tcPr>
          <w:p w14:paraId="0AEC7506" w14:textId="77777777" w:rsidR="00DA08D5" w:rsidRPr="00392B10" w:rsidRDefault="00DA08D5" w:rsidP="003B634A">
            <w:pPr>
              <w:pStyle w:val="COMTabletext"/>
              <w:rPr>
                <w:rFonts w:ascii="Times" w:hAnsi="Times"/>
              </w:rPr>
            </w:pPr>
            <w:r w:rsidRPr="00392B10">
              <w:t>Incremental cost/extra life year gained</w:t>
            </w:r>
          </w:p>
        </w:tc>
        <w:tc>
          <w:tcPr>
            <w:tcW w:w="944" w:type="pct"/>
            <w:vAlign w:val="center"/>
          </w:tcPr>
          <w:p w14:paraId="2C522479" w14:textId="1154B2FE" w:rsidR="00DA08D5" w:rsidRPr="00591AC0" w:rsidRDefault="00DA08D5" w:rsidP="003B634A">
            <w:pPr>
              <w:pStyle w:val="COMTabletext"/>
              <w:jc w:val="center"/>
              <w:rPr>
                <w:rFonts w:ascii="Times" w:hAnsi="Times"/>
                <w:vertAlign w:val="superscript"/>
              </w:rPr>
            </w:pPr>
            <w:r w:rsidRPr="00392B10">
              <w:t>$</w:t>
            </w:r>
            <w:r w:rsidR="00EA163B" w:rsidRPr="00EA163B">
              <w:rPr>
                <w:color w:val="000000"/>
                <w:shd w:val="solid" w:color="000000" w:fill="000000"/>
                <w14:textFill>
                  <w14:solidFill>
                    <w14:srgbClr w14:val="000000">
                      <w14:alpha w14:val="100000"/>
                    </w14:srgbClr>
                  </w14:solidFill>
                </w14:textFill>
              </w:rPr>
              <w:t>|</w:t>
            </w:r>
            <w:r w:rsidR="00591AC0">
              <w:rPr>
                <w:vertAlign w:val="superscript"/>
              </w:rPr>
              <w:t>2</w:t>
            </w:r>
          </w:p>
        </w:tc>
      </w:tr>
      <w:tr w:rsidR="00DA08D5" w:rsidRPr="00392B10" w14:paraId="61200B71" w14:textId="77777777" w:rsidTr="003B634A">
        <w:tc>
          <w:tcPr>
            <w:tcW w:w="5000" w:type="pct"/>
            <w:gridSpan w:val="4"/>
            <w:vAlign w:val="center"/>
          </w:tcPr>
          <w:p w14:paraId="5959B275" w14:textId="77777777" w:rsidR="00DA08D5" w:rsidRPr="000366BF" w:rsidRDefault="00DA08D5" w:rsidP="003B634A">
            <w:pPr>
              <w:pStyle w:val="COMTableheadingrow"/>
              <w:rPr>
                <w:lang w:val="en-AU"/>
              </w:rPr>
            </w:pPr>
            <w:r w:rsidRPr="000366BF">
              <w:rPr>
                <w:lang w:val="en-AU"/>
              </w:rPr>
              <w:t>Step 3: Modelled analysis over 25 years including all costs and utility weights (discounted)</w:t>
            </w:r>
          </w:p>
        </w:tc>
      </w:tr>
      <w:tr w:rsidR="00DA08D5" w:rsidRPr="00392B10" w14:paraId="281CDF99" w14:textId="77777777" w:rsidTr="00FB7980">
        <w:tc>
          <w:tcPr>
            <w:tcW w:w="1529" w:type="pct"/>
            <w:vAlign w:val="center"/>
          </w:tcPr>
          <w:p w14:paraId="2563DF32" w14:textId="77777777" w:rsidR="00DA08D5" w:rsidRPr="00392B10" w:rsidRDefault="00DA08D5" w:rsidP="003B634A">
            <w:pPr>
              <w:pStyle w:val="COMTabletext"/>
              <w:rPr>
                <w:rFonts w:ascii="Times" w:hAnsi="Times"/>
              </w:rPr>
            </w:pPr>
            <w:r w:rsidRPr="00392B10">
              <w:t>Costs</w:t>
            </w:r>
          </w:p>
        </w:tc>
        <w:tc>
          <w:tcPr>
            <w:tcW w:w="1263" w:type="pct"/>
            <w:vAlign w:val="center"/>
          </w:tcPr>
          <w:p w14:paraId="03763F49" w14:textId="6FC7295A" w:rsidR="00DA08D5" w:rsidRPr="00392B10" w:rsidRDefault="00DA08D5" w:rsidP="003B634A">
            <w:pPr>
              <w:pStyle w:val="COMTabletext"/>
              <w:jc w:val="center"/>
              <w:rPr>
                <w:rFonts w:ascii="Times" w:hAnsi="Times"/>
              </w:rPr>
            </w:pPr>
            <w:r w:rsidRPr="00392B10">
              <w:t>$</w:t>
            </w:r>
            <w:r w:rsidR="00EA163B" w:rsidRPr="00EA163B">
              <w:rPr>
                <w:color w:val="000000"/>
                <w:shd w:val="solid" w:color="000000" w:fill="000000"/>
                <w14:textFill>
                  <w14:solidFill>
                    <w14:srgbClr w14:val="000000">
                      <w14:alpha w14:val="100000"/>
                    </w14:srgbClr>
                  </w14:solidFill>
                </w14:textFill>
              </w:rPr>
              <w:t>|</w:t>
            </w:r>
          </w:p>
        </w:tc>
        <w:tc>
          <w:tcPr>
            <w:tcW w:w="1264" w:type="pct"/>
            <w:vAlign w:val="center"/>
          </w:tcPr>
          <w:p w14:paraId="6A6676E2" w14:textId="77777777" w:rsidR="00DA08D5" w:rsidRPr="00392B10" w:rsidRDefault="00DA08D5" w:rsidP="003B634A">
            <w:pPr>
              <w:pStyle w:val="COMTabletext"/>
              <w:jc w:val="center"/>
              <w:rPr>
                <w:rFonts w:ascii="Times" w:hAnsi="Times"/>
              </w:rPr>
            </w:pPr>
            <w:r w:rsidRPr="00392B10">
              <w:t>$96,591</w:t>
            </w:r>
          </w:p>
        </w:tc>
        <w:tc>
          <w:tcPr>
            <w:tcW w:w="944" w:type="pct"/>
            <w:vAlign w:val="center"/>
          </w:tcPr>
          <w:p w14:paraId="77EBB21C" w14:textId="23F67771" w:rsidR="00DA08D5" w:rsidRPr="00392B10" w:rsidRDefault="00DA08D5" w:rsidP="003B634A">
            <w:pPr>
              <w:pStyle w:val="COMTabletext"/>
              <w:jc w:val="center"/>
              <w:rPr>
                <w:rFonts w:ascii="Times" w:hAnsi="Times"/>
              </w:rPr>
            </w:pPr>
            <w:r w:rsidRPr="00392B10">
              <w:t>$</w:t>
            </w:r>
            <w:r w:rsidR="00EA163B" w:rsidRPr="00EA163B">
              <w:rPr>
                <w:color w:val="000000"/>
                <w:shd w:val="solid" w:color="000000" w:fill="000000"/>
                <w14:textFill>
                  <w14:solidFill>
                    <w14:srgbClr w14:val="000000">
                      <w14:alpha w14:val="100000"/>
                    </w14:srgbClr>
                  </w14:solidFill>
                </w14:textFill>
              </w:rPr>
              <w:t>|</w:t>
            </w:r>
          </w:p>
        </w:tc>
      </w:tr>
      <w:tr w:rsidR="00DA08D5" w:rsidRPr="00392B10" w14:paraId="6E29193E" w14:textId="77777777" w:rsidTr="00FB7980">
        <w:tc>
          <w:tcPr>
            <w:tcW w:w="1529" w:type="pct"/>
            <w:vAlign w:val="center"/>
          </w:tcPr>
          <w:p w14:paraId="76BABB22" w14:textId="77777777" w:rsidR="00DA08D5" w:rsidRPr="00392B10" w:rsidRDefault="00DA08D5" w:rsidP="003B634A">
            <w:pPr>
              <w:pStyle w:val="COMTabletext"/>
            </w:pPr>
            <w:r w:rsidRPr="00392B10">
              <w:t>Life years</w:t>
            </w:r>
          </w:p>
        </w:tc>
        <w:tc>
          <w:tcPr>
            <w:tcW w:w="1263" w:type="pct"/>
          </w:tcPr>
          <w:p w14:paraId="74A9FD49" w14:textId="77777777" w:rsidR="00DA08D5" w:rsidRPr="00392B10" w:rsidRDefault="00DA08D5" w:rsidP="003B634A">
            <w:pPr>
              <w:pStyle w:val="COMTabletext"/>
              <w:jc w:val="center"/>
            </w:pPr>
            <w:r w:rsidRPr="00392B10">
              <w:t>2.683</w:t>
            </w:r>
          </w:p>
        </w:tc>
        <w:tc>
          <w:tcPr>
            <w:tcW w:w="1264" w:type="pct"/>
          </w:tcPr>
          <w:p w14:paraId="3866D620" w14:textId="77777777" w:rsidR="00DA08D5" w:rsidRPr="00392B10" w:rsidRDefault="00DA08D5" w:rsidP="003B634A">
            <w:pPr>
              <w:pStyle w:val="COMTabletext"/>
              <w:jc w:val="center"/>
            </w:pPr>
            <w:r w:rsidRPr="00392B10">
              <w:t>1.407</w:t>
            </w:r>
          </w:p>
        </w:tc>
        <w:tc>
          <w:tcPr>
            <w:tcW w:w="944" w:type="pct"/>
          </w:tcPr>
          <w:p w14:paraId="5C316629" w14:textId="77777777" w:rsidR="00DA08D5" w:rsidRPr="00392B10" w:rsidRDefault="00DA08D5" w:rsidP="003B634A">
            <w:pPr>
              <w:pStyle w:val="COMTabletext"/>
              <w:jc w:val="center"/>
            </w:pPr>
            <w:r w:rsidRPr="00392B10">
              <w:t>1.276</w:t>
            </w:r>
          </w:p>
        </w:tc>
      </w:tr>
      <w:tr w:rsidR="00DA08D5" w:rsidRPr="00392B10" w14:paraId="2080C4A2" w14:textId="77777777" w:rsidTr="00FB7980">
        <w:tc>
          <w:tcPr>
            <w:tcW w:w="1529" w:type="pct"/>
            <w:vAlign w:val="center"/>
          </w:tcPr>
          <w:p w14:paraId="39BA645F" w14:textId="77777777" w:rsidR="00DA08D5" w:rsidRPr="00392B10" w:rsidRDefault="00DA08D5" w:rsidP="003B634A">
            <w:pPr>
              <w:pStyle w:val="COMTabletext"/>
              <w:rPr>
                <w:rFonts w:ascii="Times" w:hAnsi="Times"/>
              </w:rPr>
            </w:pPr>
            <w:r w:rsidRPr="00392B10">
              <w:t>QALYs</w:t>
            </w:r>
          </w:p>
        </w:tc>
        <w:tc>
          <w:tcPr>
            <w:tcW w:w="1263" w:type="pct"/>
            <w:vAlign w:val="center"/>
          </w:tcPr>
          <w:p w14:paraId="3EA96C4D" w14:textId="77777777" w:rsidR="00DA08D5" w:rsidRPr="00392B10" w:rsidRDefault="00DA08D5" w:rsidP="003B634A">
            <w:pPr>
              <w:pStyle w:val="COMTabletext"/>
              <w:jc w:val="center"/>
              <w:rPr>
                <w:rFonts w:ascii="Times" w:hAnsi="Times"/>
              </w:rPr>
            </w:pPr>
            <w:r w:rsidRPr="00392B10">
              <w:t>1.837</w:t>
            </w:r>
          </w:p>
        </w:tc>
        <w:tc>
          <w:tcPr>
            <w:tcW w:w="1264" w:type="pct"/>
            <w:vAlign w:val="center"/>
          </w:tcPr>
          <w:p w14:paraId="04AC8D02" w14:textId="77777777" w:rsidR="00DA08D5" w:rsidRPr="00392B10" w:rsidRDefault="00DA08D5" w:rsidP="003B634A">
            <w:pPr>
              <w:pStyle w:val="COMTabletext"/>
              <w:jc w:val="center"/>
              <w:rPr>
                <w:rFonts w:ascii="Times" w:hAnsi="Times"/>
              </w:rPr>
            </w:pPr>
            <w:r w:rsidRPr="00392B10">
              <w:t>0.904</w:t>
            </w:r>
          </w:p>
        </w:tc>
        <w:tc>
          <w:tcPr>
            <w:tcW w:w="944" w:type="pct"/>
            <w:vAlign w:val="center"/>
          </w:tcPr>
          <w:p w14:paraId="6AAA40B1" w14:textId="77777777" w:rsidR="00DA08D5" w:rsidRPr="00392B10" w:rsidRDefault="00DA08D5" w:rsidP="003B634A">
            <w:pPr>
              <w:pStyle w:val="COMTabletext"/>
              <w:jc w:val="center"/>
            </w:pPr>
            <w:r w:rsidRPr="00392B10">
              <w:t>0.933</w:t>
            </w:r>
          </w:p>
        </w:tc>
      </w:tr>
      <w:tr w:rsidR="00DA08D5" w:rsidRPr="00392B10" w14:paraId="69A50F0C" w14:textId="77777777" w:rsidTr="00FB7980">
        <w:tc>
          <w:tcPr>
            <w:tcW w:w="4056" w:type="pct"/>
            <w:gridSpan w:val="3"/>
            <w:vAlign w:val="center"/>
          </w:tcPr>
          <w:p w14:paraId="070437C6" w14:textId="77777777" w:rsidR="00DA08D5" w:rsidRPr="00392B10" w:rsidRDefault="00DA08D5" w:rsidP="003B634A">
            <w:pPr>
              <w:pStyle w:val="COMTabletext"/>
              <w:rPr>
                <w:rFonts w:ascii="Times" w:hAnsi="Times"/>
                <w:b/>
                <w:bCs w:val="0"/>
              </w:rPr>
            </w:pPr>
            <w:r w:rsidRPr="00392B10">
              <w:rPr>
                <w:b/>
                <w:bCs w:val="0"/>
              </w:rPr>
              <w:t>Incremental cost/extra QALY gained</w:t>
            </w:r>
          </w:p>
        </w:tc>
        <w:tc>
          <w:tcPr>
            <w:tcW w:w="944" w:type="pct"/>
            <w:vAlign w:val="center"/>
          </w:tcPr>
          <w:p w14:paraId="47DC4DE4" w14:textId="0D358AD4" w:rsidR="00DA08D5" w:rsidRPr="00591AC0" w:rsidRDefault="00DA08D5" w:rsidP="003B634A">
            <w:pPr>
              <w:pStyle w:val="COMTabletext"/>
              <w:jc w:val="center"/>
              <w:rPr>
                <w:rFonts w:ascii="Times" w:hAnsi="Times"/>
                <w:b/>
                <w:bCs w:val="0"/>
                <w:vertAlign w:val="superscript"/>
              </w:rPr>
            </w:pPr>
            <w:r w:rsidRPr="00392B10">
              <w:rPr>
                <w:b/>
                <w:bCs w:val="0"/>
              </w:rPr>
              <w:t>$</w:t>
            </w:r>
            <w:r w:rsidR="00EA163B" w:rsidRPr="00EA163B">
              <w:rPr>
                <w:b/>
                <w:bCs w:val="0"/>
                <w:color w:val="000000"/>
                <w:shd w:val="solid" w:color="000000" w:fill="000000"/>
                <w14:textFill>
                  <w14:solidFill>
                    <w14:srgbClr w14:val="000000">
                      <w14:alpha w14:val="100000"/>
                    </w14:srgbClr>
                  </w14:solidFill>
                </w14:textFill>
              </w:rPr>
              <w:t>|</w:t>
            </w:r>
            <w:r w:rsidR="00591AC0">
              <w:rPr>
                <w:b/>
                <w:bCs w:val="0"/>
                <w:vertAlign w:val="superscript"/>
              </w:rPr>
              <w:t>3</w:t>
            </w:r>
          </w:p>
        </w:tc>
      </w:tr>
    </w:tbl>
    <w:p w14:paraId="7C3F3CC9" w14:textId="77777777" w:rsidR="00DA08D5" w:rsidRPr="00392B10" w:rsidRDefault="00DA08D5" w:rsidP="00DA08D5">
      <w:pPr>
        <w:pStyle w:val="COMTablefooter"/>
      </w:pPr>
      <w:r w:rsidRPr="00392B10">
        <w:t>Source: Table 3-10, p91 of the submission</w:t>
      </w:r>
    </w:p>
    <w:p w14:paraId="10165E0B" w14:textId="2C419B03" w:rsidR="007F41DB" w:rsidRPr="00392B10" w:rsidRDefault="007F41DB" w:rsidP="00DA08D5">
      <w:pPr>
        <w:pStyle w:val="COMTablefooter"/>
      </w:pPr>
      <w:r w:rsidRPr="00392B10">
        <w:t>HSCT</w:t>
      </w:r>
      <w:r w:rsidR="002B0CC3" w:rsidRPr="00392B10">
        <w:t xml:space="preserve"> =</w:t>
      </w:r>
      <w:r w:rsidRPr="00392B10">
        <w:t xml:space="preserve"> haemopoietic stem cell transplant; </w:t>
      </w:r>
      <w:r w:rsidR="00DA08D5" w:rsidRPr="00392B10">
        <w:t>QALY</w:t>
      </w:r>
      <w:r w:rsidR="002B0CC3" w:rsidRPr="00392B10">
        <w:t xml:space="preserve"> =</w:t>
      </w:r>
      <w:r w:rsidR="00DA08D5" w:rsidRPr="00392B10">
        <w:t xml:space="preserve"> quality-adjusted life year</w:t>
      </w:r>
    </w:p>
    <w:p w14:paraId="6A940F54" w14:textId="77777777" w:rsidR="00591AC0" w:rsidRDefault="007F41DB" w:rsidP="00591AC0">
      <w:pPr>
        <w:pStyle w:val="COMTablefooter"/>
      </w:pPr>
      <w:r w:rsidRPr="00392B10">
        <w:rPr>
          <w:vertAlign w:val="superscript"/>
        </w:rPr>
        <w:t>a</w:t>
      </w:r>
      <w:r w:rsidRPr="00392B10">
        <w:t xml:space="preserve"> Costs include drug acquisition costs, drug administration costs, hospitalisation costs and HSCT costs.</w:t>
      </w:r>
    </w:p>
    <w:p w14:paraId="6673430B" w14:textId="77777777" w:rsidR="00591AC0" w:rsidRDefault="00591AC0" w:rsidP="00591AC0">
      <w:pPr>
        <w:pStyle w:val="COMTablefooter"/>
        <w:rPr>
          <w:i/>
          <w:szCs w:val="18"/>
        </w:rPr>
      </w:pPr>
      <w:r w:rsidRPr="009A6D58">
        <w:rPr>
          <w:i/>
          <w:szCs w:val="18"/>
        </w:rPr>
        <w:t xml:space="preserve">The redacted values correspond to the following ranges: </w:t>
      </w:r>
    </w:p>
    <w:p w14:paraId="1C5DC49F" w14:textId="77777777" w:rsidR="00591AC0" w:rsidRDefault="00591AC0" w:rsidP="00591AC0">
      <w:pPr>
        <w:pStyle w:val="COMTablefooter"/>
        <w:rPr>
          <w:i/>
          <w:szCs w:val="18"/>
        </w:rPr>
      </w:pPr>
      <w:r w:rsidRPr="009A6D58">
        <w:rPr>
          <w:i/>
          <w:szCs w:val="18"/>
          <w:vertAlign w:val="superscript"/>
        </w:rPr>
        <w:t>1</w:t>
      </w:r>
      <w:r>
        <w:rPr>
          <w:i/>
          <w:szCs w:val="18"/>
        </w:rPr>
        <w:t xml:space="preserve"> $95,000 to &lt; $115,000</w:t>
      </w:r>
    </w:p>
    <w:p w14:paraId="4E439534" w14:textId="77777777" w:rsidR="00591AC0" w:rsidRDefault="00591AC0" w:rsidP="00591AC0">
      <w:pPr>
        <w:pStyle w:val="COMTablefooter"/>
        <w:rPr>
          <w:i/>
          <w:szCs w:val="18"/>
        </w:rPr>
      </w:pPr>
      <w:r w:rsidRPr="009A6D58">
        <w:rPr>
          <w:i/>
          <w:szCs w:val="18"/>
          <w:vertAlign w:val="superscript"/>
        </w:rPr>
        <w:t>2</w:t>
      </w:r>
      <w:r>
        <w:rPr>
          <w:i/>
          <w:szCs w:val="18"/>
        </w:rPr>
        <w:t xml:space="preserve"> $55,000 to &lt; $75,000</w:t>
      </w:r>
    </w:p>
    <w:p w14:paraId="6872E4BF" w14:textId="222A5D22" w:rsidR="00591AC0" w:rsidRDefault="00591AC0" w:rsidP="00591AC0">
      <w:pPr>
        <w:pStyle w:val="COMTablefooter"/>
        <w:rPr>
          <w:i/>
          <w:szCs w:val="18"/>
        </w:rPr>
      </w:pPr>
      <w:r w:rsidRPr="009A6D58">
        <w:rPr>
          <w:i/>
          <w:szCs w:val="18"/>
          <w:vertAlign w:val="superscript"/>
        </w:rPr>
        <w:t>3</w:t>
      </w:r>
      <w:r>
        <w:rPr>
          <w:i/>
          <w:szCs w:val="18"/>
        </w:rPr>
        <w:t xml:space="preserve"> $75,000 to &lt; $95,000</w:t>
      </w:r>
    </w:p>
    <w:p w14:paraId="54FD36D8" w14:textId="77777777" w:rsidR="00591AC0" w:rsidRPr="00591AC0" w:rsidRDefault="00591AC0" w:rsidP="00591AC0"/>
    <w:p w14:paraId="38AE965B" w14:textId="2AC23AEF" w:rsidR="003B47B9" w:rsidRPr="00392B10" w:rsidRDefault="003B47B9" w:rsidP="003B47B9">
      <w:pPr>
        <w:pStyle w:val="COMexecsumnumberedpara"/>
      </w:pPr>
      <w:r w:rsidRPr="00392B10">
        <w:t>Based on the economic model, treatment with liposomal cytarabine and daunorubicin was associated with an incremental cost per QALY gained of $</w:t>
      </w:r>
      <w:r w:rsidR="00591AC0">
        <w:t>55,000</w:t>
      </w:r>
      <w:r w:rsidR="00F455FA">
        <w:t> </w:t>
      </w:r>
      <w:r w:rsidR="00591AC0">
        <w:t>to</w:t>
      </w:r>
      <w:r w:rsidR="00F455FA">
        <w:t> </w:t>
      </w:r>
      <w:r w:rsidR="00591AC0">
        <w:t>&lt;</w:t>
      </w:r>
      <w:r w:rsidR="00F455FA">
        <w:t> </w:t>
      </w:r>
      <w:r w:rsidR="00591AC0">
        <w:t>$95,000</w:t>
      </w:r>
      <w:r w:rsidRPr="00392B10">
        <w:t xml:space="preserve"> compared to cytarabine and idarubicin.</w:t>
      </w:r>
    </w:p>
    <w:p w14:paraId="1CCAF25C" w14:textId="5B6BC4A7" w:rsidR="003B47B9" w:rsidRPr="00392B10" w:rsidRDefault="003B47B9" w:rsidP="003B47B9">
      <w:pPr>
        <w:pStyle w:val="COMexecsumnumberedpara"/>
      </w:pPr>
      <w:r w:rsidRPr="00392B10">
        <w:t xml:space="preserve">The </w:t>
      </w:r>
      <w:r w:rsidR="00461A74" w:rsidRPr="00392B10">
        <w:t xml:space="preserve">ESC noted that the </w:t>
      </w:r>
      <w:r w:rsidRPr="00392B10">
        <w:t xml:space="preserve">difference in total cost between treatment arms was primarily driven by the higher drug costs </w:t>
      </w:r>
      <w:r w:rsidR="000B007B" w:rsidRPr="00392B10">
        <w:t xml:space="preserve">for </w:t>
      </w:r>
      <w:r w:rsidRPr="00392B10">
        <w:t>patients treated with liposomal cytarabine and daunorubicin</w:t>
      </w:r>
      <w:r w:rsidR="00786660" w:rsidRPr="00392B10">
        <w:t xml:space="preserve"> (</w:t>
      </w:r>
      <w:r w:rsidR="00FE12B7" w:rsidRPr="00392B10">
        <w:t xml:space="preserve">drug </w:t>
      </w:r>
      <w:r w:rsidR="00712E86" w:rsidRPr="00392B10">
        <w:t>cost per course of $</w:t>
      </w:r>
      <w:r w:rsidR="00EA163B" w:rsidRPr="00795A1F">
        <w:rPr>
          <w:color w:val="000000"/>
          <w:w w:val="15"/>
          <w:shd w:val="solid" w:color="000000" w:fill="000000"/>
          <w:fitText w:val="-20" w:id="-1171540224"/>
          <w14:textFill>
            <w14:solidFill>
              <w14:srgbClr w14:val="000000">
                <w14:alpha w14:val="100000"/>
              </w14:srgbClr>
            </w14:solidFill>
          </w14:textFill>
        </w:rPr>
        <w:t xml:space="preserve">|  </w:t>
      </w:r>
      <w:r w:rsidR="00EA163B" w:rsidRPr="00795A1F">
        <w:rPr>
          <w:color w:val="000000"/>
          <w:spacing w:val="-69"/>
          <w:w w:val="15"/>
          <w:shd w:val="solid" w:color="000000" w:fill="000000"/>
          <w:fitText w:val="-20" w:id="-1171540224"/>
          <w14:textFill>
            <w14:solidFill>
              <w14:srgbClr w14:val="000000">
                <w14:alpha w14:val="100000"/>
              </w14:srgbClr>
            </w14:solidFill>
          </w14:textFill>
        </w:rPr>
        <w:t>|</w:t>
      </w:r>
      <w:r w:rsidR="00712E86" w:rsidRPr="00392B10">
        <w:t xml:space="preserve"> for liposomal daunorubicin and cytarabine versus $2,499 for cytarabine and idarubicin)</w:t>
      </w:r>
      <w:r w:rsidRPr="00392B10">
        <w:t>. The difference in health outcomes between treatment arms was primarily driven by the higher number of post-event life years accrued by patients in the liposomal cytarabine and daunorubicin arm.</w:t>
      </w:r>
    </w:p>
    <w:p w14:paraId="07505867" w14:textId="77777777" w:rsidR="00264E92" w:rsidRPr="00392B10" w:rsidRDefault="00264E92" w:rsidP="00264E92">
      <w:pPr>
        <w:pStyle w:val="COMexecsumnumberedpara"/>
      </w:pPr>
      <w:r w:rsidRPr="00392B10">
        <w:t>In the model, 63% of incremental QALYs and 0% of costs (drug costs, HSCT costs, hospitalisation costs), were accrued in the extrapolated period beyond 5 years.</w:t>
      </w:r>
    </w:p>
    <w:p w14:paraId="305C2024" w14:textId="77777777" w:rsidR="00264E92" w:rsidRPr="00392B10" w:rsidRDefault="00264E92" w:rsidP="00264E92">
      <w:pPr>
        <w:pStyle w:val="COMexecsumnumberedpara"/>
        <w:spacing w:after="60"/>
      </w:pPr>
      <w:r w:rsidRPr="00392B10">
        <w:t>For every patient treated with liposomal cytarabine and daunorubicin versus cytarabine and idarubicin and followed up for 25 years, the economic evaluation (without discounting) estimated that there would be:</w:t>
      </w:r>
    </w:p>
    <w:p w14:paraId="5949CBCF" w14:textId="77777777" w:rsidR="00264E92" w:rsidRPr="00392B10" w:rsidRDefault="00264E92" w:rsidP="00264E92">
      <w:pPr>
        <w:pStyle w:val="ListParagraph"/>
        <w:numPr>
          <w:ilvl w:val="0"/>
          <w:numId w:val="10"/>
        </w:numPr>
        <w:spacing w:after="60"/>
        <w:ind w:left="1134" w:hanging="357"/>
      </w:pPr>
      <w:r w:rsidRPr="00392B10">
        <w:t>Additional drug costs of $60,077, additional HSCT costs of $10,534, and additional hospitalisation costs of $12,326.</w:t>
      </w:r>
    </w:p>
    <w:p w14:paraId="7F1CB004" w14:textId="77777777" w:rsidR="00264E92" w:rsidRPr="00392B10" w:rsidRDefault="00264E92" w:rsidP="00264E92">
      <w:pPr>
        <w:pStyle w:val="ListParagraph"/>
        <w:numPr>
          <w:ilvl w:val="0"/>
          <w:numId w:val="10"/>
        </w:numPr>
        <w:spacing w:after="60"/>
        <w:ind w:left="1134" w:hanging="357"/>
        <w:rPr>
          <w:b/>
          <w:bCs/>
        </w:rPr>
      </w:pPr>
      <w:r w:rsidRPr="00392B10">
        <w:t>An additional 1.88 years of life lived and an additional 1.41 quality-adjusted life years.</w:t>
      </w:r>
    </w:p>
    <w:p w14:paraId="0A999845" w14:textId="77777777" w:rsidR="00264E92" w:rsidRPr="00392B10" w:rsidRDefault="00264E92" w:rsidP="00264E92">
      <w:pPr>
        <w:pStyle w:val="ListParagraph"/>
        <w:numPr>
          <w:ilvl w:val="0"/>
          <w:numId w:val="10"/>
        </w:numPr>
        <w:ind w:left="1134" w:hanging="357"/>
        <w:rPr>
          <w:b/>
          <w:bCs/>
        </w:rPr>
      </w:pPr>
      <w:r w:rsidRPr="00392B10">
        <w:t xml:space="preserve">No difference in the occurrence of adverse events. </w:t>
      </w:r>
    </w:p>
    <w:p w14:paraId="180CE738" w14:textId="32DA819C" w:rsidR="003B47B9" w:rsidRPr="00392B10" w:rsidRDefault="003B47B9" w:rsidP="003B47B9">
      <w:pPr>
        <w:pStyle w:val="COMexecsumnumberedpara"/>
        <w:rPr>
          <w:b/>
          <w:bCs/>
          <w:color w:val="0066FF"/>
        </w:rPr>
      </w:pPr>
      <w:r w:rsidRPr="00392B10">
        <w:lastRenderedPageBreak/>
        <w:t>The results of sensitivity analyses presented in the submission and conducted during the evaluation are summarised in</w:t>
      </w:r>
      <w:r w:rsidR="00750AE0" w:rsidRPr="00392B10">
        <w:t xml:space="preserve"> </w:t>
      </w:r>
      <w:r w:rsidR="00750AE0" w:rsidRPr="00392B10">
        <w:fldChar w:fldCharType="begin" w:fldLock="1"/>
      </w:r>
      <w:r w:rsidR="00750AE0" w:rsidRPr="00392B10">
        <w:instrText xml:space="preserve"> REF _Ref134538862 \h </w:instrText>
      </w:r>
      <w:r w:rsidR="000D5FB6" w:rsidRPr="00392B10">
        <w:instrText xml:space="preserve"> \* MERGEFORMAT </w:instrText>
      </w:r>
      <w:r w:rsidR="00750AE0" w:rsidRPr="00392B10">
        <w:fldChar w:fldCharType="separate"/>
      </w:r>
      <w:r w:rsidR="00C24535" w:rsidRPr="00392B10">
        <w:t xml:space="preserve">Table </w:t>
      </w:r>
      <w:r w:rsidR="00C24535" w:rsidRPr="000366BF">
        <w:t>13</w:t>
      </w:r>
      <w:r w:rsidR="00750AE0" w:rsidRPr="00392B10">
        <w:fldChar w:fldCharType="end"/>
      </w:r>
      <w:r w:rsidRPr="00392B10">
        <w:t>.</w:t>
      </w:r>
    </w:p>
    <w:p w14:paraId="58F2CC67" w14:textId="0D5E906F" w:rsidR="00750AE0" w:rsidRPr="000366BF" w:rsidRDefault="00750AE0" w:rsidP="00750AE0">
      <w:pPr>
        <w:pStyle w:val="COMTableheadingrow"/>
        <w:keepLines/>
        <w:rPr>
          <w:lang w:val="en-AU"/>
        </w:rPr>
      </w:pPr>
      <w:bookmarkStart w:id="56" w:name="_Ref134538862"/>
      <w:r w:rsidRPr="000366BF">
        <w:rPr>
          <w:lang w:val="en-AU"/>
        </w:rPr>
        <w:t xml:space="preserve">Table </w:t>
      </w:r>
      <w:r w:rsidRPr="000366BF">
        <w:rPr>
          <w:lang w:val="en-AU"/>
        </w:rPr>
        <w:fldChar w:fldCharType="begin" w:fldLock="1"/>
      </w:r>
      <w:r w:rsidRPr="000366BF">
        <w:rPr>
          <w:lang w:val="en-AU"/>
        </w:rPr>
        <w:instrText xml:space="preserve"> SEQ Table \* ARABIC </w:instrText>
      </w:r>
      <w:r w:rsidRPr="000366BF">
        <w:rPr>
          <w:lang w:val="en-AU"/>
        </w:rPr>
        <w:fldChar w:fldCharType="separate"/>
      </w:r>
      <w:r w:rsidR="00C24535" w:rsidRPr="000366BF">
        <w:rPr>
          <w:lang w:val="en-AU"/>
        </w:rPr>
        <w:t>13</w:t>
      </w:r>
      <w:r w:rsidRPr="000366BF">
        <w:rPr>
          <w:lang w:val="en-AU"/>
        </w:rPr>
        <w:fldChar w:fldCharType="end"/>
      </w:r>
      <w:bookmarkEnd w:id="56"/>
      <w:r w:rsidRPr="000366BF">
        <w:rPr>
          <w:lang w:val="en-AU"/>
        </w:rPr>
        <w:t>: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836"/>
        <w:gridCol w:w="1318"/>
        <w:gridCol w:w="1273"/>
        <w:gridCol w:w="1297"/>
        <w:gridCol w:w="1293"/>
      </w:tblGrid>
      <w:tr w:rsidR="00750AE0" w:rsidRPr="00392B10" w14:paraId="1E448559" w14:textId="77777777" w:rsidTr="00EA163B">
        <w:trPr>
          <w:tblHeader/>
        </w:trPr>
        <w:tc>
          <w:tcPr>
            <w:tcW w:w="2127" w:type="pct"/>
            <w:vAlign w:val="center"/>
          </w:tcPr>
          <w:p w14:paraId="75986122" w14:textId="77777777" w:rsidR="00750AE0" w:rsidRPr="000366BF" w:rsidRDefault="00750AE0" w:rsidP="00750AE0">
            <w:pPr>
              <w:pStyle w:val="COMTableheadingrow"/>
              <w:keepLines/>
              <w:rPr>
                <w:lang w:val="en-AU"/>
              </w:rPr>
            </w:pPr>
            <w:r w:rsidRPr="000366BF">
              <w:rPr>
                <w:lang w:val="en-AU"/>
              </w:rPr>
              <w:t>Analysis</w:t>
            </w:r>
          </w:p>
        </w:tc>
        <w:tc>
          <w:tcPr>
            <w:tcW w:w="731" w:type="pct"/>
            <w:tcBorders>
              <w:bottom w:val="single" w:sz="4" w:space="0" w:color="auto"/>
            </w:tcBorders>
            <w:vAlign w:val="center"/>
          </w:tcPr>
          <w:p w14:paraId="71D34DC2" w14:textId="777FCB6C" w:rsidR="00750AE0" w:rsidRPr="000366BF" w:rsidRDefault="00750AE0" w:rsidP="00750AE0">
            <w:pPr>
              <w:pStyle w:val="COMTableheadingrow"/>
              <w:keepLines/>
              <w:jc w:val="center"/>
              <w:rPr>
                <w:lang w:val="en-AU"/>
              </w:rPr>
            </w:pPr>
            <w:r w:rsidRPr="000366BF">
              <w:rPr>
                <w:lang w:val="en-AU"/>
              </w:rPr>
              <w:t>Incremental cost</w:t>
            </w:r>
            <w:r w:rsidR="00591AC0">
              <w:rPr>
                <w:lang w:val="en-AU"/>
              </w:rPr>
              <w:t xml:space="preserve"> ($)</w:t>
            </w:r>
          </w:p>
        </w:tc>
        <w:tc>
          <w:tcPr>
            <w:tcW w:w="706" w:type="pct"/>
            <w:vAlign w:val="center"/>
          </w:tcPr>
          <w:p w14:paraId="525B07C8" w14:textId="77777777" w:rsidR="00750AE0" w:rsidRPr="000366BF" w:rsidRDefault="00750AE0" w:rsidP="00750AE0">
            <w:pPr>
              <w:pStyle w:val="COMTableheadingrow"/>
              <w:keepLines/>
              <w:jc w:val="center"/>
              <w:rPr>
                <w:lang w:val="en-AU"/>
              </w:rPr>
            </w:pPr>
            <w:r w:rsidRPr="000366BF">
              <w:rPr>
                <w:lang w:val="en-AU"/>
              </w:rPr>
              <w:t>Incremental QALY</w:t>
            </w:r>
          </w:p>
        </w:tc>
        <w:tc>
          <w:tcPr>
            <w:tcW w:w="719" w:type="pct"/>
            <w:vAlign w:val="center"/>
          </w:tcPr>
          <w:p w14:paraId="09466AB0" w14:textId="46F1745F" w:rsidR="00750AE0" w:rsidRPr="000366BF" w:rsidRDefault="00750AE0" w:rsidP="00750AE0">
            <w:pPr>
              <w:pStyle w:val="COMTableheadingrow"/>
              <w:keepLines/>
              <w:jc w:val="center"/>
              <w:rPr>
                <w:lang w:val="en-AU"/>
              </w:rPr>
            </w:pPr>
            <w:r w:rsidRPr="000366BF">
              <w:rPr>
                <w:lang w:val="en-AU"/>
              </w:rPr>
              <w:t>ICER</w:t>
            </w:r>
            <w:r w:rsidR="00F455FA">
              <w:rPr>
                <w:lang w:val="en-AU"/>
              </w:rPr>
              <w:t>($)</w:t>
            </w:r>
          </w:p>
        </w:tc>
        <w:tc>
          <w:tcPr>
            <w:tcW w:w="717" w:type="pct"/>
            <w:vAlign w:val="center"/>
          </w:tcPr>
          <w:p w14:paraId="6D778C0B" w14:textId="77777777" w:rsidR="00750AE0" w:rsidRPr="000366BF" w:rsidRDefault="00750AE0" w:rsidP="002B0CC3">
            <w:pPr>
              <w:pStyle w:val="COMTableheadingrow"/>
              <w:keepLines/>
              <w:jc w:val="center"/>
              <w:rPr>
                <w:lang w:val="en-AU"/>
              </w:rPr>
            </w:pPr>
            <w:r w:rsidRPr="000366BF">
              <w:rPr>
                <w:lang w:val="en-AU"/>
              </w:rPr>
              <w:t>% change</w:t>
            </w:r>
          </w:p>
        </w:tc>
      </w:tr>
      <w:tr w:rsidR="00750AE0" w:rsidRPr="00392B10" w14:paraId="0C99F8A0" w14:textId="77777777" w:rsidTr="00EA163B">
        <w:trPr>
          <w:tblHeader/>
        </w:trPr>
        <w:tc>
          <w:tcPr>
            <w:tcW w:w="2127" w:type="pct"/>
            <w:vAlign w:val="center"/>
          </w:tcPr>
          <w:p w14:paraId="45BC6AD8" w14:textId="77777777" w:rsidR="00750AE0" w:rsidRPr="00392B10" w:rsidRDefault="00750AE0" w:rsidP="00750AE0">
            <w:pPr>
              <w:pStyle w:val="COMTabletext"/>
              <w:keepLines/>
              <w:rPr>
                <w:b/>
                <w:bCs w:val="0"/>
              </w:rPr>
            </w:pPr>
            <w:r w:rsidRPr="00392B10">
              <w:rPr>
                <w:b/>
                <w:bCs w:val="0"/>
              </w:rPr>
              <w:t>Base case</w:t>
            </w:r>
          </w:p>
        </w:tc>
        <w:tc>
          <w:tcPr>
            <w:tcW w:w="731" w:type="pct"/>
            <w:shd w:val="solid" w:color="000000" w:fill="000000"/>
            <w:vAlign w:val="center"/>
          </w:tcPr>
          <w:p w14:paraId="685BAD31" w14:textId="548B031B" w:rsidR="00750AE0" w:rsidRPr="00392B10" w:rsidRDefault="00EA163B" w:rsidP="00750AE0">
            <w:pPr>
              <w:pStyle w:val="COMTabletext"/>
              <w:keepLines/>
              <w:jc w:val="center"/>
              <w:rPr>
                <w:b/>
                <w:bCs w:val="0"/>
              </w:rPr>
            </w:pPr>
            <w:r w:rsidRPr="00EA163B">
              <w:rPr>
                <w:b/>
                <w:bCs w:val="0"/>
                <w:color w:val="000000"/>
                <w14:textFill>
                  <w14:solidFill>
                    <w14:srgbClr w14:val="000000">
                      <w14:alpha w14:val="100000"/>
                    </w14:srgbClr>
                  </w14:solidFill>
                </w14:textFill>
              </w:rPr>
              <w:t>|</w:t>
            </w:r>
          </w:p>
        </w:tc>
        <w:tc>
          <w:tcPr>
            <w:tcW w:w="706" w:type="pct"/>
            <w:vAlign w:val="center"/>
          </w:tcPr>
          <w:p w14:paraId="20103101" w14:textId="77777777" w:rsidR="00750AE0" w:rsidRPr="00392B10" w:rsidRDefault="00750AE0" w:rsidP="00750AE0">
            <w:pPr>
              <w:pStyle w:val="COMTabletext"/>
              <w:keepLines/>
              <w:jc w:val="center"/>
              <w:rPr>
                <w:b/>
                <w:bCs w:val="0"/>
              </w:rPr>
            </w:pPr>
            <w:r w:rsidRPr="00392B10">
              <w:rPr>
                <w:b/>
                <w:bCs w:val="0"/>
              </w:rPr>
              <w:t>0.933</w:t>
            </w:r>
          </w:p>
        </w:tc>
        <w:tc>
          <w:tcPr>
            <w:tcW w:w="719" w:type="pct"/>
            <w:vAlign w:val="center"/>
          </w:tcPr>
          <w:p w14:paraId="2834C509" w14:textId="7CF3270E" w:rsidR="00750AE0" w:rsidRPr="00207D60" w:rsidRDefault="00EA163B" w:rsidP="00750AE0">
            <w:pPr>
              <w:pStyle w:val="COMTabletext"/>
              <w:keepLines/>
              <w:jc w:val="center"/>
              <w:rPr>
                <w:b/>
                <w:bCs w:val="0"/>
                <w:vertAlign w:val="superscript"/>
              </w:rPr>
            </w:pPr>
            <w:r w:rsidRPr="00EA163B">
              <w:rPr>
                <w:b/>
                <w:bCs w:val="0"/>
                <w:color w:val="000000"/>
                <w:shd w:val="solid" w:color="000000" w:fill="000000"/>
                <w14:textFill>
                  <w14:solidFill>
                    <w14:srgbClr w14:val="000000">
                      <w14:alpha w14:val="100000"/>
                    </w14:srgbClr>
                  </w14:solidFill>
                </w14:textFill>
              </w:rPr>
              <w:t>|</w:t>
            </w:r>
            <w:r w:rsidR="00591AC0">
              <w:rPr>
                <w:b/>
                <w:bCs w:val="0"/>
                <w:vertAlign w:val="superscript"/>
              </w:rPr>
              <w:t>3</w:t>
            </w:r>
          </w:p>
        </w:tc>
        <w:tc>
          <w:tcPr>
            <w:tcW w:w="717" w:type="pct"/>
          </w:tcPr>
          <w:p w14:paraId="0B77C3AA" w14:textId="77777777" w:rsidR="00750AE0" w:rsidRPr="00392B10" w:rsidRDefault="00750AE0" w:rsidP="00750AE0">
            <w:pPr>
              <w:pStyle w:val="COMTabletext"/>
              <w:keepLines/>
              <w:jc w:val="center"/>
              <w:rPr>
                <w:b/>
                <w:bCs w:val="0"/>
              </w:rPr>
            </w:pPr>
            <w:r w:rsidRPr="00392B10">
              <w:rPr>
                <w:b/>
                <w:bCs w:val="0"/>
              </w:rPr>
              <w:t>-</w:t>
            </w:r>
          </w:p>
        </w:tc>
      </w:tr>
      <w:tr w:rsidR="00750AE0" w:rsidRPr="00392B10" w14:paraId="00040EEF" w14:textId="77777777" w:rsidTr="003B634A">
        <w:tc>
          <w:tcPr>
            <w:tcW w:w="5000" w:type="pct"/>
            <w:gridSpan w:val="5"/>
            <w:vAlign w:val="center"/>
          </w:tcPr>
          <w:p w14:paraId="09E3B785" w14:textId="77777777" w:rsidR="00750AE0" w:rsidRPr="00392B10" w:rsidRDefault="00750AE0" w:rsidP="00750AE0">
            <w:pPr>
              <w:pStyle w:val="COMTabletext"/>
              <w:keepLines/>
              <w:rPr>
                <w:b/>
                <w:bCs w:val="0"/>
              </w:rPr>
            </w:pPr>
            <w:r w:rsidRPr="00392B10">
              <w:rPr>
                <w:b/>
                <w:bCs w:val="0"/>
              </w:rPr>
              <w:t>Discount rate (base case: 5% costs and outcomes)</w:t>
            </w:r>
          </w:p>
        </w:tc>
      </w:tr>
      <w:tr w:rsidR="00750AE0" w:rsidRPr="00392B10" w14:paraId="2D3CE102" w14:textId="77777777" w:rsidTr="00EA163B">
        <w:tc>
          <w:tcPr>
            <w:tcW w:w="2127" w:type="pct"/>
          </w:tcPr>
          <w:p w14:paraId="36BDA158" w14:textId="77777777" w:rsidR="00750AE0" w:rsidRPr="00392B10" w:rsidRDefault="00750AE0" w:rsidP="00750AE0">
            <w:pPr>
              <w:pStyle w:val="COMTabletext"/>
              <w:keepLines/>
            </w:pPr>
            <w:r w:rsidRPr="00392B10">
              <w:t>0% costs and outcomes</w:t>
            </w:r>
          </w:p>
        </w:tc>
        <w:tc>
          <w:tcPr>
            <w:tcW w:w="731" w:type="pct"/>
            <w:tcBorders>
              <w:bottom w:val="single" w:sz="4" w:space="0" w:color="auto"/>
            </w:tcBorders>
            <w:shd w:val="solid" w:color="000000" w:fill="000000"/>
          </w:tcPr>
          <w:p w14:paraId="23E3817E" w14:textId="41F65D59" w:rsidR="00750AE0" w:rsidRPr="00207D60" w:rsidRDefault="00EA163B" w:rsidP="00750AE0">
            <w:pPr>
              <w:pStyle w:val="COMTabletext"/>
              <w:keepLines/>
              <w:jc w:val="center"/>
              <w:rPr>
                <w:highlight w:val="darkGray"/>
              </w:rPr>
            </w:pPr>
            <w:r w:rsidRPr="00EA163B">
              <w:rPr>
                <w:color w:val="000000"/>
                <w14:textFill>
                  <w14:solidFill>
                    <w14:srgbClr w14:val="000000">
                      <w14:alpha w14:val="100000"/>
                    </w14:srgbClr>
                  </w14:solidFill>
                </w14:textFill>
              </w:rPr>
              <w:t>|</w:t>
            </w:r>
          </w:p>
        </w:tc>
        <w:tc>
          <w:tcPr>
            <w:tcW w:w="706" w:type="pct"/>
          </w:tcPr>
          <w:p w14:paraId="69EB7BEA" w14:textId="77777777" w:rsidR="00750AE0" w:rsidRPr="00392B10" w:rsidRDefault="00750AE0" w:rsidP="00750AE0">
            <w:pPr>
              <w:pStyle w:val="COMTabletext"/>
              <w:keepLines/>
              <w:jc w:val="center"/>
            </w:pPr>
            <w:r w:rsidRPr="00392B10">
              <w:t>1.412</w:t>
            </w:r>
          </w:p>
        </w:tc>
        <w:tc>
          <w:tcPr>
            <w:tcW w:w="719" w:type="pct"/>
          </w:tcPr>
          <w:p w14:paraId="09FDA23E" w14:textId="2A4B0137" w:rsidR="00750AE0" w:rsidRPr="00207D60" w:rsidRDefault="00EA163B" w:rsidP="00750AE0">
            <w:pPr>
              <w:pStyle w:val="COMTabletext"/>
              <w:keepLines/>
              <w:jc w:val="center"/>
              <w:rPr>
                <w:highlight w:val="darkGray"/>
                <w:vertAlign w:val="superscript"/>
              </w:rPr>
            </w:pPr>
            <w:r w:rsidRPr="00EA163B">
              <w:rPr>
                <w:color w:val="000000"/>
                <w:shd w:val="solid" w:color="000000" w:fill="000000"/>
                <w14:textFill>
                  <w14:solidFill>
                    <w14:srgbClr w14:val="000000">
                      <w14:alpha w14:val="100000"/>
                    </w14:srgbClr>
                  </w14:solidFill>
                </w14:textFill>
              </w:rPr>
              <w:t>|</w:t>
            </w:r>
            <w:r w:rsidR="00591AC0" w:rsidRPr="00207D60">
              <w:rPr>
                <w:vertAlign w:val="superscript"/>
              </w:rPr>
              <w:t>2</w:t>
            </w:r>
          </w:p>
        </w:tc>
        <w:tc>
          <w:tcPr>
            <w:tcW w:w="717" w:type="pct"/>
          </w:tcPr>
          <w:p w14:paraId="6245DD05" w14:textId="77777777" w:rsidR="00750AE0" w:rsidRPr="00392B10" w:rsidRDefault="00750AE0" w:rsidP="00750AE0">
            <w:pPr>
              <w:pStyle w:val="COMTabletext"/>
              <w:keepLines/>
              <w:jc w:val="center"/>
            </w:pPr>
            <w:r w:rsidRPr="00392B10">
              <w:t>-34%</w:t>
            </w:r>
          </w:p>
        </w:tc>
      </w:tr>
      <w:tr w:rsidR="00750AE0" w:rsidRPr="00392B10" w14:paraId="1C6D2742" w14:textId="77777777" w:rsidTr="00EA163B">
        <w:tc>
          <w:tcPr>
            <w:tcW w:w="2127" w:type="pct"/>
          </w:tcPr>
          <w:p w14:paraId="1390DB8D" w14:textId="77777777" w:rsidR="00750AE0" w:rsidRPr="00392B10" w:rsidRDefault="00750AE0" w:rsidP="00750AE0">
            <w:pPr>
              <w:pStyle w:val="COMTabletext"/>
              <w:keepLines/>
            </w:pPr>
            <w:r w:rsidRPr="00392B10">
              <w:t>3.5% costs and outcomes</w:t>
            </w:r>
          </w:p>
        </w:tc>
        <w:tc>
          <w:tcPr>
            <w:tcW w:w="731" w:type="pct"/>
            <w:shd w:val="solid" w:color="000000" w:fill="000000"/>
          </w:tcPr>
          <w:p w14:paraId="37437130" w14:textId="31C9F12F" w:rsidR="00750AE0" w:rsidRPr="00207D60" w:rsidRDefault="00EA163B" w:rsidP="00750AE0">
            <w:pPr>
              <w:pStyle w:val="COMTabletext"/>
              <w:keepLines/>
              <w:jc w:val="center"/>
              <w:rPr>
                <w:highlight w:val="darkGray"/>
              </w:rPr>
            </w:pPr>
            <w:r w:rsidRPr="00EA163B">
              <w:rPr>
                <w:color w:val="000000"/>
                <w14:textFill>
                  <w14:solidFill>
                    <w14:srgbClr w14:val="000000">
                      <w14:alpha w14:val="100000"/>
                    </w14:srgbClr>
                  </w14:solidFill>
                </w14:textFill>
              </w:rPr>
              <w:t>|</w:t>
            </w:r>
          </w:p>
        </w:tc>
        <w:tc>
          <w:tcPr>
            <w:tcW w:w="706" w:type="pct"/>
          </w:tcPr>
          <w:p w14:paraId="315A046C" w14:textId="77777777" w:rsidR="00750AE0" w:rsidRPr="00392B10" w:rsidRDefault="00750AE0" w:rsidP="00750AE0">
            <w:pPr>
              <w:pStyle w:val="COMTabletext"/>
              <w:keepLines/>
              <w:jc w:val="center"/>
            </w:pPr>
            <w:r w:rsidRPr="00392B10">
              <w:t>1.045</w:t>
            </w:r>
          </w:p>
        </w:tc>
        <w:tc>
          <w:tcPr>
            <w:tcW w:w="719" w:type="pct"/>
          </w:tcPr>
          <w:p w14:paraId="65686FBC" w14:textId="04B9FD1F" w:rsidR="00750AE0" w:rsidRPr="00207D60" w:rsidRDefault="00EA163B" w:rsidP="00750AE0">
            <w:pPr>
              <w:pStyle w:val="COMTabletext"/>
              <w:keepLines/>
              <w:jc w:val="center"/>
              <w:rPr>
                <w:highlight w:val="darkGray"/>
              </w:rPr>
            </w:pPr>
            <w:r w:rsidRPr="00EA163B">
              <w:rPr>
                <w:color w:val="000000"/>
                <w:shd w:val="solid" w:color="000000" w:fill="000000"/>
                <w14:textFill>
                  <w14:solidFill>
                    <w14:srgbClr w14:val="000000">
                      <w14:alpha w14:val="100000"/>
                    </w14:srgbClr>
                  </w14:solidFill>
                </w14:textFill>
              </w:rPr>
              <w:t>|</w:t>
            </w:r>
            <w:r w:rsidR="00591AC0">
              <w:rPr>
                <w:b/>
                <w:bCs w:val="0"/>
                <w:vertAlign w:val="superscript"/>
              </w:rPr>
              <w:t>3</w:t>
            </w:r>
          </w:p>
        </w:tc>
        <w:tc>
          <w:tcPr>
            <w:tcW w:w="717" w:type="pct"/>
          </w:tcPr>
          <w:p w14:paraId="72936A97" w14:textId="77777777" w:rsidR="00750AE0" w:rsidRPr="00392B10" w:rsidRDefault="00750AE0" w:rsidP="00750AE0">
            <w:pPr>
              <w:pStyle w:val="COMTabletext"/>
              <w:keepLines/>
              <w:jc w:val="center"/>
            </w:pPr>
            <w:r w:rsidRPr="00392B10">
              <w:t>-11%</w:t>
            </w:r>
          </w:p>
        </w:tc>
      </w:tr>
      <w:tr w:rsidR="00750AE0" w:rsidRPr="00392B10" w14:paraId="68079823" w14:textId="77777777" w:rsidTr="003B634A">
        <w:tc>
          <w:tcPr>
            <w:tcW w:w="4283" w:type="pct"/>
            <w:gridSpan w:val="4"/>
            <w:vAlign w:val="center"/>
          </w:tcPr>
          <w:p w14:paraId="2287C0F5" w14:textId="77777777" w:rsidR="00750AE0" w:rsidRPr="000366BF" w:rsidRDefault="00750AE0" w:rsidP="00750AE0">
            <w:pPr>
              <w:pStyle w:val="COMTableheadingrow"/>
              <w:keepLines/>
              <w:rPr>
                <w:lang w:val="en-AU"/>
              </w:rPr>
            </w:pPr>
            <w:r w:rsidRPr="000366BF">
              <w:rPr>
                <w:lang w:val="en-AU"/>
              </w:rPr>
              <w:t>Time horizon (base case: 25 years)</w:t>
            </w:r>
          </w:p>
        </w:tc>
        <w:tc>
          <w:tcPr>
            <w:tcW w:w="717" w:type="pct"/>
          </w:tcPr>
          <w:p w14:paraId="4D023066" w14:textId="77777777" w:rsidR="00750AE0" w:rsidRPr="000366BF" w:rsidRDefault="00750AE0" w:rsidP="00750AE0">
            <w:pPr>
              <w:pStyle w:val="COMTableheadingrow"/>
              <w:keepLines/>
              <w:rPr>
                <w:lang w:val="en-AU"/>
              </w:rPr>
            </w:pPr>
          </w:p>
        </w:tc>
      </w:tr>
      <w:tr w:rsidR="00750AE0" w:rsidRPr="00392B10" w14:paraId="7092DB4A" w14:textId="77777777" w:rsidTr="00EA163B">
        <w:tc>
          <w:tcPr>
            <w:tcW w:w="2127" w:type="pct"/>
          </w:tcPr>
          <w:p w14:paraId="066463D0" w14:textId="77777777" w:rsidR="00750AE0" w:rsidRPr="00392B10" w:rsidRDefault="00750AE0" w:rsidP="00750AE0">
            <w:pPr>
              <w:pStyle w:val="COMTabletext"/>
              <w:keepLines/>
            </w:pPr>
            <w:r w:rsidRPr="00392B10">
              <w:t>5 years</w:t>
            </w:r>
          </w:p>
        </w:tc>
        <w:tc>
          <w:tcPr>
            <w:tcW w:w="731" w:type="pct"/>
            <w:tcBorders>
              <w:bottom w:val="single" w:sz="4" w:space="0" w:color="auto"/>
            </w:tcBorders>
            <w:shd w:val="solid" w:color="000000" w:fill="000000"/>
          </w:tcPr>
          <w:p w14:paraId="5455E805" w14:textId="317374A3" w:rsidR="00750AE0" w:rsidRPr="00207D60" w:rsidRDefault="00EA163B" w:rsidP="00750AE0">
            <w:pPr>
              <w:pStyle w:val="COMTabletext"/>
              <w:keepLines/>
              <w:jc w:val="center"/>
              <w:rPr>
                <w:highlight w:val="darkGray"/>
              </w:rPr>
            </w:pPr>
            <w:r w:rsidRPr="00EA163B">
              <w:rPr>
                <w:color w:val="000000"/>
                <w14:textFill>
                  <w14:solidFill>
                    <w14:srgbClr w14:val="000000">
                      <w14:alpha w14:val="100000"/>
                    </w14:srgbClr>
                  </w14:solidFill>
                </w14:textFill>
              </w:rPr>
              <w:t>|</w:t>
            </w:r>
          </w:p>
        </w:tc>
        <w:tc>
          <w:tcPr>
            <w:tcW w:w="706" w:type="pct"/>
          </w:tcPr>
          <w:p w14:paraId="7EB2F043" w14:textId="77777777" w:rsidR="00750AE0" w:rsidRPr="00392B10" w:rsidRDefault="00750AE0" w:rsidP="00750AE0">
            <w:pPr>
              <w:pStyle w:val="COMTabletext"/>
              <w:keepLines/>
              <w:jc w:val="center"/>
            </w:pPr>
            <w:r w:rsidRPr="00392B10">
              <w:t>0.344</w:t>
            </w:r>
          </w:p>
        </w:tc>
        <w:tc>
          <w:tcPr>
            <w:tcW w:w="719" w:type="pct"/>
          </w:tcPr>
          <w:p w14:paraId="31B8427C" w14:textId="0A46AA59" w:rsidR="00750AE0" w:rsidRPr="00207D60" w:rsidRDefault="00EA163B" w:rsidP="00750AE0">
            <w:pPr>
              <w:pStyle w:val="COMTabletext"/>
              <w:keepLines/>
              <w:jc w:val="center"/>
              <w:rPr>
                <w:highlight w:val="darkGray"/>
                <w:vertAlign w:val="superscript"/>
              </w:rPr>
            </w:pPr>
            <w:r w:rsidRPr="00EA163B">
              <w:rPr>
                <w:color w:val="000000"/>
                <w:shd w:val="solid" w:color="000000" w:fill="000000"/>
                <w14:textFill>
                  <w14:solidFill>
                    <w14:srgbClr w14:val="000000">
                      <w14:alpha w14:val="100000"/>
                    </w14:srgbClr>
                  </w14:solidFill>
                </w14:textFill>
              </w:rPr>
              <w:t>|</w:t>
            </w:r>
            <w:r w:rsidR="00591AC0" w:rsidRPr="00207D60">
              <w:rPr>
                <w:vertAlign w:val="superscript"/>
              </w:rPr>
              <w:t>4</w:t>
            </w:r>
          </w:p>
        </w:tc>
        <w:tc>
          <w:tcPr>
            <w:tcW w:w="717" w:type="pct"/>
          </w:tcPr>
          <w:p w14:paraId="04DB6A8A" w14:textId="77777777" w:rsidR="00750AE0" w:rsidRPr="00392B10" w:rsidRDefault="00750AE0" w:rsidP="00750AE0">
            <w:pPr>
              <w:pStyle w:val="COMTabletext"/>
              <w:keepLines/>
              <w:jc w:val="center"/>
            </w:pPr>
            <w:r w:rsidRPr="00392B10">
              <w:t>171%</w:t>
            </w:r>
          </w:p>
        </w:tc>
      </w:tr>
      <w:tr w:rsidR="00750AE0" w:rsidRPr="00392B10" w14:paraId="3BC788B4" w14:textId="77777777" w:rsidTr="00EA163B">
        <w:tc>
          <w:tcPr>
            <w:tcW w:w="2127" w:type="pct"/>
          </w:tcPr>
          <w:p w14:paraId="4CF397B3" w14:textId="77777777" w:rsidR="00750AE0" w:rsidRPr="00392B10" w:rsidRDefault="00750AE0" w:rsidP="00750AE0">
            <w:pPr>
              <w:pStyle w:val="COMTabletext"/>
              <w:keepLines/>
            </w:pPr>
            <w:r w:rsidRPr="00392B10">
              <w:t>10 years</w:t>
            </w:r>
          </w:p>
        </w:tc>
        <w:tc>
          <w:tcPr>
            <w:tcW w:w="731" w:type="pct"/>
            <w:tcBorders>
              <w:bottom w:val="single" w:sz="4" w:space="0" w:color="auto"/>
            </w:tcBorders>
            <w:shd w:val="solid" w:color="000000" w:fill="000000"/>
            <w:vAlign w:val="center"/>
          </w:tcPr>
          <w:p w14:paraId="380F8492" w14:textId="4B095B42" w:rsidR="00750AE0" w:rsidRPr="00207D60" w:rsidRDefault="00EA163B" w:rsidP="00750AE0">
            <w:pPr>
              <w:pStyle w:val="COMTabletext"/>
              <w:keepLines/>
              <w:jc w:val="center"/>
              <w:rPr>
                <w:highlight w:val="darkGray"/>
              </w:rPr>
            </w:pPr>
            <w:r w:rsidRPr="00EA163B">
              <w:rPr>
                <w:color w:val="000000"/>
                <w14:textFill>
                  <w14:solidFill>
                    <w14:srgbClr w14:val="000000">
                      <w14:alpha w14:val="100000"/>
                    </w14:srgbClr>
                  </w14:solidFill>
                </w14:textFill>
              </w:rPr>
              <w:t>|</w:t>
            </w:r>
          </w:p>
        </w:tc>
        <w:tc>
          <w:tcPr>
            <w:tcW w:w="706" w:type="pct"/>
            <w:vAlign w:val="center"/>
          </w:tcPr>
          <w:p w14:paraId="465DA703" w14:textId="77777777" w:rsidR="00750AE0" w:rsidRPr="00392B10" w:rsidRDefault="00750AE0" w:rsidP="00750AE0">
            <w:pPr>
              <w:pStyle w:val="COMTabletext"/>
              <w:keepLines/>
              <w:jc w:val="center"/>
            </w:pPr>
            <w:r w:rsidRPr="00392B10">
              <w:t>0.627</w:t>
            </w:r>
          </w:p>
        </w:tc>
        <w:tc>
          <w:tcPr>
            <w:tcW w:w="719" w:type="pct"/>
            <w:vAlign w:val="center"/>
          </w:tcPr>
          <w:p w14:paraId="11DCECFE" w14:textId="2520C8D1" w:rsidR="00750AE0" w:rsidRPr="00207D60" w:rsidRDefault="00EA163B" w:rsidP="00750AE0">
            <w:pPr>
              <w:pStyle w:val="COMTabletext"/>
              <w:keepLines/>
              <w:jc w:val="center"/>
              <w:rPr>
                <w:highlight w:val="darkGray"/>
                <w:vertAlign w:val="superscript"/>
              </w:rPr>
            </w:pPr>
            <w:r w:rsidRPr="00EA163B">
              <w:rPr>
                <w:color w:val="000000"/>
                <w:shd w:val="solid" w:color="000000" w:fill="000000"/>
                <w14:textFill>
                  <w14:solidFill>
                    <w14:srgbClr w14:val="000000">
                      <w14:alpha w14:val="100000"/>
                    </w14:srgbClr>
                  </w14:solidFill>
                </w14:textFill>
              </w:rPr>
              <w:t>|</w:t>
            </w:r>
            <w:r w:rsidR="002E17B0" w:rsidRPr="00207D60">
              <w:rPr>
                <w:vertAlign w:val="superscript"/>
              </w:rPr>
              <w:t>5</w:t>
            </w:r>
          </w:p>
        </w:tc>
        <w:tc>
          <w:tcPr>
            <w:tcW w:w="717" w:type="pct"/>
          </w:tcPr>
          <w:p w14:paraId="637C8A03" w14:textId="77777777" w:rsidR="00750AE0" w:rsidRPr="00392B10" w:rsidRDefault="00750AE0" w:rsidP="00750AE0">
            <w:pPr>
              <w:pStyle w:val="COMTabletext"/>
              <w:keepLines/>
              <w:jc w:val="center"/>
            </w:pPr>
            <w:r w:rsidRPr="00392B10">
              <w:t>49%</w:t>
            </w:r>
          </w:p>
        </w:tc>
      </w:tr>
      <w:tr w:rsidR="00750AE0" w:rsidRPr="00392B10" w14:paraId="3D42C2D3" w14:textId="77777777" w:rsidTr="00EA163B">
        <w:tc>
          <w:tcPr>
            <w:tcW w:w="2127" w:type="pct"/>
          </w:tcPr>
          <w:p w14:paraId="70D445A4" w14:textId="77777777" w:rsidR="00750AE0" w:rsidRPr="00392B10" w:rsidRDefault="00750AE0" w:rsidP="00750AE0">
            <w:pPr>
              <w:pStyle w:val="COMTabletext"/>
              <w:keepLines/>
            </w:pPr>
            <w:r w:rsidRPr="00392B10">
              <w:t>15 years</w:t>
            </w:r>
          </w:p>
        </w:tc>
        <w:tc>
          <w:tcPr>
            <w:tcW w:w="731" w:type="pct"/>
            <w:tcBorders>
              <w:bottom w:val="single" w:sz="4" w:space="0" w:color="auto"/>
            </w:tcBorders>
            <w:shd w:val="solid" w:color="000000" w:fill="000000"/>
            <w:vAlign w:val="center"/>
          </w:tcPr>
          <w:p w14:paraId="1A80A622" w14:textId="59A2514D" w:rsidR="00750AE0" w:rsidRPr="00207D60" w:rsidRDefault="00EA163B" w:rsidP="00750AE0">
            <w:pPr>
              <w:pStyle w:val="COMTabletext"/>
              <w:keepLines/>
              <w:jc w:val="center"/>
              <w:rPr>
                <w:highlight w:val="darkGray"/>
              </w:rPr>
            </w:pPr>
            <w:r w:rsidRPr="00EA163B">
              <w:rPr>
                <w:color w:val="000000"/>
                <w14:textFill>
                  <w14:solidFill>
                    <w14:srgbClr w14:val="000000">
                      <w14:alpha w14:val="100000"/>
                    </w14:srgbClr>
                  </w14:solidFill>
                </w14:textFill>
              </w:rPr>
              <w:t>|</w:t>
            </w:r>
          </w:p>
        </w:tc>
        <w:tc>
          <w:tcPr>
            <w:tcW w:w="706" w:type="pct"/>
            <w:vAlign w:val="center"/>
          </w:tcPr>
          <w:p w14:paraId="54721C13" w14:textId="77777777" w:rsidR="00750AE0" w:rsidRPr="00392B10" w:rsidRDefault="00750AE0" w:rsidP="00750AE0">
            <w:pPr>
              <w:pStyle w:val="COMTabletext"/>
              <w:keepLines/>
              <w:jc w:val="center"/>
            </w:pPr>
            <w:r w:rsidRPr="00392B10">
              <w:t>0.804</w:t>
            </w:r>
          </w:p>
        </w:tc>
        <w:tc>
          <w:tcPr>
            <w:tcW w:w="719" w:type="pct"/>
            <w:vAlign w:val="center"/>
          </w:tcPr>
          <w:p w14:paraId="38ABE7CF" w14:textId="0CE59CF0" w:rsidR="00750AE0" w:rsidRPr="00207D60" w:rsidRDefault="00EA163B" w:rsidP="00750AE0">
            <w:pPr>
              <w:pStyle w:val="COMTabletext"/>
              <w:keepLines/>
              <w:jc w:val="center"/>
              <w:rPr>
                <w:highlight w:val="darkGray"/>
                <w:vertAlign w:val="superscript"/>
              </w:rPr>
            </w:pPr>
            <w:r w:rsidRPr="00EA163B">
              <w:rPr>
                <w:color w:val="000000"/>
                <w:shd w:val="solid" w:color="000000" w:fill="000000"/>
                <w14:textFill>
                  <w14:solidFill>
                    <w14:srgbClr w14:val="000000">
                      <w14:alpha w14:val="100000"/>
                    </w14:srgbClr>
                  </w14:solidFill>
                </w14:textFill>
              </w:rPr>
              <w:t>|</w:t>
            </w:r>
            <w:r w:rsidR="002E17B0" w:rsidRPr="00207D60">
              <w:rPr>
                <w:vertAlign w:val="superscript"/>
              </w:rPr>
              <w:t>1</w:t>
            </w:r>
          </w:p>
        </w:tc>
        <w:tc>
          <w:tcPr>
            <w:tcW w:w="717" w:type="pct"/>
          </w:tcPr>
          <w:p w14:paraId="35E8C10C" w14:textId="77777777" w:rsidR="00750AE0" w:rsidRPr="00392B10" w:rsidRDefault="00750AE0" w:rsidP="00750AE0">
            <w:pPr>
              <w:pStyle w:val="COMTabletext"/>
              <w:keepLines/>
              <w:jc w:val="center"/>
            </w:pPr>
            <w:r w:rsidRPr="00392B10">
              <w:t>16%</w:t>
            </w:r>
          </w:p>
        </w:tc>
      </w:tr>
      <w:tr w:rsidR="00750AE0" w:rsidRPr="00392B10" w14:paraId="0C08C775" w14:textId="77777777" w:rsidTr="00EA163B">
        <w:tc>
          <w:tcPr>
            <w:tcW w:w="2127" w:type="pct"/>
          </w:tcPr>
          <w:p w14:paraId="4538EDD9" w14:textId="77777777" w:rsidR="00750AE0" w:rsidRPr="00392B10" w:rsidRDefault="00750AE0" w:rsidP="00750AE0">
            <w:pPr>
              <w:pStyle w:val="COMTabletext"/>
              <w:keepLines/>
            </w:pPr>
            <w:r w:rsidRPr="00392B10">
              <w:t>20 years</w:t>
            </w:r>
          </w:p>
        </w:tc>
        <w:tc>
          <w:tcPr>
            <w:tcW w:w="731" w:type="pct"/>
            <w:shd w:val="solid" w:color="000000" w:fill="000000"/>
          </w:tcPr>
          <w:p w14:paraId="34096577" w14:textId="748C01FD" w:rsidR="00750AE0" w:rsidRPr="00207D60" w:rsidRDefault="00EA163B" w:rsidP="00750AE0">
            <w:pPr>
              <w:pStyle w:val="COMTabletext"/>
              <w:keepLines/>
              <w:jc w:val="center"/>
              <w:rPr>
                <w:highlight w:val="darkGray"/>
              </w:rPr>
            </w:pPr>
            <w:r w:rsidRPr="00EA163B">
              <w:rPr>
                <w:color w:val="000000"/>
                <w14:textFill>
                  <w14:solidFill>
                    <w14:srgbClr w14:val="000000">
                      <w14:alpha w14:val="100000"/>
                    </w14:srgbClr>
                  </w14:solidFill>
                </w14:textFill>
              </w:rPr>
              <w:t>|</w:t>
            </w:r>
          </w:p>
        </w:tc>
        <w:tc>
          <w:tcPr>
            <w:tcW w:w="706" w:type="pct"/>
          </w:tcPr>
          <w:p w14:paraId="67865295" w14:textId="77777777" w:rsidR="00750AE0" w:rsidRPr="00392B10" w:rsidRDefault="00750AE0" w:rsidP="00750AE0">
            <w:pPr>
              <w:pStyle w:val="COMTabletext"/>
              <w:keepLines/>
              <w:jc w:val="center"/>
            </w:pPr>
            <w:r w:rsidRPr="00392B10">
              <w:t>0.898</w:t>
            </w:r>
          </w:p>
        </w:tc>
        <w:tc>
          <w:tcPr>
            <w:tcW w:w="719" w:type="pct"/>
          </w:tcPr>
          <w:p w14:paraId="271AFB7E" w14:textId="3717EE75" w:rsidR="00750AE0" w:rsidRPr="00207D60" w:rsidRDefault="00EA163B" w:rsidP="00750AE0">
            <w:pPr>
              <w:pStyle w:val="COMTabletext"/>
              <w:keepLines/>
              <w:jc w:val="center"/>
              <w:rPr>
                <w:highlight w:val="darkGray"/>
              </w:rPr>
            </w:pPr>
            <w:r w:rsidRPr="00EA163B">
              <w:rPr>
                <w:color w:val="000000"/>
                <w:shd w:val="solid" w:color="000000" w:fill="000000"/>
                <w14:textFill>
                  <w14:solidFill>
                    <w14:srgbClr w14:val="000000">
                      <w14:alpha w14:val="100000"/>
                    </w14:srgbClr>
                  </w14:solidFill>
                </w14:textFill>
              </w:rPr>
              <w:t>|</w:t>
            </w:r>
            <w:r w:rsidR="00591AC0">
              <w:rPr>
                <w:b/>
                <w:bCs w:val="0"/>
                <w:vertAlign w:val="superscript"/>
              </w:rPr>
              <w:t>3</w:t>
            </w:r>
          </w:p>
        </w:tc>
        <w:tc>
          <w:tcPr>
            <w:tcW w:w="717" w:type="pct"/>
          </w:tcPr>
          <w:p w14:paraId="512ED0B0" w14:textId="77777777" w:rsidR="00750AE0" w:rsidRPr="00392B10" w:rsidRDefault="00750AE0" w:rsidP="00750AE0">
            <w:pPr>
              <w:pStyle w:val="COMTabletext"/>
              <w:keepLines/>
              <w:jc w:val="center"/>
            </w:pPr>
            <w:r w:rsidRPr="00392B10">
              <w:t>4%</w:t>
            </w:r>
          </w:p>
        </w:tc>
      </w:tr>
      <w:tr w:rsidR="00750AE0" w:rsidRPr="00392B10" w14:paraId="2CC3EE34" w14:textId="77777777" w:rsidTr="003B634A">
        <w:tc>
          <w:tcPr>
            <w:tcW w:w="4283" w:type="pct"/>
            <w:gridSpan w:val="4"/>
            <w:vAlign w:val="center"/>
          </w:tcPr>
          <w:p w14:paraId="47D88CF9" w14:textId="77777777" w:rsidR="00750AE0" w:rsidRPr="000366BF" w:rsidRDefault="00750AE0" w:rsidP="00750AE0">
            <w:pPr>
              <w:pStyle w:val="COMTableheadingrow"/>
              <w:keepLines/>
              <w:rPr>
                <w:lang w:val="en-AU"/>
              </w:rPr>
            </w:pPr>
            <w:r w:rsidRPr="000366BF">
              <w:rPr>
                <w:lang w:val="en-AU"/>
              </w:rPr>
              <w:t>Parametric function for OS extrapolation (base case: Gompertz)</w:t>
            </w:r>
          </w:p>
        </w:tc>
        <w:tc>
          <w:tcPr>
            <w:tcW w:w="717" w:type="pct"/>
          </w:tcPr>
          <w:p w14:paraId="59A51282" w14:textId="77777777" w:rsidR="00750AE0" w:rsidRPr="000366BF" w:rsidRDefault="00750AE0" w:rsidP="00750AE0">
            <w:pPr>
              <w:pStyle w:val="COMTableheadingrow"/>
              <w:keepLines/>
              <w:rPr>
                <w:lang w:val="en-AU"/>
              </w:rPr>
            </w:pPr>
          </w:p>
        </w:tc>
      </w:tr>
      <w:tr w:rsidR="00750AE0" w:rsidRPr="00392B10" w14:paraId="41B8500D" w14:textId="77777777" w:rsidTr="00EA163B">
        <w:tc>
          <w:tcPr>
            <w:tcW w:w="2127" w:type="pct"/>
          </w:tcPr>
          <w:p w14:paraId="739606B9" w14:textId="77777777" w:rsidR="00750AE0" w:rsidRPr="00392B10" w:rsidRDefault="00750AE0" w:rsidP="00750AE0">
            <w:pPr>
              <w:pStyle w:val="COMTabletext"/>
              <w:keepLines/>
            </w:pPr>
            <w:r w:rsidRPr="00392B10">
              <w:t>Weibull</w:t>
            </w:r>
          </w:p>
        </w:tc>
        <w:tc>
          <w:tcPr>
            <w:tcW w:w="731" w:type="pct"/>
            <w:tcBorders>
              <w:bottom w:val="single" w:sz="4" w:space="0" w:color="auto"/>
            </w:tcBorders>
            <w:shd w:val="solid" w:color="000000" w:fill="000000"/>
          </w:tcPr>
          <w:p w14:paraId="5D8CCC22" w14:textId="7AE3836C" w:rsidR="00750AE0" w:rsidRPr="00207D60" w:rsidRDefault="00EA163B" w:rsidP="00750AE0">
            <w:pPr>
              <w:pStyle w:val="COMTabletext"/>
              <w:keepLines/>
              <w:jc w:val="center"/>
              <w:rPr>
                <w:highlight w:val="darkGray"/>
              </w:rPr>
            </w:pPr>
            <w:r w:rsidRPr="00EA163B">
              <w:rPr>
                <w:color w:val="000000"/>
                <w14:textFill>
                  <w14:solidFill>
                    <w14:srgbClr w14:val="000000">
                      <w14:alpha w14:val="100000"/>
                    </w14:srgbClr>
                  </w14:solidFill>
                </w14:textFill>
              </w:rPr>
              <w:t>|</w:t>
            </w:r>
          </w:p>
        </w:tc>
        <w:tc>
          <w:tcPr>
            <w:tcW w:w="706" w:type="pct"/>
          </w:tcPr>
          <w:p w14:paraId="7D8027F6" w14:textId="77777777" w:rsidR="00750AE0" w:rsidRPr="00392B10" w:rsidRDefault="00750AE0" w:rsidP="00750AE0">
            <w:pPr>
              <w:pStyle w:val="COMTabletext"/>
              <w:keepLines/>
              <w:jc w:val="center"/>
            </w:pPr>
            <w:r w:rsidRPr="00392B10">
              <w:t>0.673</w:t>
            </w:r>
          </w:p>
        </w:tc>
        <w:tc>
          <w:tcPr>
            <w:tcW w:w="719" w:type="pct"/>
          </w:tcPr>
          <w:p w14:paraId="388A12FC" w14:textId="1DFD5E77" w:rsidR="00750AE0" w:rsidRPr="00207D60" w:rsidRDefault="00EA163B" w:rsidP="00750AE0">
            <w:pPr>
              <w:pStyle w:val="COMTabletext"/>
              <w:keepLines/>
              <w:jc w:val="center"/>
              <w:rPr>
                <w:highlight w:val="darkGray"/>
                <w:vertAlign w:val="superscript"/>
              </w:rPr>
            </w:pPr>
            <w:r w:rsidRPr="00EA163B">
              <w:rPr>
                <w:color w:val="000000"/>
                <w:shd w:val="solid" w:color="000000" w:fill="000000"/>
                <w14:textFill>
                  <w14:solidFill>
                    <w14:srgbClr w14:val="000000">
                      <w14:alpha w14:val="100000"/>
                    </w14:srgbClr>
                  </w14:solidFill>
                </w14:textFill>
              </w:rPr>
              <w:t>|</w:t>
            </w:r>
            <w:r w:rsidR="002E17B0" w:rsidRPr="00207D60">
              <w:rPr>
                <w:vertAlign w:val="superscript"/>
              </w:rPr>
              <w:t>5</w:t>
            </w:r>
          </w:p>
        </w:tc>
        <w:tc>
          <w:tcPr>
            <w:tcW w:w="717" w:type="pct"/>
          </w:tcPr>
          <w:p w14:paraId="240728E3" w14:textId="77777777" w:rsidR="00750AE0" w:rsidRPr="00392B10" w:rsidRDefault="00750AE0" w:rsidP="00750AE0">
            <w:pPr>
              <w:pStyle w:val="COMTabletext"/>
              <w:keepLines/>
              <w:jc w:val="center"/>
            </w:pPr>
            <w:r w:rsidRPr="00392B10">
              <w:t>39%</w:t>
            </w:r>
          </w:p>
        </w:tc>
      </w:tr>
      <w:tr w:rsidR="00750AE0" w:rsidRPr="00392B10" w14:paraId="5BADE1E1" w14:textId="77777777" w:rsidTr="00EA163B">
        <w:tc>
          <w:tcPr>
            <w:tcW w:w="2127" w:type="pct"/>
          </w:tcPr>
          <w:p w14:paraId="56E3D66B" w14:textId="77777777" w:rsidR="00750AE0" w:rsidRPr="00392B10" w:rsidRDefault="00750AE0" w:rsidP="00750AE0">
            <w:pPr>
              <w:pStyle w:val="COMTabletext"/>
              <w:keepLines/>
            </w:pPr>
            <w:r w:rsidRPr="00392B10">
              <w:t>Generalised gamma</w:t>
            </w:r>
          </w:p>
        </w:tc>
        <w:tc>
          <w:tcPr>
            <w:tcW w:w="731" w:type="pct"/>
            <w:shd w:val="solid" w:color="000000" w:fill="000000"/>
          </w:tcPr>
          <w:p w14:paraId="7DA59C96" w14:textId="37841887" w:rsidR="00750AE0" w:rsidRPr="007A1383" w:rsidRDefault="00EA163B" w:rsidP="00750AE0">
            <w:pPr>
              <w:pStyle w:val="COMTabletext"/>
              <w:keepLines/>
              <w:jc w:val="center"/>
              <w:rPr>
                <w:highlight w:val="darkGray"/>
              </w:rPr>
            </w:pPr>
            <w:r w:rsidRPr="00EA163B">
              <w:rPr>
                <w:color w:val="000000"/>
                <w14:textFill>
                  <w14:solidFill>
                    <w14:srgbClr w14:val="000000">
                      <w14:alpha w14:val="100000"/>
                    </w14:srgbClr>
                  </w14:solidFill>
                </w14:textFill>
              </w:rPr>
              <w:t>|</w:t>
            </w:r>
          </w:p>
        </w:tc>
        <w:tc>
          <w:tcPr>
            <w:tcW w:w="706" w:type="pct"/>
          </w:tcPr>
          <w:p w14:paraId="55751EE7" w14:textId="77777777" w:rsidR="00750AE0" w:rsidRPr="00392B10" w:rsidRDefault="00750AE0" w:rsidP="00750AE0">
            <w:pPr>
              <w:pStyle w:val="COMTabletext"/>
              <w:keepLines/>
              <w:jc w:val="center"/>
            </w:pPr>
            <w:r w:rsidRPr="00392B10">
              <w:t>0.690</w:t>
            </w:r>
          </w:p>
        </w:tc>
        <w:tc>
          <w:tcPr>
            <w:tcW w:w="719" w:type="pct"/>
          </w:tcPr>
          <w:p w14:paraId="092F59DD" w14:textId="331A03CC" w:rsidR="00750AE0" w:rsidRPr="007A1383" w:rsidRDefault="00EA163B" w:rsidP="00750AE0">
            <w:pPr>
              <w:pStyle w:val="COMTabletext"/>
              <w:keepLines/>
              <w:jc w:val="center"/>
              <w:rPr>
                <w:highlight w:val="darkGray"/>
              </w:rPr>
            </w:pPr>
            <w:r w:rsidRPr="00EA163B">
              <w:rPr>
                <w:color w:val="000000"/>
                <w:shd w:val="solid" w:color="000000" w:fill="000000"/>
                <w14:textFill>
                  <w14:solidFill>
                    <w14:srgbClr w14:val="000000">
                      <w14:alpha w14:val="100000"/>
                    </w14:srgbClr>
                  </w14:solidFill>
                </w14:textFill>
              </w:rPr>
              <w:t>|</w:t>
            </w:r>
            <w:r w:rsidR="002E17B0" w:rsidRPr="00016A4F">
              <w:rPr>
                <w:vertAlign w:val="superscript"/>
              </w:rPr>
              <w:t>5</w:t>
            </w:r>
          </w:p>
        </w:tc>
        <w:tc>
          <w:tcPr>
            <w:tcW w:w="717" w:type="pct"/>
          </w:tcPr>
          <w:p w14:paraId="789733DF" w14:textId="77777777" w:rsidR="00750AE0" w:rsidRPr="00392B10" w:rsidRDefault="00750AE0" w:rsidP="00750AE0">
            <w:pPr>
              <w:pStyle w:val="COMTabletext"/>
              <w:keepLines/>
              <w:jc w:val="center"/>
            </w:pPr>
            <w:r w:rsidRPr="00392B10">
              <w:t>35%</w:t>
            </w:r>
          </w:p>
        </w:tc>
      </w:tr>
      <w:tr w:rsidR="00750AE0" w:rsidRPr="00392B10" w14:paraId="1F5008C4" w14:textId="77777777" w:rsidTr="003B634A">
        <w:tc>
          <w:tcPr>
            <w:tcW w:w="5000" w:type="pct"/>
            <w:gridSpan w:val="5"/>
            <w:vAlign w:val="center"/>
          </w:tcPr>
          <w:p w14:paraId="38BF55EC" w14:textId="77777777" w:rsidR="00750AE0" w:rsidRPr="00392B10" w:rsidRDefault="00750AE0" w:rsidP="00750AE0">
            <w:pPr>
              <w:pStyle w:val="COMTabletext"/>
              <w:keepLines/>
              <w:rPr>
                <w:b/>
                <w:bCs w:val="0"/>
              </w:rPr>
            </w:pPr>
            <w:r w:rsidRPr="00392B10">
              <w:rPr>
                <w:b/>
                <w:bCs w:val="0"/>
              </w:rPr>
              <w:t>Point of OS extrapolation (base case: 15% of patients at risk; 60 months for LDC, 21 months for IC)</w:t>
            </w:r>
          </w:p>
        </w:tc>
      </w:tr>
      <w:tr w:rsidR="00750AE0" w:rsidRPr="00392B10" w14:paraId="44E17E03" w14:textId="77777777" w:rsidTr="00EA163B">
        <w:tc>
          <w:tcPr>
            <w:tcW w:w="2127" w:type="pct"/>
          </w:tcPr>
          <w:p w14:paraId="5C6D0C5C" w14:textId="77777777" w:rsidR="00750AE0" w:rsidRPr="00392B10" w:rsidRDefault="00750AE0" w:rsidP="00750AE0">
            <w:pPr>
              <w:pStyle w:val="COMTabletext"/>
              <w:keepLines/>
            </w:pPr>
            <w:r w:rsidRPr="00392B10">
              <w:t>10% at risk (LDC: 61 months; IC: 31 months)</w:t>
            </w:r>
          </w:p>
        </w:tc>
        <w:tc>
          <w:tcPr>
            <w:tcW w:w="731" w:type="pct"/>
            <w:tcBorders>
              <w:bottom w:val="single" w:sz="4" w:space="0" w:color="auto"/>
            </w:tcBorders>
            <w:shd w:val="solid" w:color="000000" w:fill="000000"/>
            <w:vAlign w:val="center"/>
          </w:tcPr>
          <w:p w14:paraId="5E80185C" w14:textId="74EB1FA5" w:rsidR="00750AE0" w:rsidRPr="00207D60" w:rsidRDefault="00EA163B" w:rsidP="00750AE0">
            <w:pPr>
              <w:pStyle w:val="COMTabletext"/>
              <w:keepLines/>
              <w:jc w:val="center"/>
              <w:rPr>
                <w:highlight w:val="darkGray"/>
              </w:rPr>
            </w:pPr>
            <w:r w:rsidRPr="00EA163B">
              <w:rPr>
                <w:color w:val="000000"/>
                <w14:textFill>
                  <w14:solidFill>
                    <w14:srgbClr w14:val="000000">
                      <w14:alpha w14:val="100000"/>
                    </w14:srgbClr>
                  </w14:solidFill>
                </w14:textFill>
              </w:rPr>
              <w:t>|</w:t>
            </w:r>
          </w:p>
        </w:tc>
        <w:tc>
          <w:tcPr>
            <w:tcW w:w="706" w:type="pct"/>
            <w:vAlign w:val="center"/>
          </w:tcPr>
          <w:p w14:paraId="733373AF" w14:textId="77777777" w:rsidR="00750AE0" w:rsidRPr="00392B10" w:rsidRDefault="00750AE0" w:rsidP="00750AE0">
            <w:pPr>
              <w:pStyle w:val="COMTabletext"/>
              <w:keepLines/>
              <w:jc w:val="center"/>
            </w:pPr>
            <w:r w:rsidRPr="00392B10">
              <w:t>0.924</w:t>
            </w:r>
          </w:p>
        </w:tc>
        <w:tc>
          <w:tcPr>
            <w:tcW w:w="719" w:type="pct"/>
            <w:vAlign w:val="center"/>
          </w:tcPr>
          <w:p w14:paraId="17EA00DB" w14:textId="20F84980" w:rsidR="00750AE0" w:rsidRPr="00207D60" w:rsidRDefault="00EA163B" w:rsidP="00750AE0">
            <w:pPr>
              <w:pStyle w:val="COMTabletext"/>
              <w:keepLines/>
              <w:jc w:val="center"/>
              <w:rPr>
                <w:highlight w:val="darkGray"/>
              </w:rPr>
            </w:pPr>
            <w:r w:rsidRPr="00EA163B">
              <w:rPr>
                <w:color w:val="000000"/>
                <w:shd w:val="solid" w:color="000000" w:fill="000000"/>
                <w14:textFill>
                  <w14:solidFill>
                    <w14:srgbClr w14:val="000000">
                      <w14:alpha w14:val="100000"/>
                    </w14:srgbClr>
                  </w14:solidFill>
                </w14:textFill>
              </w:rPr>
              <w:t>|</w:t>
            </w:r>
            <w:r w:rsidR="00591AC0">
              <w:rPr>
                <w:b/>
                <w:bCs w:val="0"/>
                <w:vertAlign w:val="superscript"/>
              </w:rPr>
              <w:t>3</w:t>
            </w:r>
          </w:p>
        </w:tc>
        <w:tc>
          <w:tcPr>
            <w:tcW w:w="717" w:type="pct"/>
            <w:vAlign w:val="center"/>
          </w:tcPr>
          <w:p w14:paraId="072F83D7" w14:textId="77777777" w:rsidR="00750AE0" w:rsidRPr="00392B10" w:rsidRDefault="00750AE0" w:rsidP="00750AE0">
            <w:pPr>
              <w:pStyle w:val="COMTabletext"/>
              <w:keepLines/>
              <w:jc w:val="center"/>
            </w:pPr>
            <w:r w:rsidRPr="00392B10">
              <w:t>1%</w:t>
            </w:r>
          </w:p>
        </w:tc>
      </w:tr>
      <w:tr w:rsidR="00750AE0" w:rsidRPr="00392B10" w14:paraId="4DAF7944" w14:textId="77777777" w:rsidTr="00EA163B">
        <w:tc>
          <w:tcPr>
            <w:tcW w:w="2127" w:type="pct"/>
          </w:tcPr>
          <w:p w14:paraId="19AC07B1" w14:textId="77777777" w:rsidR="00750AE0" w:rsidRPr="00392B10" w:rsidRDefault="00750AE0" w:rsidP="00750AE0">
            <w:pPr>
              <w:pStyle w:val="COMTabletext"/>
              <w:keepLines/>
            </w:pPr>
            <w:r w:rsidRPr="00392B10">
              <w:t>20% at risk (LDC: 31 months; IC 17 months)</w:t>
            </w:r>
          </w:p>
        </w:tc>
        <w:tc>
          <w:tcPr>
            <w:tcW w:w="731" w:type="pct"/>
            <w:shd w:val="solid" w:color="000000" w:fill="000000"/>
            <w:vAlign w:val="center"/>
          </w:tcPr>
          <w:p w14:paraId="77AFD987" w14:textId="54DF3151" w:rsidR="00750AE0" w:rsidRPr="00207D60" w:rsidRDefault="00EA163B" w:rsidP="00750AE0">
            <w:pPr>
              <w:pStyle w:val="COMTabletext"/>
              <w:keepLines/>
              <w:jc w:val="center"/>
              <w:rPr>
                <w:highlight w:val="darkGray"/>
              </w:rPr>
            </w:pPr>
            <w:r w:rsidRPr="00EA163B">
              <w:rPr>
                <w:color w:val="000000"/>
                <w14:textFill>
                  <w14:solidFill>
                    <w14:srgbClr w14:val="000000">
                      <w14:alpha w14:val="100000"/>
                    </w14:srgbClr>
                  </w14:solidFill>
                </w14:textFill>
              </w:rPr>
              <w:t>|</w:t>
            </w:r>
          </w:p>
        </w:tc>
        <w:tc>
          <w:tcPr>
            <w:tcW w:w="706" w:type="pct"/>
            <w:vAlign w:val="center"/>
          </w:tcPr>
          <w:p w14:paraId="30391425" w14:textId="77777777" w:rsidR="00750AE0" w:rsidRPr="00392B10" w:rsidRDefault="00750AE0" w:rsidP="00750AE0">
            <w:pPr>
              <w:pStyle w:val="COMTabletext"/>
              <w:keepLines/>
              <w:jc w:val="center"/>
            </w:pPr>
            <w:r w:rsidRPr="00392B10">
              <w:t>0.786</w:t>
            </w:r>
          </w:p>
        </w:tc>
        <w:tc>
          <w:tcPr>
            <w:tcW w:w="719" w:type="pct"/>
            <w:vAlign w:val="center"/>
          </w:tcPr>
          <w:p w14:paraId="18C68BE9" w14:textId="6B150B9F" w:rsidR="00750AE0" w:rsidRPr="00207D60" w:rsidRDefault="00EA163B" w:rsidP="00750AE0">
            <w:pPr>
              <w:pStyle w:val="COMTabletext"/>
              <w:keepLines/>
              <w:jc w:val="center"/>
              <w:rPr>
                <w:highlight w:val="darkGray"/>
              </w:rPr>
            </w:pPr>
            <w:r w:rsidRPr="00EA163B">
              <w:rPr>
                <w:color w:val="000000"/>
                <w:shd w:val="solid" w:color="000000" w:fill="000000"/>
                <w14:textFill>
                  <w14:solidFill>
                    <w14:srgbClr w14:val="000000">
                      <w14:alpha w14:val="100000"/>
                    </w14:srgbClr>
                  </w14:solidFill>
                </w14:textFill>
              </w:rPr>
              <w:t>|</w:t>
            </w:r>
            <w:r w:rsidR="002E17B0" w:rsidRPr="00016A4F">
              <w:rPr>
                <w:vertAlign w:val="superscript"/>
              </w:rPr>
              <w:t>1</w:t>
            </w:r>
          </w:p>
        </w:tc>
        <w:tc>
          <w:tcPr>
            <w:tcW w:w="717" w:type="pct"/>
            <w:vAlign w:val="center"/>
          </w:tcPr>
          <w:p w14:paraId="13F23387" w14:textId="77777777" w:rsidR="00750AE0" w:rsidRPr="00392B10" w:rsidRDefault="00750AE0" w:rsidP="00750AE0">
            <w:pPr>
              <w:pStyle w:val="COMTabletext"/>
              <w:keepLines/>
              <w:jc w:val="center"/>
            </w:pPr>
            <w:r w:rsidRPr="00392B10">
              <w:t>19%</w:t>
            </w:r>
          </w:p>
        </w:tc>
      </w:tr>
      <w:tr w:rsidR="00750AE0" w:rsidRPr="00392B10" w14:paraId="2F56B1D6" w14:textId="77777777" w:rsidTr="003B634A">
        <w:tc>
          <w:tcPr>
            <w:tcW w:w="5000" w:type="pct"/>
            <w:gridSpan w:val="5"/>
          </w:tcPr>
          <w:p w14:paraId="5FCBFA85" w14:textId="77777777" w:rsidR="00750AE0" w:rsidRPr="00392B10" w:rsidRDefault="00750AE0" w:rsidP="00750AE0">
            <w:pPr>
              <w:pStyle w:val="COMTabletext"/>
              <w:keepLines/>
              <w:rPr>
                <w:b/>
                <w:bCs w:val="0"/>
              </w:rPr>
            </w:pPr>
            <w:r w:rsidRPr="00392B10">
              <w:rPr>
                <w:b/>
                <w:bCs w:val="0"/>
              </w:rPr>
              <w:t>Excess mortality (base case: 50% applied at point of EFS and OS extrapolation)</w:t>
            </w:r>
          </w:p>
        </w:tc>
      </w:tr>
      <w:tr w:rsidR="00750AE0" w:rsidRPr="00392B10" w14:paraId="0CF0A6D6" w14:textId="77777777" w:rsidTr="00EA163B">
        <w:tc>
          <w:tcPr>
            <w:tcW w:w="2127" w:type="pct"/>
          </w:tcPr>
          <w:p w14:paraId="2BF11956" w14:textId="77777777" w:rsidR="00750AE0" w:rsidRPr="00392B10" w:rsidRDefault="00750AE0" w:rsidP="00750AE0">
            <w:pPr>
              <w:pStyle w:val="COMTabletext"/>
              <w:keepLines/>
            </w:pPr>
            <w:r w:rsidRPr="00392B10">
              <w:t>0%</w:t>
            </w:r>
          </w:p>
        </w:tc>
        <w:tc>
          <w:tcPr>
            <w:tcW w:w="731" w:type="pct"/>
            <w:tcBorders>
              <w:bottom w:val="single" w:sz="4" w:space="0" w:color="auto"/>
            </w:tcBorders>
            <w:shd w:val="solid" w:color="000000" w:fill="000000"/>
          </w:tcPr>
          <w:p w14:paraId="5B65D3BA" w14:textId="5674E500" w:rsidR="00750AE0" w:rsidRPr="00207D60" w:rsidRDefault="00EA163B" w:rsidP="00750AE0">
            <w:pPr>
              <w:pStyle w:val="COMTabletext"/>
              <w:keepLines/>
              <w:jc w:val="center"/>
              <w:rPr>
                <w:highlight w:val="darkGray"/>
              </w:rPr>
            </w:pPr>
            <w:r w:rsidRPr="00EA163B">
              <w:rPr>
                <w:color w:val="000000"/>
                <w14:textFill>
                  <w14:solidFill>
                    <w14:srgbClr w14:val="000000">
                      <w14:alpha w14:val="100000"/>
                    </w14:srgbClr>
                  </w14:solidFill>
                </w14:textFill>
              </w:rPr>
              <w:t>|</w:t>
            </w:r>
          </w:p>
        </w:tc>
        <w:tc>
          <w:tcPr>
            <w:tcW w:w="706" w:type="pct"/>
          </w:tcPr>
          <w:p w14:paraId="6C787E74" w14:textId="77777777" w:rsidR="00750AE0" w:rsidRPr="00392B10" w:rsidRDefault="00750AE0" w:rsidP="00750AE0">
            <w:pPr>
              <w:pStyle w:val="COMTabletext"/>
              <w:keepLines/>
              <w:jc w:val="center"/>
            </w:pPr>
            <w:r w:rsidRPr="00392B10">
              <w:t>0.990</w:t>
            </w:r>
          </w:p>
        </w:tc>
        <w:tc>
          <w:tcPr>
            <w:tcW w:w="719" w:type="pct"/>
          </w:tcPr>
          <w:p w14:paraId="659819F4" w14:textId="54F741AB" w:rsidR="00750AE0" w:rsidRPr="00207D60" w:rsidRDefault="00EA163B" w:rsidP="00750AE0">
            <w:pPr>
              <w:pStyle w:val="COMTabletext"/>
              <w:keepLines/>
              <w:jc w:val="center"/>
              <w:rPr>
                <w:highlight w:val="darkGray"/>
              </w:rPr>
            </w:pPr>
            <w:r w:rsidRPr="00EA163B">
              <w:rPr>
                <w:color w:val="000000"/>
                <w:shd w:val="solid" w:color="000000" w:fill="000000"/>
                <w14:textFill>
                  <w14:solidFill>
                    <w14:srgbClr w14:val="000000">
                      <w14:alpha w14:val="100000"/>
                    </w14:srgbClr>
                  </w14:solidFill>
                </w14:textFill>
              </w:rPr>
              <w:t>|</w:t>
            </w:r>
            <w:r w:rsidR="00591AC0">
              <w:rPr>
                <w:b/>
                <w:bCs w:val="0"/>
                <w:vertAlign w:val="superscript"/>
              </w:rPr>
              <w:t>3</w:t>
            </w:r>
          </w:p>
        </w:tc>
        <w:tc>
          <w:tcPr>
            <w:tcW w:w="717" w:type="pct"/>
          </w:tcPr>
          <w:p w14:paraId="1728A28D" w14:textId="77777777" w:rsidR="00750AE0" w:rsidRPr="00392B10" w:rsidRDefault="00750AE0" w:rsidP="00750AE0">
            <w:pPr>
              <w:pStyle w:val="COMTabletext"/>
              <w:keepLines/>
              <w:jc w:val="center"/>
            </w:pPr>
            <w:r w:rsidRPr="00392B10">
              <w:t>-6%</w:t>
            </w:r>
          </w:p>
        </w:tc>
      </w:tr>
      <w:tr w:rsidR="00750AE0" w:rsidRPr="00392B10" w14:paraId="68C1B782" w14:textId="77777777" w:rsidTr="00EA163B">
        <w:tc>
          <w:tcPr>
            <w:tcW w:w="2127" w:type="pct"/>
          </w:tcPr>
          <w:p w14:paraId="073D0848" w14:textId="77777777" w:rsidR="00750AE0" w:rsidRPr="00392B10" w:rsidRDefault="00750AE0" w:rsidP="00750AE0">
            <w:pPr>
              <w:pStyle w:val="COMTabletext"/>
              <w:keepLines/>
            </w:pPr>
            <w:r w:rsidRPr="00392B10">
              <w:t>100%</w:t>
            </w:r>
          </w:p>
        </w:tc>
        <w:tc>
          <w:tcPr>
            <w:tcW w:w="731" w:type="pct"/>
            <w:tcBorders>
              <w:bottom w:val="single" w:sz="4" w:space="0" w:color="auto"/>
            </w:tcBorders>
            <w:shd w:val="solid" w:color="000000" w:fill="000000"/>
          </w:tcPr>
          <w:p w14:paraId="4B736FE6" w14:textId="5355C297" w:rsidR="00750AE0" w:rsidRPr="007A1383" w:rsidRDefault="00EA163B" w:rsidP="00750AE0">
            <w:pPr>
              <w:pStyle w:val="COMTabletext"/>
              <w:keepLines/>
              <w:jc w:val="center"/>
              <w:rPr>
                <w:highlight w:val="darkGray"/>
              </w:rPr>
            </w:pPr>
            <w:r w:rsidRPr="00EA163B">
              <w:rPr>
                <w:color w:val="000000"/>
                <w14:textFill>
                  <w14:solidFill>
                    <w14:srgbClr w14:val="000000">
                      <w14:alpha w14:val="100000"/>
                    </w14:srgbClr>
                  </w14:solidFill>
                </w14:textFill>
              </w:rPr>
              <w:t>|</w:t>
            </w:r>
          </w:p>
        </w:tc>
        <w:tc>
          <w:tcPr>
            <w:tcW w:w="706" w:type="pct"/>
          </w:tcPr>
          <w:p w14:paraId="269897CF" w14:textId="77777777" w:rsidR="00750AE0" w:rsidRPr="00392B10" w:rsidRDefault="00750AE0" w:rsidP="00750AE0">
            <w:pPr>
              <w:pStyle w:val="COMTabletext"/>
              <w:keepLines/>
              <w:jc w:val="center"/>
            </w:pPr>
            <w:r w:rsidRPr="00392B10">
              <w:t>0.888</w:t>
            </w:r>
          </w:p>
        </w:tc>
        <w:tc>
          <w:tcPr>
            <w:tcW w:w="719" w:type="pct"/>
          </w:tcPr>
          <w:p w14:paraId="47049E17" w14:textId="15989DF0" w:rsidR="00750AE0" w:rsidRPr="007A1383" w:rsidRDefault="00EA163B" w:rsidP="00750AE0">
            <w:pPr>
              <w:pStyle w:val="COMTabletext"/>
              <w:keepLines/>
              <w:jc w:val="center"/>
              <w:rPr>
                <w:highlight w:val="darkGray"/>
              </w:rPr>
            </w:pPr>
            <w:r w:rsidRPr="00EA163B">
              <w:rPr>
                <w:color w:val="000000"/>
                <w:shd w:val="solid" w:color="000000" w:fill="000000"/>
                <w14:textFill>
                  <w14:solidFill>
                    <w14:srgbClr w14:val="000000">
                      <w14:alpha w14:val="100000"/>
                    </w14:srgbClr>
                  </w14:solidFill>
                </w14:textFill>
              </w:rPr>
              <w:t>|</w:t>
            </w:r>
            <w:r w:rsidR="00591AC0">
              <w:rPr>
                <w:b/>
                <w:bCs w:val="0"/>
                <w:vertAlign w:val="superscript"/>
              </w:rPr>
              <w:t>3</w:t>
            </w:r>
          </w:p>
        </w:tc>
        <w:tc>
          <w:tcPr>
            <w:tcW w:w="717" w:type="pct"/>
          </w:tcPr>
          <w:p w14:paraId="1731B38C" w14:textId="77777777" w:rsidR="00750AE0" w:rsidRPr="00392B10" w:rsidRDefault="00750AE0" w:rsidP="00750AE0">
            <w:pPr>
              <w:pStyle w:val="COMTabletext"/>
              <w:keepLines/>
              <w:jc w:val="center"/>
            </w:pPr>
            <w:r w:rsidRPr="00392B10">
              <w:t>5%</w:t>
            </w:r>
          </w:p>
        </w:tc>
      </w:tr>
      <w:tr w:rsidR="00750AE0" w:rsidRPr="00392B10" w14:paraId="791B621F" w14:textId="77777777" w:rsidTr="00EA163B">
        <w:tc>
          <w:tcPr>
            <w:tcW w:w="2127" w:type="pct"/>
          </w:tcPr>
          <w:p w14:paraId="6AA9D229" w14:textId="77777777" w:rsidR="00750AE0" w:rsidRPr="00392B10" w:rsidRDefault="00750AE0" w:rsidP="00750AE0">
            <w:pPr>
              <w:pStyle w:val="COMTabletext"/>
              <w:keepLines/>
            </w:pPr>
            <w:r w:rsidRPr="00392B10">
              <w:t>200%</w:t>
            </w:r>
          </w:p>
        </w:tc>
        <w:tc>
          <w:tcPr>
            <w:tcW w:w="731" w:type="pct"/>
            <w:tcBorders>
              <w:bottom w:val="single" w:sz="4" w:space="0" w:color="auto"/>
            </w:tcBorders>
            <w:shd w:val="solid" w:color="000000" w:fill="000000"/>
          </w:tcPr>
          <w:p w14:paraId="0FF06A3B" w14:textId="7016A0B4" w:rsidR="00750AE0" w:rsidRPr="00207D60" w:rsidRDefault="00EA163B" w:rsidP="00750AE0">
            <w:pPr>
              <w:pStyle w:val="COMTabletext"/>
              <w:keepLines/>
              <w:jc w:val="center"/>
              <w:rPr>
                <w:highlight w:val="darkGray"/>
              </w:rPr>
            </w:pPr>
            <w:r w:rsidRPr="00EA163B">
              <w:rPr>
                <w:color w:val="000000"/>
                <w14:textFill>
                  <w14:solidFill>
                    <w14:srgbClr w14:val="000000">
                      <w14:alpha w14:val="100000"/>
                    </w14:srgbClr>
                  </w14:solidFill>
                </w14:textFill>
              </w:rPr>
              <w:t>|</w:t>
            </w:r>
          </w:p>
        </w:tc>
        <w:tc>
          <w:tcPr>
            <w:tcW w:w="706" w:type="pct"/>
          </w:tcPr>
          <w:p w14:paraId="15280C2A" w14:textId="77777777" w:rsidR="00750AE0" w:rsidRPr="00392B10" w:rsidRDefault="00750AE0" w:rsidP="00750AE0">
            <w:pPr>
              <w:pStyle w:val="COMTabletext"/>
              <w:keepLines/>
              <w:jc w:val="center"/>
            </w:pPr>
            <w:r w:rsidRPr="00392B10">
              <w:t>0.8235</w:t>
            </w:r>
          </w:p>
        </w:tc>
        <w:tc>
          <w:tcPr>
            <w:tcW w:w="719" w:type="pct"/>
          </w:tcPr>
          <w:p w14:paraId="3C67599C" w14:textId="54BB6909" w:rsidR="00750AE0" w:rsidRPr="00207D60" w:rsidRDefault="00EA163B" w:rsidP="00750AE0">
            <w:pPr>
              <w:pStyle w:val="COMTabletext"/>
              <w:keepLines/>
              <w:jc w:val="center"/>
              <w:rPr>
                <w:highlight w:val="darkGray"/>
              </w:rPr>
            </w:pPr>
            <w:r w:rsidRPr="00EA163B">
              <w:rPr>
                <w:color w:val="000000"/>
                <w:shd w:val="solid" w:color="000000" w:fill="000000"/>
                <w14:textFill>
                  <w14:solidFill>
                    <w14:srgbClr w14:val="000000">
                      <w14:alpha w14:val="100000"/>
                    </w14:srgbClr>
                  </w14:solidFill>
                </w14:textFill>
              </w:rPr>
              <w:t>|</w:t>
            </w:r>
            <w:r w:rsidR="002E17B0" w:rsidRPr="00016A4F">
              <w:rPr>
                <w:vertAlign w:val="superscript"/>
              </w:rPr>
              <w:t>1</w:t>
            </w:r>
          </w:p>
        </w:tc>
        <w:tc>
          <w:tcPr>
            <w:tcW w:w="717" w:type="pct"/>
          </w:tcPr>
          <w:p w14:paraId="63E591E8" w14:textId="77777777" w:rsidR="00750AE0" w:rsidRPr="00392B10" w:rsidRDefault="00750AE0" w:rsidP="00750AE0">
            <w:pPr>
              <w:pStyle w:val="COMTabletext"/>
              <w:keepLines/>
              <w:jc w:val="center"/>
            </w:pPr>
            <w:r w:rsidRPr="00392B10">
              <w:t>13%</w:t>
            </w:r>
          </w:p>
        </w:tc>
      </w:tr>
      <w:tr w:rsidR="00750AE0" w:rsidRPr="00392B10" w14:paraId="0824D510" w14:textId="77777777" w:rsidTr="00EA163B">
        <w:tc>
          <w:tcPr>
            <w:tcW w:w="2127" w:type="pct"/>
          </w:tcPr>
          <w:p w14:paraId="2A902E3B" w14:textId="77777777" w:rsidR="00750AE0" w:rsidRPr="00392B10" w:rsidRDefault="00750AE0" w:rsidP="00750AE0">
            <w:pPr>
              <w:pStyle w:val="COMTabletext"/>
              <w:keepLines/>
            </w:pPr>
            <w:r w:rsidRPr="00392B10">
              <w:t>300%</w:t>
            </w:r>
          </w:p>
        </w:tc>
        <w:tc>
          <w:tcPr>
            <w:tcW w:w="731" w:type="pct"/>
            <w:tcBorders>
              <w:bottom w:val="single" w:sz="4" w:space="0" w:color="auto"/>
            </w:tcBorders>
            <w:shd w:val="solid" w:color="000000" w:fill="000000"/>
          </w:tcPr>
          <w:p w14:paraId="784A67B8" w14:textId="0C2BD060" w:rsidR="00750AE0" w:rsidRPr="00207D60" w:rsidRDefault="00EA163B" w:rsidP="00750AE0">
            <w:pPr>
              <w:pStyle w:val="COMTabletext"/>
              <w:keepLines/>
              <w:jc w:val="center"/>
              <w:rPr>
                <w:highlight w:val="darkGray"/>
              </w:rPr>
            </w:pPr>
            <w:r w:rsidRPr="00EA163B">
              <w:rPr>
                <w:color w:val="000000"/>
                <w14:textFill>
                  <w14:solidFill>
                    <w14:srgbClr w14:val="000000">
                      <w14:alpha w14:val="100000"/>
                    </w14:srgbClr>
                  </w14:solidFill>
                </w14:textFill>
              </w:rPr>
              <w:t>|</w:t>
            </w:r>
          </w:p>
        </w:tc>
        <w:tc>
          <w:tcPr>
            <w:tcW w:w="706" w:type="pct"/>
          </w:tcPr>
          <w:p w14:paraId="5979F953" w14:textId="77777777" w:rsidR="00750AE0" w:rsidRPr="00392B10" w:rsidRDefault="00750AE0" w:rsidP="00750AE0">
            <w:pPr>
              <w:pStyle w:val="COMTabletext"/>
              <w:keepLines/>
              <w:jc w:val="center"/>
            </w:pPr>
            <w:r w:rsidRPr="00392B10">
              <w:t>0.779</w:t>
            </w:r>
          </w:p>
        </w:tc>
        <w:tc>
          <w:tcPr>
            <w:tcW w:w="719" w:type="pct"/>
          </w:tcPr>
          <w:p w14:paraId="375ECC2E" w14:textId="13078E0E" w:rsidR="00750AE0" w:rsidRPr="00207D60" w:rsidRDefault="00EA163B" w:rsidP="00750AE0">
            <w:pPr>
              <w:pStyle w:val="COMTabletext"/>
              <w:keepLines/>
              <w:jc w:val="center"/>
              <w:rPr>
                <w:highlight w:val="darkGray"/>
              </w:rPr>
            </w:pPr>
            <w:r w:rsidRPr="00EA163B">
              <w:rPr>
                <w:color w:val="000000"/>
                <w:shd w:val="solid" w:color="000000" w:fill="000000"/>
                <w14:textFill>
                  <w14:solidFill>
                    <w14:srgbClr w14:val="000000">
                      <w14:alpha w14:val="100000"/>
                    </w14:srgbClr>
                  </w14:solidFill>
                </w14:textFill>
              </w:rPr>
              <w:t>|</w:t>
            </w:r>
            <w:r w:rsidR="002E17B0" w:rsidRPr="00016A4F">
              <w:rPr>
                <w:vertAlign w:val="superscript"/>
              </w:rPr>
              <w:t>1</w:t>
            </w:r>
          </w:p>
        </w:tc>
        <w:tc>
          <w:tcPr>
            <w:tcW w:w="717" w:type="pct"/>
          </w:tcPr>
          <w:p w14:paraId="4ACBD12F" w14:textId="77777777" w:rsidR="00750AE0" w:rsidRPr="00392B10" w:rsidRDefault="00750AE0" w:rsidP="00750AE0">
            <w:pPr>
              <w:pStyle w:val="COMTabletext"/>
              <w:keepLines/>
              <w:jc w:val="center"/>
            </w:pPr>
            <w:r w:rsidRPr="00392B10">
              <w:t>20%</w:t>
            </w:r>
          </w:p>
        </w:tc>
      </w:tr>
      <w:tr w:rsidR="00750AE0" w:rsidRPr="00392B10" w14:paraId="19F32E96" w14:textId="77777777" w:rsidTr="00EA163B">
        <w:tc>
          <w:tcPr>
            <w:tcW w:w="2127" w:type="pct"/>
          </w:tcPr>
          <w:p w14:paraId="080E8A40" w14:textId="77777777" w:rsidR="00750AE0" w:rsidRPr="00392B10" w:rsidRDefault="00750AE0" w:rsidP="00750AE0">
            <w:pPr>
              <w:pStyle w:val="COMTabletext"/>
              <w:keepLines/>
            </w:pPr>
            <w:r w:rsidRPr="00392B10">
              <w:t>Applied to LDC and IC at 60 months for OS and 10 months for EFS</w:t>
            </w:r>
          </w:p>
        </w:tc>
        <w:tc>
          <w:tcPr>
            <w:tcW w:w="731" w:type="pct"/>
            <w:shd w:val="solid" w:color="000000" w:fill="000000"/>
            <w:vAlign w:val="center"/>
          </w:tcPr>
          <w:p w14:paraId="30DA7F02" w14:textId="38897A44" w:rsidR="00750AE0" w:rsidRPr="007A1383" w:rsidRDefault="00EA163B" w:rsidP="00750AE0">
            <w:pPr>
              <w:pStyle w:val="COMTabletext"/>
              <w:keepLines/>
              <w:jc w:val="center"/>
              <w:rPr>
                <w:highlight w:val="darkGray"/>
              </w:rPr>
            </w:pPr>
            <w:r w:rsidRPr="00EA163B">
              <w:rPr>
                <w:color w:val="000000"/>
                <w14:textFill>
                  <w14:solidFill>
                    <w14:srgbClr w14:val="000000">
                      <w14:alpha w14:val="100000"/>
                    </w14:srgbClr>
                  </w14:solidFill>
                </w14:textFill>
              </w:rPr>
              <w:t>|</w:t>
            </w:r>
          </w:p>
        </w:tc>
        <w:tc>
          <w:tcPr>
            <w:tcW w:w="706" w:type="pct"/>
            <w:vAlign w:val="center"/>
          </w:tcPr>
          <w:p w14:paraId="49474DB0" w14:textId="77777777" w:rsidR="00750AE0" w:rsidRPr="00392B10" w:rsidRDefault="00750AE0" w:rsidP="00750AE0">
            <w:pPr>
              <w:pStyle w:val="COMTabletext"/>
              <w:keepLines/>
              <w:jc w:val="center"/>
            </w:pPr>
            <w:r w:rsidRPr="00392B10">
              <w:t>0.901</w:t>
            </w:r>
          </w:p>
        </w:tc>
        <w:tc>
          <w:tcPr>
            <w:tcW w:w="719" w:type="pct"/>
            <w:vAlign w:val="center"/>
          </w:tcPr>
          <w:p w14:paraId="4F7C2A3C" w14:textId="56715F63" w:rsidR="00750AE0" w:rsidRPr="007A1383" w:rsidRDefault="00EA163B" w:rsidP="00750AE0">
            <w:pPr>
              <w:pStyle w:val="COMTabletext"/>
              <w:keepLines/>
              <w:jc w:val="center"/>
              <w:rPr>
                <w:highlight w:val="darkGray"/>
              </w:rPr>
            </w:pPr>
            <w:r w:rsidRPr="00EA163B">
              <w:rPr>
                <w:color w:val="000000"/>
                <w:shd w:val="solid" w:color="000000" w:fill="000000"/>
                <w14:textFill>
                  <w14:solidFill>
                    <w14:srgbClr w14:val="000000">
                      <w14:alpha w14:val="100000"/>
                    </w14:srgbClr>
                  </w14:solidFill>
                </w14:textFill>
              </w:rPr>
              <w:t>|</w:t>
            </w:r>
            <w:r w:rsidR="00591AC0">
              <w:rPr>
                <w:b/>
                <w:bCs w:val="0"/>
                <w:vertAlign w:val="superscript"/>
              </w:rPr>
              <w:t>3</w:t>
            </w:r>
          </w:p>
        </w:tc>
        <w:tc>
          <w:tcPr>
            <w:tcW w:w="717" w:type="pct"/>
            <w:vAlign w:val="center"/>
          </w:tcPr>
          <w:p w14:paraId="696D1CB5" w14:textId="77777777" w:rsidR="00750AE0" w:rsidRPr="00392B10" w:rsidRDefault="00750AE0" w:rsidP="00750AE0">
            <w:pPr>
              <w:pStyle w:val="COMTabletext"/>
              <w:keepLines/>
              <w:jc w:val="center"/>
            </w:pPr>
            <w:r w:rsidRPr="00392B10">
              <w:t>4%</w:t>
            </w:r>
          </w:p>
        </w:tc>
      </w:tr>
      <w:tr w:rsidR="00750AE0" w:rsidRPr="00392B10" w14:paraId="6DE7EC18" w14:textId="77777777" w:rsidTr="003B634A">
        <w:tc>
          <w:tcPr>
            <w:tcW w:w="5000" w:type="pct"/>
            <w:gridSpan w:val="5"/>
          </w:tcPr>
          <w:p w14:paraId="214EFA60" w14:textId="77777777" w:rsidR="00750AE0" w:rsidRPr="00392B10" w:rsidRDefault="00750AE0" w:rsidP="00750AE0">
            <w:pPr>
              <w:pStyle w:val="COMTabletext"/>
              <w:keepLines/>
              <w:rPr>
                <w:b/>
                <w:bCs w:val="0"/>
              </w:rPr>
            </w:pPr>
            <w:r w:rsidRPr="00392B10">
              <w:rPr>
                <w:b/>
                <w:bCs w:val="0"/>
              </w:rPr>
              <w:t>Health state utilities (base case: event-free 0.55; post-event 0.52; alive beyond 3 years 0.80)</w:t>
            </w:r>
          </w:p>
        </w:tc>
      </w:tr>
      <w:tr w:rsidR="00750AE0" w:rsidRPr="00392B10" w14:paraId="3EA41ADA" w14:textId="77777777" w:rsidTr="00EA163B">
        <w:tc>
          <w:tcPr>
            <w:tcW w:w="2127" w:type="pct"/>
          </w:tcPr>
          <w:p w14:paraId="75594FE6" w14:textId="77777777" w:rsidR="00750AE0" w:rsidRPr="00392B10" w:rsidRDefault="00750AE0" w:rsidP="00750AE0">
            <w:pPr>
              <w:pStyle w:val="COMTabletext"/>
              <w:keepLines/>
            </w:pPr>
            <w:r w:rsidRPr="00392B10">
              <w:t>Event-free utility: 0.6</w:t>
            </w:r>
          </w:p>
        </w:tc>
        <w:tc>
          <w:tcPr>
            <w:tcW w:w="731" w:type="pct"/>
            <w:tcBorders>
              <w:bottom w:val="single" w:sz="4" w:space="0" w:color="auto"/>
            </w:tcBorders>
            <w:shd w:val="solid" w:color="000000" w:fill="000000"/>
          </w:tcPr>
          <w:p w14:paraId="7E5B1C11" w14:textId="6F752FA7" w:rsidR="00750AE0" w:rsidRPr="007A1383" w:rsidRDefault="00EA163B" w:rsidP="00750AE0">
            <w:pPr>
              <w:pStyle w:val="COMTabletext"/>
              <w:keepLines/>
              <w:jc w:val="center"/>
              <w:rPr>
                <w:highlight w:val="darkGray"/>
              </w:rPr>
            </w:pPr>
            <w:r w:rsidRPr="00EA163B">
              <w:rPr>
                <w:color w:val="000000"/>
                <w14:textFill>
                  <w14:solidFill>
                    <w14:srgbClr w14:val="000000">
                      <w14:alpha w14:val="100000"/>
                    </w14:srgbClr>
                  </w14:solidFill>
                </w14:textFill>
              </w:rPr>
              <w:t>|</w:t>
            </w:r>
          </w:p>
        </w:tc>
        <w:tc>
          <w:tcPr>
            <w:tcW w:w="706" w:type="pct"/>
          </w:tcPr>
          <w:p w14:paraId="0850BF93" w14:textId="77777777" w:rsidR="00750AE0" w:rsidRPr="00392B10" w:rsidRDefault="00750AE0" w:rsidP="00750AE0">
            <w:pPr>
              <w:pStyle w:val="COMTabletext"/>
              <w:keepLines/>
              <w:jc w:val="center"/>
            </w:pPr>
            <w:r w:rsidRPr="00392B10">
              <w:t>0.943</w:t>
            </w:r>
          </w:p>
        </w:tc>
        <w:tc>
          <w:tcPr>
            <w:tcW w:w="719" w:type="pct"/>
          </w:tcPr>
          <w:p w14:paraId="1CD22692" w14:textId="5F35CE90" w:rsidR="00750AE0" w:rsidRPr="007A1383" w:rsidRDefault="00EA163B" w:rsidP="00750AE0">
            <w:pPr>
              <w:pStyle w:val="COMTabletext"/>
              <w:keepLines/>
              <w:jc w:val="center"/>
              <w:rPr>
                <w:highlight w:val="darkGray"/>
              </w:rPr>
            </w:pPr>
            <w:r w:rsidRPr="00EA163B">
              <w:rPr>
                <w:color w:val="000000"/>
                <w:shd w:val="solid" w:color="000000" w:fill="000000"/>
                <w14:textFill>
                  <w14:solidFill>
                    <w14:srgbClr w14:val="000000">
                      <w14:alpha w14:val="100000"/>
                    </w14:srgbClr>
                  </w14:solidFill>
                </w14:textFill>
              </w:rPr>
              <w:t>|</w:t>
            </w:r>
            <w:r w:rsidR="00591AC0">
              <w:rPr>
                <w:b/>
                <w:bCs w:val="0"/>
                <w:vertAlign w:val="superscript"/>
              </w:rPr>
              <w:t>3</w:t>
            </w:r>
          </w:p>
        </w:tc>
        <w:tc>
          <w:tcPr>
            <w:tcW w:w="717" w:type="pct"/>
          </w:tcPr>
          <w:p w14:paraId="451E8369" w14:textId="77777777" w:rsidR="00750AE0" w:rsidRPr="00392B10" w:rsidRDefault="00750AE0" w:rsidP="00750AE0">
            <w:pPr>
              <w:pStyle w:val="COMTabletext"/>
              <w:keepLines/>
              <w:jc w:val="center"/>
            </w:pPr>
            <w:r w:rsidRPr="00392B10">
              <w:t>-1%</w:t>
            </w:r>
          </w:p>
        </w:tc>
      </w:tr>
      <w:tr w:rsidR="00750AE0" w:rsidRPr="00392B10" w14:paraId="60435B42" w14:textId="77777777" w:rsidTr="00EA163B">
        <w:tc>
          <w:tcPr>
            <w:tcW w:w="2127" w:type="pct"/>
          </w:tcPr>
          <w:p w14:paraId="38A6F084" w14:textId="77777777" w:rsidR="00750AE0" w:rsidRPr="00392B10" w:rsidRDefault="00750AE0" w:rsidP="00750AE0">
            <w:pPr>
              <w:pStyle w:val="COMTabletext"/>
              <w:keepLines/>
            </w:pPr>
            <w:r w:rsidRPr="00392B10">
              <w:t>Post-event utility: 0.47</w:t>
            </w:r>
          </w:p>
        </w:tc>
        <w:tc>
          <w:tcPr>
            <w:tcW w:w="731" w:type="pct"/>
            <w:tcBorders>
              <w:bottom w:val="single" w:sz="4" w:space="0" w:color="auto"/>
            </w:tcBorders>
            <w:shd w:val="solid" w:color="000000" w:fill="000000"/>
          </w:tcPr>
          <w:p w14:paraId="7765D131" w14:textId="5775C85C" w:rsidR="00750AE0" w:rsidRPr="00207D60" w:rsidRDefault="00EA163B" w:rsidP="00750AE0">
            <w:pPr>
              <w:pStyle w:val="COMTabletext"/>
              <w:keepLines/>
              <w:jc w:val="center"/>
              <w:rPr>
                <w:highlight w:val="darkGray"/>
              </w:rPr>
            </w:pPr>
            <w:r w:rsidRPr="00EA163B">
              <w:rPr>
                <w:color w:val="000000"/>
                <w14:textFill>
                  <w14:solidFill>
                    <w14:srgbClr w14:val="000000">
                      <w14:alpha w14:val="100000"/>
                    </w14:srgbClr>
                  </w14:solidFill>
                </w14:textFill>
              </w:rPr>
              <w:t>|</w:t>
            </w:r>
          </w:p>
        </w:tc>
        <w:tc>
          <w:tcPr>
            <w:tcW w:w="706" w:type="pct"/>
          </w:tcPr>
          <w:p w14:paraId="18172B75" w14:textId="77777777" w:rsidR="00750AE0" w:rsidRPr="00392B10" w:rsidRDefault="00750AE0" w:rsidP="00750AE0">
            <w:pPr>
              <w:pStyle w:val="COMTabletext"/>
              <w:keepLines/>
              <w:jc w:val="center"/>
            </w:pPr>
            <w:r w:rsidRPr="00392B10">
              <w:t>0.926</w:t>
            </w:r>
          </w:p>
        </w:tc>
        <w:tc>
          <w:tcPr>
            <w:tcW w:w="719" w:type="pct"/>
          </w:tcPr>
          <w:p w14:paraId="4BEAD549" w14:textId="3CC7F2CF" w:rsidR="00750AE0" w:rsidRPr="00207D60" w:rsidRDefault="00EA163B" w:rsidP="00750AE0">
            <w:pPr>
              <w:pStyle w:val="COMTabletext"/>
              <w:keepLines/>
              <w:jc w:val="center"/>
              <w:rPr>
                <w:highlight w:val="darkGray"/>
              </w:rPr>
            </w:pPr>
            <w:r w:rsidRPr="00EA163B">
              <w:rPr>
                <w:color w:val="000000"/>
                <w:shd w:val="solid" w:color="000000" w:fill="000000"/>
                <w14:textFill>
                  <w14:solidFill>
                    <w14:srgbClr w14:val="000000">
                      <w14:alpha w14:val="100000"/>
                    </w14:srgbClr>
                  </w14:solidFill>
                </w14:textFill>
              </w:rPr>
              <w:t>|</w:t>
            </w:r>
            <w:r w:rsidR="00591AC0">
              <w:rPr>
                <w:b/>
                <w:bCs w:val="0"/>
                <w:vertAlign w:val="superscript"/>
              </w:rPr>
              <w:t>3</w:t>
            </w:r>
          </w:p>
        </w:tc>
        <w:tc>
          <w:tcPr>
            <w:tcW w:w="717" w:type="pct"/>
          </w:tcPr>
          <w:p w14:paraId="0B052AB0" w14:textId="77777777" w:rsidR="00750AE0" w:rsidRPr="00392B10" w:rsidRDefault="00750AE0" w:rsidP="00750AE0">
            <w:pPr>
              <w:pStyle w:val="COMTabletext"/>
              <w:keepLines/>
              <w:jc w:val="center"/>
            </w:pPr>
            <w:r w:rsidRPr="00392B10">
              <w:t>1%</w:t>
            </w:r>
          </w:p>
        </w:tc>
      </w:tr>
      <w:tr w:rsidR="00750AE0" w:rsidRPr="00392B10" w14:paraId="20310BA6" w14:textId="77777777" w:rsidTr="00EA163B">
        <w:tc>
          <w:tcPr>
            <w:tcW w:w="2127" w:type="pct"/>
          </w:tcPr>
          <w:p w14:paraId="1310CB18" w14:textId="77777777" w:rsidR="00750AE0" w:rsidRPr="00392B10" w:rsidRDefault="00750AE0" w:rsidP="00750AE0">
            <w:pPr>
              <w:pStyle w:val="COMTabletext"/>
              <w:keepLines/>
            </w:pPr>
            <w:r w:rsidRPr="00392B10">
              <w:t>Post-event utility: 0.57</w:t>
            </w:r>
          </w:p>
        </w:tc>
        <w:tc>
          <w:tcPr>
            <w:tcW w:w="731" w:type="pct"/>
            <w:tcBorders>
              <w:bottom w:val="single" w:sz="4" w:space="0" w:color="auto"/>
            </w:tcBorders>
            <w:shd w:val="solid" w:color="000000" w:fill="000000"/>
          </w:tcPr>
          <w:p w14:paraId="064C2293" w14:textId="4D6A1D59" w:rsidR="00750AE0" w:rsidRPr="00207D60" w:rsidRDefault="00EA163B" w:rsidP="00750AE0">
            <w:pPr>
              <w:pStyle w:val="COMTabletext"/>
              <w:keepLines/>
              <w:jc w:val="center"/>
              <w:rPr>
                <w:highlight w:val="darkGray"/>
              </w:rPr>
            </w:pPr>
            <w:r w:rsidRPr="00EA163B">
              <w:rPr>
                <w:color w:val="000000"/>
                <w14:textFill>
                  <w14:solidFill>
                    <w14:srgbClr w14:val="000000">
                      <w14:alpha w14:val="100000"/>
                    </w14:srgbClr>
                  </w14:solidFill>
                </w14:textFill>
              </w:rPr>
              <w:t>|</w:t>
            </w:r>
          </w:p>
        </w:tc>
        <w:tc>
          <w:tcPr>
            <w:tcW w:w="706" w:type="pct"/>
          </w:tcPr>
          <w:p w14:paraId="31D7267D" w14:textId="77777777" w:rsidR="00750AE0" w:rsidRPr="00392B10" w:rsidRDefault="00750AE0" w:rsidP="00750AE0">
            <w:pPr>
              <w:pStyle w:val="COMTabletext"/>
              <w:keepLines/>
              <w:jc w:val="center"/>
            </w:pPr>
            <w:r w:rsidRPr="00392B10">
              <w:t>0.940</w:t>
            </w:r>
          </w:p>
        </w:tc>
        <w:tc>
          <w:tcPr>
            <w:tcW w:w="719" w:type="pct"/>
          </w:tcPr>
          <w:p w14:paraId="25EC4F05" w14:textId="519711E2" w:rsidR="00750AE0" w:rsidRPr="00207D60" w:rsidRDefault="00EA163B" w:rsidP="00750AE0">
            <w:pPr>
              <w:pStyle w:val="COMTabletext"/>
              <w:keepLines/>
              <w:jc w:val="center"/>
              <w:rPr>
                <w:highlight w:val="darkGray"/>
              </w:rPr>
            </w:pPr>
            <w:r w:rsidRPr="00EA163B">
              <w:rPr>
                <w:color w:val="000000"/>
                <w:shd w:val="solid" w:color="000000" w:fill="000000"/>
                <w14:textFill>
                  <w14:solidFill>
                    <w14:srgbClr w14:val="000000">
                      <w14:alpha w14:val="100000"/>
                    </w14:srgbClr>
                  </w14:solidFill>
                </w14:textFill>
              </w:rPr>
              <w:t>|</w:t>
            </w:r>
            <w:r w:rsidR="00591AC0">
              <w:rPr>
                <w:b/>
                <w:bCs w:val="0"/>
                <w:vertAlign w:val="superscript"/>
              </w:rPr>
              <w:t>3</w:t>
            </w:r>
          </w:p>
        </w:tc>
        <w:tc>
          <w:tcPr>
            <w:tcW w:w="717" w:type="pct"/>
          </w:tcPr>
          <w:p w14:paraId="75A042D6" w14:textId="77777777" w:rsidR="00750AE0" w:rsidRPr="00392B10" w:rsidRDefault="00750AE0" w:rsidP="00750AE0">
            <w:pPr>
              <w:pStyle w:val="COMTabletext"/>
              <w:keepLines/>
              <w:jc w:val="center"/>
            </w:pPr>
            <w:r w:rsidRPr="00392B10">
              <w:t>-1%</w:t>
            </w:r>
          </w:p>
        </w:tc>
      </w:tr>
      <w:tr w:rsidR="00750AE0" w:rsidRPr="00392B10" w14:paraId="131F152C" w14:textId="77777777" w:rsidTr="00EA163B">
        <w:tc>
          <w:tcPr>
            <w:tcW w:w="2127" w:type="pct"/>
          </w:tcPr>
          <w:p w14:paraId="1498952E" w14:textId="77777777" w:rsidR="00750AE0" w:rsidRPr="00392B10" w:rsidRDefault="00750AE0" w:rsidP="00750AE0">
            <w:pPr>
              <w:pStyle w:val="COMTabletext"/>
              <w:keepLines/>
            </w:pPr>
            <w:r w:rsidRPr="00392B10">
              <w:t>Alive beyond 3 years: 0.70</w:t>
            </w:r>
          </w:p>
        </w:tc>
        <w:tc>
          <w:tcPr>
            <w:tcW w:w="731" w:type="pct"/>
            <w:tcBorders>
              <w:bottom w:val="single" w:sz="4" w:space="0" w:color="auto"/>
            </w:tcBorders>
            <w:shd w:val="solid" w:color="000000" w:fill="000000"/>
          </w:tcPr>
          <w:p w14:paraId="3C9FD031" w14:textId="028352EB" w:rsidR="00750AE0" w:rsidRPr="007A1383" w:rsidRDefault="00EA163B" w:rsidP="00750AE0">
            <w:pPr>
              <w:pStyle w:val="COMTabletext"/>
              <w:keepLines/>
              <w:jc w:val="center"/>
              <w:rPr>
                <w:highlight w:val="darkGray"/>
              </w:rPr>
            </w:pPr>
            <w:r w:rsidRPr="00EA163B">
              <w:rPr>
                <w:color w:val="000000"/>
                <w14:textFill>
                  <w14:solidFill>
                    <w14:srgbClr w14:val="000000">
                      <w14:alpha w14:val="100000"/>
                    </w14:srgbClr>
                  </w14:solidFill>
                </w14:textFill>
              </w:rPr>
              <w:t>|</w:t>
            </w:r>
          </w:p>
        </w:tc>
        <w:tc>
          <w:tcPr>
            <w:tcW w:w="706" w:type="pct"/>
          </w:tcPr>
          <w:p w14:paraId="5A02B068" w14:textId="77777777" w:rsidR="00750AE0" w:rsidRPr="00392B10" w:rsidRDefault="00750AE0" w:rsidP="00750AE0">
            <w:pPr>
              <w:pStyle w:val="COMTabletext"/>
              <w:keepLines/>
              <w:jc w:val="center"/>
            </w:pPr>
            <w:r w:rsidRPr="00392B10">
              <w:t>0.839</w:t>
            </w:r>
          </w:p>
        </w:tc>
        <w:tc>
          <w:tcPr>
            <w:tcW w:w="719" w:type="pct"/>
          </w:tcPr>
          <w:p w14:paraId="34365FFF" w14:textId="21AC96BF" w:rsidR="00750AE0" w:rsidRPr="007A1383" w:rsidRDefault="00EA163B" w:rsidP="00750AE0">
            <w:pPr>
              <w:pStyle w:val="COMTabletext"/>
              <w:keepLines/>
              <w:jc w:val="center"/>
              <w:rPr>
                <w:highlight w:val="darkGray"/>
              </w:rPr>
            </w:pPr>
            <w:r w:rsidRPr="00EA163B">
              <w:rPr>
                <w:color w:val="000000"/>
                <w:shd w:val="solid" w:color="000000" w:fill="000000"/>
                <w14:textFill>
                  <w14:solidFill>
                    <w14:srgbClr w14:val="000000">
                      <w14:alpha w14:val="100000"/>
                    </w14:srgbClr>
                  </w14:solidFill>
                </w14:textFill>
              </w:rPr>
              <w:t>|</w:t>
            </w:r>
            <w:r w:rsidR="002E17B0" w:rsidRPr="00016A4F">
              <w:rPr>
                <w:vertAlign w:val="superscript"/>
              </w:rPr>
              <w:t>1</w:t>
            </w:r>
          </w:p>
        </w:tc>
        <w:tc>
          <w:tcPr>
            <w:tcW w:w="717" w:type="pct"/>
          </w:tcPr>
          <w:p w14:paraId="250D87CA" w14:textId="77777777" w:rsidR="00750AE0" w:rsidRPr="00392B10" w:rsidRDefault="00750AE0" w:rsidP="00750AE0">
            <w:pPr>
              <w:pStyle w:val="COMTabletext"/>
              <w:keepLines/>
              <w:jc w:val="center"/>
            </w:pPr>
            <w:r w:rsidRPr="00392B10">
              <w:t>11%</w:t>
            </w:r>
          </w:p>
        </w:tc>
      </w:tr>
      <w:tr w:rsidR="00750AE0" w:rsidRPr="00392B10" w14:paraId="0C48F64E" w14:textId="77777777" w:rsidTr="00EA163B">
        <w:tc>
          <w:tcPr>
            <w:tcW w:w="2127" w:type="pct"/>
          </w:tcPr>
          <w:p w14:paraId="2A7BE2B9" w14:textId="77777777" w:rsidR="00750AE0" w:rsidRPr="00392B10" w:rsidRDefault="00750AE0" w:rsidP="00750AE0">
            <w:pPr>
              <w:pStyle w:val="COMTabletext"/>
              <w:keepLines/>
            </w:pPr>
            <w:r w:rsidRPr="00392B10">
              <w:t>Alive beyond 3 years: 0.75</w:t>
            </w:r>
          </w:p>
        </w:tc>
        <w:tc>
          <w:tcPr>
            <w:tcW w:w="731" w:type="pct"/>
            <w:shd w:val="solid" w:color="000000" w:fill="000000"/>
          </w:tcPr>
          <w:p w14:paraId="6DB58D59" w14:textId="4848D116" w:rsidR="00750AE0" w:rsidRPr="00207D60" w:rsidRDefault="00EA163B" w:rsidP="00750AE0">
            <w:pPr>
              <w:pStyle w:val="COMTabletext"/>
              <w:keepLines/>
              <w:jc w:val="center"/>
              <w:rPr>
                <w:highlight w:val="darkGray"/>
              </w:rPr>
            </w:pPr>
            <w:r w:rsidRPr="00EA163B">
              <w:rPr>
                <w:color w:val="000000"/>
                <w14:textFill>
                  <w14:solidFill>
                    <w14:srgbClr w14:val="000000">
                      <w14:alpha w14:val="100000"/>
                    </w14:srgbClr>
                  </w14:solidFill>
                </w14:textFill>
              </w:rPr>
              <w:t>|</w:t>
            </w:r>
          </w:p>
        </w:tc>
        <w:tc>
          <w:tcPr>
            <w:tcW w:w="706" w:type="pct"/>
          </w:tcPr>
          <w:p w14:paraId="68FC8DBC" w14:textId="77777777" w:rsidR="00750AE0" w:rsidRPr="00392B10" w:rsidRDefault="00750AE0" w:rsidP="00750AE0">
            <w:pPr>
              <w:pStyle w:val="COMTabletext"/>
              <w:keepLines/>
              <w:jc w:val="center"/>
            </w:pPr>
            <w:r w:rsidRPr="00392B10">
              <w:t>0.886</w:t>
            </w:r>
          </w:p>
        </w:tc>
        <w:tc>
          <w:tcPr>
            <w:tcW w:w="719" w:type="pct"/>
          </w:tcPr>
          <w:p w14:paraId="3BD64F9F" w14:textId="1D2398AF" w:rsidR="00750AE0" w:rsidRPr="00207D60" w:rsidRDefault="00EA163B" w:rsidP="00750AE0">
            <w:pPr>
              <w:pStyle w:val="COMTabletext"/>
              <w:keepLines/>
              <w:jc w:val="center"/>
              <w:rPr>
                <w:highlight w:val="darkGray"/>
              </w:rPr>
            </w:pPr>
            <w:r w:rsidRPr="00EA163B">
              <w:rPr>
                <w:color w:val="000000"/>
                <w:shd w:val="solid" w:color="000000" w:fill="000000"/>
                <w14:textFill>
                  <w14:solidFill>
                    <w14:srgbClr w14:val="000000">
                      <w14:alpha w14:val="100000"/>
                    </w14:srgbClr>
                  </w14:solidFill>
                </w14:textFill>
              </w:rPr>
              <w:t>|</w:t>
            </w:r>
            <w:r w:rsidR="00591AC0">
              <w:rPr>
                <w:b/>
                <w:bCs w:val="0"/>
                <w:vertAlign w:val="superscript"/>
              </w:rPr>
              <w:t>3</w:t>
            </w:r>
          </w:p>
        </w:tc>
        <w:tc>
          <w:tcPr>
            <w:tcW w:w="717" w:type="pct"/>
          </w:tcPr>
          <w:p w14:paraId="27B956F0" w14:textId="77777777" w:rsidR="00750AE0" w:rsidRPr="00392B10" w:rsidRDefault="00750AE0" w:rsidP="00750AE0">
            <w:pPr>
              <w:pStyle w:val="COMTabletext"/>
              <w:keepLines/>
              <w:jc w:val="center"/>
            </w:pPr>
            <w:r w:rsidRPr="00392B10">
              <w:t>5%</w:t>
            </w:r>
          </w:p>
        </w:tc>
      </w:tr>
      <w:tr w:rsidR="00750AE0" w:rsidRPr="00392B10" w14:paraId="1DBE0474" w14:textId="77777777" w:rsidTr="003B634A">
        <w:tc>
          <w:tcPr>
            <w:tcW w:w="5000" w:type="pct"/>
            <w:gridSpan w:val="5"/>
            <w:vAlign w:val="center"/>
          </w:tcPr>
          <w:p w14:paraId="661DBBE4" w14:textId="77777777" w:rsidR="00750AE0" w:rsidRPr="000366BF" w:rsidRDefault="00750AE0" w:rsidP="00750AE0">
            <w:pPr>
              <w:pStyle w:val="COMTableheadingrow"/>
              <w:keepLines/>
              <w:rPr>
                <w:lang w:val="en-AU"/>
              </w:rPr>
            </w:pPr>
            <w:r w:rsidRPr="000366BF">
              <w:rPr>
                <w:lang w:val="en-AU"/>
              </w:rPr>
              <w:t>HSCT costs (base case: included)</w:t>
            </w:r>
          </w:p>
        </w:tc>
      </w:tr>
      <w:tr w:rsidR="00750AE0" w:rsidRPr="00392B10" w14:paraId="7759E6B1" w14:textId="77777777" w:rsidTr="00EA163B">
        <w:tc>
          <w:tcPr>
            <w:tcW w:w="2127" w:type="pct"/>
          </w:tcPr>
          <w:p w14:paraId="1DBD9BD4" w14:textId="77777777" w:rsidR="00750AE0" w:rsidRPr="00392B10" w:rsidRDefault="00750AE0" w:rsidP="00750AE0">
            <w:pPr>
              <w:pStyle w:val="COMTabletext"/>
              <w:keepLines/>
            </w:pPr>
            <w:r w:rsidRPr="00392B10">
              <w:t>HSCT costs removed</w:t>
            </w:r>
          </w:p>
        </w:tc>
        <w:tc>
          <w:tcPr>
            <w:tcW w:w="731" w:type="pct"/>
            <w:tcBorders>
              <w:bottom w:val="single" w:sz="4" w:space="0" w:color="auto"/>
            </w:tcBorders>
            <w:shd w:val="solid" w:color="000000" w:fill="000000"/>
          </w:tcPr>
          <w:p w14:paraId="0E0FC4A6" w14:textId="09D6C2F4" w:rsidR="00750AE0" w:rsidRPr="00207D60" w:rsidRDefault="00EA163B" w:rsidP="00750AE0">
            <w:pPr>
              <w:pStyle w:val="COMTabletext"/>
              <w:keepLines/>
              <w:jc w:val="center"/>
              <w:rPr>
                <w:highlight w:val="darkGray"/>
              </w:rPr>
            </w:pPr>
            <w:r w:rsidRPr="00EA163B">
              <w:rPr>
                <w:color w:val="000000"/>
                <w14:textFill>
                  <w14:solidFill>
                    <w14:srgbClr w14:val="000000">
                      <w14:alpha w14:val="100000"/>
                    </w14:srgbClr>
                  </w14:solidFill>
                </w14:textFill>
              </w:rPr>
              <w:t>|</w:t>
            </w:r>
          </w:p>
        </w:tc>
        <w:tc>
          <w:tcPr>
            <w:tcW w:w="706" w:type="pct"/>
          </w:tcPr>
          <w:p w14:paraId="0DF7C35D" w14:textId="77777777" w:rsidR="00750AE0" w:rsidRPr="00392B10" w:rsidRDefault="00750AE0" w:rsidP="00750AE0">
            <w:pPr>
              <w:pStyle w:val="COMTabletext"/>
              <w:keepLines/>
              <w:jc w:val="center"/>
            </w:pPr>
            <w:r w:rsidRPr="00392B10">
              <w:t>0.933</w:t>
            </w:r>
          </w:p>
        </w:tc>
        <w:tc>
          <w:tcPr>
            <w:tcW w:w="719" w:type="pct"/>
          </w:tcPr>
          <w:p w14:paraId="750E7CF5" w14:textId="51B47366" w:rsidR="00750AE0" w:rsidRPr="00207D60" w:rsidRDefault="00EA163B" w:rsidP="00750AE0">
            <w:pPr>
              <w:pStyle w:val="COMTabletext"/>
              <w:keepLines/>
              <w:jc w:val="center"/>
              <w:rPr>
                <w:highlight w:val="darkGray"/>
              </w:rPr>
            </w:pPr>
            <w:r w:rsidRPr="00EA163B">
              <w:rPr>
                <w:color w:val="000000"/>
                <w:shd w:val="solid" w:color="000000" w:fill="000000"/>
                <w14:textFill>
                  <w14:solidFill>
                    <w14:srgbClr w14:val="000000">
                      <w14:alpha w14:val="100000"/>
                    </w14:srgbClr>
                  </w14:solidFill>
                </w14:textFill>
              </w:rPr>
              <w:t>|</w:t>
            </w:r>
            <w:r w:rsidR="00591AC0">
              <w:rPr>
                <w:b/>
                <w:bCs w:val="0"/>
                <w:vertAlign w:val="superscript"/>
              </w:rPr>
              <w:t>3</w:t>
            </w:r>
          </w:p>
        </w:tc>
        <w:tc>
          <w:tcPr>
            <w:tcW w:w="717" w:type="pct"/>
          </w:tcPr>
          <w:p w14:paraId="47DCA95B" w14:textId="77777777" w:rsidR="00750AE0" w:rsidRPr="00392B10" w:rsidRDefault="00750AE0" w:rsidP="00750AE0">
            <w:pPr>
              <w:pStyle w:val="COMTabletext"/>
              <w:keepLines/>
              <w:jc w:val="center"/>
            </w:pPr>
            <w:r w:rsidRPr="00392B10">
              <w:t>-13%</w:t>
            </w:r>
          </w:p>
        </w:tc>
      </w:tr>
      <w:tr w:rsidR="00750AE0" w:rsidRPr="00392B10" w14:paraId="53CDEC84" w14:textId="77777777" w:rsidTr="00EA163B">
        <w:tc>
          <w:tcPr>
            <w:tcW w:w="2127" w:type="pct"/>
          </w:tcPr>
          <w:p w14:paraId="4EF3FDF3" w14:textId="77777777" w:rsidR="00750AE0" w:rsidRPr="00392B10" w:rsidRDefault="00750AE0" w:rsidP="00750AE0">
            <w:pPr>
              <w:pStyle w:val="COMTabletext"/>
              <w:keepLines/>
            </w:pPr>
            <w:r w:rsidRPr="00392B10">
              <w:t>HSCT costs increased by 50%</w:t>
            </w:r>
          </w:p>
        </w:tc>
        <w:tc>
          <w:tcPr>
            <w:tcW w:w="731" w:type="pct"/>
            <w:shd w:val="solid" w:color="000000" w:fill="000000"/>
          </w:tcPr>
          <w:p w14:paraId="0162319E" w14:textId="4ACD17DF" w:rsidR="00750AE0" w:rsidRPr="00207D60" w:rsidRDefault="00EA163B" w:rsidP="00750AE0">
            <w:pPr>
              <w:pStyle w:val="COMTabletext"/>
              <w:keepLines/>
              <w:jc w:val="center"/>
              <w:rPr>
                <w:highlight w:val="darkGray"/>
              </w:rPr>
            </w:pPr>
            <w:r w:rsidRPr="00EA163B">
              <w:rPr>
                <w:color w:val="000000"/>
                <w14:textFill>
                  <w14:solidFill>
                    <w14:srgbClr w14:val="000000">
                      <w14:alpha w14:val="100000"/>
                    </w14:srgbClr>
                  </w14:solidFill>
                </w14:textFill>
              </w:rPr>
              <w:t>|</w:t>
            </w:r>
          </w:p>
        </w:tc>
        <w:tc>
          <w:tcPr>
            <w:tcW w:w="706" w:type="pct"/>
          </w:tcPr>
          <w:p w14:paraId="2F1621D0" w14:textId="77777777" w:rsidR="00750AE0" w:rsidRPr="00392B10" w:rsidRDefault="00750AE0" w:rsidP="00750AE0">
            <w:pPr>
              <w:pStyle w:val="COMTabletext"/>
              <w:keepLines/>
              <w:jc w:val="center"/>
            </w:pPr>
            <w:r w:rsidRPr="00392B10">
              <w:t>0.933</w:t>
            </w:r>
          </w:p>
        </w:tc>
        <w:tc>
          <w:tcPr>
            <w:tcW w:w="719" w:type="pct"/>
          </w:tcPr>
          <w:p w14:paraId="7F1BF0DE" w14:textId="5EE7C461" w:rsidR="00750AE0" w:rsidRPr="00207D60" w:rsidRDefault="00EA163B" w:rsidP="00750AE0">
            <w:pPr>
              <w:pStyle w:val="COMTabletext"/>
              <w:keepLines/>
              <w:jc w:val="center"/>
              <w:rPr>
                <w:highlight w:val="darkGray"/>
              </w:rPr>
            </w:pPr>
            <w:r w:rsidRPr="00EA163B">
              <w:rPr>
                <w:color w:val="000000"/>
                <w:shd w:val="solid" w:color="000000" w:fill="000000"/>
                <w14:textFill>
                  <w14:solidFill>
                    <w14:srgbClr w14:val="000000">
                      <w14:alpha w14:val="100000"/>
                    </w14:srgbClr>
                  </w14:solidFill>
                </w14:textFill>
              </w:rPr>
              <w:t>|</w:t>
            </w:r>
            <w:r w:rsidR="00591AC0">
              <w:rPr>
                <w:b/>
                <w:bCs w:val="0"/>
                <w:vertAlign w:val="superscript"/>
              </w:rPr>
              <w:t>3</w:t>
            </w:r>
          </w:p>
        </w:tc>
        <w:tc>
          <w:tcPr>
            <w:tcW w:w="717" w:type="pct"/>
          </w:tcPr>
          <w:p w14:paraId="6DF464DA" w14:textId="77777777" w:rsidR="00750AE0" w:rsidRPr="00392B10" w:rsidRDefault="00750AE0" w:rsidP="00750AE0">
            <w:pPr>
              <w:pStyle w:val="COMTabletext"/>
              <w:keepLines/>
              <w:jc w:val="center"/>
            </w:pPr>
            <w:r w:rsidRPr="00392B10">
              <w:t>6%</w:t>
            </w:r>
          </w:p>
        </w:tc>
      </w:tr>
      <w:tr w:rsidR="00750AE0" w:rsidRPr="00392B10" w14:paraId="35ED0562" w14:textId="77777777" w:rsidTr="003B634A">
        <w:tc>
          <w:tcPr>
            <w:tcW w:w="5000" w:type="pct"/>
            <w:gridSpan w:val="5"/>
          </w:tcPr>
          <w:p w14:paraId="1DF75E65" w14:textId="77777777" w:rsidR="00750AE0" w:rsidRPr="00392B10" w:rsidRDefault="00750AE0" w:rsidP="00750AE0">
            <w:pPr>
              <w:pStyle w:val="COMTabletext"/>
              <w:keepLines/>
              <w:rPr>
                <w:b/>
                <w:bCs w:val="0"/>
              </w:rPr>
            </w:pPr>
            <w:r w:rsidRPr="00392B10">
              <w:rPr>
                <w:b/>
                <w:bCs w:val="0"/>
              </w:rPr>
              <w:t>Hospitalisation costs (base case: total cost LDC $74,813.95; total cost IC $62,487.61)</w:t>
            </w:r>
          </w:p>
        </w:tc>
      </w:tr>
      <w:tr w:rsidR="00750AE0" w:rsidRPr="00392B10" w14:paraId="662FAB2F" w14:textId="77777777" w:rsidTr="00EA163B">
        <w:tc>
          <w:tcPr>
            <w:tcW w:w="2127" w:type="pct"/>
          </w:tcPr>
          <w:p w14:paraId="60F45F62" w14:textId="77777777" w:rsidR="00750AE0" w:rsidRPr="00392B10" w:rsidRDefault="00750AE0" w:rsidP="00750AE0">
            <w:pPr>
              <w:pStyle w:val="COMTabletext"/>
              <w:keepLines/>
            </w:pPr>
            <w:r w:rsidRPr="00392B10">
              <w:t>Increased by 50%</w:t>
            </w:r>
          </w:p>
        </w:tc>
        <w:tc>
          <w:tcPr>
            <w:tcW w:w="731" w:type="pct"/>
            <w:shd w:val="solid" w:color="000000" w:fill="000000"/>
          </w:tcPr>
          <w:p w14:paraId="19FC2A31" w14:textId="37C68BDE" w:rsidR="00750AE0" w:rsidRPr="00392B10" w:rsidRDefault="00EA163B" w:rsidP="00750AE0">
            <w:pPr>
              <w:pStyle w:val="COMTabletext"/>
              <w:keepLines/>
              <w:jc w:val="center"/>
            </w:pPr>
            <w:r w:rsidRPr="00EA163B">
              <w:rPr>
                <w:color w:val="000000"/>
                <w14:textFill>
                  <w14:solidFill>
                    <w14:srgbClr w14:val="000000">
                      <w14:alpha w14:val="100000"/>
                    </w14:srgbClr>
                  </w14:solidFill>
                </w14:textFill>
              </w:rPr>
              <w:t>|</w:t>
            </w:r>
          </w:p>
        </w:tc>
        <w:tc>
          <w:tcPr>
            <w:tcW w:w="706" w:type="pct"/>
          </w:tcPr>
          <w:p w14:paraId="79EB4961" w14:textId="77777777" w:rsidR="00750AE0" w:rsidRPr="00392B10" w:rsidRDefault="00750AE0" w:rsidP="00750AE0">
            <w:pPr>
              <w:pStyle w:val="COMTabletext"/>
              <w:keepLines/>
              <w:jc w:val="center"/>
            </w:pPr>
            <w:r w:rsidRPr="00392B10">
              <w:t>0.933</w:t>
            </w:r>
          </w:p>
        </w:tc>
        <w:tc>
          <w:tcPr>
            <w:tcW w:w="719" w:type="pct"/>
          </w:tcPr>
          <w:p w14:paraId="526AF530" w14:textId="14A1B9DA" w:rsidR="00750AE0" w:rsidRPr="00392B10" w:rsidRDefault="00EA163B" w:rsidP="00750AE0">
            <w:pPr>
              <w:pStyle w:val="COMTabletext"/>
              <w:keepLines/>
              <w:jc w:val="center"/>
            </w:pPr>
            <w:r w:rsidRPr="00EA163B">
              <w:rPr>
                <w:color w:val="000000"/>
                <w:shd w:val="solid" w:color="000000" w:fill="000000"/>
                <w14:textFill>
                  <w14:solidFill>
                    <w14:srgbClr w14:val="000000">
                      <w14:alpha w14:val="100000"/>
                    </w14:srgbClr>
                  </w14:solidFill>
                </w14:textFill>
              </w:rPr>
              <w:t>|</w:t>
            </w:r>
            <w:r w:rsidR="002E17B0" w:rsidRPr="00016A4F">
              <w:rPr>
                <w:vertAlign w:val="superscript"/>
              </w:rPr>
              <w:t>1</w:t>
            </w:r>
          </w:p>
        </w:tc>
        <w:tc>
          <w:tcPr>
            <w:tcW w:w="717" w:type="pct"/>
          </w:tcPr>
          <w:p w14:paraId="6C4D2274" w14:textId="77777777" w:rsidR="00750AE0" w:rsidRPr="00392B10" w:rsidRDefault="00750AE0" w:rsidP="00750AE0">
            <w:pPr>
              <w:pStyle w:val="COMTabletext"/>
              <w:keepLines/>
              <w:jc w:val="center"/>
            </w:pPr>
            <w:r w:rsidRPr="00392B10">
              <w:t>7%</w:t>
            </w:r>
          </w:p>
        </w:tc>
      </w:tr>
      <w:tr w:rsidR="00750AE0" w:rsidRPr="00392B10" w14:paraId="680D6CBF" w14:textId="77777777" w:rsidTr="003B634A">
        <w:tc>
          <w:tcPr>
            <w:tcW w:w="5000" w:type="pct"/>
            <w:gridSpan w:val="5"/>
          </w:tcPr>
          <w:p w14:paraId="4DC70B68" w14:textId="31578234" w:rsidR="00750AE0" w:rsidRPr="00392B10" w:rsidRDefault="00750AE0" w:rsidP="00750AE0">
            <w:pPr>
              <w:pStyle w:val="COMTabletext"/>
              <w:keepLines/>
              <w:rPr>
                <w:b/>
                <w:bCs w:val="0"/>
                <w:vertAlign w:val="superscript"/>
              </w:rPr>
            </w:pPr>
            <w:r w:rsidRPr="00392B10">
              <w:rPr>
                <w:b/>
                <w:bCs w:val="0"/>
              </w:rPr>
              <w:t>Proportion receiving HSCT (base case: LDC 34%; IC 25%)</w:t>
            </w:r>
            <w:r w:rsidR="002E17B0">
              <w:rPr>
                <w:b/>
                <w:bCs w:val="0"/>
                <w:vertAlign w:val="superscript"/>
              </w:rPr>
              <w:t>a</w:t>
            </w:r>
          </w:p>
        </w:tc>
      </w:tr>
      <w:tr w:rsidR="00750AE0" w:rsidRPr="00392B10" w14:paraId="669841E9" w14:textId="77777777" w:rsidTr="00EA163B">
        <w:tc>
          <w:tcPr>
            <w:tcW w:w="2127" w:type="pct"/>
          </w:tcPr>
          <w:p w14:paraId="6611BEAA" w14:textId="77777777" w:rsidR="00750AE0" w:rsidRPr="00392B10" w:rsidRDefault="00750AE0" w:rsidP="003B634A">
            <w:pPr>
              <w:pStyle w:val="COMTabletext"/>
              <w:keepNext w:val="0"/>
            </w:pPr>
            <w:r w:rsidRPr="00392B10">
              <w:t>LDC 39% IC 25%</w:t>
            </w:r>
          </w:p>
        </w:tc>
        <w:tc>
          <w:tcPr>
            <w:tcW w:w="731" w:type="pct"/>
            <w:shd w:val="solid" w:color="000000" w:fill="000000"/>
          </w:tcPr>
          <w:p w14:paraId="51CC7372" w14:textId="4EA12C5B" w:rsidR="00750AE0" w:rsidRPr="00392B10" w:rsidRDefault="00EA163B" w:rsidP="003B634A">
            <w:pPr>
              <w:pStyle w:val="COMTabletext"/>
              <w:keepNext w:val="0"/>
              <w:jc w:val="center"/>
            </w:pPr>
            <w:r w:rsidRPr="00EA163B">
              <w:rPr>
                <w:color w:val="000000"/>
                <w14:textFill>
                  <w14:solidFill>
                    <w14:srgbClr w14:val="000000">
                      <w14:alpha w14:val="100000"/>
                    </w14:srgbClr>
                  </w14:solidFill>
                </w14:textFill>
              </w:rPr>
              <w:t>|</w:t>
            </w:r>
          </w:p>
        </w:tc>
        <w:tc>
          <w:tcPr>
            <w:tcW w:w="706" w:type="pct"/>
          </w:tcPr>
          <w:p w14:paraId="2B75C7A3" w14:textId="77777777" w:rsidR="00750AE0" w:rsidRPr="00392B10" w:rsidRDefault="00750AE0" w:rsidP="003B634A">
            <w:pPr>
              <w:pStyle w:val="COMTabletext"/>
              <w:keepNext w:val="0"/>
              <w:jc w:val="center"/>
            </w:pPr>
            <w:r w:rsidRPr="00392B10">
              <w:t>0.933</w:t>
            </w:r>
          </w:p>
        </w:tc>
        <w:tc>
          <w:tcPr>
            <w:tcW w:w="719" w:type="pct"/>
          </w:tcPr>
          <w:p w14:paraId="60788F48" w14:textId="43ACFA28" w:rsidR="00750AE0" w:rsidRPr="00392B10" w:rsidRDefault="00EA163B" w:rsidP="003B634A">
            <w:pPr>
              <w:pStyle w:val="COMTabletext"/>
              <w:keepNext w:val="0"/>
              <w:jc w:val="center"/>
            </w:pPr>
            <w:r w:rsidRPr="00EA163B">
              <w:rPr>
                <w:color w:val="000000"/>
                <w:shd w:val="solid" w:color="000000" w:fill="000000"/>
                <w14:textFill>
                  <w14:solidFill>
                    <w14:srgbClr w14:val="000000">
                      <w14:alpha w14:val="100000"/>
                    </w14:srgbClr>
                  </w14:solidFill>
                </w14:textFill>
              </w:rPr>
              <w:t>|</w:t>
            </w:r>
            <w:r w:rsidR="002E17B0" w:rsidRPr="00016A4F">
              <w:rPr>
                <w:vertAlign w:val="superscript"/>
              </w:rPr>
              <w:t>1</w:t>
            </w:r>
          </w:p>
        </w:tc>
        <w:tc>
          <w:tcPr>
            <w:tcW w:w="717" w:type="pct"/>
          </w:tcPr>
          <w:p w14:paraId="0C1D998C" w14:textId="77777777" w:rsidR="00750AE0" w:rsidRPr="00392B10" w:rsidRDefault="00750AE0" w:rsidP="003B634A">
            <w:pPr>
              <w:pStyle w:val="COMTabletext"/>
              <w:keepNext w:val="0"/>
              <w:jc w:val="center"/>
            </w:pPr>
            <w:r w:rsidRPr="00392B10">
              <w:t>7%</w:t>
            </w:r>
          </w:p>
        </w:tc>
      </w:tr>
    </w:tbl>
    <w:p w14:paraId="7A256E5E" w14:textId="77777777" w:rsidR="00750AE0" w:rsidRPr="00392B10" w:rsidRDefault="00750AE0" w:rsidP="00750AE0">
      <w:pPr>
        <w:pStyle w:val="COMTablefooter"/>
      </w:pPr>
      <w:r w:rsidRPr="00392B10">
        <w:t>Source: Table 3-10, p91 of the submission</w:t>
      </w:r>
    </w:p>
    <w:p w14:paraId="09080D7A" w14:textId="0B1FE06D" w:rsidR="00750AE0" w:rsidRPr="00392B10" w:rsidRDefault="002B0CC3" w:rsidP="00750AE0">
      <w:pPr>
        <w:pStyle w:val="COMTablefooter"/>
      </w:pPr>
      <w:r w:rsidRPr="00392B10">
        <w:t xml:space="preserve">EFS = event free survival; HSCT = haematopoietic stem cell transplant; IC = idarubicin and cytarabine; ICER = incremental cost effectiveness ratio; LDC = liposomal daunorubicin and cytarabine; OS = overall survival; </w:t>
      </w:r>
      <w:r w:rsidR="00750AE0" w:rsidRPr="00392B10">
        <w:t>QALY</w:t>
      </w:r>
      <w:r w:rsidRPr="00392B10">
        <w:t xml:space="preserve"> =</w:t>
      </w:r>
      <w:r w:rsidR="00750AE0" w:rsidRPr="00392B10">
        <w:t xml:space="preserve"> quality-adjusted life year</w:t>
      </w:r>
    </w:p>
    <w:p w14:paraId="57812637" w14:textId="77113751" w:rsidR="003B47B9" w:rsidRDefault="002E17B0" w:rsidP="00750AE0">
      <w:pPr>
        <w:pStyle w:val="COMTablefooter"/>
      </w:pPr>
      <w:r>
        <w:rPr>
          <w:vertAlign w:val="superscript"/>
        </w:rPr>
        <w:t>a</w:t>
      </w:r>
      <w:r w:rsidRPr="00392B10">
        <w:t xml:space="preserve"> </w:t>
      </w:r>
      <w:r w:rsidR="00750AE0" w:rsidRPr="00392B10">
        <w:t>Due to the partitioned survival design of the model, changes to the proportions receiving of patients receiving first/second consolidation and HSCT only affected the modelled costs</w:t>
      </w:r>
    </w:p>
    <w:p w14:paraId="4169C4D5" w14:textId="77777777" w:rsidR="00591AC0" w:rsidRDefault="00591AC0" w:rsidP="00591AC0">
      <w:pPr>
        <w:pStyle w:val="COMTablefooter"/>
        <w:rPr>
          <w:i/>
          <w:szCs w:val="18"/>
        </w:rPr>
      </w:pPr>
      <w:r w:rsidRPr="009A6D58">
        <w:rPr>
          <w:i/>
          <w:szCs w:val="18"/>
        </w:rPr>
        <w:t xml:space="preserve">The redacted values correspond to the following ranges: </w:t>
      </w:r>
    </w:p>
    <w:p w14:paraId="11B0F506" w14:textId="77777777" w:rsidR="00591AC0" w:rsidRDefault="00591AC0" w:rsidP="00591AC0">
      <w:pPr>
        <w:pStyle w:val="COMTablefooter"/>
        <w:rPr>
          <w:i/>
          <w:szCs w:val="18"/>
        </w:rPr>
      </w:pPr>
      <w:r w:rsidRPr="009A6D58">
        <w:rPr>
          <w:i/>
          <w:szCs w:val="18"/>
          <w:vertAlign w:val="superscript"/>
        </w:rPr>
        <w:t>1</w:t>
      </w:r>
      <w:r>
        <w:rPr>
          <w:i/>
          <w:szCs w:val="18"/>
        </w:rPr>
        <w:t xml:space="preserve"> $95,000 to &lt; $115,000</w:t>
      </w:r>
    </w:p>
    <w:p w14:paraId="2C2036FC" w14:textId="77777777" w:rsidR="00591AC0" w:rsidRDefault="00591AC0" w:rsidP="00591AC0">
      <w:pPr>
        <w:pStyle w:val="COMTablefooter"/>
        <w:rPr>
          <w:i/>
          <w:szCs w:val="18"/>
        </w:rPr>
      </w:pPr>
      <w:r w:rsidRPr="009A6D58">
        <w:rPr>
          <w:i/>
          <w:szCs w:val="18"/>
          <w:vertAlign w:val="superscript"/>
        </w:rPr>
        <w:t>2</w:t>
      </w:r>
      <w:r>
        <w:rPr>
          <w:i/>
          <w:szCs w:val="18"/>
        </w:rPr>
        <w:t xml:space="preserve"> $55,000 to &lt; $75,000</w:t>
      </w:r>
    </w:p>
    <w:p w14:paraId="7DC8CC4B" w14:textId="77777777" w:rsidR="00591AC0" w:rsidRDefault="00591AC0" w:rsidP="00591AC0">
      <w:pPr>
        <w:pStyle w:val="COMTablefooter"/>
        <w:rPr>
          <w:i/>
          <w:szCs w:val="18"/>
        </w:rPr>
      </w:pPr>
      <w:r w:rsidRPr="009A6D58">
        <w:rPr>
          <w:i/>
          <w:szCs w:val="18"/>
          <w:vertAlign w:val="superscript"/>
        </w:rPr>
        <w:t>3</w:t>
      </w:r>
      <w:r>
        <w:rPr>
          <w:i/>
          <w:szCs w:val="18"/>
        </w:rPr>
        <w:t xml:space="preserve"> $75,000 to &lt; $95,000</w:t>
      </w:r>
    </w:p>
    <w:p w14:paraId="024C64DB" w14:textId="2CEF312D" w:rsidR="00591AC0" w:rsidRDefault="00591AC0" w:rsidP="00591AC0">
      <w:pPr>
        <w:pStyle w:val="COMTablefooter"/>
        <w:rPr>
          <w:i/>
          <w:szCs w:val="18"/>
        </w:rPr>
      </w:pPr>
      <w:r>
        <w:rPr>
          <w:i/>
          <w:szCs w:val="18"/>
          <w:vertAlign w:val="superscript"/>
        </w:rPr>
        <w:t xml:space="preserve">4 </w:t>
      </w:r>
      <w:r>
        <w:rPr>
          <w:i/>
          <w:szCs w:val="18"/>
        </w:rPr>
        <w:t>$155,000 to &lt; $255,000</w:t>
      </w:r>
    </w:p>
    <w:p w14:paraId="221248F8" w14:textId="45734B08" w:rsidR="00591AC0" w:rsidRPr="00591AC0" w:rsidRDefault="00591AC0" w:rsidP="00591AC0">
      <w:pPr>
        <w:pStyle w:val="COMTablefooter"/>
        <w:rPr>
          <w:i/>
          <w:szCs w:val="18"/>
        </w:rPr>
      </w:pPr>
      <w:r>
        <w:rPr>
          <w:i/>
          <w:szCs w:val="18"/>
          <w:vertAlign w:val="superscript"/>
        </w:rPr>
        <w:t>5</w:t>
      </w:r>
      <w:r>
        <w:rPr>
          <w:i/>
          <w:szCs w:val="18"/>
        </w:rPr>
        <w:t xml:space="preserve"> $</w:t>
      </w:r>
      <w:r w:rsidR="002E17B0">
        <w:rPr>
          <w:i/>
          <w:szCs w:val="18"/>
        </w:rPr>
        <w:t>115,000 to &lt; $135,000</w:t>
      </w:r>
    </w:p>
    <w:p w14:paraId="325B9A8C" w14:textId="77777777" w:rsidR="00591AC0" w:rsidRPr="00207D60" w:rsidRDefault="00591AC0" w:rsidP="00207D60"/>
    <w:p w14:paraId="70CBB2B5" w14:textId="41734AA2" w:rsidR="007B0E33" w:rsidRPr="00392B10" w:rsidRDefault="007B0E33" w:rsidP="007B0E33">
      <w:pPr>
        <w:pStyle w:val="COMexecsumnumberedpara"/>
      </w:pPr>
      <w:r w:rsidRPr="00392B10">
        <w:lastRenderedPageBreak/>
        <w:t xml:space="preserve">The modelled results were most sensitive to the time horizon, the choice of parametric extrapolation for overall survival, the point of extrapolation for the overall survival curve, and the disease mortality factor applied to surviving patients. Due to the partitioned survival design, changes to the proportion of patients receiving treatment (i.e., first/second consolidation, HSCT) affected the modelled costs only. Additionally, as the drug, hospitalisation and HSCT costs were assumed to be fixed and occur in the initial year, changes to survival durations in the model did not affect the modelled costs. </w:t>
      </w:r>
    </w:p>
    <w:p w14:paraId="472842D7" w14:textId="069B0962" w:rsidR="00C25D9C" w:rsidRPr="00392B10" w:rsidRDefault="00C25D9C" w:rsidP="00BB732D">
      <w:pPr>
        <w:pStyle w:val="COMH2-non-numbered"/>
      </w:pPr>
      <w:bookmarkStart w:id="57" w:name="_Toc22897646"/>
      <w:bookmarkStart w:id="58" w:name="_Toc135056607"/>
      <w:r w:rsidRPr="00392B10">
        <w:t>Drug cost/patient/course</w:t>
      </w:r>
      <w:bookmarkEnd w:id="57"/>
      <w:bookmarkEnd w:id="58"/>
    </w:p>
    <w:bookmarkStart w:id="59" w:name="_Ref104805102"/>
    <w:p w14:paraId="7AE09E88" w14:textId="1E94929B" w:rsidR="00FB2159" w:rsidRPr="00392B10" w:rsidRDefault="00FB2159" w:rsidP="00FB2159">
      <w:pPr>
        <w:pStyle w:val="COMexecsumnumberedpara"/>
      </w:pPr>
      <w:r w:rsidRPr="00392B10">
        <w:fldChar w:fldCharType="begin" w:fldLock="1"/>
      </w:r>
      <w:r w:rsidRPr="00392B10">
        <w:instrText xml:space="preserve"> REF _Ref134389009 \h </w:instrText>
      </w:r>
      <w:r w:rsidRPr="00392B10">
        <w:fldChar w:fldCharType="separate"/>
      </w:r>
      <w:r w:rsidR="00C24535" w:rsidRPr="00392B10">
        <w:t xml:space="preserve">Table </w:t>
      </w:r>
      <w:r w:rsidR="00C24535" w:rsidRPr="000366BF">
        <w:t>14</w:t>
      </w:r>
      <w:r w:rsidRPr="00392B10">
        <w:fldChar w:fldCharType="end"/>
      </w:r>
      <w:r w:rsidRPr="00392B10">
        <w:t xml:space="preserve"> presents a comparison of the drug cost</w:t>
      </w:r>
      <w:r w:rsidR="000366BF">
        <w:t xml:space="preserve"> per patient per course </w:t>
      </w:r>
      <w:r w:rsidRPr="00392B10">
        <w:t xml:space="preserve">included in the economic model and financial estimates. </w:t>
      </w:r>
    </w:p>
    <w:p w14:paraId="46450110" w14:textId="76E92F7D" w:rsidR="00F80191" w:rsidRPr="000366BF" w:rsidRDefault="00F80191" w:rsidP="008655CD">
      <w:pPr>
        <w:pStyle w:val="COMTableheadingrow"/>
        <w:keepLines/>
        <w:rPr>
          <w:lang w:val="en-AU"/>
        </w:rPr>
      </w:pPr>
      <w:bookmarkStart w:id="60" w:name="_Ref134389009"/>
      <w:r w:rsidRPr="000366BF">
        <w:rPr>
          <w:lang w:val="en-AU"/>
        </w:rPr>
        <w:t xml:space="preserve">Table </w:t>
      </w:r>
      <w:r w:rsidRPr="000366BF">
        <w:rPr>
          <w:lang w:val="en-AU"/>
        </w:rPr>
        <w:fldChar w:fldCharType="begin" w:fldLock="1"/>
      </w:r>
      <w:r w:rsidRPr="000366BF">
        <w:rPr>
          <w:lang w:val="en-AU"/>
        </w:rPr>
        <w:instrText xml:space="preserve"> SEQ Table \* ARABIC </w:instrText>
      </w:r>
      <w:r w:rsidRPr="000366BF">
        <w:rPr>
          <w:lang w:val="en-AU"/>
        </w:rPr>
        <w:fldChar w:fldCharType="separate"/>
      </w:r>
      <w:r w:rsidR="00C24535" w:rsidRPr="000366BF">
        <w:rPr>
          <w:lang w:val="en-AU"/>
        </w:rPr>
        <w:t>14</w:t>
      </w:r>
      <w:r w:rsidRPr="000366BF">
        <w:rPr>
          <w:lang w:val="en-AU"/>
        </w:rPr>
        <w:fldChar w:fldCharType="end"/>
      </w:r>
      <w:bookmarkEnd w:id="60"/>
      <w:r w:rsidRPr="000366BF">
        <w:rPr>
          <w:lang w:val="en-AU"/>
        </w:rPr>
        <w:t xml:space="preserve">: Drug cost per patient for proposed and comparator </w:t>
      </w:r>
      <w:proofErr w:type="gramStart"/>
      <w:r w:rsidRPr="000366BF">
        <w:rPr>
          <w:lang w:val="en-AU"/>
        </w:rPr>
        <w:t>drugs</w:t>
      </w:r>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9"/>
        <w:gridCol w:w="1257"/>
        <w:gridCol w:w="1255"/>
        <w:gridCol w:w="1259"/>
        <w:gridCol w:w="1255"/>
        <w:gridCol w:w="1261"/>
        <w:gridCol w:w="1261"/>
      </w:tblGrid>
      <w:tr w:rsidR="00F80191" w:rsidRPr="00392B10" w14:paraId="294CD366" w14:textId="77777777" w:rsidTr="003B634A">
        <w:trPr>
          <w:cantSplit/>
          <w:tblHeader/>
          <w:jc w:val="center"/>
        </w:trPr>
        <w:tc>
          <w:tcPr>
            <w:tcW w:w="815" w:type="pct"/>
            <w:vMerge w:val="restart"/>
            <w:shd w:val="clear" w:color="auto" w:fill="auto"/>
            <w:vAlign w:val="center"/>
          </w:tcPr>
          <w:p w14:paraId="60469383" w14:textId="77777777" w:rsidR="00F80191" w:rsidRPr="000366BF" w:rsidRDefault="00F80191" w:rsidP="008655CD">
            <w:pPr>
              <w:pStyle w:val="COMTableheadingrow"/>
              <w:keepLines/>
              <w:jc w:val="center"/>
              <w:rPr>
                <w:lang w:val="en-AU"/>
              </w:rPr>
            </w:pPr>
            <w:bookmarkStart w:id="61" w:name="_Hlk134449658"/>
            <w:bookmarkStart w:id="62" w:name="_Hlk134433880"/>
          </w:p>
        </w:tc>
        <w:tc>
          <w:tcPr>
            <w:tcW w:w="2091" w:type="pct"/>
            <w:gridSpan w:val="3"/>
            <w:shd w:val="clear" w:color="auto" w:fill="auto"/>
            <w:vAlign w:val="center"/>
          </w:tcPr>
          <w:p w14:paraId="0E95DF96" w14:textId="77777777" w:rsidR="00F80191" w:rsidRPr="000366BF" w:rsidRDefault="00F80191" w:rsidP="008655CD">
            <w:pPr>
              <w:pStyle w:val="COMTableheadingrow"/>
              <w:keepLines/>
              <w:jc w:val="center"/>
              <w:rPr>
                <w:lang w:val="en-AU"/>
              </w:rPr>
            </w:pPr>
            <w:r w:rsidRPr="000366BF">
              <w:rPr>
                <w:lang w:val="en-AU"/>
              </w:rPr>
              <w:t>Liposomal daunorubicin and cytarabine</w:t>
            </w:r>
          </w:p>
        </w:tc>
        <w:tc>
          <w:tcPr>
            <w:tcW w:w="2094" w:type="pct"/>
            <w:gridSpan w:val="3"/>
            <w:shd w:val="clear" w:color="auto" w:fill="auto"/>
            <w:vAlign w:val="center"/>
          </w:tcPr>
          <w:p w14:paraId="26AF2C8D" w14:textId="77777777" w:rsidR="00F80191" w:rsidRPr="000366BF" w:rsidRDefault="00F80191" w:rsidP="008655CD">
            <w:pPr>
              <w:pStyle w:val="COMTableheadingrow"/>
              <w:keepLines/>
              <w:jc w:val="center"/>
              <w:rPr>
                <w:lang w:val="en-AU"/>
              </w:rPr>
            </w:pPr>
            <w:r w:rsidRPr="000366BF">
              <w:rPr>
                <w:lang w:val="en-AU"/>
              </w:rPr>
              <w:t>Idarubicin and cytarabine</w:t>
            </w:r>
          </w:p>
        </w:tc>
      </w:tr>
      <w:tr w:rsidR="00F80191" w:rsidRPr="00392B10" w14:paraId="5FBF3DAA" w14:textId="77777777" w:rsidTr="003B634A">
        <w:trPr>
          <w:cantSplit/>
          <w:tblHeader/>
          <w:jc w:val="center"/>
        </w:trPr>
        <w:tc>
          <w:tcPr>
            <w:tcW w:w="815" w:type="pct"/>
            <w:vMerge/>
            <w:shd w:val="clear" w:color="auto" w:fill="auto"/>
            <w:vAlign w:val="center"/>
          </w:tcPr>
          <w:p w14:paraId="0356B00C" w14:textId="77777777" w:rsidR="00F80191" w:rsidRPr="000366BF" w:rsidRDefault="00F80191" w:rsidP="008655CD">
            <w:pPr>
              <w:pStyle w:val="COMTableheadingrow"/>
              <w:keepLines/>
              <w:jc w:val="center"/>
              <w:rPr>
                <w:lang w:val="en-AU"/>
              </w:rPr>
            </w:pPr>
          </w:p>
        </w:tc>
        <w:tc>
          <w:tcPr>
            <w:tcW w:w="697" w:type="pct"/>
            <w:shd w:val="clear" w:color="auto" w:fill="auto"/>
            <w:vAlign w:val="center"/>
          </w:tcPr>
          <w:p w14:paraId="2FAC747B" w14:textId="77777777" w:rsidR="00F80191" w:rsidRPr="000366BF" w:rsidRDefault="00F80191" w:rsidP="008655CD">
            <w:pPr>
              <w:pStyle w:val="COMTableheadingrow"/>
              <w:keepLines/>
              <w:jc w:val="center"/>
              <w:rPr>
                <w:lang w:val="en-AU"/>
              </w:rPr>
            </w:pPr>
            <w:r w:rsidRPr="000366BF">
              <w:rPr>
                <w:lang w:val="en-AU"/>
              </w:rPr>
              <w:t>Study 301</w:t>
            </w:r>
          </w:p>
        </w:tc>
        <w:tc>
          <w:tcPr>
            <w:tcW w:w="696" w:type="pct"/>
            <w:shd w:val="clear" w:color="auto" w:fill="auto"/>
            <w:vAlign w:val="center"/>
          </w:tcPr>
          <w:p w14:paraId="05FD6E66" w14:textId="77777777" w:rsidR="00F80191" w:rsidRPr="000366BF" w:rsidRDefault="00F80191" w:rsidP="008655CD">
            <w:pPr>
              <w:pStyle w:val="COMTableheadingrow"/>
              <w:keepLines/>
              <w:jc w:val="center"/>
              <w:rPr>
                <w:lang w:val="en-AU"/>
              </w:rPr>
            </w:pPr>
            <w:r w:rsidRPr="000366BF">
              <w:rPr>
                <w:lang w:val="en-AU"/>
              </w:rPr>
              <w:t>Economic model</w:t>
            </w:r>
          </w:p>
        </w:tc>
        <w:tc>
          <w:tcPr>
            <w:tcW w:w="698" w:type="pct"/>
            <w:shd w:val="clear" w:color="auto" w:fill="auto"/>
            <w:vAlign w:val="center"/>
          </w:tcPr>
          <w:p w14:paraId="6680FF1E" w14:textId="77777777" w:rsidR="00F80191" w:rsidRPr="000366BF" w:rsidRDefault="00F80191" w:rsidP="008655CD">
            <w:pPr>
              <w:pStyle w:val="COMTableheadingrow"/>
              <w:keepLines/>
              <w:jc w:val="center"/>
              <w:rPr>
                <w:lang w:val="en-AU"/>
              </w:rPr>
            </w:pPr>
            <w:r w:rsidRPr="000366BF">
              <w:rPr>
                <w:lang w:val="en-AU"/>
              </w:rPr>
              <w:t>Financial estimates</w:t>
            </w:r>
          </w:p>
        </w:tc>
        <w:tc>
          <w:tcPr>
            <w:tcW w:w="696" w:type="pct"/>
            <w:shd w:val="clear" w:color="auto" w:fill="auto"/>
            <w:vAlign w:val="center"/>
          </w:tcPr>
          <w:p w14:paraId="7DC80759" w14:textId="77777777" w:rsidR="00F80191" w:rsidRPr="000366BF" w:rsidRDefault="00F80191" w:rsidP="008655CD">
            <w:pPr>
              <w:pStyle w:val="COMTableheadingrow"/>
              <w:keepLines/>
              <w:jc w:val="center"/>
              <w:rPr>
                <w:vertAlign w:val="superscript"/>
                <w:lang w:val="en-AU"/>
              </w:rPr>
            </w:pPr>
            <w:r w:rsidRPr="000366BF">
              <w:rPr>
                <w:lang w:val="en-AU"/>
              </w:rPr>
              <w:t xml:space="preserve">Study 301 </w:t>
            </w:r>
            <w:r w:rsidRPr="000366BF">
              <w:rPr>
                <w:vertAlign w:val="superscript"/>
                <w:lang w:val="en-AU"/>
              </w:rPr>
              <w:t>a</w:t>
            </w:r>
          </w:p>
        </w:tc>
        <w:tc>
          <w:tcPr>
            <w:tcW w:w="699" w:type="pct"/>
            <w:shd w:val="clear" w:color="auto" w:fill="auto"/>
            <w:vAlign w:val="center"/>
          </w:tcPr>
          <w:p w14:paraId="7DCEDF48" w14:textId="77777777" w:rsidR="00F80191" w:rsidRPr="000366BF" w:rsidRDefault="00F80191" w:rsidP="008655CD">
            <w:pPr>
              <w:pStyle w:val="COMTableheadingrow"/>
              <w:keepLines/>
              <w:jc w:val="center"/>
              <w:rPr>
                <w:lang w:val="en-AU"/>
              </w:rPr>
            </w:pPr>
            <w:r w:rsidRPr="000366BF">
              <w:rPr>
                <w:lang w:val="en-AU"/>
              </w:rPr>
              <w:t>Economic model</w:t>
            </w:r>
          </w:p>
        </w:tc>
        <w:tc>
          <w:tcPr>
            <w:tcW w:w="699" w:type="pct"/>
          </w:tcPr>
          <w:p w14:paraId="0458DA66" w14:textId="77777777" w:rsidR="00F80191" w:rsidRPr="000366BF" w:rsidRDefault="00F80191" w:rsidP="008655CD">
            <w:pPr>
              <w:pStyle w:val="COMTableheadingrow"/>
              <w:keepLines/>
              <w:jc w:val="center"/>
              <w:rPr>
                <w:lang w:val="en-AU"/>
              </w:rPr>
            </w:pPr>
            <w:r w:rsidRPr="000366BF">
              <w:rPr>
                <w:lang w:val="en-AU"/>
              </w:rPr>
              <w:t>Financial estimates</w:t>
            </w:r>
          </w:p>
        </w:tc>
      </w:tr>
      <w:tr w:rsidR="00F80191" w:rsidRPr="00392B10" w14:paraId="26953074" w14:textId="77777777" w:rsidTr="003B634A">
        <w:trPr>
          <w:cantSplit/>
          <w:jc w:val="center"/>
        </w:trPr>
        <w:tc>
          <w:tcPr>
            <w:tcW w:w="815" w:type="pct"/>
            <w:shd w:val="clear" w:color="auto" w:fill="auto"/>
            <w:vAlign w:val="center"/>
          </w:tcPr>
          <w:p w14:paraId="46AD8EF4" w14:textId="77777777" w:rsidR="00F80191" w:rsidRPr="000366BF" w:rsidRDefault="00F80191" w:rsidP="008655CD">
            <w:pPr>
              <w:pStyle w:val="COMTabletext"/>
              <w:keepLines/>
            </w:pPr>
            <w:bookmarkStart w:id="63" w:name="_Hlk134449646"/>
            <w:r w:rsidRPr="000366BF">
              <w:t>Cost per dose</w:t>
            </w:r>
          </w:p>
        </w:tc>
        <w:tc>
          <w:tcPr>
            <w:tcW w:w="697" w:type="pct"/>
            <w:shd w:val="clear" w:color="auto" w:fill="auto"/>
            <w:vAlign w:val="center"/>
          </w:tcPr>
          <w:p w14:paraId="0B520B93" w14:textId="77777777" w:rsidR="00F80191" w:rsidRPr="000366BF" w:rsidRDefault="00F80191" w:rsidP="008655CD">
            <w:pPr>
              <w:pStyle w:val="COMTabletext"/>
              <w:keepLines/>
              <w:jc w:val="center"/>
              <w:rPr>
                <w:bCs w:val="0"/>
              </w:rPr>
            </w:pPr>
            <w:r w:rsidRPr="000366BF">
              <w:rPr>
                <w:bCs w:val="0"/>
              </w:rPr>
              <w:t>-</w:t>
            </w:r>
          </w:p>
        </w:tc>
        <w:tc>
          <w:tcPr>
            <w:tcW w:w="696" w:type="pct"/>
            <w:shd w:val="clear" w:color="auto" w:fill="auto"/>
            <w:vAlign w:val="center"/>
          </w:tcPr>
          <w:p w14:paraId="6592AD37" w14:textId="6E2279D4" w:rsidR="00F80191" w:rsidRPr="000366BF" w:rsidRDefault="00F80191" w:rsidP="008655CD">
            <w:pPr>
              <w:pStyle w:val="COMTabletext"/>
              <w:keepLines/>
              <w:jc w:val="center"/>
              <w:rPr>
                <w:bCs w:val="0"/>
                <w:vertAlign w:val="superscript"/>
              </w:rPr>
            </w:pPr>
            <w:r w:rsidRPr="000366BF">
              <w:rPr>
                <w:bCs w:val="0"/>
              </w:rPr>
              <w:t>Induction: $</w:t>
            </w:r>
            <w:r w:rsidR="00EA163B" w:rsidRPr="00EA163B">
              <w:rPr>
                <w:rFonts w:hint="eastAsia"/>
                <w:bCs w:val="0"/>
                <w:color w:val="000000"/>
                <w:w w:val="15"/>
                <w:shd w:val="solid" w:color="000000" w:fill="000000"/>
                <w:fitText w:val="37" w:id="-1171540223"/>
                <w14:textFill>
                  <w14:solidFill>
                    <w14:srgbClr w14:val="000000">
                      <w14:alpha w14:val="100000"/>
                    </w14:srgbClr>
                  </w14:solidFill>
                </w14:textFill>
              </w:rPr>
              <w:t xml:space="preserve">　</w:t>
            </w:r>
            <w:r w:rsidR="00EA163B" w:rsidRPr="00EA163B">
              <w:rPr>
                <w:bCs w:val="0"/>
                <w:color w:val="000000"/>
                <w:w w:val="15"/>
                <w:shd w:val="solid" w:color="000000" w:fill="000000"/>
                <w:fitText w:val="37" w:id="-1171540223"/>
                <w14:textFill>
                  <w14:solidFill>
                    <w14:srgbClr w14:val="000000">
                      <w14:alpha w14:val="100000"/>
                    </w14:srgbClr>
                  </w14:solidFill>
                </w14:textFill>
              </w:rPr>
              <w:t>|</w:t>
            </w:r>
            <w:r w:rsidR="00EA163B" w:rsidRPr="00EA163B">
              <w:rPr>
                <w:rFonts w:hint="eastAsia"/>
                <w:bCs w:val="0"/>
                <w:color w:val="000000"/>
                <w:spacing w:val="-28"/>
                <w:w w:val="15"/>
                <w:shd w:val="solid" w:color="000000" w:fill="000000"/>
                <w:fitText w:val="37" w:id="-1171540223"/>
                <w14:textFill>
                  <w14:solidFill>
                    <w14:srgbClr w14:val="000000">
                      <w14:alpha w14:val="100000"/>
                    </w14:srgbClr>
                  </w14:solidFill>
                </w14:textFill>
              </w:rPr>
              <w:t xml:space="preserve">　</w:t>
            </w:r>
            <w:r w:rsidRPr="000366BF">
              <w:rPr>
                <w:bCs w:val="0"/>
              </w:rPr>
              <w:t xml:space="preserve"> </w:t>
            </w:r>
            <w:r w:rsidRPr="000366BF">
              <w:rPr>
                <w:bCs w:val="0"/>
                <w:vertAlign w:val="superscript"/>
              </w:rPr>
              <w:t>b</w:t>
            </w:r>
          </w:p>
          <w:p w14:paraId="470BF444" w14:textId="64418C5A" w:rsidR="00F80191" w:rsidRPr="000366BF" w:rsidRDefault="00F80191" w:rsidP="008655CD">
            <w:pPr>
              <w:pStyle w:val="COMTabletext"/>
              <w:keepLines/>
              <w:jc w:val="center"/>
              <w:rPr>
                <w:bCs w:val="0"/>
                <w:vertAlign w:val="superscript"/>
              </w:rPr>
            </w:pPr>
            <w:r w:rsidRPr="000366BF">
              <w:rPr>
                <w:bCs w:val="0"/>
              </w:rPr>
              <w:t>Consolidation: $</w:t>
            </w:r>
            <w:r w:rsidR="00EA163B" w:rsidRPr="00EA163B">
              <w:rPr>
                <w:rFonts w:hint="eastAsia"/>
                <w:bCs w:val="0"/>
                <w:color w:val="000000"/>
                <w:w w:val="15"/>
                <w:shd w:val="solid" w:color="000000" w:fill="000000"/>
                <w:fitText w:val="37" w:id="-1171540222"/>
                <w14:textFill>
                  <w14:solidFill>
                    <w14:srgbClr w14:val="000000">
                      <w14:alpha w14:val="100000"/>
                    </w14:srgbClr>
                  </w14:solidFill>
                </w14:textFill>
              </w:rPr>
              <w:t xml:space="preserve">　</w:t>
            </w:r>
            <w:r w:rsidR="00EA163B" w:rsidRPr="00EA163B">
              <w:rPr>
                <w:bCs w:val="0"/>
                <w:color w:val="000000"/>
                <w:w w:val="15"/>
                <w:shd w:val="solid" w:color="000000" w:fill="000000"/>
                <w:fitText w:val="37" w:id="-1171540222"/>
                <w14:textFill>
                  <w14:solidFill>
                    <w14:srgbClr w14:val="000000">
                      <w14:alpha w14:val="100000"/>
                    </w14:srgbClr>
                  </w14:solidFill>
                </w14:textFill>
              </w:rPr>
              <w:t>|</w:t>
            </w:r>
            <w:r w:rsidR="00EA163B" w:rsidRPr="00EA163B">
              <w:rPr>
                <w:rFonts w:hint="eastAsia"/>
                <w:bCs w:val="0"/>
                <w:color w:val="000000"/>
                <w:spacing w:val="-28"/>
                <w:w w:val="15"/>
                <w:shd w:val="solid" w:color="000000" w:fill="000000"/>
                <w:fitText w:val="37" w:id="-1171540222"/>
                <w14:textFill>
                  <w14:solidFill>
                    <w14:srgbClr w14:val="000000">
                      <w14:alpha w14:val="100000"/>
                    </w14:srgbClr>
                  </w14:solidFill>
                </w14:textFill>
              </w:rPr>
              <w:t xml:space="preserve">　</w:t>
            </w:r>
            <w:r w:rsidRPr="000366BF">
              <w:rPr>
                <w:bCs w:val="0"/>
              </w:rPr>
              <w:t xml:space="preserve"> </w:t>
            </w:r>
            <w:r w:rsidRPr="000366BF">
              <w:rPr>
                <w:bCs w:val="0"/>
                <w:vertAlign w:val="superscript"/>
              </w:rPr>
              <w:t>b</w:t>
            </w:r>
          </w:p>
        </w:tc>
        <w:tc>
          <w:tcPr>
            <w:tcW w:w="698" w:type="pct"/>
            <w:shd w:val="clear" w:color="auto" w:fill="auto"/>
            <w:vAlign w:val="center"/>
          </w:tcPr>
          <w:p w14:paraId="30A6B403" w14:textId="0D3DA5F3" w:rsidR="00F80191" w:rsidRPr="000366BF" w:rsidRDefault="00F80191" w:rsidP="008655CD">
            <w:pPr>
              <w:pStyle w:val="COMTabletext"/>
              <w:keepLines/>
              <w:jc w:val="center"/>
              <w:rPr>
                <w:bCs w:val="0"/>
                <w:vertAlign w:val="superscript"/>
              </w:rPr>
            </w:pPr>
            <w:r w:rsidRPr="000366BF">
              <w:rPr>
                <w:bCs w:val="0"/>
              </w:rPr>
              <w:t>Induction: $</w:t>
            </w:r>
            <w:r w:rsidR="00EA163B" w:rsidRPr="00EA163B">
              <w:rPr>
                <w:rFonts w:hint="eastAsia"/>
                <w:bCs w:val="0"/>
                <w:color w:val="000000"/>
                <w:w w:val="15"/>
                <w:shd w:val="solid" w:color="000000" w:fill="000000"/>
                <w:fitText w:val="46" w:id="-1171540221"/>
                <w14:textFill>
                  <w14:solidFill>
                    <w14:srgbClr w14:val="000000">
                      <w14:alpha w14:val="100000"/>
                    </w14:srgbClr>
                  </w14:solidFill>
                </w14:textFill>
              </w:rPr>
              <w:t xml:space="preserve">　</w:t>
            </w:r>
            <w:r w:rsidR="00EA163B" w:rsidRPr="00EA163B">
              <w:rPr>
                <w:bCs w:val="0"/>
                <w:color w:val="000000"/>
                <w:w w:val="15"/>
                <w:shd w:val="solid" w:color="000000" w:fill="000000"/>
                <w:fitText w:val="46" w:id="-1171540221"/>
                <w14:textFill>
                  <w14:solidFill>
                    <w14:srgbClr w14:val="000000">
                      <w14:alpha w14:val="100000"/>
                    </w14:srgbClr>
                  </w14:solidFill>
                </w14:textFill>
              </w:rPr>
              <w:t>|</w:t>
            </w:r>
            <w:r w:rsidR="00EA163B" w:rsidRPr="00EA163B">
              <w:rPr>
                <w:rFonts w:hint="eastAsia"/>
                <w:bCs w:val="0"/>
                <w:color w:val="000000"/>
                <w:spacing w:val="-19"/>
                <w:w w:val="15"/>
                <w:shd w:val="solid" w:color="000000" w:fill="000000"/>
                <w:fitText w:val="46" w:id="-1171540221"/>
                <w14:textFill>
                  <w14:solidFill>
                    <w14:srgbClr w14:val="000000">
                      <w14:alpha w14:val="100000"/>
                    </w14:srgbClr>
                  </w14:solidFill>
                </w14:textFill>
              </w:rPr>
              <w:t xml:space="preserve">　</w:t>
            </w:r>
            <w:r w:rsidR="00EA163B" w:rsidRPr="00EA163B">
              <w:rPr>
                <w:bCs w:val="0"/>
              </w:rPr>
              <w:t xml:space="preserve"> </w:t>
            </w:r>
            <w:r w:rsidRPr="000366BF">
              <w:rPr>
                <w:bCs w:val="0"/>
                <w:vertAlign w:val="superscript"/>
              </w:rPr>
              <w:t>c</w:t>
            </w:r>
          </w:p>
          <w:p w14:paraId="0654B2BB" w14:textId="77777777" w:rsidR="00F80191" w:rsidRPr="000366BF" w:rsidRDefault="00F80191" w:rsidP="008655CD">
            <w:pPr>
              <w:pStyle w:val="COMTabletext"/>
              <w:keepLines/>
              <w:jc w:val="center"/>
              <w:rPr>
                <w:bCs w:val="0"/>
              </w:rPr>
            </w:pPr>
            <w:r w:rsidRPr="000366BF">
              <w:rPr>
                <w:bCs w:val="0"/>
              </w:rPr>
              <w:t>Consolidation:</w:t>
            </w:r>
          </w:p>
          <w:p w14:paraId="7A596907" w14:textId="7F69568A" w:rsidR="00F80191" w:rsidRPr="000366BF" w:rsidRDefault="00F80191" w:rsidP="008655CD">
            <w:pPr>
              <w:pStyle w:val="COMTabletext"/>
              <w:keepLines/>
              <w:jc w:val="center"/>
              <w:rPr>
                <w:bCs w:val="0"/>
              </w:rPr>
            </w:pPr>
            <w:r w:rsidRPr="000366BF">
              <w:rPr>
                <w:bCs w:val="0"/>
              </w:rPr>
              <w:t>$</w:t>
            </w:r>
            <w:r w:rsidR="00EA163B" w:rsidRPr="00EA163B">
              <w:rPr>
                <w:rFonts w:hint="eastAsia"/>
                <w:bCs w:val="0"/>
                <w:color w:val="000000"/>
                <w:w w:val="15"/>
                <w:shd w:val="solid" w:color="000000" w:fill="000000"/>
                <w:fitText w:val="46" w:id="-1171540220"/>
                <w14:textFill>
                  <w14:solidFill>
                    <w14:srgbClr w14:val="000000">
                      <w14:alpha w14:val="100000"/>
                    </w14:srgbClr>
                  </w14:solidFill>
                </w14:textFill>
              </w:rPr>
              <w:t xml:space="preserve">　</w:t>
            </w:r>
            <w:r w:rsidR="00EA163B" w:rsidRPr="00EA163B">
              <w:rPr>
                <w:bCs w:val="0"/>
                <w:color w:val="000000"/>
                <w:w w:val="15"/>
                <w:shd w:val="solid" w:color="000000" w:fill="000000"/>
                <w:fitText w:val="46" w:id="-1171540220"/>
                <w14:textFill>
                  <w14:solidFill>
                    <w14:srgbClr w14:val="000000">
                      <w14:alpha w14:val="100000"/>
                    </w14:srgbClr>
                  </w14:solidFill>
                </w14:textFill>
              </w:rPr>
              <w:t>|</w:t>
            </w:r>
            <w:r w:rsidR="00EA163B" w:rsidRPr="00EA163B">
              <w:rPr>
                <w:rFonts w:hint="eastAsia"/>
                <w:bCs w:val="0"/>
                <w:color w:val="000000"/>
                <w:spacing w:val="-19"/>
                <w:w w:val="15"/>
                <w:shd w:val="solid" w:color="000000" w:fill="000000"/>
                <w:fitText w:val="46" w:id="-1171540220"/>
                <w14:textFill>
                  <w14:solidFill>
                    <w14:srgbClr w14:val="000000">
                      <w14:alpha w14:val="100000"/>
                    </w14:srgbClr>
                  </w14:solidFill>
                </w14:textFill>
              </w:rPr>
              <w:t xml:space="preserve">　</w:t>
            </w:r>
            <w:r w:rsidR="00EA163B" w:rsidRPr="00EA163B">
              <w:rPr>
                <w:bCs w:val="0"/>
              </w:rPr>
              <w:t xml:space="preserve"> </w:t>
            </w:r>
            <w:r w:rsidRPr="000366BF">
              <w:rPr>
                <w:bCs w:val="0"/>
                <w:vertAlign w:val="superscript"/>
              </w:rPr>
              <w:t>c</w:t>
            </w:r>
          </w:p>
        </w:tc>
        <w:tc>
          <w:tcPr>
            <w:tcW w:w="696" w:type="pct"/>
            <w:shd w:val="clear" w:color="auto" w:fill="auto"/>
            <w:vAlign w:val="center"/>
          </w:tcPr>
          <w:p w14:paraId="531F1B1E" w14:textId="77777777" w:rsidR="00F80191" w:rsidRPr="000366BF" w:rsidRDefault="00F80191" w:rsidP="008655CD">
            <w:pPr>
              <w:pStyle w:val="COMTabletext"/>
              <w:keepLines/>
              <w:jc w:val="center"/>
              <w:rPr>
                <w:bCs w:val="0"/>
              </w:rPr>
            </w:pPr>
            <w:r w:rsidRPr="000366BF">
              <w:rPr>
                <w:bCs w:val="0"/>
              </w:rPr>
              <w:t>-</w:t>
            </w:r>
          </w:p>
        </w:tc>
        <w:tc>
          <w:tcPr>
            <w:tcW w:w="699" w:type="pct"/>
            <w:shd w:val="clear" w:color="auto" w:fill="auto"/>
            <w:vAlign w:val="center"/>
          </w:tcPr>
          <w:p w14:paraId="6B602530" w14:textId="77777777" w:rsidR="00F80191" w:rsidRPr="000366BF" w:rsidRDefault="00F80191" w:rsidP="008655CD">
            <w:pPr>
              <w:pStyle w:val="COMTabletext"/>
              <w:keepLines/>
              <w:jc w:val="center"/>
              <w:rPr>
                <w:bCs w:val="0"/>
                <w:vertAlign w:val="superscript"/>
              </w:rPr>
            </w:pPr>
            <w:r w:rsidRPr="000366BF">
              <w:rPr>
                <w:bCs w:val="0"/>
              </w:rPr>
              <w:t xml:space="preserve">Idarubicin: $265.74 </w:t>
            </w:r>
            <w:r w:rsidRPr="000366BF">
              <w:rPr>
                <w:bCs w:val="0"/>
                <w:vertAlign w:val="superscript"/>
              </w:rPr>
              <w:t>d</w:t>
            </w:r>
          </w:p>
          <w:p w14:paraId="627F93BA" w14:textId="77777777" w:rsidR="00F80191" w:rsidRPr="000366BF" w:rsidRDefault="00F80191" w:rsidP="008655CD">
            <w:pPr>
              <w:pStyle w:val="COMTabletext"/>
              <w:keepLines/>
              <w:jc w:val="center"/>
              <w:rPr>
                <w:bCs w:val="0"/>
                <w:vertAlign w:val="superscript"/>
              </w:rPr>
            </w:pPr>
            <w:r w:rsidRPr="000366BF">
              <w:rPr>
                <w:bCs w:val="0"/>
              </w:rPr>
              <w:t xml:space="preserve">Cytarabine: $137.25 </w:t>
            </w:r>
            <w:r w:rsidRPr="000366BF">
              <w:rPr>
                <w:bCs w:val="0"/>
                <w:vertAlign w:val="superscript"/>
              </w:rPr>
              <w:t>e</w:t>
            </w:r>
          </w:p>
        </w:tc>
        <w:tc>
          <w:tcPr>
            <w:tcW w:w="699" w:type="pct"/>
            <w:vAlign w:val="center"/>
          </w:tcPr>
          <w:p w14:paraId="535338FC" w14:textId="77777777" w:rsidR="00F80191" w:rsidRPr="000366BF" w:rsidRDefault="00F80191" w:rsidP="008655CD">
            <w:pPr>
              <w:pStyle w:val="COMTabletext"/>
              <w:keepLines/>
              <w:jc w:val="center"/>
              <w:rPr>
                <w:bCs w:val="0"/>
              </w:rPr>
            </w:pPr>
            <w:r w:rsidRPr="000366BF">
              <w:rPr>
                <w:bCs w:val="0"/>
              </w:rPr>
              <w:t xml:space="preserve">Idarubicin: $286.23 </w:t>
            </w:r>
            <w:r w:rsidRPr="000366BF">
              <w:rPr>
                <w:bCs w:val="0"/>
                <w:vertAlign w:val="superscript"/>
              </w:rPr>
              <w:t>f</w:t>
            </w:r>
          </w:p>
          <w:p w14:paraId="3ABE0366" w14:textId="77777777" w:rsidR="00F80191" w:rsidRPr="000366BF" w:rsidRDefault="00F80191" w:rsidP="008655CD">
            <w:pPr>
              <w:pStyle w:val="COMTabletext"/>
              <w:keepLines/>
              <w:jc w:val="center"/>
              <w:rPr>
                <w:bCs w:val="0"/>
              </w:rPr>
            </w:pPr>
            <w:r w:rsidRPr="000366BF">
              <w:rPr>
                <w:bCs w:val="0"/>
              </w:rPr>
              <w:t xml:space="preserve">Cytarabine: $156.91 </w:t>
            </w:r>
            <w:r w:rsidRPr="000366BF">
              <w:rPr>
                <w:bCs w:val="0"/>
                <w:vertAlign w:val="superscript"/>
              </w:rPr>
              <w:t>g</w:t>
            </w:r>
          </w:p>
        </w:tc>
      </w:tr>
      <w:bookmarkEnd w:id="61"/>
      <w:bookmarkEnd w:id="63"/>
      <w:tr w:rsidR="00F80191" w:rsidRPr="00392B10" w14:paraId="30EFF474" w14:textId="77777777" w:rsidTr="003B634A">
        <w:trPr>
          <w:cantSplit/>
          <w:jc w:val="center"/>
        </w:trPr>
        <w:tc>
          <w:tcPr>
            <w:tcW w:w="5000" w:type="pct"/>
            <w:gridSpan w:val="7"/>
            <w:shd w:val="clear" w:color="auto" w:fill="auto"/>
            <w:vAlign w:val="center"/>
          </w:tcPr>
          <w:p w14:paraId="4470A829" w14:textId="0B29D38A" w:rsidR="00F80191" w:rsidRPr="000366BF" w:rsidRDefault="00F80191" w:rsidP="008655CD">
            <w:pPr>
              <w:pStyle w:val="COMTableheadingrow"/>
              <w:keepLines/>
              <w:rPr>
                <w:lang w:val="en-AU"/>
              </w:rPr>
            </w:pPr>
            <w:r w:rsidRPr="000366BF">
              <w:rPr>
                <w:lang w:val="en-AU"/>
              </w:rPr>
              <w:t xml:space="preserve">Induction 1 (3 doses of </w:t>
            </w:r>
            <w:bookmarkStart w:id="64" w:name="_Hlk134454094"/>
            <w:r w:rsidRPr="000366BF">
              <w:rPr>
                <w:lang w:val="en-AU"/>
              </w:rPr>
              <w:t>liposomal daunorubicin 44 mg/m</w:t>
            </w:r>
            <w:r w:rsidRPr="000366BF">
              <w:rPr>
                <w:vertAlign w:val="superscript"/>
                <w:lang w:val="en-AU"/>
              </w:rPr>
              <w:t>2</w:t>
            </w:r>
            <w:r w:rsidRPr="000366BF">
              <w:rPr>
                <w:lang w:val="en-AU"/>
              </w:rPr>
              <w:t xml:space="preserve"> and cytarabine 100 mg/m</w:t>
            </w:r>
            <w:r w:rsidRPr="000366BF">
              <w:rPr>
                <w:vertAlign w:val="superscript"/>
                <w:lang w:val="en-AU"/>
              </w:rPr>
              <w:t>2</w:t>
            </w:r>
            <w:bookmarkEnd w:id="64"/>
            <w:r w:rsidR="000B007B" w:rsidRPr="000366BF">
              <w:rPr>
                <w:lang w:val="en-AU"/>
              </w:rPr>
              <w:t xml:space="preserve"> OR</w:t>
            </w:r>
            <w:r w:rsidRPr="000366BF">
              <w:rPr>
                <w:lang w:val="en-AU"/>
              </w:rPr>
              <w:t xml:space="preserve"> 7+3 regimen cytarabine 100 mg/m</w:t>
            </w:r>
            <w:r w:rsidRPr="000366BF">
              <w:rPr>
                <w:vertAlign w:val="superscript"/>
                <w:lang w:val="en-AU"/>
              </w:rPr>
              <w:t>2</w:t>
            </w:r>
            <w:r w:rsidRPr="000366BF">
              <w:rPr>
                <w:lang w:val="en-AU"/>
              </w:rPr>
              <w:t xml:space="preserve"> and idarubicin 12 mg/m</w:t>
            </w:r>
            <w:r w:rsidRPr="000366BF">
              <w:rPr>
                <w:vertAlign w:val="superscript"/>
                <w:lang w:val="en-AU"/>
              </w:rPr>
              <w:t>2</w:t>
            </w:r>
            <w:r w:rsidRPr="000366BF">
              <w:rPr>
                <w:lang w:val="en-AU"/>
              </w:rPr>
              <w:t>)</w:t>
            </w:r>
          </w:p>
        </w:tc>
      </w:tr>
      <w:bookmarkEnd w:id="62"/>
      <w:tr w:rsidR="00F80191" w:rsidRPr="00392B10" w14:paraId="16F12D11" w14:textId="77777777" w:rsidTr="003B634A">
        <w:trPr>
          <w:cantSplit/>
          <w:jc w:val="center"/>
        </w:trPr>
        <w:tc>
          <w:tcPr>
            <w:tcW w:w="815" w:type="pct"/>
            <w:shd w:val="clear" w:color="auto" w:fill="auto"/>
            <w:vAlign w:val="center"/>
          </w:tcPr>
          <w:p w14:paraId="0081CB87" w14:textId="77777777" w:rsidR="00F80191" w:rsidRPr="000366BF" w:rsidRDefault="00F80191" w:rsidP="008655CD">
            <w:pPr>
              <w:pStyle w:val="COMTabletext"/>
              <w:keepLines/>
              <w:rPr>
                <w:vertAlign w:val="superscript"/>
              </w:rPr>
            </w:pPr>
            <w:r w:rsidRPr="000366BF">
              <w:t xml:space="preserve">Cost per cycle </w:t>
            </w:r>
            <w:r w:rsidRPr="000366BF">
              <w:rPr>
                <w:vertAlign w:val="superscript"/>
              </w:rPr>
              <w:t>h</w:t>
            </w:r>
          </w:p>
        </w:tc>
        <w:tc>
          <w:tcPr>
            <w:tcW w:w="697" w:type="pct"/>
            <w:shd w:val="clear" w:color="auto" w:fill="auto"/>
            <w:vAlign w:val="center"/>
          </w:tcPr>
          <w:p w14:paraId="0E69B52A" w14:textId="77777777" w:rsidR="00F80191" w:rsidRPr="000366BF" w:rsidRDefault="00F80191" w:rsidP="008655CD">
            <w:pPr>
              <w:pStyle w:val="COMTabletext"/>
              <w:keepLines/>
              <w:jc w:val="center"/>
              <w:rPr>
                <w:bCs w:val="0"/>
              </w:rPr>
            </w:pPr>
            <w:r w:rsidRPr="000366BF">
              <w:rPr>
                <w:bCs w:val="0"/>
              </w:rPr>
              <w:t>-</w:t>
            </w:r>
          </w:p>
        </w:tc>
        <w:tc>
          <w:tcPr>
            <w:tcW w:w="696" w:type="pct"/>
            <w:shd w:val="clear" w:color="auto" w:fill="auto"/>
            <w:vAlign w:val="center"/>
          </w:tcPr>
          <w:p w14:paraId="0857CBCD" w14:textId="6C519649" w:rsidR="00F80191" w:rsidRPr="000366BF" w:rsidRDefault="00F80191" w:rsidP="008655CD">
            <w:pPr>
              <w:pStyle w:val="COMTabletext"/>
              <w:keepLines/>
              <w:jc w:val="center"/>
              <w:rPr>
                <w:bCs w:val="0"/>
              </w:rPr>
            </w:pPr>
            <w:r w:rsidRPr="000366BF">
              <w:rPr>
                <w:bCs w:val="0"/>
              </w:rPr>
              <w:t>$</w:t>
            </w:r>
            <w:r w:rsidR="00EA163B" w:rsidRPr="00EA163B">
              <w:rPr>
                <w:bCs w:val="0"/>
                <w:color w:val="000000"/>
                <w:shd w:val="solid" w:color="000000" w:fill="000000"/>
                <w14:textFill>
                  <w14:solidFill>
                    <w14:srgbClr w14:val="000000">
                      <w14:alpha w14:val="100000"/>
                    </w14:srgbClr>
                  </w14:solidFill>
                </w14:textFill>
              </w:rPr>
              <w:t>|</w:t>
            </w:r>
          </w:p>
        </w:tc>
        <w:tc>
          <w:tcPr>
            <w:tcW w:w="698" w:type="pct"/>
            <w:shd w:val="clear" w:color="auto" w:fill="auto"/>
            <w:vAlign w:val="center"/>
          </w:tcPr>
          <w:p w14:paraId="2B3237A6" w14:textId="0E456A68" w:rsidR="00F80191" w:rsidRPr="000366BF" w:rsidDel="006F3569" w:rsidRDefault="00F80191" w:rsidP="008655CD">
            <w:pPr>
              <w:pStyle w:val="COMTabletext"/>
              <w:keepLines/>
              <w:jc w:val="center"/>
              <w:rPr>
                <w:bCs w:val="0"/>
              </w:rPr>
            </w:pPr>
            <w:r w:rsidRPr="000366BF">
              <w:rPr>
                <w:bCs w:val="0"/>
              </w:rPr>
              <w:t>$</w:t>
            </w:r>
            <w:r w:rsidR="00EA163B" w:rsidRPr="00EA163B">
              <w:rPr>
                <w:bCs w:val="0"/>
                <w:color w:val="000000"/>
                <w:shd w:val="solid" w:color="000000" w:fill="000000"/>
                <w14:textFill>
                  <w14:solidFill>
                    <w14:srgbClr w14:val="000000">
                      <w14:alpha w14:val="100000"/>
                    </w14:srgbClr>
                  </w14:solidFill>
                </w14:textFill>
              </w:rPr>
              <w:t>|</w:t>
            </w:r>
          </w:p>
        </w:tc>
        <w:tc>
          <w:tcPr>
            <w:tcW w:w="696" w:type="pct"/>
            <w:shd w:val="clear" w:color="auto" w:fill="auto"/>
            <w:vAlign w:val="center"/>
          </w:tcPr>
          <w:p w14:paraId="408DB807" w14:textId="77777777" w:rsidR="00F80191" w:rsidRPr="000366BF" w:rsidRDefault="00F80191" w:rsidP="008655CD">
            <w:pPr>
              <w:pStyle w:val="COMTabletext"/>
              <w:keepLines/>
              <w:jc w:val="center"/>
              <w:rPr>
                <w:bCs w:val="0"/>
              </w:rPr>
            </w:pPr>
            <w:r w:rsidRPr="000366BF">
              <w:rPr>
                <w:bCs w:val="0"/>
              </w:rPr>
              <w:t>-</w:t>
            </w:r>
          </w:p>
        </w:tc>
        <w:tc>
          <w:tcPr>
            <w:tcW w:w="699" w:type="pct"/>
            <w:shd w:val="clear" w:color="auto" w:fill="auto"/>
            <w:vAlign w:val="center"/>
          </w:tcPr>
          <w:p w14:paraId="17D9C923" w14:textId="77777777" w:rsidR="00F80191" w:rsidRPr="000366BF" w:rsidRDefault="00F80191" w:rsidP="008655CD">
            <w:pPr>
              <w:pStyle w:val="COMTabletext"/>
              <w:keepLines/>
              <w:jc w:val="center"/>
              <w:rPr>
                <w:bCs w:val="0"/>
              </w:rPr>
            </w:pPr>
            <w:r w:rsidRPr="000366BF">
              <w:rPr>
                <w:bCs w:val="0"/>
              </w:rPr>
              <w:t>$1,757.94</w:t>
            </w:r>
          </w:p>
        </w:tc>
        <w:tc>
          <w:tcPr>
            <w:tcW w:w="699" w:type="pct"/>
            <w:vAlign w:val="center"/>
          </w:tcPr>
          <w:p w14:paraId="190604C1" w14:textId="77777777" w:rsidR="00F80191" w:rsidRPr="000366BF" w:rsidDel="00204E49" w:rsidRDefault="00F80191" w:rsidP="008655CD">
            <w:pPr>
              <w:pStyle w:val="COMTabletext"/>
              <w:keepLines/>
              <w:jc w:val="center"/>
              <w:rPr>
                <w:bCs w:val="0"/>
              </w:rPr>
            </w:pPr>
            <w:r w:rsidRPr="000366BF">
              <w:rPr>
                <w:bCs w:val="0"/>
              </w:rPr>
              <w:t>$1,957.05</w:t>
            </w:r>
          </w:p>
        </w:tc>
      </w:tr>
      <w:tr w:rsidR="00F80191" w:rsidRPr="00392B10" w14:paraId="38129186" w14:textId="77777777" w:rsidTr="003B634A">
        <w:trPr>
          <w:cantSplit/>
          <w:jc w:val="center"/>
        </w:trPr>
        <w:tc>
          <w:tcPr>
            <w:tcW w:w="815" w:type="pct"/>
            <w:shd w:val="clear" w:color="auto" w:fill="auto"/>
            <w:vAlign w:val="center"/>
          </w:tcPr>
          <w:p w14:paraId="3D5AAD8F" w14:textId="77777777" w:rsidR="00F80191" w:rsidRPr="000366BF" w:rsidRDefault="00F80191" w:rsidP="008655CD">
            <w:pPr>
              <w:pStyle w:val="COMTabletext"/>
              <w:keepLines/>
            </w:pPr>
            <w:r w:rsidRPr="000366BF">
              <w:t>Proportion treated</w:t>
            </w:r>
          </w:p>
        </w:tc>
        <w:tc>
          <w:tcPr>
            <w:tcW w:w="697" w:type="pct"/>
            <w:shd w:val="clear" w:color="auto" w:fill="auto"/>
            <w:vAlign w:val="center"/>
          </w:tcPr>
          <w:p w14:paraId="5AC10C42" w14:textId="77777777" w:rsidR="00F80191" w:rsidRPr="000366BF" w:rsidRDefault="00F80191" w:rsidP="008655CD">
            <w:pPr>
              <w:pStyle w:val="COMTabletext"/>
              <w:keepLines/>
              <w:jc w:val="center"/>
              <w:rPr>
                <w:bCs w:val="0"/>
              </w:rPr>
            </w:pPr>
            <w:r w:rsidRPr="000366BF">
              <w:rPr>
                <w:bCs w:val="0"/>
              </w:rPr>
              <w:t>100%</w:t>
            </w:r>
          </w:p>
        </w:tc>
        <w:tc>
          <w:tcPr>
            <w:tcW w:w="696" w:type="pct"/>
            <w:shd w:val="clear" w:color="auto" w:fill="auto"/>
            <w:vAlign w:val="center"/>
          </w:tcPr>
          <w:p w14:paraId="3B001A7E" w14:textId="77777777" w:rsidR="00F80191" w:rsidRPr="000366BF" w:rsidRDefault="00F80191" w:rsidP="008655CD">
            <w:pPr>
              <w:pStyle w:val="COMTabletext"/>
              <w:keepLines/>
              <w:jc w:val="center"/>
              <w:rPr>
                <w:bCs w:val="0"/>
              </w:rPr>
            </w:pPr>
            <w:r w:rsidRPr="000366BF">
              <w:rPr>
                <w:bCs w:val="0"/>
              </w:rPr>
              <w:t>100%</w:t>
            </w:r>
          </w:p>
        </w:tc>
        <w:tc>
          <w:tcPr>
            <w:tcW w:w="698" w:type="pct"/>
            <w:shd w:val="clear" w:color="auto" w:fill="auto"/>
            <w:vAlign w:val="center"/>
          </w:tcPr>
          <w:p w14:paraId="0E051770" w14:textId="77777777" w:rsidR="00F80191" w:rsidRPr="000366BF" w:rsidRDefault="00F80191" w:rsidP="008655CD">
            <w:pPr>
              <w:pStyle w:val="COMTabletext"/>
              <w:keepLines/>
              <w:jc w:val="center"/>
              <w:rPr>
                <w:bCs w:val="0"/>
              </w:rPr>
            </w:pPr>
            <w:r w:rsidRPr="000366BF">
              <w:rPr>
                <w:bCs w:val="0"/>
              </w:rPr>
              <w:t>100%</w:t>
            </w:r>
          </w:p>
        </w:tc>
        <w:tc>
          <w:tcPr>
            <w:tcW w:w="696" w:type="pct"/>
            <w:shd w:val="clear" w:color="auto" w:fill="auto"/>
            <w:vAlign w:val="center"/>
          </w:tcPr>
          <w:p w14:paraId="7460D7FC" w14:textId="77777777" w:rsidR="00F80191" w:rsidRPr="000366BF" w:rsidRDefault="00F80191" w:rsidP="008655CD">
            <w:pPr>
              <w:pStyle w:val="COMTabletext"/>
              <w:keepLines/>
              <w:jc w:val="center"/>
              <w:rPr>
                <w:bCs w:val="0"/>
              </w:rPr>
            </w:pPr>
            <w:r w:rsidRPr="000366BF">
              <w:rPr>
                <w:bCs w:val="0"/>
              </w:rPr>
              <w:t>100%</w:t>
            </w:r>
          </w:p>
        </w:tc>
        <w:tc>
          <w:tcPr>
            <w:tcW w:w="699" w:type="pct"/>
            <w:shd w:val="clear" w:color="auto" w:fill="auto"/>
            <w:vAlign w:val="center"/>
          </w:tcPr>
          <w:p w14:paraId="424AD682" w14:textId="77777777" w:rsidR="00F80191" w:rsidRPr="000366BF" w:rsidRDefault="00F80191" w:rsidP="008655CD">
            <w:pPr>
              <w:pStyle w:val="COMTabletext"/>
              <w:keepLines/>
              <w:jc w:val="center"/>
              <w:rPr>
                <w:bCs w:val="0"/>
              </w:rPr>
            </w:pPr>
            <w:r w:rsidRPr="000366BF">
              <w:rPr>
                <w:bCs w:val="0"/>
              </w:rPr>
              <w:t>100%</w:t>
            </w:r>
          </w:p>
        </w:tc>
        <w:tc>
          <w:tcPr>
            <w:tcW w:w="699" w:type="pct"/>
            <w:vAlign w:val="center"/>
          </w:tcPr>
          <w:p w14:paraId="4C140BB9" w14:textId="77777777" w:rsidR="00F80191" w:rsidRPr="000366BF" w:rsidRDefault="00F80191" w:rsidP="008655CD">
            <w:pPr>
              <w:pStyle w:val="COMTabletext"/>
              <w:keepLines/>
              <w:jc w:val="center"/>
              <w:rPr>
                <w:bCs w:val="0"/>
              </w:rPr>
            </w:pPr>
            <w:r w:rsidRPr="000366BF">
              <w:rPr>
                <w:bCs w:val="0"/>
              </w:rPr>
              <w:t>100%</w:t>
            </w:r>
          </w:p>
        </w:tc>
      </w:tr>
      <w:tr w:rsidR="00F80191" w:rsidRPr="00392B10" w14:paraId="6C947562" w14:textId="77777777" w:rsidTr="003B634A">
        <w:trPr>
          <w:cantSplit/>
          <w:jc w:val="center"/>
        </w:trPr>
        <w:tc>
          <w:tcPr>
            <w:tcW w:w="815" w:type="pct"/>
            <w:shd w:val="clear" w:color="auto" w:fill="auto"/>
            <w:vAlign w:val="center"/>
          </w:tcPr>
          <w:p w14:paraId="3B6588F0" w14:textId="77777777" w:rsidR="00F80191" w:rsidRPr="000366BF" w:rsidRDefault="00F80191" w:rsidP="008655CD">
            <w:pPr>
              <w:pStyle w:val="COMTabletext"/>
              <w:keepLines/>
            </w:pPr>
            <w:r w:rsidRPr="000366BF">
              <w:t>Dose intensity</w:t>
            </w:r>
          </w:p>
        </w:tc>
        <w:tc>
          <w:tcPr>
            <w:tcW w:w="697" w:type="pct"/>
            <w:shd w:val="clear" w:color="auto" w:fill="auto"/>
            <w:vAlign w:val="center"/>
          </w:tcPr>
          <w:p w14:paraId="41432F10" w14:textId="77777777" w:rsidR="00F80191" w:rsidRPr="000366BF" w:rsidRDefault="00F80191" w:rsidP="008655CD">
            <w:pPr>
              <w:pStyle w:val="COMTabletext"/>
              <w:keepLines/>
              <w:jc w:val="center"/>
              <w:rPr>
                <w:bCs w:val="0"/>
                <w:vertAlign w:val="superscript"/>
              </w:rPr>
            </w:pPr>
            <w:r w:rsidRPr="000366BF">
              <w:rPr>
                <w:bCs w:val="0"/>
              </w:rPr>
              <w:t xml:space="preserve">94.8% </w:t>
            </w:r>
            <w:r w:rsidRPr="000366BF">
              <w:rPr>
                <w:bCs w:val="0"/>
                <w:vertAlign w:val="superscript"/>
              </w:rPr>
              <w:t>i</w:t>
            </w:r>
          </w:p>
        </w:tc>
        <w:tc>
          <w:tcPr>
            <w:tcW w:w="696" w:type="pct"/>
            <w:shd w:val="clear" w:color="auto" w:fill="auto"/>
            <w:vAlign w:val="center"/>
          </w:tcPr>
          <w:p w14:paraId="4971446A" w14:textId="77777777" w:rsidR="00F80191" w:rsidRPr="000366BF" w:rsidRDefault="00F80191" w:rsidP="008655CD">
            <w:pPr>
              <w:pStyle w:val="COMTabletext"/>
              <w:keepLines/>
              <w:jc w:val="center"/>
              <w:rPr>
                <w:bCs w:val="0"/>
              </w:rPr>
            </w:pPr>
            <w:r w:rsidRPr="000366BF">
              <w:rPr>
                <w:bCs w:val="0"/>
              </w:rPr>
              <w:t>100%</w:t>
            </w:r>
          </w:p>
        </w:tc>
        <w:tc>
          <w:tcPr>
            <w:tcW w:w="698" w:type="pct"/>
            <w:shd w:val="clear" w:color="auto" w:fill="auto"/>
            <w:vAlign w:val="center"/>
          </w:tcPr>
          <w:p w14:paraId="195A7AEA" w14:textId="77777777" w:rsidR="00F80191" w:rsidRPr="000366BF" w:rsidRDefault="00F80191" w:rsidP="008655CD">
            <w:pPr>
              <w:pStyle w:val="COMTabletext"/>
              <w:keepLines/>
              <w:jc w:val="center"/>
              <w:rPr>
                <w:bCs w:val="0"/>
              </w:rPr>
            </w:pPr>
            <w:r w:rsidRPr="000366BF">
              <w:rPr>
                <w:bCs w:val="0"/>
              </w:rPr>
              <w:t>100%</w:t>
            </w:r>
          </w:p>
        </w:tc>
        <w:tc>
          <w:tcPr>
            <w:tcW w:w="696" w:type="pct"/>
            <w:shd w:val="clear" w:color="auto" w:fill="auto"/>
            <w:vAlign w:val="center"/>
          </w:tcPr>
          <w:p w14:paraId="3F2A25C5" w14:textId="77777777" w:rsidR="00F80191" w:rsidRPr="000366BF" w:rsidRDefault="00F80191" w:rsidP="008655CD">
            <w:pPr>
              <w:pStyle w:val="COMTabletext"/>
              <w:keepLines/>
              <w:jc w:val="center"/>
              <w:rPr>
                <w:bCs w:val="0"/>
              </w:rPr>
            </w:pPr>
            <w:r w:rsidRPr="000366BF">
              <w:rPr>
                <w:bCs w:val="0"/>
              </w:rPr>
              <w:t xml:space="preserve">93.4% </w:t>
            </w:r>
            <w:r w:rsidRPr="000366BF">
              <w:rPr>
                <w:bCs w:val="0"/>
                <w:vertAlign w:val="superscript"/>
              </w:rPr>
              <w:t>i</w:t>
            </w:r>
            <w:r w:rsidRPr="000366BF">
              <w:rPr>
                <w:bCs w:val="0"/>
              </w:rPr>
              <w:t xml:space="preserve"> </w:t>
            </w:r>
          </w:p>
        </w:tc>
        <w:tc>
          <w:tcPr>
            <w:tcW w:w="699" w:type="pct"/>
            <w:shd w:val="clear" w:color="auto" w:fill="auto"/>
            <w:vAlign w:val="center"/>
          </w:tcPr>
          <w:p w14:paraId="4EF7CA56" w14:textId="77777777" w:rsidR="00F80191" w:rsidRPr="000366BF" w:rsidRDefault="00F80191" w:rsidP="008655CD">
            <w:pPr>
              <w:pStyle w:val="COMTabletext"/>
              <w:keepLines/>
              <w:jc w:val="center"/>
              <w:rPr>
                <w:bCs w:val="0"/>
              </w:rPr>
            </w:pPr>
            <w:r w:rsidRPr="000366BF">
              <w:rPr>
                <w:bCs w:val="0"/>
              </w:rPr>
              <w:t>100%</w:t>
            </w:r>
          </w:p>
        </w:tc>
        <w:tc>
          <w:tcPr>
            <w:tcW w:w="699" w:type="pct"/>
            <w:vAlign w:val="center"/>
          </w:tcPr>
          <w:p w14:paraId="131A21EE" w14:textId="77777777" w:rsidR="00F80191" w:rsidRPr="000366BF" w:rsidRDefault="00F80191" w:rsidP="008655CD">
            <w:pPr>
              <w:pStyle w:val="COMTabletext"/>
              <w:keepLines/>
              <w:jc w:val="center"/>
              <w:rPr>
                <w:bCs w:val="0"/>
              </w:rPr>
            </w:pPr>
            <w:r w:rsidRPr="000366BF">
              <w:rPr>
                <w:bCs w:val="0"/>
              </w:rPr>
              <w:t>100%</w:t>
            </w:r>
          </w:p>
        </w:tc>
      </w:tr>
      <w:tr w:rsidR="00F80191" w:rsidRPr="00392B10" w14:paraId="24B2F406" w14:textId="77777777" w:rsidTr="003B634A">
        <w:trPr>
          <w:cantSplit/>
          <w:jc w:val="center"/>
        </w:trPr>
        <w:tc>
          <w:tcPr>
            <w:tcW w:w="815" w:type="pct"/>
            <w:shd w:val="clear" w:color="auto" w:fill="auto"/>
            <w:vAlign w:val="center"/>
          </w:tcPr>
          <w:p w14:paraId="16682D36" w14:textId="77777777" w:rsidR="00F80191" w:rsidRPr="000366BF" w:rsidRDefault="00F80191" w:rsidP="008655CD">
            <w:pPr>
              <w:pStyle w:val="COMTabletext"/>
              <w:keepLines/>
            </w:pPr>
            <w:r w:rsidRPr="000366BF">
              <w:t xml:space="preserve">Adjusted cost </w:t>
            </w:r>
            <w:r w:rsidRPr="000366BF">
              <w:rPr>
                <w:vertAlign w:val="superscript"/>
              </w:rPr>
              <w:t>j</w:t>
            </w:r>
          </w:p>
        </w:tc>
        <w:tc>
          <w:tcPr>
            <w:tcW w:w="697" w:type="pct"/>
            <w:shd w:val="clear" w:color="auto" w:fill="auto"/>
            <w:vAlign w:val="center"/>
          </w:tcPr>
          <w:p w14:paraId="359B26CB" w14:textId="77777777" w:rsidR="00F80191" w:rsidRPr="000366BF" w:rsidRDefault="00F80191" w:rsidP="008655CD">
            <w:pPr>
              <w:pStyle w:val="COMTabletext"/>
              <w:keepLines/>
              <w:jc w:val="center"/>
              <w:rPr>
                <w:bCs w:val="0"/>
              </w:rPr>
            </w:pPr>
            <w:r w:rsidRPr="000366BF">
              <w:rPr>
                <w:bCs w:val="0"/>
              </w:rPr>
              <w:t>-</w:t>
            </w:r>
          </w:p>
        </w:tc>
        <w:tc>
          <w:tcPr>
            <w:tcW w:w="696" w:type="pct"/>
            <w:shd w:val="clear" w:color="auto" w:fill="auto"/>
            <w:vAlign w:val="center"/>
          </w:tcPr>
          <w:p w14:paraId="1C2BF9BD" w14:textId="55654243" w:rsidR="00F80191" w:rsidRPr="000366BF" w:rsidRDefault="00F80191" w:rsidP="008655CD">
            <w:pPr>
              <w:pStyle w:val="COMTabletext"/>
              <w:keepLines/>
              <w:jc w:val="center"/>
              <w:rPr>
                <w:bCs w:val="0"/>
              </w:rPr>
            </w:pPr>
            <w:r w:rsidRPr="000366BF">
              <w:rPr>
                <w:bCs w:val="0"/>
              </w:rPr>
              <w:t>$</w:t>
            </w:r>
            <w:r w:rsidR="00EA163B" w:rsidRPr="00EA163B">
              <w:rPr>
                <w:bCs w:val="0"/>
                <w:color w:val="000000"/>
                <w:shd w:val="solid" w:color="000000" w:fill="000000"/>
                <w14:textFill>
                  <w14:solidFill>
                    <w14:srgbClr w14:val="000000">
                      <w14:alpha w14:val="100000"/>
                    </w14:srgbClr>
                  </w14:solidFill>
                </w14:textFill>
              </w:rPr>
              <w:t>|</w:t>
            </w:r>
          </w:p>
        </w:tc>
        <w:tc>
          <w:tcPr>
            <w:tcW w:w="698" w:type="pct"/>
            <w:shd w:val="clear" w:color="auto" w:fill="auto"/>
            <w:vAlign w:val="center"/>
          </w:tcPr>
          <w:p w14:paraId="5E187FC8" w14:textId="04D30492" w:rsidR="00F80191" w:rsidRPr="000366BF" w:rsidRDefault="00F80191" w:rsidP="008655CD">
            <w:pPr>
              <w:pStyle w:val="COMTabletext"/>
              <w:keepLines/>
              <w:jc w:val="center"/>
              <w:rPr>
                <w:bCs w:val="0"/>
              </w:rPr>
            </w:pPr>
            <w:r w:rsidRPr="000366BF">
              <w:rPr>
                <w:bCs w:val="0"/>
              </w:rPr>
              <w:t>$</w:t>
            </w:r>
            <w:r w:rsidR="00EA163B" w:rsidRPr="00EA163B">
              <w:rPr>
                <w:bCs w:val="0"/>
                <w:color w:val="000000"/>
                <w:shd w:val="solid" w:color="000000" w:fill="000000"/>
                <w14:textFill>
                  <w14:solidFill>
                    <w14:srgbClr w14:val="000000">
                      <w14:alpha w14:val="100000"/>
                    </w14:srgbClr>
                  </w14:solidFill>
                </w14:textFill>
              </w:rPr>
              <w:t>|</w:t>
            </w:r>
          </w:p>
        </w:tc>
        <w:tc>
          <w:tcPr>
            <w:tcW w:w="696" w:type="pct"/>
            <w:shd w:val="clear" w:color="auto" w:fill="auto"/>
            <w:vAlign w:val="center"/>
          </w:tcPr>
          <w:p w14:paraId="6CEAF75E" w14:textId="77777777" w:rsidR="00F80191" w:rsidRPr="000366BF" w:rsidRDefault="00F80191" w:rsidP="008655CD">
            <w:pPr>
              <w:pStyle w:val="COMTabletext"/>
              <w:keepLines/>
              <w:jc w:val="center"/>
              <w:rPr>
                <w:bCs w:val="0"/>
              </w:rPr>
            </w:pPr>
            <w:r w:rsidRPr="000366BF">
              <w:rPr>
                <w:bCs w:val="0"/>
              </w:rPr>
              <w:t>-</w:t>
            </w:r>
          </w:p>
        </w:tc>
        <w:tc>
          <w:tcPr>
            <w:tcW w:w="699" w:type="pct"/>
            <w:shd w:val="clear" w:color="auto" w:fill="auto"/>
            <w:vAlign w:val="center"/>
          </w:tcPr>
          <w:p w14:paraId="0D20B794" w14:textId="77777777" w:rsidR="00F80191" w:rsidRPr="000366BF" w:rsidRDefault="00F80191" w:rsidP="008655CD">
            <w:pPr>
              <w:pStyle w:val="COMTabletext"/>
              <w:keepLines/>
              <w:jc w:val="center"/>
              <w:rPr>
                <w:bCs w:val="0"/>
              </w:rPr>
            </w:pPr>
            <w:r w:rsidRPr="000366BF">
              <w:rPr>
                <w:bCs w:val="0"/>
              </w:rPr>
              <w:t>$1,757.94</w:t>
            </w:r>
          </w:p>
        </w:tc>
        <w:tc>
          <w:tcPr>
            <w:tcW w:w="699" w:type="pct"/>
            <w:vAlign w:val="center"/>
          </w:tcPr>
          <w:p w14:paraId="3B2F67EE" w14:textId="77777777" w:rsidR="00F80191" w:rsidRPr="000366BF" w:rsidRDefault="00F80191" w:rsidP="008655CD">
            <w:pPr>
              <w:pStyle w:val="COMTabletext"/>
              <w:keepLines/>
              <w:jc w:val="center"/>
              <w:rPr>
                <w:bCs w:val="0"/>
              </w:rPr>
            </w:pPr>
            <w:r w:rsidRPr="000366BF">
              <w:rPr>
                <w:bCs w:val="0"/>
              </w:rPr>
              <w:t>$1,957.05</w:t>
            </w:r>
          </w:p>
        </w:tc>
      </w:tr>
      <w:tr w:rsidR="00F80191" w:rsidRPr="00392B10" w14:paraId="6FC55871" w14:textId="77777777" w:rsidTr="003B634A">
        <w:trPr>
          <w:cantSplit/>
          <w:jc w:val="center"/>
        </w:trPr>
        <w:tc>
          <w:tcPr>
            <w:tcW w:w="5000" w:type="pct"/>
            <w:gridSpan w:val="7"/>
            <w:shd w:val="clear" w:color="auto" w:fill="auto"/>
            <w:vAlign w:val="center"/>
          </w:tcPr>
          <w:p w14:paraId="00484680" w14:textId="4FC2FF74" w:rsidR="00F80191" w:rsidRPr="000366BF" w:rsidRDefault="00F80191" w:rsidP="008655CD">
            <w:pPr>
              <w:pStyle w:val="COMTableheadingrow"/>
              <w:keepLines/>
              <w:rPr>
                <w:lang w:val="en-AU"/>
              </w:rPr>
            </w:pPr>
            <w:r w:rsidRPr="000366BF">
              <w:rPr>
                <w:lang w:val="en-AU"/>
              </w:rPr>
              <w:t>Induction 2 (2 doses of liposomal daunorubicin 44 mg/m</w:t>
            </w:r>
            <w:r w:rsidRPr="000366BF">
              <w:rPr>
                <w:vertAlign w:val="superscript"/>
                <w:lang w:val="en-AU"/>
              </w:rPr>
              <w:t>2</w:t>
            </w:r>
            <w:r w:rsidRPr="000366BF">
              <w:rPr>
                <w:lang w:val="en-AU"/>
              </w:rPr>
              <w:t xml:space="preserve"> and cytarabine 100 mg/m</w:t>
            </w:r>
            <w:r w:rsidRPr="000366BF">
              <w:rPr>
                <w:vertAlign w:val="superscript"/>
                <w:lang w:val="en-AU"/>
              </w:rPr>
              <w:t>2</w:t>
            </w:r>
            <w:r w:rsidR="000B007B" w:rsidRPr="000366BF">
              <w:rPr>
                <w:lang w:val="en-AU"/>
              </w:rPr>
              <w:t xml:space="preserve"> OR</w:t>
            </w:r>
            <w:r w:rsidRPr="000366BF">
              <w:rPr>
                <w:lang w:val="en-AU"/>
              </w:rPr>
              <w:t xml:space="preserve"> 5+2 regimen cytarabine 100 mg/m</w:t>
            </w:r>
            <w:r w:rsidRPr="000366BF">
              <w:rPr>
                <w:vertAlign w:val="superscript"/>
                <w:lang w:val="en-AU"/>
              </w:rPr>
              <w:t>2</w:t>
            </w:r>
            <w:r w:rsidRPr="000366BF">
              <w:rPr>
                <w:lang w:val="en-AU"/>
              </w:rPr>
              <w:t xml:space="preserve"> and idarubicin 12 mg/m</w:t>
            </w:r>
            <w:r w:rsidRPr="000366BF">
              <w:rPr>
                <w:vertAlign w:val="superscript"/>
                <w:lang w:val="en-AU"/>
              </w:rPr>
              <w:t>2</w:t>
            </w:r>
            <w:r w:rsidRPr="000366BF">
              <w:rPr>
                <w:lang w:val="en-AU"/>
              </w:rPr>
              <w:t>)</w:t>
            </w:r>
          </w:p>
        </w:tc>
      </w:tr>
      <w:tr w:rsidR="00F80191" w:rsidRPr="00392B10" w14:paraId="50EEDC71" w14:textId="77777777" w:rsidTr="003B634A">
        <w:trPr>
          <w:cantSplit/>
          <w:jc w:val="center"/>
        </w:trPr>
        <w:tc>
          <w:tcPr>
            <w:tcW w:w="815" w:type="pct"/>
            <w:shd w:val="clear" w:color="auto" w:fill="auto"/>
            <w:vAlign w:val="center"/>
          </w:tcPr>
          <w:p w14:paraId="00DECCE2" w14:textId="77777777" w:rsidR="00F80191" w:rsidRPr="000366BF" w:rsidRDefault="00F80191" w:rsidP="008655CD">
            <w:pPr>
              <w:pStyle w:val="COMTabletext"/>
              <w:keepLines/>
              <w:rPr>
                <w:bCs w:val="0"/>
                <w:vertAlign w:val="superscript"/>
              </w:rPr>
            </w:pPr>
            <w:r w:rsidRPr="000366BF">
              <w:t xml:space="preserve">Cost per cycle </w:t>
            </w:r>
            <w:r w:rsidRPr="000366BF">
              <w:rPr>
                <w:vertAlign w:val="superscript"/>
              </w:rPr>
              <w:t>h</w:t>
            </w:r>
          </w:p>
        </w:tc>
        <w:tc>
          <w:tcPr>
            <w:tcW w:w="697" w:type="pct"/>
            <w:shd w:val="clear" w:color="auto" w:fill="auto"/>
            <w:vAlign w:val="center"/>
          </w:tcPr>
          <w:p w14:paraId="7E66B644" w14:textId="77777777" w:rsidR="00F80191" w:rsidRPr="000366BF" w:rsidRDefault="00F80191" w:rsidP="008655CD">
            <w:pPr>
              <w:pStyle w:val="COMTabletext"/>
              <w:keepLines/>
              <w:jc w:val="center"/>
              <w:rPr>
                <w:bCs w:val="0"/>
              </w:rPr>
            </w:pPr>
            <w:r w:rsidRPr="000366BF">
              <w:rPr>
                <w:bCs w:val="0"/>
              </w:rPr>
              <w:t>-</w:t>
            </w:r>
          </w:p>
        </w:tc>
        <w:tc>
          <w:tcPr>
            <w:tcW w:w="696" w:type="pct"/>
            <w:shd w:val="clear" w:color="auto" w:fill="auto"/>
            <w:vAlign w:val="center"/>
          </w:tcPr>
          <w:p w14:paraId="456B4970" w14:textId="7828B291" w:rsidR="00F80191" w:rsidRPr="000366BF" w:rsidRDefault="00F80191" w:rsidP="008655CD">
            <w:pPr>
              <w:pStyle w:val="COMTabletext"/>
              <w:keepLines/>
              <w:jc w:val="center"/>
              <w:rPr>
                <w:bCs w:val="0"/>
              </w:rPr>
            </w:pPr>
            <w:r w:rsidRPr="000366BF">
              <w:rPr>
                <w:bCs w:val="0"/>
              </w:rPr>
              <w:t>$</w:t>
            </w:r>
            <w:r w:rsidR="00EA163B" w:rsidRPr="00EA163B">
              <w:rPr>
                <w:bCs w:val="0"/>
                <w:color w:val="000000"/>
                <w:shd w:val="solid" w:color="000000" w:fill="000000"/>
                <w14:textFill>
                  <w14:solidFill>
                    <w14:srgbClr w14:val="000000">
                      <w14:alpha w14:val="100000"/>
                    </w14:srgbClr>
                  </w14:solidFill>
                </w14:textFill>
              </w:rPr>
              <w:t>|</w:t>
            </w:r>
          </w:p>
        </w:tc>
        <w:tc>
          <w:tcPr>
            <w:tcW w:w="698" w:type="pct"/>
            <w:shd w:val="clear" w:color="auto" w:fill="auto"/>
            <w:vAlign w:val="center"/>
          </w:tcPr>
          <w:p w14:paraId="3FED20EF" w14:textId="3DD2121C" w:rsidR="00F80191" w:rsidRPr="000366BF" w:rsidRDefault="00F80191" w:rsidP="008655CD">
            <w:pPr>
              <w:pStyle w:val="COMTabletext"/>
              <w:keepLines/>
              <w:jc w:val="center"/>
              <w:rPr>
                <w:bCs w:val="0"/>
              </w:rPr>
            </w:pPr>
            <w:r w:rsidRPr="000366BF">
              <w:rPr>
                <w:bCs w:val="0"/>
              </w:rPr>
              <w:t>$</w:t>
            </w:r>
            <w:r w:rsidR="00EA163B" w:rsidRPr="00EA163B">
              <w:rPr>
                <w:bCs w:val="0"/>
                <w:color w:val="000000"/>
                <w:shd w:val="solid" w:color="000000" w:fill="000000"/>
                <w14:textFill>
                  <w14:solidFill>
                    <w14:srgbClr w14:val="000000">
                      <w14:alpha w14:val="100000"/>
                    </w14:srgbClr>
                  </w14:solidFill>
                </w14:textFill>
              </w:rPr>
              <w:t>|</w:t>
            </w:r>
          </w:p>
        </w:tc>
        <w:tc>
          <w:tcPr>
            <w:tcW w:w="696" w:type="pct"/>
            <w:shd w:val="clear" w:color="auto" w:fill="auto"/>
            <w:vAlign w:val="center"/>
          </w:tcPr>
          <w:p w14:paraId="07154319" w14:textId="77777777" w:rsidR="00F80191" w:rsidRPr="000366BF" w:rsidRDefault="00F80191" w:rsidP="008655CD">
            <w:pPr>
              <w:pStyle w:val="COMTabletext"/>
              <w:keepLines/>
              <w:jc w:val="center"/>
              <w:rPr>
                <w:bCs w:val="0"/>
              </w:rPr>
            </w:pPr>
            <w:r w:rsidRPr="000366BF">
              <w:rPr>
                <w:bCs w:val="0"/>
              </w:rPr>
              <w:t>-</w:t>
            </w:r>
          </w:p>
        </w:tc>
        <w:tc>
          <w:tcPr>
            <w:tcW w:w="699" w:type="pct"/>
            <w:shd w:val="clear" w:color="auto" w:fill="auto"/>
            <w:vAlign w:val="center"/>
          </w:tcPr>
          <w:p w14:paraId="55BBDA7E" w14:textId="77777777" w:rsidR="00F80191" w:rsidRPr="000366BF" w:rsidRDefault="00F80191" w:rsidP="008655CD">
            <w:pPr>
              <w:pStyle w:val="COMTabletext"/>
              <w:keepLines/>
              <w:jc w:val="center"/>
              <w:rPr>
                <w:bCs w:val="0"/>
              </w:rPr>
            </w:pPr>
            <w:r w:rsidRPr="000366BF">
              <w:rPr>
                <w:bCs w:val="0"/>
              </w:rPr>
              <w:t>$1,217.71</w:t>
            </w:r>
          </w:p>
        </w:tc>
        <w:tc>
          <w:tcPr>
            <w:tcW w:w="699" w:type="pct"/>
            <w:vAlign w:val="center"/>
          </w:tcPr>
          <w:p w14:paraId="22B9E765" w14:textId="77777777" w:rsidR="00F80191" w:rsidRPr="000366BF" w:rsidRDefault="00F80191" w:rsidP="008655CD">
            <w:pPr>
              <w:pStyle w:val="COMTabletext"/>
              <w:keepLines/>
              <w:jc w:val="center"/>
              <w:rPr>
                <w:bCs w:val="0"/>
              </w:rPr>
            </w:pPr>
            <w:r w:rsidRPr="000366BF">
              <w:rPr>
                <w:bCs w:val="0"/>
              </w:rPr>
              <w:t>$1,357.00</w:t>
            </w:r>
          </w:p>
        </w:tc>
      </w:tr>
      <w:tr w:rsidR="00F80191" w:rsidRPr="00392B10" w14:paraId="7EE4F3AC" w14:textId="77777777" w:rsidTr="003B634A">
        <w:trPr>
          <w:cantSplit/>
          <w:jc w:val="center"/>
        </w:trPr>
        <w:tc>
          <w:tcPr>
            <w:tcW w:w="815" w:type="pct"/>
            <w:shd w:val="clear" w:color="auto" w:fill="auto"/>
            <w:vAlign w:val="center"/>
          </w:tcPr>
          <w:p w14:paraId="768BB137" w14:textId="77777777" w:rsidR="00F80191" w:rsidRPr="000366BF" w:rsidRDefault="00F80191" w:rsidP="008655CD">
            <w:pPr>
              <w:pStyle w:val="COMTabletext"/>
              <w:keepLines/>
              <w:rPr>
                <w:bCs w:val="0"/>
              </w:rPr>
            </w:pPr>
            <w:r w:rsidRPr="000366BF">
              <w:t>Proportion treated</w:t>
            </w:r>
          </w:p>
        </w:tc>
        <w:tc>
          <w:tcPr>
            <w:tcW w:w="697" w:type="pct"/>
            <w:shd w:val="clear" w:color="auto" w:fill="auto"/>
            <w:vAlign w:val="center"/>
          </w:tcPr>
          <w:p w14:paraId="681A86D6" w14:textId="77777777" w:rsidR="00F80191" w:rsidRPr="000366BF" w:rsidRDefault="00F80191" w:rsidP="008655CD">
            <w:pPr>
              <w:pStyle w:val="COMTabletext"/>
              <w:keepLines/>
              <w:jc w:val="center"/>
              <w:rPr>
                <w:bCs w:val="0"/>
              </w:rPr>
            </w:pPr>
            <w:r w:rsidRPr="000366BF">
              <w:rPr>
                <w:bCs w:val="0"/>
              </w:rPr>
              <w:t>31.4%</w:t>
            </w:r>
          </w:p>
        </w:tc>
        <w:tc>
          <w:tcPr>
            <w:tcW w:w="696" w:type="pct"/>
            <w:shd w:val="clear" w:color="auto" w:fill="auto"/>
            <w:vAlign w:val="center"/>
          </w:tcPr>
          <w:p w14:paraId="5CB3A352" w14:textId="77777777" w:rsidR="00F80191" w:rsidRPr="000366BF" w:rsidRDefault="00F80191" w:rsidP="008655CD">
            <w:pPr>
              <w:pStyle w:val="COMTabletext"/>
              <w:keepLines/>
              <w:jc w:val="center"/>
              <w:rPr>
                <w:bCs w:val="0"/>
              </w:rPr>
            </w:pPr>
            <w:r w:rsidRPr="000366BF">
              <w:rPr>
                <w:bCs w:val="0"/>
              </w:rPr>
              <w:t>31.4%</w:t>
            </w:r>
          </w:p>
        </w:tc>
        <w:tc>
          <w:tcPr>
            <w:tcW w:w="698" w:type="pct"/>
            <w:shd w:val="clear" w:color="auto" w:fill="auto"/>
            <w:vAlign w:val="center"/>
          </w:tcPr>
          <w:p w14:paraId="728D69FC" w14:textId="77777777" w:rsidR="00F80191" w:rsidRPr="000366BF" w:rsidRDefault="00F80191" w:rsidP="008655CD">
            <w:pPr>
              <w:pStyle w:val="COMTabletext"/>
              <w:keepLines/>
              <w:jc w:val="center"/>
              <w:rPr>
                <w:bCs w:val="0"/>
              </w:rPr>
            </w:pPr>
            <w:r w:rsidRPr="000366BF">
              <w:rPr>
                <w:bCs w:val="0"/>
              </w:rPr>
              <w:t xml:space="preserve">22.9% </w:t>
            </w:r>
            <w:r w:rsidRPr="000366BF">
              <w:rPr>
                <w:bCs w:val="0"/>
                <w:vertAlign w:val="superscript"/>
              </w:rPr>
              <w:t>k</w:t>
            </w:r>
          </w:p>
        </w:tc>
        <w:tc>
          <w:tcPr>
            <w:tcW w:w="696" w:type="pct"/>
            <w:shd w:val="clear" w:color="auto" w:fill="auto"/>
            <w:vAlign w:val="center"/>
          </w:tcPr>
          <w:p w14:paraId="3627E9A6" w14:textId="77777777" w:rsidR="00F80191" w:rsidRPr="000366BF" w:rsidRDefault="00F80191" w:rsidP="008655CD">
            <w:pPr>
              <w:pStyle w:val="COMTabletext"/>
              <w:keepLines/>
              <w:jc w:val="center"/>
              <w:rPr>
                <w:bCs w:val="0"/>
              </w:rPr>
            </w:pPr>
            <w:r w:rsidRPr="000366BF">
              <w:rPr>
                <w:bCs w:val="0"/>
              </w:rPr>
              <w:t>32.7%</w:t>
            </w:r>
          </w:p>
        </w:tc>
        <w:tc>
          <w:tcPr>
            <w:tcW w:w="699" w:type="pct"/>
            <w:shd w:val="clear" w:color="auto" w:fill="auto"/>
            <w:vAlign w:val="center"/>
          </w:tcPr>
          <w:p w14:paraId="343B5DF2" w14:textId="77777777" w:rsidR="00F80191" w:rsidRPr="000366BF" w:rsidRDefault="00F80191" w:rsidP="008655CD">
            <w:pPr>
              <w:pStyle w:val="COMTabletext"/>
              <w:keepLines/>
              <w:jc w:val="center"/>
              <w:rPr>
                <w:bCs w:val="0"/>
              </w:rPr>
            </w:pPr>
            <w:r w:rsidRPr="000366BF">
              <w:rPr>
                <w:bCs w:val="0"/>
              </w:rPr>
              <w:t>32.7%</w:t>
            </w:r>
          </w:p>
        </w:tc>
        <w:tc>
          <w:tcPr>
            <w:tcW w:w="699" w:type="pct"/>
            <w:vAlign w:val="center"/>
          </w:tcPr>
          <w:p w14:paraId="648FE22E" w14:textId="77777777" w:rsidR="00F80191" w:rsidRPr="000366BF" w:rsidRDefault="00F80191" w:rsidP="008655CD">
            <w:pPr>
              <w:pStyle w:val="COMTabletext"/>
              <w:keepLines/>
              <w:jc w:val="center"/>
              <w:rPr>
                <w:bCs w:val="0"/>
              </w:rPr>
            </w:pPr>
            <w:r w:rsidRPr="000366BF">
              <w:rPr>
                <w:bCs w:val="0"/>
              </w:rPr>
              <w:t>32.7%</w:t>
            </w:r>
          </w:p>
        </w:tc>
      </w:tr>
      <w:tr w:rsidR="00F80191" w:rsidRPr="00392B10" w14:paraId="220FDFEB" w14:textId="77777777" w:rsidTr="003B634A">
        <w:trPr>
          <w:cantSplit/>
          <w:jc w:val="center"/>
        </w:trPr>
        <w:tc>
          <w:tcPr>
            <w:tcW w:w="815" w:type="pct"/>
            <w:shd w:val="clear" w:color="auto" w:fill="auto"/>
            <w:vAlign w:val="center"/>
          </w:tcPr>
          <w:p w14:paraId="3064FC14" w14:textId="77777777" w:rsidR="00F80191" w:rsidRPr="000366BF" w:rsidRDefault="00F80191" w:rsidP="008655CD">
            <w:pPr>
              <w:pStyle w:val="COMTabletext"/>
              <w:keepLines/>
              <w:rPr>
                <w:bCs w:val="0"/>
              </w:rPr>
            </w:pPr>
            <w:r w:rsidRPr="000366BF">
              <w:t>Dose intensity</w:t>
            </w:r>
          </w:p>
        </w:tc>
        <w:tc>
          <w:tcPr>
            <w:tcW w:w="697" w:type="pct"/>
            <w:shd w:val="clear" w:color="auto" w:fill="auto"/>
            <w:vAlign w:val="center"/>
          </w:tcPr>
          <w:p w14:paraId="2D276901" w14:textId="77777777" w:rsidR="00F80191" w:rsidRPr="000366BF" w:rsidRDefault="00F80191" w:rsidP="008655CD">
            <w:pPr>
              <w:pStyle w:val="COMTabletext"/>
              <w:keepLines/>
              <w:jc w:val="center"/>
              <w:rPr>
                <w:bCs w:val="0"/>
                <w:vertAlign w:val="superscript"/>
              </w:rPr>
            </w:pPr>
            <w:r w:rsidRPr="000366BF">
              <w:rPr>
                <w:bCs w:val="0"/>
              </w:rPr>
              <w:t xml:space="preserve">97.4% </w:t>
            </w:r>
            <w:r w:rsidRPr="000366BF">
              <w:rPr>
                <w:bCs w:val="0"/>
                <w:vertAlign w:val="superscript"/>
              </w:rPr>
              <w:t>i</w:t>
            </w:r>
          </w:p>
        </w:tc>
        <w:tc>
          <w:tcPr>
            <w:tcW w:w="696" w:type="pct"/>
            <w:shd w:val="clear" w:color="auto" w:fill="auto"/>
            <w:vAlign w:val="center"/>
          </w:tcPr>
          <w:p w14:paraId="5BF407C1" w14:textId="77777777" w:rsidR="00F80191" w:rsidRPr="000366BF" w:rsidRDefault="00F80191" w:rsidP="008655CD">
            <w:pPr>
              <w:pStyle w:val="COMTabletext"/>
              <w:keepLines/>
              <w:jc w:val="center"/>
              <w:rPr>
                <w:bCs w:val="0"/>
              </w:rPr>
            </w:pPr>
            <w:r w:rsidRPr="000366BF">
              <w:rPr>
                <w:bCs w:val="0"/>
              </w:rPr>
              <w:t>100%</w:t>
            </w:r>
          </w:p>
        </w:tc>
        <w:tc>
          <w:tcPr>
            <w:tcW w:w="698" w:type="pct"/>
            <w:shd w:val="clear" w:color="auto" w:fill="auto"/>
            <w:vAlign w:val="center"/>
          </w:tcPr>
          <w:p w14:paraId="3BDA6063" w14:textId="77777777" w:rsidR="00F80191" w:rsidRPr="000366BF" w:rsidRDefault="00F80191" w:rsidP="008655CD">
            <w:pPr>
              <w:pStyle w:val="COMTabletext"/>
              <w:keepLines/>
              <w:jc w:val="center"/>
              <w:rPr>
                <w:bCs w:val="0"/>
              </w:rPr>
            </w:pPr>
            <w:r w:rsidRPr="000366BF">
              <w:rPr>
                <w:bCs w:val="0"/>
              </w:rPr>
              <w:t>100%</w:t>
            </w:r>
          </w:p>
        </w:tc>
        <w:tc>
          <w:tcPr>
            <w:tcW w:w="696" w:type="pct"/>
            <w:shd w:val="clear" w:color="auto" w:fill="auto"/>
            <w:vAlign w:val="center"/>
          </w:tcPr>
          <w:p w14:paraId="43B097AC" w14:textId="77777777" w:rsidR="00F80191" w:rsidRPr="000366BF" w:rsidRDefault="00F80191" w:rsidP="008655CD">
            <w:pPr>
              <w:pStyle w:val="COMTabletext"/>
              <w:keepLines/>
              <w:jc w:val="center"/>
              <w:rPr>
                <w:bCs w:val="0"/>
                <w:vertAlign w:val="superscript"/>
              </w:rPr>
            </w:pPr>
            <w:r w:rsidRPr="000366BF">
              <w:rPr>
                <w:bCs w:val="0"/>
              </w:rPr>
              <w:t xml:space="preserve">94.7% </w:t>
            </w:r>
            <w:r w:rsidRPr="000366BF">
              <w:rPr>
                <w:bCs w:val="0"/>
                <w:vertAlign w:val="superscript"/>
              </w:rPr>
              <w:t>i</w:t>
            </w:r>
          </w:p>
        </w:tc>
        <w:tc>
          <w:tcPr>
            <w:tcW w:w="699" w:type="pct"/>
            <w:shd w:val="clear" w:color="auto" w:fill="auto"/>
            <w:vAlign w:val="center"/>
          </w:tcPr>
          <w:p w14:paraId="68B775ED" w14:textId="77777777" w:rsidR="00F80191" w:rsidRPr="000366BF" w:rsidRDefault="00F80191" w:rsidP="008655CD">
            <w:pPr>
              <w:pStyle w:val="COMTabletext"/>
              <w:keepLines/>
              <w:jc w:val="center"/>
              <w:rPr>
                <w:bCs w:val="0"/>
              </w:rPr>
            </w:pPr>
            <w:r w:rsidRPr="000366BF">
              <w:rPr>
                <w:bCs w:val="0"/>
              </w:rPr>
              <w:t>100%</w:t>
            </w:r>
          </w:p>
        </w:tc>
        <w:tc>
          <w:tcPr>
            <w:tcW w:w="699" w:type="pct"/>
            <w:vAlign w:val="center"/>
          </w:tcPr>
          <w:p w14:paraId="6133FA22" w14:textId="77777777" w:rsidR="00F80191" w:rsidRPr="000366BF" w:rsidRDefault="00F80191" w:rsidP="008655CD">
            <w:pPr>
              <w:pStyle w:val="COMTabletext"/>
              <w:keepLines/>
              <w:jc w:val="center"/>
              <w:rPr>
                <w:bCs w:val="0"/>
              </w:rPr>
            </w:pPr>
            <w:r w:rsidRPr="000366BF">
              <w:rPr>
                <w:bCs w:val="0"/>
              </w:rPr>
              <w:t>100%</w:t>
            </w:r>
          </w:p>
        </w:tc>
      </w:tr>
      <w:tr w:rsidR="00F80191" w:rsidRPr="00392B10" w14:paraId="0F0D4F2E" w14:textId="77777777" w:rsidTr="003B634A">
        <w:trPr>
          <w:cantSplit/>
          <w:jc w:val="center"/>
        </w:trPr>
        <w:tc>
          <w:tcPr>
            <w:tcW w:w="815" w:type="pct"/>
            <w:shd w:val="clear" w:color="auto" w:fill="auto"/>
            <w:vAlign w:val="center"/>
          </w:tcPr>
          <w:p w14:paraId="560DED9F" w14:textId="77777777" w:rsidR="00F80191" w:rsidRPr="000366BF" w:rsidRDefault="00F80191" w:rsidP="008655CD">
            <w:pPr>
              <w:pStyle w:val="COMTabletext"/>
              <w:keepLines/>
              <w:rPr>
                <w:bCs w:val="0"/>
                <w:vertAlign w:val="superscript"/>
              </w:rPr>
            </w:pPr>
            <w:r w:rsidRPr="000366BF">
              <w:t xml:space="preserve">Adjusted cost </w:t>
            </w:r>
            <w:r w:rsidRPr="000366BF">
              <w:rPr>
                <w:vertAlign w:val="superscript"/>
              </w:rPr>
              <w:t>j</w:t>
            </w:r>
          </w:p>
        </w:tc>
        <w:tc>
          <w:tcPr>
            <w:tcW w:w="697" w:type="pct"/>
            <w:shd w:val="clear" w:color="auto" w:fill="auto"/>
            <w:vAlign w:val="center"/>
          </w:tcPr>
          <w:p w14:paraId="6F61CFE4" w14:textId="77777777" w:rsidR="00F80191" w:rsidRPr="000366BF" w:rsidRDefault="00F80191" w:rsidP="008655CD">
            <w:pPr>
              <w:pStyle w:val="COMTabletext"/>
              <w:keepLines/>
              <w:jc w:val="center"/>
              <w:rPr>
                <w:bCs w:val="0"/>
              </w:rPr>
            </w:pPr>
            <w:r w:rsidRPr="000366BF">
              <w:rPr>
                <w:bCs w:val="0"/>
              </w:rPr>
              <w:t>-</w:t>
            </w:r>
          </w:p>
        </w:tc>
        <w:tc>
          <w:tcPr>
            <w:tcW w:w="696" w:type="pct"/>
            <w:shd w:val="clear" w:color="auto" w:fill="auto"/>
            <w:vAlign w:val="center"/>
          </w:tcPr>
          <w:p w14:paraId="16714395" w14:textId="6313EA73" w:rsidR="00F80191" w:rsidRPr="000366BF" w:rsidRDefault="00F80191" w:rsidP="008655CD">
            <w:pPr>
              <w:pStyle w:val="COMTabletext"/>
              <w:keepLines/>
              <w:jc w:val="center"/>
              <w:rPr>
                <w:bCs w:val="0"/>
              </w:rPr>
            </w:pPr>
            <w:r w:rsidRPr="000366BF">
              <w:rPr>
                <w:bCs w:val="0"/>
              </w:rPr>
              <w:t>$</w:t>
            </w:r>
            <w:r w:rsidR="00EA163B" w:rsidRPr="00EA163B">
              <w:rPr>
                <w:bCs w:val="0"/>
                <w:color w:val="000000"/>
                <w:shd w:val="solid" w:color="000000" w:fill="000000"/>
                <w14:textFill>
                  <w14:solidFill>
                    <w14:srgbClr w14:val="000000">
                      <w14:alpha w14:val="100000"/>
                    </w14:srgbClr>
                  </w14:solidFill>
                </w14:textFill>
              </w:rPr>
              <w:t>|</w:t>
            </w:r>
          </w:p>
        </w:tc>
        <w:tc>
          <w:tcPr>
            <w:tcW w:w="698" w:type="pct"/>
            <w:shd w:val="clear" w:color="auto" w:fill="auto"/>
            <w:vAlign w:val="center"/>
          </w:tcPr>
          <w:p w14:paraId="123A7862" w14:textId="7E53CD62" w:rsidR="00F80191" w:rsidRPr="000366BF" w:rsidRDefault="00F80191" w:rsidP="008655CD">
            <w:pPr>
              <w:pStyle w:val="COMTabletext"/>
              <w:keepLines/>
              <w:jc w:val="center"/>
              <w:rPr>
                <w:bCs w:val="0"/>
              </w:rPr>
            </w:pPr>
            <w:r w:rsidRPr="000366BF">
              <w:rPr>
                <w:bCs w:val="0"/>
              </w:rPr>
              <w:t>$</w:t>
            </w:r>
            <w:r w:rsidR="00EA163B" w:rsidRPr="00EA163B">
              <w:rPr>
                <w:bCs w:val="0"/>
                <w:color w:val="000000"/>
                <w:shd w:val="solid" w:color="000000" w:fill="000000"/>
                <w14:textFill>
                  <w14:solidFill>
                    <w14:srgbClr w14:val="000000">
                      <w14:alpha w14:val="100000"/>
                    </w14:srgbClr>
                  </w14:solidFill>
                </w14:textFill>
              </w:rPr>
              <w:t>|</w:t>
            </w:r>
          </w:p>
        </w:tc>
        <w:tc>
          <w:tcPr>
            <w:tcW w:w="696" w:type="pct"/>
            <w:shd w:val="clear" w:color="auto" w:fill="auto"/>
            <w:vAlign w:val="center"/>
          </w:tcPr>
          <w:p w14:paraId="6829057D" w14:textId="77777777" w:rsidR="00F80191" w:rsidRPr="000366BF" w:rsidRDefault="00F80191" w:rsidP="008655CD">
            <w:pPr>
              <w:pStyle w:val="COMTabletext"/>
              <w:keepLines/>
              <w:jc w:val="center"/>
              <w:rPr>
                <w:bCs w:val="0"/>
              </w:rPr>
            </w:pPr>
            <w:r w:rsidRPr="000366BF">
              <w:rPr>
                <w:bCs w:val="0"/>
              </w:rPr>
              <w:t>-</w:t>
            </w:r>
          </w:p>
        </w:tc>
        <w:tc>
          <w:tcPr>
            <w:tcW w:w="699" w:type="pct"/>
            <w:shd w:val="clear" w:color="auto" w:fill="auto"/>
            <w:vAlign w:val="center"/>
          </w:tcPr>
          <w:p w14:paraId="08C48DF7" w14:textId="77777777" w:rsidR="00F80191" w:rsidRPr="000366BF" w:rsidRDefault="00F80191" w:rsidP="008655CD">
            <w:pPr>
              <w:pStyle w:val="COMTabletext"/>
              <w:keepLines/>
              <w:jc w:val="center"/>
              <w:rPr>
                <w:bCs w:val="0"/>
              </w:rPr>
            </w:pPr>
            <w:r w:rsidRPr="000366BF">
              <w:rPr>
                <w:bCs w:val="0"/>
              </w:rPr>
              <w:t>$398.10</w:t>
            </w:r>
          </w:p>
        </w:tc>
        <w:tc>
          <w:tcPr>
            <w:tcW w:w="699" w:type="pct"/>
            <w:vAlign w:val="center"/>
          </w:tcPr>
          <w:p w14:paraId="7786F260" w14:textId="77777777" w:rsidR="00F80191" w:rsidRPr="000366BF" w:rsidRDefault="00F80191" w:rsidP="008655CD">
            <w:pPr>
              <w:pStyle w:val="COMTabletext"/>
              <w:keepLines/>
              <w:jc w:val="center"/>
              <w:rPr>
                <w:bCs w:val="0"/>
              </w:rPr>
            </w:pPr>
            <w:r w:rsidRPr="000366BF">
              <w:rPr>
                <w:bCs w:val="0"/>
              </w:rPr>
              <w:t>$443.63</w:t>
            </w:r>
          </w:p>
        </w:tc>
      </w:tr>
      <w:tr w:rsidR="00F80191" w:rsidRPr="00392B10" w14:paraId="6ED04A62" w14:textId="77777777" w:rsidTr="003B634A">
        <w:trPr>
          <w:cantSplit/>
          <w:jc w:val="center"/>
        </w:trPr>
        <w:tc>
          <w:tcPr>
            <w:tcW w:w="5000" w:type="pct"/>
            <w:gridSpan w:val="7"/>
            <w:shd w:val="clear" w:color="auto" w:fill="auto"/>
            <w:vAlign w:val="center"/>
          </w:tcPr>
          <w:p w14:paraId="0CA34665" w14:textId="06CED94A" w:rsidR="00F80191" w:rsidRPr="000366BF" w:rsidRDefault="00F80191" w:rsidP="008655CD">
            <w:pPr>
              <w:pStyle w:val="COMTableheadingrow"/>
              <w:keepLines/>
              <w:rPr>
                <w:lang w:val="en-AU"/>
              </w:rPr>
            </w:pPr>
            <w:r w:rsidRPr="000366BF">
              <w:rPr>
                <w:lang w:val="en-AU"/>
              </w:rPr>
              <w:t>Consolidation 1 (2 doses of liposomal daunorubicin 29 mg/m</w:t>
            </w:r>
            <w:r w:rsidRPr="000366BF">
              <w:rPr>
                <w:vertAlign w:val="superscript"/>
                <w:lang w:val="en-AU"/>
              </w:rPr>
              <w:t>2</w:t>
            </w:r>
            <w:r w:rsidRPr="000366BF">
              <w:rPr>
                <w:lang w:val="en-AU"/>
              </w:rPr>
              <w:t xml:space="preserve"> and cytarabine 65 mg/m</w:t>
            </w:r>
            <w:r w:rsidRPr="000366BF">
              <w:rPr>
                <w:vertAlign w:val="superscript"/>
                <w:lang w:val="en-AU"/>
              </w:rPr>
              <w:t>2</w:t>
            </w:r>
            <w:r w:rsidR="000B007B" w:rsidRPr="000366BF">
              <w:rPr>
                <w:lang w:val="en-AU"/>
              </w:rPr>
              <w:t xml:space="preserve"> OR</w:t>
            </w:r>
            <w:r w:rsidRPr="000366BF">
              <w:rPr>
                <w:lang w:val="en-AU"/>
              </w:rPr>
              <w:t xml:space="preserve"> 5+2 regimen cytarabine 100 mg/m</w:t>
            </w:r>
            <w:r w:rsidRPr="000366BF">
              <w:rPr>
                <w:vertAlign w:val="superscript"/>
                <w:lang w:val="en-AU"/>
              </w:rPr>
              <w:t>2</w:t>
            </w:r>
            <w:r w:rsidRPr="000366BF">
              <w:rPr>
                <w:lang w:val="en-AU"/>
              </w:rPr>
              <w:t xml:space="preserve"> and idarubicin 12 mg/m</w:t>
            </w:r>
            <w:r w:rsidRPr="000366BF">
              <w:rPr>
                <w:vertAlign w:val="superscript"/>
                <w:lang w:val="en-AU"/>
              </w:rPr>
              <w:t>2</w:t>
            </w:r>
            <w:r w:rsidRPr="000366BF">
              <w:rPr>
                <w:lang w:val="en-AU"/>
              </w:rPr>
              <w:t>)</w:t>
            </w:r>
          </w:p>
        </w:tc>
      </w:tr>
      <w:tr w:rsidR="00F80191" w:rsidRPr="00392B10" w14:paraId="24FC7D0C" w14:textId="77777777" w:rsidTr="003B634A">
        <w:trPr>
          <w:cantSplit/>
          <w:jc w:val="center"/>
        </w:trPr>
        <w:tc>
          <w:tcPr>
            <w:tcW w:w="815" w:type="pct"/>
            <w:shd w:val="clear" w:color="auto" w:fill="auto"/>
            <w:vAlign w:val="center"/>
          </w:tcPr>
          <w:p w14:paraId="47C28C8F" w14:textId="77777777" w:rsidR="00F80191" w:rsidRPr="000366BF" w:rsidRDefault="00F80191" w:rsidP="008655CD">
            <w:pPr>
              <w:pStyle w:val="COMTabletext"/>
              <w:keepLines/>
              <w:rPr>
                <w:b/>
                <w:bCs w:val="0"/>
                <w:vertAlign w:val="superscript"/>
              </w:rPr>
            </w:pPr>
            <w:r w:rsidRPr="000366BF">
              <w:t xml:space="preserve">Cost per cycle </w:t>
            </w:r>
            <w:r w:rsidRPr="000366BF">
              <w:rPr>
                <w:vertAlign w:val="superscript"/>
              </w:rPr>
              <w:t>h</w:t>
            </w:r>
          </w:p>
        </w:tc>
        <w:tc>
          <w:tcPr>
            <w:tcW w:w="697" w:type="pct"/>
            <w:shd w:val="clear" w:color="auto" w:fill="auto"/>
            <w:vAlign w:val="center"/>
          </w:tcPr>
          <w:p w14:paraId="0D9726A4" w14:textId="77777777" w:rsidR="00F80191" w:rsidRPr="000366BF" w:rsidRDefault="00F80191" w:rsidP="008655CD">
            <w:pPr>
              <w:pStyle w:val="COMTabletext"/>
              <w:keepLines/>
              <w:jc w:val="center"/>
            </w:pPr>
            <w:r w:rsidRPr="000366BF">
              <w:t>-</w:t>
            </w:r>
          </w:p>
        </w:tc>
        <w:tc>
          <w:tcPr>
            <w:tcW w:w="696" w:type="pct"/>
            <w:shd w:val="clear" w:color="auto" w:fill="auto"/>
            <w:vAlign w:val="center"/>
          </w:tcPr>
          <w:p w14:paraId="7AB20923" w14:textId="2BA22B86" w:rsidR="00F80191" w:rsidRPr="000366BF" w:rsidRDefault="00F80191" w:rsidP="008655CD">
            <w:pPr>
              <w:pStyle w:val="COMTabletext"/>
              <w:keepLines/>
              <w:jc w:val="center"/>
            </w:pPr>
            <w:r w:rsidRPr="000366BF">
              <w:t>$</w:t>
            </w:r>
            <w:r w:rsidR="00EA163B" w:rsidRPr="00EA163B">
              <w:rPr>
                <w:color w:val="000000"/>
                <w:shd w:val="solid" w:color="000000" w:fill="000000"/>
                <w14:textFill>
                  <w14:solidFill>
                    <w14:srgbClr w14:val="000000">
                      <w14:alpha w14:val="100000"/>
                    </w14:srgbClr>
                  </w14:solidFill>
                </w14:textFill>
              </w:rPr>
              <w:t>|</w:t>
            </w:r>
          </w:p>
        </w:tc>
        <w:tc>
          <w:tcPr>
            <w:tcW w:w="698" w:type="pct"/>
            <w:shd w:val="clear" w:color="auto" w:fill="auto"/>
            <w:vAlign w:val="center"/>
          </w:tcPr>
          <w:p w14:paraId="1B158053" w14:textId="726354AF" w:rsidR="00F80191" w:rsidRPr="000366BF" w:rsidRDefault="00F80191" w:rsidP="008655CD">
            <w:pPr>
              <w:pStyle w:val="COMTabletext"/>
              <w:keepLines/>
              <w:jc w:val="center"/>
            </w:pPr>
            <w:r w:rsidRPr="000366BF">
              <w:t>$</w:t>
            </w:r>
            <w:r w:rsidR="00EA163B" w:rsidRPr="00EA163B">
              <w:rPr>
                <w:color w:val="000000"/>
                <w:shd w:val="solid" w:color="000000" w:fill="000000"/>
                <w14:textFill>
                  <w14:solidFill>
                    <w14:srgbClr w14:val="000000">
                      <w14:alpha w14:val="100000"/>
                    </w14:srgbClr>
                  </w14:solidFill>
                </w14:textFill>
              </w:rPr>
              <w:t>|</w:t>
            </w:r>
          </w:p>
        </w:tc>
        <w:tc>
          <w:tcPr>
            <w:tcW w:w="696" w:type="pct"/>
            <w:shd w:val="clear" w:color="auto" w:fill="auto"/>
            <w:vAlign w:val="center"/>
          </w:tcPr>
          <w:p w14:paraId="22E8A654" w14:textId="77777777" w:rsidR="00F80191" w:rsidRPr="000366BF" w:rsidRDefault="00F80191" w:rsidP="008655CD">
            <w:pPr>
              <w:pStyle w:val="COMTabletext"/>
              <w:keepLines/>
              <w:jc w:val="center"/>
            </w:pPr>
            <w:r w:rsidRPr="000366BF">
              <w:t>-</w:t>
            </w:r>
          </w:p>
        </w:tc>
        <w:tc>
          <w:tcPr>
            <w:tcW w:w="699" w:type="pct"/>
            <w:shd w:val="clear" w:color="auto" w:fill="auto"/>
            <w:vAlign w:val="center"/>
          </w:tcPr>
          <w:p w14:paraId="5241A481" w14:textId="77777777" w:rsidR="00F80191" w:rsidRPr="000366BF" w:rsidRDefault="00F80191" w:rsidP="008655CD">
            <w:pPr>
              <w:pStyle w:val="COMTabletext"/>
              <w:keepLines/>
              <w:jc w:val="center"/>
            </w:pPr>
            <w:r w:rsidRPr="000366BF">
              <w:rPr>
                <w:bCs w:val="0"/>
              </w:rPr>
              <w:t>$1,217.71</w:t>
            </w:r>
          </w:p>
        </w:tc>
        <w:tc>
          <w:tcPr>
            <w:tcW w:w="699" w:type="pct"/>
            <w:vAlign w:val="center"/>
          </w:tcPr>
          <w:p w14:paraId="3B50C759" w14:textId="77777777" w:rsidR="00F80191" w:rsidRPr="000366BF" w:rsidRDefault="00F80191" w:rsidP="008655CD">
            <w:pPr>
              <w:pStyle w:val="COMTabletext"/>
              <w:keepLines/>
              <w:jc w:val="center"/>
            </w:pPr>
            <w:r w:rsidRPr="000366BF">
              <w:rPr>
                <w:bCs w:val="0"/>
              </w:rPr>
              <w:t>$1,357.00</w:t>
            </w:r>
          </w:p>
        </w:tc>
      </w:tr>
      <w:tr w:rsidR="00F80191" w:rsidRPr="00392B10" w14:paraId="40258BDC" w14:textId="77777777" w:rsidTr="003B634A">
        <w:trPr>
          <w:cantSplit/>
          <w:jc w:val="center"/>
        </w:trPr>
        <w:tc>
          <w:tcPr>
            <w:tcW w:w="815" w:type="pct"/>
            <w:shd w:val="clear" w:color="auto" w:fill="auto"/>
            <w:vAlign w:val="center"/>
          </w:tcPr>
          <w:p w14:paraId="0555F56D" w14:textId="77777777" w:rsidR="00F80191" w:rsidRPr="000366BF" w:rsidRDefault="00F80191" w:rsidP="008655CD">
            <w:pPr>
              <w:pStyle w:val="COMTabletext"/>
              <w:keepLines/>
              <w:rPr>
                <w:b/>
                <w:bCs w:val="0"/>
              </w:rPr>
            </w:pPr>
            <w:r w:rsidRPr="000366BF">
              <w:t>Proportion treated</w:t>
            </w:r>
          </w:p>
        </w:tc>
        <w:tc>
          <w:tcPr>
            <w:tcW w:w="697" w:type="pct"/>
            <w:shd w:val="clear" w:color="auto" w:fill="auto"/>
            <w:vAlign w:val="center"/>
          </w:tcPr>
          <w:p w14:paraId="4DB515B0" w14:textId="77777777" w:rsidR="00F80191" w:rsidRPr="000366BF" w:rsidRDefault="00F80191" w:rsidP="008655CD">
            <w:pPr>
              <w:pStyle w:val="COMTabletext"/>
              <w:keepLines/>
              <w:jc w:val="center"/>
            </w:pPr>
            <w:r w:rsidRPr="000366BF">
              <w:t>32.0%</w:t>
            </w:r>
          </w:p>
        </w:tc>
        <w:tc>
          <w:tcPr>
            <w:tcW w:w="696" w:type="pct"/>
            <w:shd w:val="clear" w:color="auto" w:fill="auto"/>
            <w:vAlign w:val="center"/>
          </w:tcPr>
          <w:p w14:paraId="370DD888" w14:textId="77777777" w:rsidR="00F80191" w:rsidRPr="000366BF" w:rsidRDefault="00F80191" w:rsidP="008655CD">
            <w:pPr>
              <w:pStyle w:val="COMTabletext"/>
              <w:keepLines/>
              <w:jc w:val="center"/>
            </w:pPr>
            <w:r w:rsidRPr="000366BF">
              <w:t>32.0%</w:t>
            </w:r>
          </w:p>
        </w:tc>
        <w:tc>
          <w:tcPr>
            <w:tcW w:w="698" w:type="pct"/>
            <w:shd w:val="clear" w:color="auto" w:fill="auto"/>
            <w:vAlign w:val="center"/>
          </w:tcPr>
          <w:p w14:paraId="293899D9" w14:textId="77777777" w:rsidR="00F80191" w:rsidRPr="000366BF" w:rsidRDefault="00F80191" w:rsidP="008655CD">
            <w:pPr>
              <w:pStyle w:val="COMTabletext"/>
              <w:keepLines/>
              <w:jc w:val="center"/>
              <w:rPr>
                <w:vertAlign w:val="superscript"/>
              </w:rPr>
            </w:pPr>
            <w:r w:rsidRPr="000366BF">
              <w:t xml:space="preserve">27.4% </w:t>
            </w:r>
            <w:r w:rsidRPr="000366BF">
              <w:rPr>
                <w:vertAlign w:val="superscript"/>
              </w:rPr>
              <w:t>l</w:t>
            </w:r>
          </w:p>
        </w:tc>
        <w:tc>
          <w:tcPr>
            <w:tcW w:w="696" w:type="pct"/>
            <w:shd w:val="clear" w:color="auto" w:fill="auto"/>
            <w:vAlign w:val="center"/>
          </w:tcPr>
          <w:p w14:paraId="7B72D566" w14:textId="77777777" w:rsidR="00F80191" w:rsidRPr="000366BF" w:rsidRDefault="00F80191" w:rsidP="008655CD">
            <w:pPr>
              <w:pStyle w:val="COMTabletext"/>
              <w:keepLines/>
              <w:jc w:val="center"/>
            </w:pPr>
            <w:r w:rsidRPr="000366BF">
              <w:t>20.5%</w:t>
            </w:r>
          </w:p>
        </w:tc>
        <w:tc>
          <w:tcPr>
            <w:tcW w:w="699" w:type="pct"/>
            <w:shd w:val="clear" w:color="auto" w:fill="auto"/>
            <w:vAlign w:val="center"/>
          </w:tcPr>
          <w:p w14:paraId="7F719366" w14:textId="77777777" w:rsidR="00F80191" w:rsidRPr="000366BF" w:rsidRDefault="00F80191" w:rsidP="008655CD">
            <w:pPr>
              <w:pStyle w:val="COMTabletext"/>
              <w:keepLines/>
              <w:jc w:val="center"/>
            </w:pPr>
            <w:r w:rsidRPr="000366BF">
              <w:t>20.5%</w:t>
            </w:r>
          </w:p>
        </w:tc>
        <w:tc>
          <w:tcPr>
            <w:tcW w:w="699" w:type="pct"/>
            <w:vAlign w:val="center"/>
          </w:tcPr>
          <w:p w14:paraId="4330BF3E" w14:textId="77777777" w:rsidR="00F80191" w:rsidRPr="000366BF" w:rsidRDefault="00F80191" w:rsidP="008655CD">
            <w:pPr>
              <w:pStyle w:val="COMTabletext"/>
              <w:keepLines/>
              <w:jc w:val="center"/>
              <w:rPr>
                <w:vertAlign w:val="superscript"/>
              </w:rPr>
            </w:pPr>
            <w:r w:rsidRPr="000366BF">
              <w:t>20.5%</w:t>
            </w:r>
          </w:p>
        </w:tc>
      </w:tr>
      <w:tr w:rsidR="00F80191" w:rsidRPr="00392B10" w14:paraId="2EA2E695" w14:textId="77777777" w:rsidTr="003B634A">
        <w:trPr>
          <w:cantSplit/>
          <w:jc w:val="center"/>
        </w:trPr>
        <w:tc>
          <w:tcPr>
            <w:tcW w:w="815" w:type="pct"/>
            <w:shd w:val="clear" w:color="auto" w:fill="auto"/>
            <w:vAlign w:val="center"/>
          </w:tcPr>
          <w:p w14:paraId="7B7344B2" w14:textId="77777777" w:rsidR="00F80191" w:rsidRPr="000366BF" w:rsidRDefault="00F80191" w:rsidP="008655CD">
            <w:pPr>
              <w:pStyle w:val="COMTabletext"/>
              <w:keepLines/>
              <w:rPr>
                <w:b/>
                <w:bCs w:val="0"/>
              </w:rPr>
            </w:pPr>
            <w:r w:rsidRPr="000366BF">
              <w:t>Dose intensity</w:t>
            </w:r>
          </w:p>
        </w:tc>
        <w:tc>
          <w:tcPr>
            <w:tcW w:w="697" w:type="pct"/>
            <w:shd w:val="clear" w:color="auto" w:fill="auto"/>
            <w:vAlign w:val="center"/>
          </w:tcPr>
          <w:p w14:paraId="101F4F56" w14:textId="77777777" w:rsidR="00F80191" w:rsidRPr="000366BF" w:rsidRDefault="00F80191" w:rsidP="008655CD">
            <w:pPr>
              <w:pStyle w:val="COMTabletext"/>
              <w:keepLines/>
              <w:jc w:val="center"/>
              <w:rPr>
                <w:vertAlign w:val="superscript"/>
              </w:rPr>
            </w:pPr>
            <w:r w:rsidRPr="000366BF">
              <w:t xml:space="preserve">99.3% </w:t>
            </w:r>
            <w:r w:rsidRPr="000366BF">
              <w:rPr>
                <w:vertAlign w:val="superscript"/>
              </w:rPr>
              <w:t>i</w:t>
            </w:r>
          </w:p>
        </w:tc>
        <w:tc>
          <w:tcPr>
            <w:tcW w:w="696" w:type="pct"/>
            <w:shd w:val="clear" w:color="auto" w:fill="auto"/>
            <w:vAlign w:val="center"/>
          </w:tcPr>
          <w:p w14:paraId="1C3354A9" w14:textId="77777777" w:rsidR="00F80191" w:rsidRPr="000366BF" w:rsidRDefault="00F80191" w:rsidP="008655CD">
            <w:pPr>
              <w:pStyle w:val="COMTabletext"/>
              <w:keepLines/>
              <w:jc w:val="center"/>
            </w:pPr>
            <w:r w:rsidRPr="000366BF">
              <w:rPr>
                <w:bCs w:val="0"/>
              </w:rPr>
              <w:t>100%</w:t>
            </w:r>
          </w:p>
        </w:tc>
        <w:tc>
          <w:tcPr>
            <w:tcW w:w="698" w:type="pct"/>
            <w:shd w:val="clear" w:color="auto" w:fill="auto"/>
            <w:vAlign w:val="center"/>
          </w:tcPr>
          <w:p w14:paraId="784396A2" w14:textId="77777777" w:rsidR="00F80191" w:rsidRPr="000366BF" w:rsidRDefault="00F80191" w:rsidP="008655CD">
            <w:pPr>
              <w:pStyle w:val="COMTabletext"/>
              <w:keepLines/>
              <w:jc w:val="center"/>
            </w:pPr>
            <w:r w:rsidRPr="000366BF">
              <w:rPr>
                <w:bCs w:val="0"/>
              </w:rPr>
              <w:t>100%</w:t>
            </w:r>
          </w:p>
        </w:tc>
        <w:tc>
          <w:tcPr>
            <w:tcW w:w="696" w:type="pct"/>
            <w:shd w:val="clear" w:color="auto" w:fill="auto"/>
            <w:vAlign w:val="center"/>
          </w:tcPr>
          <w:p w14:paraId="53F6AA61" w14:textId="77777777" w:rsidR="00F80191" w:rsidRPr="000366BF" w:rsidRDefault="00F80191" w:rsidP="008655CD">
            <w:pPr>
              <w:pStyle w:val="COMTabletext"/>
              <w:keepLines/>
              <w:jc w:val="center"/>
              <w:rPr>
                <w:vertAlign w:val="superscript"/>
              </w:rPr>
            </w:pPr>
            <w:r w:rsidRPr="000366BF">
              <w:t xml:space="preserve">99.3% </w:t>
            </w:r>
            <w:r w:rsidRPr="000366BF">
              <w:rPr>
                <w:vertAlign w:val="superscript"/>
              </w:rPr>
              <w:t>i</w:t>
            </w:r>
          </w:p>
        </w:tc>
        <w:tc>
          <w:tcPr>
            <w:tcW w:w="699" w:type="pct"/>
            <w:shd w:val="clear" w:color="auto" w:fill="auto"/>
            <w:vAlign w:val="center"/>
          </w:tcPr>
          <w:p w14:paraId="38F329E0" w14:textId="77777777" w:rsidR="00F80191" w:rsidRPr="000366BF" w:rsidRDefault="00F80191" w:rsidP="008655CD">
            <w:pPr>
              <w:pStyle w:val="COMTabletext"/>
              <w:keepLines/>
              <w:jc w:val="center"/>
            </w:pPr>
            <w:r w:rsidRPr="000366BF">
              <w:rPr>
                <w:bCs w:val="0"/>
              </w:rPr>
              <w:t>100%</w:t>
            </w:r>
          </w:p>
        </w:tc>
        <w:tc>
          <w:tcPr>
            <w:tcW w:w="699" w:type="pct"/>
            <w:vAlign w:val="center"/>
          </w:tcPr>
          <w:p w14:paraId="639A39A9" w14:textId="77777777" w:rsidR="00F80191" w:rsidRPr="000366BF" w:rsidRDefault="00F80191" w:rsidP="008655CD">
            <w:pPr>
              <w:pStyle w:val="COMTabletext"/>
              <w:keepLines/>
              <w:jc w:val="center"/>
            </w:pPr>
            <w:r w:rsidRPr="000366BF">
              <w:rPr>
                <w:bCs w:val="0"/>
              </w:rPr>
              <w:t>100%</w:t>
            </w:r>
          </w:p>
        </w:tc>
      </w:tr>
      <w:tr w:rsidR="00F80191" w:rsidRPr="00392B10" w14:paraId="2145BC6F" w14:textId="77777777" w:rsidTr="003B634A">
        <w:trPr>
          <w:cantSplit/>
          <w:jc w:val="center"/>
        </w:trPr>
        <w:tc>
          <w:tcPr>
            <w:tcW w:w="815" w:type="pct"/>
            <w:shd w:val="clear" w:color="auto" w:fill="auto"/>
            <w:vAlign w:val="center"/>
          </w:tcPr>
          <w:p w14:paraId="3A74A1F8" w14:textId="77777777" w:rsidR="00F80191" w:rsidRPr="000366BF" w:rsidRDefault="00F80191" w:rsidP="008655CD">
            <w:pPr>
              <w:pStyle w:val="COMTabletext"/>
              <w:keepLines/>
              <w:rPr>
                <w:vertAlign w:val="superscript"/>
              </w:rPr>
            </w:pPr>
            <w:r w:rsidRPr="000366BF">
              <w:t xml:space="preserve">Adjusted cost </w:t>
            </w:r>
            <w:r w:rsidRPr="000366BF">
              <w:rPr>
                <w:vertAlign w:val="superscript"/>
              </w:rPr>
              <w:t>j</w:t>
            </w:r>
          </w:p>
        </w:tc>
        <w:tc>
          <w:tcPr>
            <w:tcW w:w="697" w:type="pct"/>
            <w:shd w:val="clear" w:color="auto" w:fill="auto"/>
            <w:vAlign w:val="center"/>
          </w:tcPr>
          <w:p w14:paraId="277677A5" w14:textId="77777777" w:rsidR="00F80191" w:rsidRPr="000366BF" w:rsidRDefault="00F80191" w:rsidP="008655CD">
            <w:pPr>
              <w:pStyle w:val="COMTabletext"/>
              <w:keepLines/>
              <w:jc w:val="center"/>
            </w:pPr>
            <w:r w:rsidRPr="000366BF">
              <w:t>-</w:t>
            </w:r>
          </w:p>
        </w:tc>
        <w:tc>
          <w:tcPr>
            <w:tcW w:w="696" w:type="pct"/>
            <w:shd w:val="clear" w:color="auto" w:fill="auto"/>
            <w:vAlign w:val="center"/>
          </w:tcPr>
          <w:p w14:paraId="06D8B289" w14:textId="7AD77F31" w:rsidR="00F80191" w:rsidRPr="000366BF" w:rsidRDefault="00F80191" w:rsidP="008655CD">
            <w:pPr>
              <w:pStyle w:val="COMTabletext"/>
              <w:keepLines/>
              <w:jc w:val="center"/>
              <w:rPr>
                <w:bCs w:val="0"/>
              </w:rPr>
            </w:pPr>
            <w:r w:rsidRPr="000366BF">
              <w:rPr>
                <w:bCs w:val="0"/>
              </w:rPr>
              <w:t>$</w:t>
            </w:r>
            <w:r w:rsidR="00EA163B" w:rsidRPr="00EA163B">
              <w:rPr>
                <w:bCs w:val="0"/>
                <w:color w:val="000000"/>
                <w:shd w:val="solid" w:color="000000" w:fill="000000"/>
                <w14:textFill>
                  <w14:solidFill>
                    <w14:srgbClr w14:val="000000">
                      <w14:alpha w14:val="100000"/>
                    </w14:srgbClr>
                  </w14:solidFill>
                </w14:textFill>
              </w:rPr>
              <w:t>|</w:t>
            </w:r>
          </w:p>
        </w:tc>
        <w:tc>
          <w:tcPr>
            <w:tcW w:w="698" w:type="pct"/>
            <w:shd w:val="clear" w:color="auto" w:fill="auto"/>
            <w:vAlign w:val="center"/>
          </w:tcPr>
          <w:p w14:paraId="4245F116" w14:textId="1CB551C0" w:rsidR="00F80191" w:rsidRPr="000366BF" w:rsidRDefault="00F80191" w:rsidP="008655CD">
            <w:pPr>
              <w:pStyle w:val="COMTabletext"/>
              <w:keepLines/>
              <w:jc w:val="center"/>
            </w:pPr>
            <w:r w:rsidRPr="000366BF">
              <w:rPr>
                <w:bCs w:val="0"/>
              </w:rPr>
              <w:t>$</w:t>
            </w:r>
            <w:r w:rsidR="00EA163B" w:rsidRPr="00EA163B">
              <w:rPr>
                <w:bCs w:val="0"/>
                <w:color w:val="000000"/>
                <w:shd w:val="solid" w:color="000000" w:fill="000000"/>
                <w14:textFill>
                  <w14:solidFill>
                    <w14:srgbClr w14:val="000000">
                      <w14:alpha w14:val="100000"/>
                    </w14:srgbClr>
                  </w14:solidFill>
                </w14:textFill>
              </w:rPr>
              <w:t>|</w:t>
            </w:r>
          </w:p>
        </w:tc>
        <w:tc>
          <w:tcPr>
            <w:tcW w:w="696" w:type="pct"/>
            <w:shd w:val="clear" w:color="auto" w:fill="auto"/>
            <w:vAlign w:val="center"/>
          </w:tcPr>
          <w:p w14:paraId="103E9F21" w14:textId="77777777" w:rsidR="00F80191" w:rsidRPr="000366BF" w:rsidRDefault="00F80191" w:rsidP="008655CD">
            <w:pPr>
              <w:pStyle w:val="COMTabletext"/>
              <w:keepLines/>
              <w:jc w:val="center"/>
            </w:pPr>
            <w:r w:rsidRPr="000366BF">
              <w:t>-</w:t>
            </w:r>
          </w:p>
        </w:tc>
        <w:tc>
          <w:tcPr>
            <w:tcW w:w="699" w:type="pct"/>
            <w:shd w:val="clear" w:color="auto" w:fill="auto"/>
            <w:vAlign w:val="center"/>
          </w:tcPr>
          <w:p w14:paraId="4D6B6910" w14:textId="77777777" w:rsidR="00F80191" w:rsidRPr="000366BF" w:rsidRDefault="00F80191" w:rsidP="008655CD">
            <w:pPr>
              <w:pStyle w:val="COMTabletext"/>
              <w:keepLines/>
              <w:jc w:val="center"/>
              <w:rPr>
                <w:bCs w:val="0"/>
              </w:rPr>
            </w:pPr>
            <w:r w:rsidRPr="000366BF">
              <w:rPr>
                <w:bCs w:val="0"/>
              </w:rPr>
              <w:t>$249.79</w:t>
            </w:r>
          </w:p>
        </w:tc>
        <w:tc>
          <w:tcPr>
            <w:tcW w:w="699" w:type="pct"/>
            <w:vAlign w:val="center"/>
          </w:tcPr>
          <w:p w14:paraId="2CAA6DDF" w14:textId="77777777" w:rsidR="00F80191" w:rsidRPr="000366BF" w:rsidRDefault="00F80191" w:rsidP="008655CD">
            <w:pPr>
              <w:pStyle w:val="COMTabletext"/>
              <w:keepLines/>
              <w:jc w:val="center"/>
            </w:pPr>
            <w:r w:rsidRPr="000366BF">
              <w:rPr>
                <w:bCs w:val="0"/>
              </w:rPr>
              <w:t>$278.36</w:t>
            </w:r>
          </w:p>
        </w:tc>
      </w:tr>
      <w:tr w:rsidR="00F80191" w:rsidRPr="00392B10" w14:paraId="337333CE" w14:textId="77777777" w:rsidTr="003B634A">
        <w:trPr>
          <w:cantSplit/>
          <w:jc w:val="center"/>
        </w:trPr>
        <w:tc>
          <w:tcPr>
            <w:tcW w:w="5000" w:type="pct"/>
            <w:gridSpan w:val="7"/>
            <w:shd w:val="clear" w:color="auto" w:fill="auto"/>
            <w:vAlign w:val="center"/>
          </w:tcPr>
          <w:p w14:paraId="0B5ABF8D" w14:textId="60F15969" w:rsidR="00F80191" w:rsidRPr="000366BF" w:rsidRDefault="00F80191" w:rsidP="008655CD">
            <w:pPr>
              <w:pStyle w:val="COMTableheadingrow"/>
              <w:keepLines/>
              <w:rPr>
                <w:lang w:val="en-AU"/>
              </w:rPr>
            </w:pPr>
            <w:r w:rsidRPr="000366BF">
              <w:rPr>
                <w:lang w:val="en-AU"/>
              </w:rPr>
              <w:t>Consolidation 2 (2 doses of liposomal daunorubicin 29 mg/m</w:t>
            </w:r>
            <w:r w:rsidRPr="000366BF">
              <w:rPr>
                <w:vertAlign w:val="superscript"/>
                <w:lang w:val="en-AU"/>
              </w:rPr>
              <w:t>2</w:t>
            </w:r>
            <w:r w:rsidRPr="000366BF">
              <w:rPr>
                <w:lang w:val="en-AU"/>
              </w:rPr>
              <w:t xml:space="preserve"> and cytarabine 65 mg/m</w:t>
            </w:r>
            <w:r w:rsidRPr="000366BF">
              <w:rPr>
                <w:vertAlign w:val="superscript"/>
                <w:lang w:val="en-AU"/>
              </w:rPr>
              <w:t>2</w:t>
            </w:r>
            <w:r w:rsidR="000B007B" w:rsidRPr="000366BF">
              <w:rPr>
                <w:vertAlign w:val="superscript"/>
                <w:lang w:val="en-AU"/>
              </w:rPr>
              <w:t xml:space="preserve"> </w:t>
            </w:r>
            <w:r w:rsidR="000B007B" w:rsidRPr="000366BF">
              <w:rPr>
                <w:lang w:val="en-AU"/>
              </w:rPr>
              <w:t xml:space="preserve">OR </w:t>
            </w:r>
            <w:r w:rsidRPr="000366BF">
              <w:rPr>
                <w:lang w:val="en-AU"/>
              </w:rPr>
              <w:t>5+2 regimen cytarabine 100 mg/m</w:t>
            </w:r>
            <w:r w:rsidRPr="000366BF">
              <w:rPr>
                <w:vertAlign w:val="superscript"/>
                <w:lang w:val="en-AU"/>
              </w:rPr>
              <w:t>2</w:t>
            </w:r>
            <w:r w:rsidRPr="000366BF">
              <w:rPr>
                <w:lang w:val="en-AU"/>
              </w:rPr>
              <w:t xml:space="preserve"> and idarubicin 12 mg/m</w:t>
            </w:r>
            <w:r w:rsidRPr="000366BF">
              <w:rPr>
                <w:vertAlign w:val="superscript"/>
                <w:lang w:val="en-AU"/>
              </w:rPr>
              <w:t>2</w:t>
            </w:r>
            <w:r w:rsidRPr="000366BF">
              <w:rPr>
                <w:lang w:val="en-AU"/>
              </w:rPr>
              <w:t>)</w:t>
            </w:r>
          </w:p>
        </w:tc>
      </w:tr>
      <w:tr w:rsidR="00F80191" w:rsidRPr="00392B10" w14:paraId="1B2876B7" w14:textId="77777777" w:rsidTr="003B634A">
        <w:trPr>
          <w:cantSplit/>
          <w:jc w:val="center"/>
        </w:trPr>
        <w:tc>
          <w:tcPr>
            <w:tcW w:w="815" w:type="pct"/>
            <w:shd w:val="clear" w:color="auto" w:fill="auto"/>
            <w:vAlign w:val="center"/>
          </w:tcPr>
          <w:p w14:paraId="6597266C" w14:textId="77777777" w:rsidR="00F80191" w:rsidRPr="000366BF" w:rsidRDefault="00F80191" w:rsidP="008655CD">
            <w:pPr>
              <w:pStyle w:val="COMTabletext"/>
              <w:keepLines/>
              <w:rPr>
                <w:vertAlign w:val="superscript"/>
              </w:rPr>
            </w:pPr>
            <w:r w:rsidRPr="000366BF">
              <w:t xml:space="preserve">Cost per cycle </w:t>
            </w:r>
            <w:r w:rsidRPr="000366BF">
              <w:rPr>
                <w:vertAlign w:val="superscript"/>
              </w:rPr>
              <w:t>h</w:t>
            </w:r>
          </w:p>
        </w:tc>
        <w:tc>
          <w:tcPr>
            <w:tcW w:w="697" w:type="pct"/>
            <w:shd w:val="clear" w:color="auto" w:fill="auto"/>
            <w:vAlign w:val="center"/>
          </w:tcPr>
          <w:p w14:paraId="72A9ED19" w14:textId="77777777" w:rsidR="00F80191" w:rsidRPr="000366BF" w:rsidRDefault="00F80191" w:rsidP="008655CD">
            <w:pPr>
              <w:pStyle w:val="COMTabletext"/>
              <w:keepLines/>
              <w:jc w:val="center"/>
            </w:pPr>
            <w:r w:rsidRPr="000366BF">
              <w:t>-</w:t>
            </w:r>
          </w:p>
        </w:tc>
        <w:tc>
          <w:tcPr>
            <w:tcW w:w="696" w:type="pct"/>
            <w:shd w:val="clear" w:color="auto" w:fill="auto"/>
            <w:vAlign w:val="center"/>
          </w:tcPr>
          <w:p w14:paraId="7BF9DF8D" w14:textId="1FFE4A4D" w:rsidR="00F80191" w:rsidRPr="000366BF" w:rsidRDefault="00F80191" w:rsidP="008655CD">
            <w:pPr>
              <w:pStyle w:val="COMTabletext"/>
              <w:keepLines/>
              <w:jc w:val="center"/>
            </w:pPr>
            <w:r w:rsidRPr="000366BF">
              <w:t>$</w:t>
            </w:r>
            <w:r w:rsidR="00EA163B" w:rsidRPr="00EA163B">
              <w:rPr>
                <w:color w:val="000000"/>
                <w:shd w:val="solid" w:color="000000" w:fill="000000"/>
                <w14:textFill>
                  <w14:solidFill>
                    <w14:srgbClr w14:val="000000">
                      <w14:alpha w14:val="100000"/>
                    </w14:srgbClr>
                  </w14:solidFill>
                </w14:textFill>
              </w:rPr>
              <w:t>|</w:t>
            </w:r>
          </w:p>
        </w:tc>
        <w:tc>
          <w:tcPr>
            <w:tcW w:w="698" w:type="pct"/>
            <w:shd w:val="clear" w:color="auto" w:fill="auto"/>
            <w:vAlign w:val="center"/>
          </w:tcPr>
          <w:p w14:paraId="3C020DA6" w14:textId="0FE1F08B" w:rsidR="00F80191" w:rsidRPr="000366BF" w:rsidRDefault="00F80191" w:rsidP="008655CD">
            <w:pPr>
              <w:pStyle w:val="COMTabletext"/>
              <w:keepLines/>
              <w:jc w:val="center"/>
            </w:pPr>
            <w:r w:rsidRPr="000366BF">
              <w:t>$</w:t>
            </w:r>
            <w:r w:rsidR="00EA163B" w:rsidRPr="00EA163B">
              <w:rPr>
                <w:color w:val="000000"/>
                <w:shd w:val="solid" w:color="000000" w:fill="000000"/>
                <w14:textFill>
                  <w14:solidFill>
                    <w14:srgbClr w14:val="000000">
                      <w14:alpha w14:val="100000"/>
                    </w14:srgbClr>
                  </w14:solidFill>
                </w14:textFill>
              </w:rPr>
              <w:t>|</w:t>
            </w:r>
          </w:p>
        </w:tc>
        <w:tc>
          <w:tcPr>
            <w:tcW w:w="696" w:type="pct"/>
            <w:shd w:val="clear" w:color="auto" w:fill="auto"/>
            <w:vAlign w:val="center"/>
          </w:tcPr>
          <w:p w14:paraId="35D262A9" w14:textId="77777777" w:rsidR="00F80191" w:rsidRPr="000366BF" w:rsidRDefault="00F80191" w:rsidP="008655CD">
            <w:pPr>
              <w:pStyle w:val="COMTabletext"/>
              <w:keepLines/>
              <w:jc w:val="center"/>
            </w:pPr>
            <w:r w:rsidRPr="000366BF">
              <w:t>-</w:t>
            </w:r>
          </w:p>
        </w:tc>
        <w:tc>
          <w:tcPr>
            <w:tcW w:w="699" w:type="pct"/>
            <w:shd w:val="clear" w:color="auto" w:fill="auto"/>
            <w:vAlign w:val="center"/>
          </w:tcPr>
          <w:p w14:paraId="631FC090" w14:textId="77777777" w:rsidR="00F80191" w:rsidRPr="000366BF" w:rsidRDefault="00F80191" w:rsidP="008655CD">
            <w:pPr>
              <w:pStyle w:val="COMTabletext"/>
              <w:keepLines/>
              <w:jc w:val="center"/>
            </w:pPr>
            <w:r w:rsidRPr="000366BF">
              <w:rPr>
                <w:bCs w:val="0"/>
              </w:rPr>
              <w:t>$1,217.71</w:t>
            </w:r>
          </w:p>
        </w:tc>
        <w:tc>
          <w:tcPr>
            <w:tcW w:w="699" w:type="pct"/>
            <w:vAlign w:val="center"/>
          </w:tcPr>
          <w:p w14:paraId="542B45FA" w14:textId="77777777" w:rsidR="00F80191" w:rsidRPr="000366BF" w:rsidRDefault="00F80191" w:rsidP="008655CD">
            <w:pPr>
              <w:pStyle w:val="COMTabletext"/>
              <w:keepLines/>
              <w:jc w:val="center"/>
            </w:pPr>
            <w:r w:rsidRPr="000366BF">
              <w:rPr>
                <w:bCs w:val="0"/>
              </w:rPr>
              <w:t>$1,357.00</w:t>
            </w:r>
          </w:p>
        </w:tc>
      </w:tr>
      <w:tr w:rsidR="00F80191" w:rsidRPr="00392B10" w14:paraId="54F52B1E" w14:textId="77777777" w:rsidTr="003B634A">
        <w:trPr>
          <w:cantSplit/>
          <w:jc w:val="center"/>
        </w:trPr>
        <w:tc>
          <w:tcPr>
            <w:tcW w:w="815" w:type="pct"/>
            <w:shd w:val="clear" w:color="auto" w:fill="auto"/>
            <w:vAlign w:val="center"/>
          </w:tcPr>
          <w:p w14:paraId="7A5F1DB9" w14:textId="77777777" w:rsidR="00F80191" w:rsidRPr="000366BF" w:rsidRDefault="00F80191" w:rsidP="008655CD">
            <w:pPr>
              <w:pStyle w:val="COMTabletext"/>
              <w:keepLines/>
            </w:pPr>
            <w:r w:rsidRPr="000366BF">
              <w:t>Proportion treated</w:t>
            </w:r>
          </w:p>
        </w:tc>
        <w:tc>
          <w:tcPr>
            <w:tcW w:w="697" w:type="pct"/>
            <w:shd w:val="clear" w:color="auto" w:fill="auto"/>
            <w:vAlign w:val="center"/>
          </w:tcPr>
          <w:p w14:paraId="2E043AD8" w14:textId="77777777" w:rsidR="00F80191" w:rsidRPr="000366BF" w:rsidRDefault="00F80191" w:rsidP="008655CD">
            <w:pPr>
              <w:pStyle w:val="COMTabletext"/>
              <w:keepLines/>
              <w:jc w:val="center"/>
            </w:pPr>
            <w:r w:rsidRPr="000366BF">
              <w:t>15.0%</w:t>
            </w:r>
          </w:p>
        </w:tc>
        <w:tc>
          <w:tcPr>
            <w:tcW w:w="696" w:type="pct"/>
            <w:shd w:val="clear" w:color="auto" w:fill="auto"/>
            <w:vAlign w:val="center"/>
          </w:tcPr>
          <w:p w14:paraId="73523506" w14:textId="77777777" w:rsidR="00F80191" w:rsidRPr="000366BF" w:rsidRDefault="00F80191" w:rsidP="008655CD">
            <w:pPr>
              <w:pStyle w:val="COMTabletext"/>
              <w:keepLines/>
              <w:jc w:val="center"/>
            </w:pPr>
            <w:r w:rsidRPr="000366BF">
              <w:t>15.0%</w:t>
            </w:r>
          </w:p>
        </w:tc>
        <w:tc>
          <w:tcPr>
            <w:tcW w:w="698" w:type="pct"/>
            <w:shd w:val="clear" w:color="auto" w:fill="auto"/>
            <w:vAlign w:val="center"/>
          </w:tcPr>
          <w:p w14:paraId="33C92F1A" w14:textId="77777777" w:rsidR="00F80191" w:rsidRPr="000366BF" w:rsidRDefault="00F80191" w:rsidP="008655CD">
            <w:pPr>
              <w:pStyle w:val="COMTabletext"/>
              <w:keepLines/>
              <w:jc w:val="center"/>
            </w:pPr>
            <w:r w:rsidRPr="000366BF">
              <w:t xml:space="preserve">12.6% </w:t>
            </w:r>
            <w:r w:rsidRPr="000366BF">
              <w:rPr>
                <w:vertAlign w:val="superscript"/>
              </w:rPr>
              <w:t>m</w:t>
            </w:r>
          </w:p>
        </w:tc>
        <w:tc>
          <w:tcPr>
            <w:tcW w:w="696" w:type="pct"/>
            <w:shd w:val="clear" w:color="auto" w:fill="auto"/>
            <w:vAlign w:val="center"/>
          </w:tcPr>
          <w:p w14:paraId="4820BF1A" w14:textId="77777777" w:rsidR="00F80191" w:rsidRPr="000366BF" w:rsidRDefault="00F80191" w:rsidP="008655CD">
            <w:pPr>
              <w:pStyle w:val="COMTabletext"/>
              <w:keepLines/>
              <w:jc w:val="center"/>
            </w:pPr>
            <w:r w:rsidRPr="000366BF">
              <w:t>7.7%</w:t>
            </w:r>
          </w:p>
        </w:tc>
        <w:tc>
          <w:tcPr>
            <w:tcW w:w="699" w:type="pct"/>
            <w:shd w:val="clear" w:color="auto" w:fill="auto"/>
            <w:vAlign w:val="center"/>
          </w:tcPr>
          <w:p w14:paraId="2B502D4D" w14:textId="77777777" w:rsidR="00F80191" w:rsidRPr="000366BF" w:rsidRDefault="00F80191" w:rsidP="008655CD">
            <w:pPr>
              <w:pStyle w:val="COMTabletext"/>
              <w:keepLines/>
              <w:jc w:val="center"/>
            </w:pPr>
            <w:r w:rsidRPr="000366BF">
              <w:t>7.7%</w:t>
            </w:r>
          </w:p>
        </w:tc>
        <w:tc>
          <w:tcPr>
            <w:tcW w:w="699" w:type="pct"/>
            <w:vAlign w:val="center"/>
          </w:tcPr>
          <w:p w14:paraId="3DE6A92E" w14:textId="77777777" w:rsidR="00F80191" w:rsidRPr="000366BF" w:rsidRDefault="00F80191" w:rsidP="008655CD">
            <w:pPr>
              <w:pStyle w:val="COMTabletext"/>
              <w:keepLines/>
              <w:jc w:val="center"/>
            </w:pPr>
            <w:r w:rsidRPr="000366BF">
              <w:t>7.7%</w:t>
            </w:r>
          </w:p>
        </w:tc>
      </w:tr>
      <w:tr w:rsidR="00F80191" w:rsidRPr="00392B10" w14:paraId="3DE0C1AE" w14:textId="77777777" w:rsidTr="003B634A">
        <w:trPr>
          <w:cantSplit/>
          <w:jc w:val="center"/>
        </w:trPr>
        <w:tc>
          <w:tcPr>
            <w:tcW w:w="815" w:type="pct"/>
            <w:shd w:val="clear" w:color="auto" w:fill="auto"/>
            <w:vAlign w:val="center"/>
          </w:tcPr>
          <w:p w14:paraId="5C83FCD5" w14:textId="77777777" w:rsidR="00F80191" w:rsidRPr="000366BF" w:rsidRDefault="00F80191" w:rsidP="008655CD">
            <w:pPr>
              <w:pStyle w:val="COMTabletext"/>
              <w:keepLines/>
            </w:pPr>
            <w:r w:rsidRPr="000366BF">
              <w:t>Dose intensity</w:t>
            </w:r>
          </w:p>
        </w:tc>
        <w:tc>
          <w:tcPr>
            <w:tcW w:w="697" w:type="pct"/>
            <w:shd w:val="clear" w:color="auto" w:fill="auto"/>
            <w:vAlign w:val="center"/>
          </w:tcPr>
          <w:p w14:paraId="4E87568A" w14:textId="77777777" w:rsidR="00F80191" w:rsidRPr="000366BF" w:rsidRDefault="00F80191" w:rsidP="008655CD">
            <w:pPr>
              <w:pStyle w:val="COMTabletext"/>
              <w:keepLines/>
              <w:jc w:val="center"/>
              <w:rPr>
                <w:vertAlign w:val="superscript"/>
              </w:rPr>
            </w:pPr>
            <w:r w:rsidRPr="000366BF">
              <w:t xml:space="preserve">98.7% </w:t>
            </w:r>
            <w:r w:rsidRPr="000366BF">
              <w:rPr>
                <w:vertAlign w:val="superscript"/>
              </w:rPr>
              <w:t>i</w:t>
            </w:r>
          </w:p>
        </w:tc>
        <w:tc>
          <w:tcPr>
            <w:tcW w:w="696" w:type="pct"/>
            <w:shd w:val="clear" w:color="auto" w:fill="auto"/>
            <w:vAlign w:val="center"/>
          </w:tcPr>
          <w:p w14:paraId="390FB9D6" w14:textId="77777777" w:rsidR="00F80191" w:rsidRPr="000366BF" w:rsidRDefault="00F80191" w:rsidP="008655CD">
            <w:pPr>
              <w:pStyle w:val="COMTabletext"/>
              <w:keepLines/>
              <w:jc w:val="center"/>
            </w:pPr>
            <w:r w:rsidRPr="000366BF">
              <w:rPr>
                <w:bCs w:val="0"/>
              </w:rPr>
              <w:t>100%</w:t>
            </w:r>
          </w:p>
        </w:tc>
        <w:tc>
          <w:tcPr>
            <w:tcW w:w="698" w:type="pct"/>
            <w:shd w:val="clear" w:color="auto" w:fill="auto"/>
            <w:vAlign w:val="center"/>
          </w:tcPr>
          <w:p w14:paraId="2B590815" w14:textId="77777777" w:rsidR="00F80191" w:rsidRPr="000366BF" w:rsidRDefault="00F80191" w:rsidP="008655CD">
            <w:pPr>
              <w:pStyle w:val="COMTabletext"/>
              <w:keepLines/>
              <w:jc w:val="center"/>
            </w:pPr>
            <w:r w:rsidRPr="000366BF">
              <w:rPr>
                <w:bCs w:val="0"/>
              </w:rPr>
              <w:t>100%</w:t>
            </w:r>
          </w:p>
        </w:tc>
        <w:tc>
          <w:tcPr>
            <w:tcW w:w="696" w:type="pct"/>
            <w:shd w:val="clear" w:color="auto" w:fill="auto"/>
            <w:vAlign w:val="center"/>
          </w:tcPr>
          <w:p w14:paraId="1197D018" w14:textId="77777777" w:rsidR="00F80191" w:rsidRPr="000366BF" w:rsidRDefault="00F80191" w:rsidP="008655CD">
            <w:pPr>
              <w:pStyle w:val="COMTabletext"/>
              <w:keepLines/>
              <w:jc w:val="center"/>
              <w:rPr>
                <w:vertAlign w:val="superscript"/>
              </w:rPr>
            </w:pPr>
            <w:r w:rsidRPr="000366BF">
              <w:t xml:space="preserve">98.7% </w:t>
            </w:r>
            <w:r w:rsidRPr="000366BF">
              <w:rPr>
                <w:vertAlign w:val="superscript"/>
              </w:rPr>
              <w:t>i</w:t>
            </w:r>
          </w:p>
        </w:tc>
        <w:tc>
          <w:tcPr>
            <w:tcW w:w="699" w:type="pct"/>
            <w:shd w:val="clear" w:color="auto" w:fill="auto"/>
            <w:vAlign w:val="center"/>
          </w:tcPr>
          <w:p w14:paraId="0816E09E" w14:textId="77777777" w:rsidR="00F80191" w:rsidRPr="000366BF" w:rsidRDefault="00F80191" w:rsidP="008655CD">
            <w:pPr>
              <w:pStyle w:val="COMTabletext"/>
              <w:keepLines/>
              <w:jc w:val="center"/>
            </w:pPr>
            <w:r w:rsidRPr="000366BF">
              <w:rPr>
                <w:bCs w:val="0"/>
              </w:rPr>
              <w:t>100%</w:t>
            </w:r>
          </w:p>
        </w:tc>
        <w:tc>
          <w:tcPr>
            <w:tcW w:w="699" w:type="pct"/>
            <w:vAlign w:val="center"/>
          </w:tcPr>
          <w:p w14:paraId="70B3D434" w14:textId="77777777" w:rsidR="00F80191" w:rsidRPr="000366BF" w:rsidRDefault="00F80191" w:rsidP="008655CD">
            <w:pPr>
              <w:pStyle w:val="COMTabletext"/>
              <w:keepLines/>
              <w:jc w:val="center"/>
            </w:pPr>
            <w:r w:rsidRPr="000366BF">
              <w:rPr>
                <w:bCs w:val="0"/>
              </w:rPr>
              <w:t>100%</w:t>
            </w:r>
          </w:p>
        </w:tc>
      </w:tr>
      <w:tr w:rsidR="00F80191" w:rsidRPr="00392B10" w14:paraId="76591A84" w14:textId="77777777" w:rsidTr="003B634A">
        <w:trPr>
          <w:cantSplit/>
          <w:jc w:val="center"/>
        </w:trPr>
        <w:tc>
          <w:tcPr>
            <w:tcW w:w="815" w:type="pct"/>
            <w:shd w:val="clear" w:color="auto" w:fill="auto"/>
            <w:vAlign w:val="center"/>
          </w:tcPr>
          <w:p w14:paraId="7273148A" w14:textId="77777777" w:rsidR="00F80191" w:rsidRPr="000366BF" w:rsidRDefault="00F80191" w:rsidP="008655CD">
            <w:pPr>
              <w:pStyle w:val="COMTabletext"/>
              <w:keepLines/>
              <w:rPr>
                <w:vertAlign w:val="superscript"/>
              </w:rPr>
            </w:pPr>
            <w:r w:rsidRPr="000366BF">
              <w:t xml:space="preserve">Adjusted cost </w:t>
            </w:r>
            <w:r w:rsidRPr="000366BF">
              <w:rPr>
                <w:vertAlign w:val="superscript"/>
              </w:rPr>
              <w:t>j</w:t>
            </w:r>
          </w:p>
        </w:tc>
        <w:tc>
          <w:tcPr>
            <w:tcW w:w="697" w:type="pct"/>
            <w:shd w:val="clear" w:color="auto" w:fill="auto"/>
            <w:vAlign w:val="center"/>
          </w:tcPr>
          <w:p w14:paraId="43E7D44A" w14:textId="77777777" w:rsidR="00F80191" w:rsidRPr="000366BF" w:rsidRDefault="00F80191" w:rsidP="008655CD">
            <w:pPr>
              <w:pStyle w:val="COMTabletext"/>
              <w:keepLines/>
              <w:jc w:val="center"/>
            </w:pPr>
            <w:r w:rsidRPr="000366BF">
              <w:t>-</w:t>
            </w:r>
          </w:p>
        </w:tc>
        <w:tc>
          <w:tcPr>
            <w:tcW w:w="696" w:type="pct"/>
            <w:shd w:val="clear" w:color="auto" w:fill="auto"/>
            <w:vAlign w:val="center"/>
          </w:tcPr>
          <w:p w14:paraId="2FC7F2ED" w14:textId="6B971133" w:rsidR="00F80191" w:rsidRPr="000366BF" w:rsidRDefault="00F80191" w:rsidP="008655CD">
            <w:pPr>
              <w:pStyle w:val="COMTabletext"/>
              <w:keepLines/>
              <w:jc w:val="center"/>
              <w:rPr>
                <w:bCs w:val="0"/>
              </w:rPr>
            </w:pPr>
            <w:r w:rsidRPr="000366BF">
              <w:rPr>
                <w:bCs w:val="0"/>
              </w:rPr>
              <w:t>$</w:t>
            </w:r>
            <w:r w:rsidR="00EA163B" w:rsidRPr="00EA163B">
              <w:rPr>
                <w:bCs w:val="0"/>
                <w:color w:val="000000"/>
                <w:shd w:val="solid" w:color="000000" w:fill="000000"/>
                <w14:textFill>
                  <w14:solidFill>
                    <w14:srgbClr w14:val="000000">
                      <w14:alpha w14:val="100000"/>
                    </w14:srgbClr>
                  </w14:solidFill>
                </w14:textFill>
              </w:rPr>
              <w:t>|</w:t>
            </w:r>
          </w:p>
        </w:tc>
        <w:tc>
          <w:tcPr>
            <w:tcW w:w="698" w:type="pct"/>
            <w:shd w:val="clear" w:color="auto" w:fill="auto"/>
            <w:vAlign w:val="center"/>
          </w:tcPr>
          <w:p w14:paraId="24BF31FC" w14:textId="5102CAD8" w:rsidR="00F80191" w:rsidRPr="000366BF" w:rsidRDefault="00F80191" w:rsidP="008655CD">
            <w:pPr>
              <w:pStyle w:val="COMTabletext"/>
              <w:keepLines/>
              <w:jc w:val="center"/>
            </w:pPr>
            <w:r w:rsidRPr="000366BF">
              <w:rPr>
                <w:bCs w:val="0"/>
              </w:rPr>
              <w:t>$</w:t>
            </w:r>
            <w:r w:rsidR="00EA163B" w:rsidRPr="00EA163B">
              <w:rPr>
                <w:bCs w:val="0"/>
                <w:color w:val="000000"/>
                <w:shd w:val="solid" w:color="000000" w:fill="000000"/>
                <w14:textFill>
                  <w14:solidFill>
                    <w14:srgbClr w14:val="000000">
                      <w14:alpha w14:val="100000"/>
                    </w14:srgbClr>
                  </w14:solidFill>
                </w14:textFill>
              </w:rPr>
              <w:t>|</w:t>
            </w:r>
          </w:p>
        </w:tc>
        <w:tc>
          <w:tcPr>
            <w:tcW w:w="696" w:type="pct"/>
            <w:shd w:val="clear" w:color="auto" w:fill="auto"/>
            <w:vAlign w:val="center"/>
          </w:tcPr>
          <w:p w14:paraId="55ED59C0" w14:textId="77777777" w:rsidR="00F80191" w:rsidRPr="000366BF" w:rsidRDefault="00F80191" w:rsidP="008655CD">
            <w:pPr>
              <w:pStyle w:val="COMTabletext"/>
              <w:keepLines/>
              <w:jc w:val="center"/>
            </w:pPr>
            <w:r w:rsidRPr="000366BF">
              <w:t>-</w:t>
            </w:r>
          </w:p>
        </w:tc>
        <w:tc>
          <w:tcPr>
            <w:tcW w:w="699" w:type="pct"/>
            <w:shd w:val="clear" w:color="auto" w:fill="auto"/>
            <w:vAlign w:val="center"/>
          </w:tcPr>
          <w:p w14:paraId="0D99065A" w14:textId="77777777" w:rsidR="00F80191" w:rsidRPr="000366BF" w:rsidRDefault="00F80191" w:rsidP="008655CD">
            <w:pPr>
              <w:pStyle w:val="COMTabletext"/>
              <w:keepLines/>
              <w:jc w:val="center"/>
              <w:rPr>
                <w:bCs w:val="0"/>
              </w:rPr>
            </w:pPr>
            <w:r w:rsidRPr="000366BF">
              <w:rPr>
                <w:bCs w:val="0"/>
              </w:rPr>
              <w:t>$93.67</w:t>
            </w:r>
          </w:p>
        </w:tc>
        <w:tc>
          <w:tcPr>
            <w:tcW w:w="699" w:type="pct"/>
            <w:vAlign w:val="center"/>
          </w:tcPr>
          <w:p w14:paraId="429557E1" w14:textId="77777777" w:rsidR="00F80191" w:rsidRPr="000366BF" w:rsidRDefault="00F80191" w:rsidP="008655CD">
            <w:pPr>
              <w:pStyle w:val="COMTabletext"/>
              <w:keepLines/>
              <w:jc w:val="center"/>
            </w:pPr>
            <w:r w:rsidRPr="000366BF">
              <w:rPr>
                <w:bCs w:val="0"/>
              </w:rPr>
              <w:t>$104.38</w:t>
            </w:r>
          </w:p>
        </w:tc>
      </w:tr>
      <w:tr w:rsidR="00F80191" w:rsidRPr="00392B10" w14:paraId="10D11862" w14:textId="77777777" w:rsidTr="003B634A">
        <w:trPr>
          <w:cantSplit/>
          <w:jc w:val="center"/>
        </w:trPr>
        <w:tc>
          <w:tcPr>
            <w:tcW w:w="815" w:type="pct"/>
            <w:shd w:val="clear" w:color="auto" w:fill="auto"/>
            <w:vAlign w:val="center"/>
          </w:tcPr>
          <w:p w14:paraId="535B3A9B" w14:textId="77777777" w:rsidR="00F80191" w:rsidRPr="000366BF" w:rsidRDefault="00F80191" w:rsidP="003B634A">
            <w:pPr>
              <w:pStyle w:val="COMTabletext"/>
              <w:keepNext w:val="0"/>
              <w:rPr>
                <w:b/>
                <w:bCs w:val="0"/>
              </w:rPr>
            </w:pPr>
            <w:r w:rsidRPr="000366BF">
              <w:rPr>
                <w:b/>
                <w:bCs w:val="0"/>
              </w:rPr>
              <w:t>Total cost</w:t>
            </w:r>
          </w:p>
        </w:tc>
        <w:tc>
          <w:tcPr>
            <w:tcW w:w="697" w:type="pct"/>
            <w:shd w:val="clear" w:color="auto" w:fill="auto"/>
            <w:vAlign w:val="center"/>
          </w:tcPr>
          <w:p w14:paraId="6DE42180" w14:textId="77777777" w:rsidR="00F80191" w:rsidRPr="000366BF" w:rsidRDefault="00F80191" w:rsidP="003B634A">
            <w:pPr>
              <w:pStyle w:val="COMTabletext"/>
              <w:keepNext w:val="0"/>
              <w:jc w:val="center"/>
              <w:rPr>
                <w:b/>
              </w:rPr>
            </w:pPr>
            <w:r w:rsidRPr="000366BF">
              <w:rPr>
                <w:b/>
              </w:rPr>
              <w:t>-</w:t>
            </w:r>
          </w:p>
        </w:tc>
        <w:tc>
          <w:tcPr>
            <w:tcW w:w="696" w:type="pct"/>
            <w:shd w:val="clear" w:color="auto" w:fill="auto"/>
            <w:vAlign w:val="center"/>
          </w:tcPr>
          <w:p w14:paraId="63E6197E" w14:textId="7F30A903" w:rsidR="00F80191" w:rsidRPr="000366BF" w:rsidRDefault="00F80191" w:rsidP="003B634A">
            <w:pPr>
              <w:pStyle w:val="COMTabletext"/>
              <w:keepNext w:val="0"/>
              <w:jc w:val="center"/>
              <w:rPr>
                <w:b/>
              </w:rPr>
            </w:pPr>
            <w:r w:rsidRPr="000366BF">
              <w:rPr>
                <w:b/>
              </w:rPr>
              <w:t>$</w:t>
            </w:r>
            <w:r w:rsidR="00EA163B" w:rsidRPr="00EA163B">
              <w:rPr>
                <w:rFonts w:hint="eastAsia"/>
                <w:b/>
                <w:color w:val="000000"/>
                <w:w w:val="15"/>
                <w:shd w:val="solid" w:color="000000" w:fill="000000"/>
                <w:fitText w:val="36" w:id="-1171540219"/>
                <w14:textFill>
                  <w14:solidFill>
                    <w14:srgbClr w14:val="000000">
                      <w14:alpha w14:val="100000"/>
                    </w14:srgbClr>
                  </w14:solidFill>
                </w14:textFill>
              </w:rPr>
              <w:t xml:space="preserve">　</w:t>
            </w:r>
            <w:r w:rsidR="00EA163B" w:rsidRPr="00EA163B">
              <w:rPr>
                <w:b/>
                <w:color w:val="000000"/>
                <w:w w:val="15"/>
                <w:shd w:val="solid" w:color="000000" w:fill="000000"/>
                <w:fitText w:val="36" w:id="-1171540219"/>
                <w14:textFill>
                  <w14:solidFill>
                    <w14:srgbClr w14:val="000000">
                      <w14:alpha w14:val="100000"/>
                    </w14:srgbClr>
                  </w14:solidFill>
                </w14:textFill>
              </w:rPr>
              <w:t>|</w:t>
            </w:r>
            <w:r w:rsidR="00EA163B" w:rsidRPr="00EA163B">
              <w:rPr>
                <w:rFonts w:hint="eastAsia"/>
                <w:b/>
                <w:color w:val="000000"/>
                <w:spacing w:val="-30"/>
                <w:w w:val="15"/>
                <w:shd w:val="solid" w:color="000000" w:fill="000000"/>
                <w:fitText w:val="36" w:id="-1171540219"/>
                <w14:textFill>
                  <w14:solidFill>
                    <w14:srgbClr w14:val="000000">
                      <w14:alpha w14:val="100000"/>
                    </w14:srgbClr>
                  </w14:solidFill>
                </w14:textFill>
              </w:rPr>
              <w:t xml:space="preserve">　</w:t>
            </w:r>
          </w:p>
        </w:tc>
        <w:tc>
          <w:tcPr>
            <w:tcW w:w="698" w:type="pct"/>
            <w:shd w:val="clear" w:color="auto" w:fill="auto"/>
            <w:vAlign w:val="center"/>
          </w:tcPr>
          <w:p w14:paraId="0D6CE97E" w14:textId="5E199F5C" w:rsidR="00F80191" w:rsidRPr="000366BF" w:rsidRDefault="00F80191" w:rsidP="003B634A">
            <w:pPr>
              <w:pStyle w:val="COMTabletext"/>
              <w:keepNext w:val="0"/>
              <w:jc w:val="center"/>
              <w:rPr>
                <w:b/>
              </w:rPr>
            </w:pPr>
            <w:r w:rsidRPr="000366BF">
              <w:rPr>
                <w:b/>
              </w:rPr>
              <w:t>$</w:t>
            </w:r>
            <w:r w:rsidR="00EA163B" w:rsidRPr="00EA163B">
              <w:rPr>
                <w:rFonts w:hint="eastAsia"/>
                <w:b/>
                <w:color w:val="000000"/>
                <w:w w:val="15"/>
                <w:shd w:val="solid" w:color="000000" w:fill="000000"/>
                <w:fitText w:val="28" w:id="-1171540218"/>
                <w14:textFill>
                  <w14:solidFill>
                    <w14:srgbClr w14:val="000000">
                      <w14:alpha w14:val="100000"/>
                    </w14:srgbClr>
                  </w14:solidFill>
                </w14:textFill>
              </w:rPr>
              <w:t xml:space="preserve">　</w:t>
            </w:r>
            <w:r w:rsidR="00EA163B" w:rsidRPr="00EA163B">
              <w:rPr>
                <w:b/>
                <w:color w:val="000000"/>
                <w:w w:val="15"/>
                <w:shd w:val="solid" w:color="000000" w:fill="000000"/>
                <w:fitText w:val="28" w:id="-1171540218"/>
                <w14:textFill>
                  <w14:solidFill>
                    <w14:srgbClr w14:val="000000">
                      <w14:alpha w14:val="100000"/>
                    </w14:srgbClr>
                  </w14:solidFill>
                </w14:textFill>
              </w:rPr>
              <w:t>|</w:t>
            </w:r>
            <w:r w:rsidR="00EA163B" w:rsidRPr="00EA163B">
              <w:rPr>
                <w:rFonts w:hint="eastAsia"/>
                <w:b/>
                <w:color w:val="000000"/>
                <w:spacing w:val="-38"/>
                <w:w w:val="15"/>
                <w:shd w:val="solid" w:color="000000" w:fill="000000"/>
                <w:fitText w:val="28" w:id="-1171540218"/>
                <w14:textFill>
                  <w14:solidFill>
                    <w14:srgbClr w14:val="000000">
                      <w14:alpha w14:val="100000"/>
                    </w14:srgbClr>
                  </w14:solidFill>
                </w14:textFill>
              </w:rPr>
              <w:t xml:space="preserve">　</w:t>
            </w:r>
          </w:p>
        </w:tc>
        <w:tc>
          <w:tcPr>
            <w:tcW w:w="696" w:type="pct"/>
            <w:shd w:val="clear" w:color="auto" w:fill="auto"/>
            <w:vAlign w:val="center"/>
          </w:tcPr>
          <w:p w14:paraId="26463DC6" w14:textId="77777777" w:rsidR="00F80191" w:rsidRPr="000366BF" w:rsidRDefault="00F80191" w:rsidP="003B634A">
            <w:pPr>
              <w:pStyle w:val="COMTabletext"/>
              <w:keepNext w:val="0"/>
              <w:jc w:val="center"/>
              <w:rPr>
                <w:b/>
              </w:rPr>
            </w:pPr>
            <w:r w:rsidRPr="000366BF">
              <w:rPr>
                <w:b/>
              </w:rPr>
              <w:t>-</w:t>
            </w:r>
          </w:p>
        </w:tc>
        <w:tc>
          <w:tcPr>
            <w:tcW w:w="699" w:type="pct"/>
            <w:shd w:val="clear" w:color="auto" w:fill="auto"/>
            <w:vAlign w:val="center"/>
          </w:tcPr>
          <w:p w14:paraId="6FBC94D7" w14:textId="77777777" w:rsidR="00F80191" w:rsidRPr="000366BF" w:rsidRDefault="00F80191" w:rsidP="003B634A">
            <w:pPr>
              <w:pStyle w:val="COMTabletext"/>
              <w:keepNext w:val="0"/>
              <w:jc w:val="center"/>
              <w:rPr>
                <w:b/>
              </w:rPr>
            </w:pPr>
            <w:r w:rsidRPr="000366BF">
              <w:rPr>
                <w:b/>
              </w:rPr>
              <w:t>$2,499.49</w:t>
            </w:r>
          </w:p>
        </w:tc>
        <w:tc>
          <w:tcPr>
            <w:tcW w:w="699" w:type="pct"/>
          </w:tcPr>
          <w:p w14:paraId="30A6F9FC" w14:textId="77777777" w:rsidR="00F80191" w:rsidRPr="000366BF" w:rsidRDefault="00F80191" w:rsidP="003B634A">
            <w:pPr>
              <w:pStyle w:val="COMTabletext"/>
              <w:keepNext w:val="0"/>
              <w:jc w:val="center"/>
              <w:rPr>
                <w:b/>
              </w:rPr>
            </w:pPr>
            <w:r w:rsidRPr="000366BF">
              <w:rPr>
                <w:b/>
              </w:rPr>
              <w:t>$2,783.43</w:t>
            </w:r>
          </w:p>
        </w:tc>
      </w:tr>
    </w:tbl>
    <w:p w14:paraId="40A1274A" w14:textId="26000A9B" w:rsidR="00F80191" w:rsidRPr="00392B10" w:rsidRDefault="00F80191" w:rsidP="002B0CC3">
      <w:pPr>
        <w:pStyle w:val="COMTablefooter"/>
        <w:spacing w:after="0"/>
      </w:pPr>
      <w:r w:rsidRPr="00392B10">
        <w:t>Source: Constructed during the evaluation based on the Section 3 economic model Excel workbook, the Section 4 financial implications Excel workbook.</w:t>
      </w:r>
    </w:p>
    <w:p w14:paraId="6AA3A0A4" w14:textId="60A04C12" w:rsidR="002B0CC3" w:rsidRPr="00392B10" w:rsidRDefault="002B0CC3" w:rsidP="002B0CC3">
      <w:pPr>
        <w:rPr>
          <w:rFonts w:ascii="Arial Narrow" w:hAnsi="Arial Narrow"/>
          <w:sz w:val="18"/>
          <w:szCs w:val="18"/>
        </w:rPr>
      </w:pPr>
      <w:r w:rsidRPr="00392B10">
        <w:rPr>
          <w:rFonts w:ascii="Arial Narrow" w:hAnsi="Arial Narrow"/>
          <w:sz w:val="18"/>
          <w:szCs w:val="18"/>
        </w:rPr>
        <w:t>AEMP = approved ex-manufacturer price</w:t>
      </w:r>
    </w:p>
    <w:p w14:paraId="016D2ADD" w14:textId="77777777" w:rsidR="00F80191" w:rsidRPr="00392B10" w:rsidRDefault="00F80191" w:rsidP="00F80191">
      <w:pPr>
        <w:pStyle w:val="COMTablefooter"/>
        <w:rPr>
          <w:vertAlign w:val="superscript"/>
        </w:rPr>
      </w:pPr>
      <w:r w:rsidRPr="00392B10">
        <w:rPr>
          <w:vertAlign w:val="superscript"/>
        </w:rPr>
        <w:t>a</w:t>
      </w:r>
      <w:r w:rsidRPr="00392B10">
        <w:t xml:space="preserve"> Patients in Study 301 received treatment with daunorubicin 100 mg/m</w:t>
      </w:r>
      <w:r w:rsidRPr="00392B10">
        <w:rPr>
          <w:vertAlign w:val="superscript"/>
        </w:rPr>
        <w:t>2</w:t>
      </w:r>
      <w:r w:rsidRPr="00392B10">
        <w:t xml:space="preserve"> whereas the economic and financial estimates assumed treatment with idarubicin 12 mg/</w:t>
      </w:r>
      <w:proofErr w:type="gramStart"/>
      <w:r w:rsidRPr="00392B10">
        <w:t>m</w:t>
      </w:r>
      <w:r w:rsidRPr="00392B10">
        <w:rPr>
          <w:vertAlign w:val="superscript"/>
        </w:rPr>
        <w:t>2</w:t>
      </w:r>
      <w:proofErr w:type="gramEnd"/>
    </w:p>
    <w:p w14:paraId="5411FFC1" w14:textId="6EF36F3F" w:rsidR="00F80191" w:rsidRPr="00392B10" w:rsidRDefault="00F80191" w:rsidP="00F80191">
      <w:pPr>
        <w:pStyle w:val="COMTablefooter"/>
      </w:pPr>
      <w:r w:rsidRPr="00392B10">
        <w:rPr>
          <w:vertAlign w:val="superscript"/>
        </w:rPr>
        <w:lastRenderedPageBreak/>
        <w:t>b</w:t>
      </w:r>
      <w:r w:rsidRPr="00392B10">
        <w:t xml:space="preserve"> Based on the proposed effective AEMP per vial of $</w:t>
      </w:r>
      <w:r w:rsidR="00EA163B" w:rsidRPr="00EA163B">
        <w:rPr>
          <w:color w:val="000000"/>
          <w:spacing w:val="38"/>
          <w:shd w:val="solid" w:color="000000" w:fill="000000"/>
          <w:fitText w:val="274" w:id="-1171540217"/>
          <w14:textFill>
            <w14:solidFill>
              <w14:srgbClr w14:val="000000">
                <w14:alpha w14:val="100000"/>
              </w14:srgbClr>
            </w14:solidFill>
          </w14:textFill>
        </w:rPr>
        <w:t xml:space="preserve">|  </w:t>
      </w:r>
      <w:r w:rsidR="00EA163B" w:rsidRPr="00EA163B">
        <w:rPr>
          <w:color w:val="000000"/>
          <w:spacing w:val="2"/>
          <w:shd w:val="solid" w:color="000000" w:fill="000000"/>
          <w:fitText w:val="274" w:id="-1171540217"/>
          <w14:textFill>
            <w14:solidFill>
              <w14:srgbClr w14:val="000000">
                <w14:alpha w14:val="100000"/>
              </w14:srgbClr>
            </w14:solidFill>
          </w14:textFill>
        </w:rPr>
        <w:t>|</w:t>
      </w:r>
      <w:r w:rsidRPr="00392B10">
        <w:t>, assuming an average of 2.44 vials per treatment for a 44 mg/m</w:t>
      </w:r>
      <w:r w:rsidRPr="00392B10">
        <w:rPr>
          <w:vertAlign w:val="superscript"/>
        </w:rPr>
        <w:t>2</w:t>
      </w:r>
      <w:r w:rsidRPr="00392B10">
        <w:t>/100 mg/m</w:t>
      </w:r>
      <w:r w:rsidRPr="00392B10">
        <w:rPr>
          <w:vertAlign w:val="superscript"/>
        </w:rPr>
        <w:t>2</w:t>
      </w:r>
      <w:r w:rsidRPr="00392B10">
        <w:t xml:space="preserve"> dose and 1.97 vials for a 29 mg/m</w:t>
      </w:r>
      <w:r w:rsidRPr="00392B10">
        <w:rPr>
          <w:vertAlign w:val="superscript"/>
        </w:rPr>
        <w:t>2</w:t>
      </w:r>
      <w:r w:rsidRPr="00392B10">
        <w:t>/65 mg/m</w:t>
      </w:r>
      <w:r w:rsidRPr="00392B10">
        <w:rPr>
          <w:vertAlign w:val="superscript"/>
        </w:rPr>
        <w:t>2</w:t>
      </w:r>
      <w:r w:rsidRPr="00392B10">
        <w:t xml:space="preserve"> dose, and a 46.79%:53.21% public/private hospital split</w:t>
      </w:r>
    </w:p>
    <w:p w14:paraId="518D740B" w14:textId="66881D2F" w:rsidR="00F80191" w:rsidRPr="00392B10" w:rsidRDefault="00F80191" w:rsidP="00F80191">
      <w:pPr>
        <w:pStyle w:val="COMTablefooter"/>
      </w:pPr>
      <w:r w:rsidRPr="00392B10">
        <w:rPr>
          <w:vertAlign w:val="superscript"/>
        </w:rPr>
        <w:t>c</w:t>
      </w:r>
      <w:r w:rsidRPr="00392B10">
        <w:t xml:space="preserve"> Based on the proposed effective AEMP per vial of $</w:t>
      </w:r>
      <w:r w:rsidR="00EA163B" w:rsidRPr="00EA163B">
        <w:rPr>
          <w:color w:val="000000"/>
          <w:spacing w:val="38"/>
          <w:shd w:val="solid" w:color="000000" w:fill="000000"/>
          <w:fitText w:val="274" w:id="-1171540216"/>
          <w14:textFill>
            <w14:solidFill>
              <w14:srgbClr w14:val="000000">
                <w14:alpha w14:val="100000"/>
              </w14:srgbClr>
            </w14:solidFill>
          </w14:textFill>
        </w:rPr>
        <w:t xml:space="preserve">|  </w:t>
      </w:r>
      <w:r w:rsidR="00EA163B" w:rsidRPr="00EA163B">
        <w:rPr>
          <w:color w:val="000000"/>
          <w:spacing w:val="2"/>
          <w:shd w:val="solid" w:color="000000" w:fill="000000"/>
          <w:fitText w:val="274" w:id="-1171540216"/>
          <w14:textFill>
            <w14:solidFill>
              <w14:srgbClr w14:val="000000">
                <w14:alpha w14:val="100000"/>
              </w14:srgbClr>
            </w14:solidFill>
          </w14:textFill>
        </w:rPr>
        <w:t>|</w:t>
      </w:r>
      <w:r w:rsidRPr="00392B10">
        <w:t>, assuming an average of 2.44 vials per treatment for a 44 mg/m</w:t>
      </w:r>
      <w:r w:rsidRPr="00392B10">
        <w:rPr>
          <w:vertAlign w:val="superscript"/>
        </w:rPr>
        <w:t>2</w:t>
      </w:r>
      <w:r w:rsidRPr="00392B10">
        <w:t>/100 mg/m</w:t>
      </w:r>
      <w:r w:rsidRPr="00392B10">
        <w:rPr>
          <w:vertAlign w:val="superscript"/>
        </w:rPr>
        <w:t>2</w:t>
      </w:r>
      <w:r w:rsidRPr="00392B10">
        <w:t xml:space="preserve"> dose and 1.97 vials for a 29 mg/m</w:t>
      </w:r>
      <w:r w:rsidRPr="00392B10">
        <w:rPr>
          <w:vertAlign w:val="superscript"/>
        </w:rPr>
        <w:t>2</w:t>
      </w:r>
      <w:r w:rsidRPr="00392B10">
        <w:t>/65 mg/m</w:t>
      </w:r>
      <w:r w:rsidRPr="00392B10">
        <w:rPr>
          <w:vertAlign w:val="superscript"/>
        </w:rPr>
        <w:t>2</w:t>
      </w:r>
      <w:r w:rsidRPr="00392B10">
        <w:t xml:space="preserve"> dose, and 100% private hospital use</w:t>
      </w:r>
    </w:p>
    <w:p w14:paraId="3AA9A2A3" w14:textId="77777777" w:rsidR="00F80191" w:rsidRPr="00392B10" w:rsidRDefault="00F80191" w:rsidP="00F80191">
      <w:pPr>
        <w:pStyle w:val="COMTablefooter"/>
      </w:pPr>
      <w:r w:rsidRPr="00392B10">
        <w:rPr>
          <w:vertAlign w:val="superscript"/>
        </w:rPr>
        <w:t>d</w:t>
      </w:r>
      <w:r w:rsidRPr="00392B10">
        <w:t xml:space="preserve"> Based on the published AEMP of $29.91 per 5 mg vial, assuming an average of 5.19 vials per treatment and a 46.79%:53.21% public/private hospital split</w:t>
      </w:r>
    </w:p>
    <w:p w14:paraId="18D11C7C" w14:textId="77777777" w:rsidR="00F80191" w:rsidRPr="00392B10" w:rsidRDefault="00F80191" w:rsidP="00F80191">
      <w:pPr>
        <w:pStyle w:val="COMTablefooter"/>
      </w:pPr>
      <w:r w:rsidRPr="00392B10">
        <w:rPr>
          <w:vertAlign w:val="superscript"/>
        </w:rPr>
        <w:t>e</w:t>
      </w:r>
      <w:r w:rsidRPr="00392B10">
        <w:t xml:space="preserve"> Based on the published AEMP of $56.99 per pack of 5 x 100 mg vials, assuming an average of 2.44 vials per treatment and a 46.79%:53.21% public/private hospital split</w:t>
      </w:r>
    </w:p>
    <w:p w14:paraId="293E8FA6" w14:textId="77777777" w:rsidR="00F80191" w:rsidRPr="00392B10" w:rsidRDefault="00F80191" w:rsidP="00F80191">
      <w:pPr>
        <w:pStyle w:val="COMTablefooter"/>
      </w:pPr>
      <w:r w:rsidRPr="00392B10">
        <w:rPr>
          <w:vertAlign w:val="superscript"/>
        </w:rPr>
        <w:t>f</w:t>
      </w:r>
      <w:r w:rsidRPr="00392B10">
        <w:t xml:space="preserve"> Based on the published AEMP of $29.91 per 5 mg vial, assuming an average of 5.19 vials per treatment and 100% private hospital use</w:t>
      </w:r>
    </w:p>
    <w:p w14:paraId="60199B89" w14:textId="77777777" w:rsidR="00F80191" w:rsidRPr="00392B10" w:rsidRDefault="00F80191" w:rsidP="00F80191">
      <w:pPr>
        <w:pStyle w:val="COMTablefooter"/>
      </w:pPr>
      <w:r w:rsidRPr="00392B10">
        <w:rPr>
          <w:vertAlign w:val="superscript"/>
        </w:rPr>
        <w:t>g</w:t>
      </w:r>
      <w:r w:rsidRPr="00392B10">
        <w:t xml:space="preserve"> Based on the published AEMP of $56.99 per pack of 5 x 100 mg vials, assuming an average of 2.44 vials per treatment and 100% private hospital use</w:t>
      </w:r>
    </w:p>
    <w:p w14:paraId="5170B481" w14:textId="77777777" w:rsidR="00F80191" w:rsidRPr="00392B10" w:rsidRDefault="00F80191" w:rsidP="00F80191">
      <w:pPr>
        <w:pStyle w:val="COMTablefooter"/>
      </w:pPr>
      <w:r w:rsidRPr="00392B10">
        <w:rPr>
          <w:vertAlign w:val="superscript"/>
        </w:rPr>
        <w:t>h</w:t>
      </w:r>
      <w:r w:rsidRPr="00392B10">
        <w:t xml:space="preserve"> Based on cost per dose and number of doses per cycle</w:t>
      </w:r>
    </w:p>
    <w:p w14:paraId="6BC99B9E" w14:textId="77777777" w:rsidR="00F80191" w:rsidRPr="00392B10" w:rsidRDefault="00F80191" w:rsidP="00F80191">
      <w:pPr>
        <w:pStyle w:val="COMTablefooter"/>
      </w:pPr>
      <w:r w:rsidRPr="00392B10">
        <w:rPr>
          <w:vertAlign w:val="superscript"/>
        </w:rPr>
        <w:t>i</w:t>
      </w:r>
      <w:r w:rsidRPr="00392B10">
        <w:t xml:space="preserve"> Excluding patients who had doses held, reduced or interrupted in each treatment cycle in the liposomal daunorubicin and cytarabine and daunorubicin and cytarabine (as proxy for idarubicin and cytarabine) arms Study 301</w:t>
      </w:r>
    </w:p>
    <w:p w14:paraId="3063E5AD" w14:textId="77777777" w:rsidR="00F80191" w:rsidRPr="00392B10" w:rsidRDefault="00F80191" w:rsidP="00F80191">
      <w:pPr>
        <w:pStyle w:val="COMTablefooter"/>
      </w:pPr>
      <w:r w:rsidRPr="00392B10">
        <w:rPr>
          <w:vertAlign w:val="superscript"/>
        </w:rPr>
        <w:t>j</w:t>
      </w:r>
      <w:r w:rsidRPr="00392B10">
        <w:t xml:space="preserve"> Based on cost per cycle adjusted for proportion of patients treated and dose intensity</w:t>
      </w:r>
    </w:p>
    <w:p w14:paraId="036ED945" w14:textId="77777777" w:rsidR="00F80191" w:rsidRPr="00392B10" w:rsidRDefault="00F80191" w:rsidP="00F80191">
      <w:pPr>
        <w:pStyle w:val="COMTablefooter"/>
      </w:pPr>
      <w:r w:rsidRPr="00392B10">
        <w:rPr>
          <w:vertAlign w:val="superscript"/>
        </w:rPr>
        <w:t>k</w:t>
      </w:r>
      <w:r w:rsidRPr="00392B10">
        <w:t xml:space="preserve"> Based on number of patients treated with induction 2 in Year 1 divided by patients treated with induction 1 (40/175 = 22.9%)</w:t>
      </w:r>
    </w:p>
    <w:p w14:paraId="4E91E11D" w14:textId="77777777" w:rsidR="00F80191" w:rsidRPr="00392B10" w:rsidRDefault="00F80191" w:rsidP="00F80191">
      <w:pPr>
        <w:pStyle w:val="COMTablefooter"/>
      </w:pPr>
      <w:r w:rsidRPr="00392B10">
        <w:rPr>
          <w:vertAlign w:val="superscript"/>
        </w:rPr>
        <w:t xml:space="preserve">l </w:t>
      </w:r>
      <w:r w:rsidRPr="00392B10">
        <w:t>Based on number of patients treated with consolidation 1 in Year 1 divided by patients treated with induction 1 (48/175 = 27.4%)</w:t>
      </w:r>
    </w:p>
    <w:p w14:paraId="165F5665" w14:textId="4D760674" w:rsidR="006A43D9" w:rsidRPr="00392B10" w:rsidRDefault="00F80191" w:rsidP="00F80191">
      <w:pPr>
        <w:pStyle w:val="COMTablefooter"/>
        <w:rPr>
          <w:color w:val="0066FF"/>
        </w:rPr>
      </w:pPr>
      <w:r w:rsidRPr="00392B10">
        <w:rPr>
          <w:vertAlign w:val="superscript"/>
        </w:rPr>
        <w:t>m</w:t>
      </w:r>
      <w:r w:rsidRPr="00392B10">
        <w:t xml:space="preserve"> Based on number of patients treated with consolidation 2 in Year 1 divided by patients treated with induction 1 (22/175 = 12.6%)</w:t>
      </w:r>
    </w:p>
    <w:p w14:paraId="268768EF" w14:textId="3626F292" w:rsidR="00B60939" w:rsidRPr="00392B10" w:rsidRDefault="00B60939" w:rsidP="002B05A1">
      <w:pPr>
        <w:pStyle w:val="COMH2-non-numbered"/>
      </w:pPr>
      <w:bookmarkStart w:id="65" w:name="_Toc22897647"/>
      <w:bookmarkStart w:id="66" w:name="_Toc135056608"/>
      <w:bookmarkEnd w:id="59"/>
      <w:r w:rsidRPr="00392B10">
        <w:t xml:space="preserve">Estimated PBS usage &amp; financial </w:t>
      </w:r>
      <w:proofErr w:type="gramStart"/>
      <w:r w:rsidRPr="00392B10">
        <w:t>implications</w:t>
      </w:r>
      <w:bookmarkEnd w:id="65"/>
      <w:bookmarkEnd w:id="66"/>
      <w:proofErr w:type="gramEnd"/>
    </w:p>
    <w:p w14:paraId="5C5759C7" w14:textId="5E0DF546" w:rsidR="001A0E96" w:rsidRPr="00392B10" w:rsidRDefault="001A0E96" w:rsidP="001A0E96">
      <w:pPr>
        <w:pStyle w:val="COMexecsumnumberedpara"/>
        <w:rPr>
          <w:color w:val="0066FF"/>
        </w:rPr>
      </w:pPr>
      <w:r w:rsidRPr="00392B10">
        <w:t xml:space="preserve">This submission </w:t>
      </w:r>
      <w:r w:rsidR="00AC5A84" w:rsidRPr="00392B10">
        <w:t>was</w:t>
      </w:r>
      <w:r w:rsidRPr="00392B10">
        <w:t xml:space="preserve"> considered by DUSC</w:t>
      </w:r>
      <w:r w:rsidRPr="00392B10">
        <w:rPr>
          <w:color w:val="0070C0"/>
        </w:rPr>
        <w:t>.</w:t>
      </w:r>
      <w:r w:rsidRPr="00392B10">
        <w:t xml:space="preserve"> The submission used an epidemiological approach to estimate the utilisation and financial impact associated with the PBS/RPBS listing of liposomal daunorubicin.</w:t>
      </w:r>
    </w:p>
    <w:p w14:paraId="34EE154F" w14:textId="77777777" w:rsidR="001A0E96" w:rsidRPr="000366BF" w:rsidRDefault="001A0E96" w:rsidP="00C21834">
      <w:pPr>
        <w:pStyle w:val="COMTableheadingrow"/>
        <w:rPr>
          <w:lang w:val="en-AU"/>
        </w:rPr>
      </w:pPr>
      <w:r w:rsidRPr="000366BF">
        <w:rPr>
          <w:lang w:val="en-AU"/>
        </w:rPr>
        <w:t xml:space="preserve">Table </w:t>
      </w:r>
      <w:r w:rsidRPr="000366BF">
        <w:rPr>
          <w:lang w:val="en-AU"/>
        </w:rPr>
        <w:fldChar w:fldCharType="begin" w:fldLock="1"/>
      </w:r>
      <w:r w:rsidRPr="000366BF">
        <w:rPr>
          <w:lang w:val="en-AU"/>
        </w:rPr>
        <w:instrText xml:space="preserve"> SEQ Table \* ARABIC </w:instrText>
      </w:r>
      <w:r w:rsidRPr="000366BF">
        <w:rPr>
          <w:lang w:val="en-AU"/>
        </w:rPr>
        <w:fldChar w:fldCharType="separate"/>
      </w:r>
      <w:r w:rsidRPr="000366BF">
        <w:rPr>
          <w:lang w:val="en-AU"/>
        </w:rPr>
        <w:t>15</w:t>
      </w:r>
      <w:r w:rsidRPr="000366BF">
        <w:rPr>
          <w:lang w:val="en-AU"/>
        </w:rPr>
        <w:fldChar w:fldCharType="end"/>
      </w:r>
      <w:r w:rsidRPr="000366BF">
        <w:rPr>
          <w:lang w:val="en-AU"/>
        </w:rPr>
        <w:t xml:space="preserve">: Key inputs to estimate the utilisation of liposomal daunorubicin and </w:t>
      </w:r>
      <w:proofErr w:type="gramStart"/>
      <w:r w:rsidRPr="000366BF">
        <w:rPr>
          <w:lang w:val="en-AU"/>
        </w:rPr>
        <w:t>cytarabine</w:t>
      </w:r>
      <w:proofErr w:type="gramEnd"/>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3252"/>
        <w:gridCol w:w="4052"/>
      </w:tblGrid>
      <w:tr w:rsidR="001A0E96" w:rsidRPr="00392B10" w14:paraId="73F3C7A9" w14:textId="77777777" w:rsidTr="00C21834">
        <w:trPr>
          <w:cantSplit/>
          <w:tblHeader/>
        </w:trPr>
        <w:tc>
          <w:tcPr>
            <w:tcW w:w="950" w:type="pct"/>
            <w:shd w:val="clear" w:color="auto" w:fill="auto"/>
            <w:vAlign w:val="center"/>
          </w:tcPr>
          <w:p w14:paraId="2CB43597" w14:textId="77777777" w:rsidR="001A0E96" w:rsidRPr="00392B10" w:rsidRDefault="001A0E96" w:rsidP="00C21834">
            <w:pPr>
              <w:keepNext/>
              <w:widowControl w:val="0"/>
              <w:jc w:val="left"/>
              <w:rPr>
                <w:rFonts w:ascii="Arial Narrow" w:eastAsiaTheme="majorEastAsia" w:hAnsi="Arial Narrow" w:cs="Times New Roman"/>
                <w:b/>
                <w:sz w:val="20"/>
              </w:rPr>
            </w:pPr>
            <w:r w:rsidRPr="00392B10">
              <w:rPr>
                <w:rFonts w:ascii="Arial Narrow" w:eastAsiaTheme="majorEastAsia" w:hAnsi="Arial Narrow" w:cs="Times New Roman"/>
                <w:b/>
                <w:sz w:val="20"/>
              </w:rPr>
              <w:t>Parameter</w:t>
            </w:r>
          </w:p>
        </w:tc>
        <w:tc>
          <w:tcPr>
            <w:tcW w:w="1803" w:type="pct"/>
            <w:shd w:val="clear" w:color="auto" w:fill="auto"/>
            <w:vAlign w:val="center"/>
          </w:tcPr>
          <w:p w14:paraId="1878BD0C" w14:textId="77777777" w:rsidR="001A0E96" w:rsidRPr="00392B10" w:rsidRDefault="001A0E96" w:rsidP="00C21834">
            <w:pPr>
              <w:keepNext/>
              <w:widowControl w:val="0"/>
              <w:jc w:val="left"/>
              <w:rPr>
                <w:rFonts w:ascii="Arial Narrow" w:eastAsiaTheme="majorEastAsia" w:hAnsi="Arial Narrow" w:cs="Times New Roman"/>
                <w:b/>
                <w:sz w:val="20"/>
              </w:rPr>
            </w:pPr>
            <w:r w:rsidRPr="00392B10">
              <w:rPr>
                <w:rFonts w:ascii="Arial Narrow" w:eastAsiaTheme="majorEastAsia" w:hAnsi="Arial Narrow" w:cs="Times New Roman"/>
                <w:b/>
                <w:sz w:val="20"/>
              </w:rPr>
              <w:t>Value applied and source</w:t>
            </w:r>
          </w:p>
        </w:tc>
        <w:tc>
          <w:tcPr>
            <w:tcW w:w="2247" w:type="pct"/>
            <w:shd w:val="clear" w:color="auto" w:fill="auto"/>
            <w:vAlign w:val="center"/>
          </w:tcPr>
          <w:p w14:paraId="6AF92B01" w14:textId="77777777" w:rsidR="001A0E96" w:rsidRPr="00392B10" w:rsidRDefault="001A0E96" w:rsidP="00C21834">
            <w:pPr>
              <w:keepNext/>
              <w:widowControl w:val="0"/>
              <w:jc w:val="left"/>
              <w:rPr>
                <w:rFonts w:ascii="Arial Narrow" w:eastAsiaTheme="majorEastAsia" w:hAnsi="Arial Narrow" w:cs="Times New Roman"/>
                <w:b/>
                <w:sz w:val="20"/>
              </w:rPr>
            </w:pPr>
            <w:r w:rsidRPr="00392B10">
              <w:rPr>
                <w:rFonts w:ascii="Arial Narrow" w:eastAsiaTheme="majorEastAsia" w:hAnsi="Arial Narrow" w:cs="Times New Roman"/>
                <w:b/>
                <w:sz w:val="20"/>
              </w:rPr>
              <w:t>Comment</w:t>
            </w:r>
          </w:p>
        </w:tc>
      </w:tr>
      <w:tr w:rsidR="001A0E96" w:rsidRPr="00392B10" w14:paraId="1CA03981" w14:textId="77777777" w:rsidTr="00C21834">
        <w:trPr>
          <w:cantSplit/>
        </w:trPr>
        <w:tc>
          <w:tcPr>
            <w:tcW w:w="950" w:type="pct"/>
            <w:shd w:val="clear" w:color="auto" w:fill="auto"/>
            <w:vAlign w:val="center"/>
          </w:tcPr>
          <w:p w14:paraId="6A3F99CD" w14:textId="77777777" w:rsidR="001A0E96" w:rsidRPr="00392B10" w:rsidRDefault="001A0E96" w:rsidP="00C21834">
            <w:pPr>
              <w:keepNext/>
              <w:widowControl w:val="0"/>
              <w:jc w:val="left"/>
              <w:rPr>
                <w:rFonts w:ascii="Arial Narrow" w:eastAsiaTheme="majorEastAsia" w:hAnsi="Arial Narrow" w:cstheme="majorBidi"/>
                <w:bCs/>
                <w:sz w:val="20"/>
              </w:rPr>
            </w:pPr>
            <w:r w:rsidRPr="00392B10">
              <w:rPr>
                <w:rFonts w:ascii="Arial Narrow" w:eastAsiaTheme="majorEastAsia" w:hAnsi="Arial Narrow" w:cstheme="majorBidi"/>
                <w:bCs/>
                <w:sz w:val="20"/>
              </w:rPr>
              <w:t>Incident patients with AML</w:t>
            </w:r>
          </w:p>
        </w:tc>
        <w:tc>
          <w:tcPr>
            <w:tcW w:w="1803" w:type="pct"/>
            <w:shd w:val="clear" w:color="auto" w:fill="auto"/>
            <w:vAlign w:val="center"/>
          </w:tcPr>
          <w:p w14:paraId="24FC2D9C" w14:textId="77777777" w:rsidR="001A0E96" w:rsidRPr="00392B10" w:rsidRDefault="001A0E96" w:rsidP="00C21834">
            <w:pPr>
              <w:keepNext/>
              <w:widowControl w:val="0"/>
              <w:jc w:val="left"/>
              <w:rPr>
                <w:rFonts w:ascii="Arial Narrow" w:eastAsiaTheme="majorEastAsia" w:hAnsi="Arial Narrow" w:cstheme="majorBidi"/>
                <w:bCs/>
                <w:sz w:val="20"/>
              </w:rPr>
            </w:pPr>
            <w:r w:rsidRPr="00392B10">
              <w:rPr>
                <w:rFonts w:ascii="Arial Narrow" w:eastAsiaTheme="majorEastAsia" w:hAnsi="Arial Narrow" w:cstheme="majorBidi"/>
                <w:bCs/>
                <w:sz w:val="20"/>
              </w:rPr>
              <w:t>Average age-specific incidence of AML reported in AIHW Cancer Data in Australia (2022). Fixed incidence over 6 years, applied to Australian population ≥18 years.</w:t>
            </w:r>
          </w:p>
        </w:tc>
        <w:tc>
          <w:tcPr>
            <w:tcW w:w="2247" w:type="pct"/>
            <w:shd w:val="clear" w:color="auto" w:fill="auto"/>
            <w:vAlign w:val="center"/>
          </w:tcPr>
          <w:p w14:paraId="25C8C6ED" w14:textId="67BED661" w:rsidR="00AC5A84" w:rsidRPr="00392B10" w:rsidRDefault="00AC5A84" w:rsidP="00C21834">
            <w:pPr>
              <w:keepNext/>
              <w:widowControl w:val="0"/>
              <w:jc w:val="left"/>
              <w:rPr>
                <w:rFonts w:ascii="Arial Narrow" w:eastAsiaTheme="majorEastAsia" w:hAnsi="Arial Narrow" w:cstheme="majorBidi"/>
                <w:sz w:val="20"/>
              </w:rPr>
            </w:pPr>
            <w:r w:rsidRPr="00392B10">
              <w:rPr>
                <w:rFonts w:ascii="Arial Narrow" w:eastAsiaTheme="majorEastAsia" w:hAnsi="Arial Narrow" w:cstheme="majorBidi"/>
                <w:sz w:val="20"/>
              </w:rPr>
              <w:t>Overall, DUSC considered that the approach was appropriate as incidence of AML has remained relatively constant historically. However, DUSC noted there was uncertainty and possible underestimation for future estimations due to:</w:t>
            </w:r>
          </w:p>
          <w:p w14:paraId="22844040" w14:textId="0FA0EA8A" w:rsidR="00AC5A84" w:rsidRPr="00392B10" w:rsidRDefault="00AC5A84" w:rsidP="00C21834">
            <w:pPr>
              <w:keepNext/>
              <w:widowControl w:val="0"/>
              <w:numPr>
                <w:ilvl w:val="0"/>
                <w:numId w:val="20"/>
              </w:numPr>
              <w:ind w:left="200" w:hanging="200"/>
              <w:jc w:val="left"/>
              <w:rPr>
                <w:rFonts w:ascii="Arial Narrow" w:eastAsiaTheme="majorEastAsia" w:hAnsi="Arial Narrow" w:cstheme="majorBidi"/>
                <w:sz w:val="20"/>
              </w:rPr>
            </w:pPr>
            <w:r w:rsidRPr="00392B10">
              <w:rPr>
                <w:rFonts w:ascii="Arial Narrow" w:eastAsiaTheme="majorEastAsia" w:hAnsi="Arial Narrow" w:cstheme="majorBidi"/>
                <w:sz w:val="20"/>
              </w:rPr>
              <w:t>The ageing Australian population, as t-AML and AML-MRC are more common amongst the elderly and absolute numbers will likely increase.</w:t>
            </w:r>
          </w:p>
          <w:p w14:paraId="796E6EDE" w14:textId="51C47C1A" w:rsidR="001A0E96" w:rsidRPr="00392B10" w:rsidRDefault="00AC5A84" w:rsidP="00C21834">
            <w:pPr>
              <w:keepNext/>
              <w:widowControl w:val="0"/>
              <w:numPr>
                <w:ilvl w:val="0"/>
                <w:numId w:val="20"/>
              </w:numPr>
              <w:ind w:left="200" w:hanging="200"/>
              <w:jc w:val="left"/>
              <w:rPr>
                <w:rFonts w:ascii="Arial Narrow" w:eastAsiaTheme="majorEastAsia" w:hAnsi="Arial Narrow" w:cstheme="majorBidi"/>
                <w:sz w:val="20"/>
              </w:rPr>
            </w:pPr>
            <w:r w:rsidRPr="00392B10">
              <w:rPr>
                <w:rFonts w:ascii="Arial Narrow" w:eastAsiaTheme="majorEastAsia" w:hAnsi="Arial Narrow" w:cstheme="majorBidi"/>
                <w:sz w:val="20"/>
              </w:rPr>
              <w:t>The new WHO classifications (only available in Beta form) are yet to be finalised and it may result in a change in classification of patients as to whether they have t-AML or not.</w:t>
            </w:r>
          </w:p>
        </w:tc>
      </w:tr>
      <w:tr w:rsidR="001A0E96" w:rsidRPr="00392B10" w14:paraId="3B0F3C3C" w14:textId="77777777" w:rsidTr="00C21834">
        <w:trPr>
          <w:cantSplit/>
        </w:trPr>
        <w:tc>
          <w:tcPr>
            <w:tcW w:w="950" w:type="pct"/>
            <w:shd w:val="clear" w:color="auto" w:fill="auto"/>
            <w:vAlign w:val="center"/>
          </w:tcPr>
          <w:p w14:paraId="49CAD145" w14:textId="77777777" w:rsidR="001A0E96" w:rsidRPr="00392B10" w:rsidRDefault="001A0E96" w:rsidP="00C21834">
            <w:pPr>
              <w:keepNext/>
              <w:widowControl w:val="0"/>
              <w:jc w:val="left"/>
              <w:rPr>
                <w:rFonts w:ascii="Arial Narrow" w:eastAsiaTheme="majorEastAsia" w:hAnsi="Arial Narrow" w:cstheme="majorBidi"/>
                <w:bCs/>
                <w:sz w:val="20"/>
              </w:rPr>
            </w:pPr>
            <w:r w:rsidRPr="00392B10">
              <w:rPr>
                <w:rFonts w:ascii="Arial Narrow" w:eastAsiaTheme="majorEastAsia" w:hAnsi="Arial Narrow" w:cstheme="majorBidi"/>
                <w:bCs/>
                <w:sz w:val="20"/>
              </w:rPr>
              <w:t>Patients with t-AML/AML-MRC</w:t>
            </w:r>
          </w:p>
        </w:tc>
        <w:tc>
          <w:tcPr>
            <w:tcW w:w="1803" w:type="pct"/>
            <w:shd w:val="clear" w:color="auto" w:fill="auto"/>
            <w:vAlign w:val="center"/>
          </w:tcPr>
          <w:p w14:paraId="04CB21E1" w14:textId="77777777" w:rsidR="001A0E96" w:rsidRPr="00392B10" w:rsidRDefault="001A0E96" w:rsidP="00C21834">
            <w:pPr>
              <w:keepNext/>
              <w:widowControl w:val="0"/>
              <w:jc w:val="left"/>
              <w:rPr>
                <w:rFonts w:ascii="Arial Narrow" w:eastAsiaTheme="majorEastAsia" w:hAnsi="Arial Narrow" w:cstheme="majorBidi"/>
                <w:bCs/>
                <w:sz w:val="20"/>
              </w:rPr>
            </w:pPr>
            <w:r w:rsidRPr="00392B10">
              <w:rPr>
                <w:rFonts w:ascii="Arial Narrow" w:eastAsiaTheme="majorEastAsia" w:hAnsi="Arial Narrow" w:cstheme="majorBidi"/>
                <w:bCs/>
                <w:sz w:val="20"/>
              </w:rPr>
              <w:t>33.76% based on an Australian registry cohort of patients with t-AML (5.4%) and AML-MRC (28.3%) (ALLG NBCR 2020 report).</w:t>
            </w:r>
          </w:p>
        </w:tc>
        <w:tc>
          <w:tcPr>
            <w:tcW w:w="2247" w:type="pct"/>
            <w:shd w:val="clear" w:color="auto" w:fill="auto"/>
            <w:vAlign w:val="center"/>
          </w:tcPr>
          <w:p w14:paraId="7FDF7818" w14:textId="71ADB5BB" w:rsidR="001A0E96" w:rsidRPr="00392B10" w:rsidRDefault="001A0E96" w:rsidP="00C21834">
            <w:pPr>
              <w:keepNext/>
              <w:widowControl w:val="0"/>
              <w:jc w:val="left"/>
              <w:rPr>
                <w:rFonts w:ascii="Arial Narrow" w:eastAsiaTheme="majorEastAsia" w:hAnsi="Arial Narrow" w:cstheme="majorBidi"/>
                <w:bCs/>
                <w:sz w:val="20"/>
              </w:rPr>
            </w:pPr>
            <w:r w:rsidRPr="00392B10">
              <w:rPr>
                <w:rFonts w:ascii="Arial Narrow" w:eastAsiaTheme="majorEastAsia" w:hAnsi="Arial Narrow" w:cstheme="majorBidi"/>
                <w:bCs/>
                <w:sz w:val="20"/>
              </w:rPr>
              <w:t>The authors of the ALLG NBCR report noted that the registry database has low population coverage, comprising approximately 30% of AML cases reported by the Australian Institute of Health and Welfare (AIHW). The data may not accurately reflect the size of the t-AML/AML MRC population in the Australian setting.</w:t>
            </w:r>
            <w:r w:rsidR="00AC5A84" w:rsidRPr="00392B10">
              <w:rPr>
                <w:rFonts w:ascii="Arial Narrow" w:eastAsiaTheme="majorEastAsia" w:hAnsi="Arial Narrow" w:cstheme="majorBidi"/>
                <w:bCs/>
                <w:sz w:val="20"/>
              </w:rPr>
              <w:t xml:space="preserve"> Further, DUSC noted that the register may not capture the entire patient population as it is based on voluntary data primarily from large referral centres. DUSC considered that the population using this data may be an underestimate.</w:t>
            </w:r>
          </w:p>
        </w:tc>
      </w:tr>
      <w:tr w:rsidR="001A0E96" w:rsidRPr="00392B10" w14:paraId="1761DC7F" w14:textId="77777777" w:rsidTr="00C21834">
        <w:trPr>
          <w:cantSplit/>
        </w:trPr>
        <w:tc>
          <w:tcPr>
            <w:tcW w:w="950" w:type="pct"/>
            <w:shd w:val="clear" w:color="auto" w:fill="auto"/>
            <w:vAlign w:val="center"/>
          </w:tcPr>
          <w:p w14:paraId="5286AC07" w14:textId="77777777" w:rsidR="001A0E96" w:rsidRPr="00392B10" w:rsidRDefault="001A0E96" w:rsidP="00C21834">
            <w:pPr>
              <w:keepNext/>
              <w:widowControl w:val="0"/>
              <w:jc w:val="left"/>
              <w:rPr>
                <w:rFonts w:ascii="Arial Narrow" w:eastAsiaTheme="majorEastAsia" w:hAnsi="Arial Narrow" w:cstheme="majorBidi"/>
                <w:bCs/>
                <w:sz w:val="20"/>
              </w:rPr>
            </w:pPr>
            <w:r w:rsidRPr="00392B10">
              <w:rPr>
                <w:rFonts w:ascii="Arial Narrow" w:eastAsiaTheme="majorEastAsia" w:hAnsi="Arial Narrow" w:cstheme="majorBidi"/>
                <w:bCs/>
                <w:sz w:val="20"/>
              </w:rPr>
              <w:t>Proportion of patients suitable for intensive therapy</w:t>
            </w:r>
          </w:p>
        </w:tc>
        <w:tc>
          <w:tcPr>
            <w:tcW w:w="1803" w:type="pct"/>
            <w:shd w:val="clear" w:color="auto" w:fill="auto"/>
            <w:vAlign w:val="center"/>
          </w:tcPr>
          <w:p w14:paraId="13826768" w14:textId="77777777" w:rsidR="001A0E96" w:rsidRPr="00392B10" w:rsidRDefault="001A0E96" w:rsidP="00C21834">
            <w:pPr>
              <w:keepNext/>
              <w:widowControl w:val="0"/>
              <w:jc w:val="left"/>
              <w:rPr>
                <w:rFonts w:ascii="Arial Narrow" w:eastAsiaTheme="majorEastAsia" w:hAnsi="Arial Narrow" w:cstheme="majorBidi"/>
                <w:bCs/>
                <w:sz w:val="20"/>
              </w:rPr>
            </w:pPr>
            <w:r w:rsidRPr="00392B10">
              <w:rPr>
                <w:rFonts w:ascii="Arial Narrow" w:eastAsiaTheme="majorEastAsia" w:hAnsi="Arial Narrow" w:cstheme="majorBidi"/>
                <w:bCs/>
                <w:sz w:val="20"/>
              </w:rPr>
              <w:t>50%. Based on the average of responses received in the KOL 2021 survey.</w:t>
            </w:r>
          </w:p>
        </w:tc>
        <w:tc>
          <w:tcPr>
            <w:tcW w:w="2247" w:type="pct"/>
            <w:shd w:val="clear" w:color="auto" w:fill="auto"/>
            <w:vAlign w:val="center"/>
          </w:tcPr>
          <w:p w14:paraId="7679018E" w14:textId="77777777" w:rsidR="001A0E96" w:rsidRPr="00392B10" w:rsidRDefault="001A0E96" w:rsidP="00C21834">
            <w:pPr>
              <w:keepNext/>
              <w:widowControl w:val="0"/>
              <w:jc w:val="left"/>
              <w:rPr>
                <w:rFonts w:ascii="Arial Narrow" w:eastAsiaTheme="majorEastAsia" w:hAnsi="Arial Narrow" w:cstheme="majorBidi"/>
                <w:bCs/>
                <w:sz w:val="20"/>
              </w:rPr>
            </w:pPr>
            <w:r w:rsidRPr="00392B10">
              <w:rPr>
                <w:rFonts w:ascii="Arial Narrow" w:eastAsiaTheme="majorEastAsia" w:hAnsi="Arial Narrow" w:cstheme="majorBidi"/>
                <w:bCs/>
                <w:sz w:val="20"/>
              </w:rPr>
              <w:t xml:space="preserve">Responses to the survey varied substantially, with proportions ranging from 5% to 100% of patients suitable for intensive chemotherapy. The applicability of these estimates was uncertain, with no consensus on criteria for suitability for intensive therapy in clinical guidelines and no specific criteria in the proposed restriction. The PBAC has previously considered </w:t>
            </w:r>
            <w:r w:rsidRPr="00392B10">
              <w:rPr>
                <w:rFonts w:ascii="Arial Narrow" w:eastAsiaTheme="majorEastAsia" w:hAnsi="Arial Narrow" w:cstheme="majorBidi"/>
                <w:bCs/>
                <w:sz w:val="20"/>
              </w:rPr>
              <w:lastRenderedPageBreak/>
              <w:t>higher proportions of patients who are fit for intensive therapy in other AML populations (62% in gemtuzumab November 2021, 65% in venetoclax July 2021 and 61% in azacitidine July 2022 submissions).</w:t>
            </w:r>
          </w:p>
          <w:p w14:paraId="0CC5B29D" w14:textId="0A70B7F5" w:rsidR="00AC5A84" w:rsidRPr="00392B10" w:rsidRDefault="00AC5A84" w:rsidP="00C21834">
            <w:pPr>
              <w:keepNext/>
              <w:widowControl w:val="0"/>
              <w:jc w:val="left"/>
              <w:rPr>
                <w:rFonts w:ascii="Arial Narrow" w:eastAsiaTheme="majorEastAsia" w:hAnsi="Arial Narrow" w:cstheme="majorBidi"/>
                <w:bCs/>
                <w:sz w:val="20"/>
              </w:rPr>
            </w:pPr>
            <w:r w:rsidRPr="00392B10">
              <w:rPr>
                <w:rFonts w:ascii="Arial Narrow" w:eastAsiaTheme="majorEastAsia" w:hAnsi="Arial Narrow" w:cstheme="majorBidi"/>
                <w:bCs/>
                <w:sz w:val="20"/>
              </w:rPr>
              <w:t>Noting the survey variability, DUSC considered that the proportion of patients suitable for intensive therapy uncertain and possibly underestimated. DUSC noted that as the population ages the number of patients is likely to increase over time. However, its use in older patients may be limited by their suitability for intensive therapy.</w:t>
            </w:r>
          </w:p>
        </w:tc>
      </w:tr>
      <w:tr w:rsidR="001A0E96" w:rsidRPr="00392B10" w14:paraId="6ED68E3D" w14:textId="77777777" w:rsidTr="00C21834">
        <w:trPr>
          <w:cantSplit/>
        </w:trPr>
        <w:tc>
          <w:tcPr>
            <w:tcW w:w="950" w:type="pct"/>
            <w:shd w:val="clear" w:color="auto" w:fill="auto"/>
            <w:vAlign w:val="center"/>
          </w:tcPr>
          <w:p w14:paraId="2054B51A" w14:textId="77777777" w:rsidR="001A0E96" w:rsidRPr="00392B10" w:rsidRDefault="001A0E96" w:rsidP="00C21834">
            <w:pPr>
              <w:widowControl w:val="0"/>
              <w:jc w:val="left"/>
              <w:rPr>
                <w:rFonts w:ascii="Arial Narrow" w:eastAsiaTheme="majorEastAsia" w:hAnsi="Arial Narrow" w:cstheme="majorBidi"/>
                <w:bCs/>
                <w:sz w:val="20"/>
              </w:rPr>
            </w:pPr>
            <w:r w:rsidRPr="00392B10">
              <w:rPr>
                <w:rFonts w:ascii="Arial Narrow" w:eastAsiaTheme="majorEastAsia" w:hAnsi="Arial Narrow" w:cstheme="majorBidi"/>
                <w:bCs/>
                <w:sz w:val="20"/>
              </w:rPr>
              <w:lastRenderedPageBreak/>
              <w:t>Uptake rates</w:t>
            </w:r>
          </w:p>
        </w:tc>
        <w:tc>
          <w:tcPr>
            <w:tcW w:w="1803" w:type="pct"/>
            <w:shd w:val="clear" w:color="auto" w:fill="auto"/>
            <w:vAlign w:val="center"/>
          </w:tcPr>
          <w:p w14:paraId="6CB46C6D" w14:textId="77777777" w:rsidR="001A0E96" w:rsidRPr="00392B10" w:rsidRDefault="001A0E96" w:rsidP="00C21834">
            <w:pPr>
              <w:widowControl w:val="0"/>
              <w:jc w:val="left"/>
              <w:rPr>
                <w:rFonts w:ascii="Arial Narrow" w:eastAsiaTheme="majorEastAsia" w:hAnsi="Arial Narrow" w:cstheme="majorBidi"/>
                <w:bCs/>
                <w:sz w:val="20"/>
              </w:rPr>
            </w:pPr>
            <w:r w:rsidRPr="00392B10">
              <w:rPr>
                <w:rFonts w:ascii="Arial Narrow" w:eastAsiaTheme="majorEastAsia" w:hAnsi="Arial Narrow" w:cstheme="majorBidi"/>
                <w:bCs/>
                <w:sz w:val="20"/>
              </w:rPr>
              <w:t>Induction 1: 82.5%, Induction 2: 59.4%, Consolidation 1: 70.9%, Consolidation 2: 68.6%. KOL 2021 survey. Calculated average uptake based on responses for expected use of LDC in the first year of listing, assumed to apply to all subsequent years.</w:t>
            </w:r>
          </w:p>
        </w:tc>
        <w:tc>
          <w:tcPr>
            <w:tcW w:w="2247" w:type="pct"/>
            <w:shd w:val="clear" w:color="auto" w:fill="auto"/>
            <w:vAlign w:val="center"/>
          </w:tcPr>
          <w:p w14:paraId="3EAAD0B8" w14:textId="77777777" w:rsidR="00AC5A84" w:rsidRPr="00392B10" w:rsidRDefault="001A0E96" w:rsidP="00C21834">
            <w:pPr>
              <w:widowControl w:val="0"/>
              <w:jc w:val="left"/>
              <w:rPr>
                <w:rFonts w:ascii="Arial Narrow" w:eastAsiaTheme="majorEastAsia" w:hAnsi="Arial Narrow" w:cstheme="majorBidi"/>
                <w:bCs/>
                <w:sz w:val="20"/>
              </w:rPr>
            </w:pPr>
            <w:r w:rsidRPr="00392B10">
              <w:rPr>
                <w:rFonts w:ascii="Arial Narrow" w:eastAsiaTheme="majorEastAsia" w:hAnsi="Arial Narrow" w:cstheme="majorBidi"/>
                <w:bCs/>
                <w:sz w:val="20"/>
              </w:rPr>
              <w:t>The use of calculated average estimates appeared misleading due to differences in the way the respondents addressed the question. For example, most respondents provided the same proportions across all treatment cycles while the estimates used in the submission suggest variations in uptake by treatment cycle. Uptake rates should be applied to eligible population estimates as use in subsequent cycles will be affected by other factors, such as treatment response, already captured in the trial data.</w:t>
            </w:r>
            <w:r w:rsidR="00AC5A84" w:rsidRPr="00392B10">
              <w:rPr>
                <w:rFonts w:ascii="Arial Narrow" w:eastAsiaTheme="majorEastAsia" w:hAnsi="Arial Narrow" w:cstheme="majorBidi"/>
                <w:bCs/>
                <w:sz w:val="20"/>
              </w:rPr>
              <w:t xml:space="preserve"> DUSC considered that the different uptake rates assumed for each treatment cycle </w:t>
            </w:r>
            <w:proofErr w:type="gramStart"/>
            <w:r w:rsidR="00AC5A84" w:rsidRPr="00392B10">
              <w:rPr>
                <w:rFonts w:ascii="Arial Narrow" w:eastAsiaTheme="majorEastAsia" w:hAnsi="Arial Narrow" w:cstheme="majorBidi"/>
                <w:bCs/>
                <w:sz w:val="20"/>
              </w:rPr>
              <w:t>were</w:t>
            </w:r>
            <w:proofErr w:type="gramEnd"/>
            <w:r w:rsidR="00AC5A84" w:rsidRPr="00392B10">
              <w:rPr>
                <w:rFonts w:ascii="Arial Narrow" w:eastAsiaTheme="majorEastAsia" w:hAnsi="Arial Narrow" w:cstheme="majorBidi"/>
                <w:bCs/>
                <w:sz w:val="20"/>
              </w:rPr>
              <w:t xml:space="preserve"> uncertain given use in subsequent cycles is effected by issues such as treatment response and toxicity. </w:t>
            </w:r>
          </w:p>
          <w:p w14:paraId="60B08476" w14:textId="1ED7EC9C" w:rsidR="001A0E96" w:rsidRPr="00392B10" w:rsidRDefault="00AC5A84" w:rsidP="00C21834">
            <w:pPr>
              <w:widowControl w:val="0"/>
              <w:jc w:val="left"/>
              <w:rPr>
                <w:rFonts w:ascii="Arial Narrow" w:eastAsiaTheme="majorEastAsia" w:hAnsi="Arial Narrow" w:cstheme="majorBidi"/>
                <w:bCs/>
                <w:sz w:val="20"/>
              </w:rPr>
            </w:pPr>
            <w:r w:rsidRPr="00392B10">
              <w:rPr>
                <w:rFonts w:ascii="Arial Narrow" w:eastAsiaTheme="majorEastAsia" w:hAnsi="Arial Narrow" w:cstheme="majorBidi"/>
                <w:bCs/>
                <w:sz w:val="20"/>
              </w:rPr>
              <w:t xml:space="preserve">DUSC noted that there was no increase in </w:t>
            </w:r>
            <w:r w:rsidR="00593219" w:rsidRPr="00392B10">
              <w:rPr>
                <w:rFonts w:ascii="Arial Narrow" w:eastAsiaTheme="majorEastAsia" w:hAnsi="Arial Narrow" w:cstheme="majorBidi"/>
                <w:bCs/>
                <w:sz w:val="20"/>
              </w:rPr>
              <w:t xml:space="preserve">first </w:t>
            </w:r>
            <w:r w:rsidRPr="00392B10">
              <w:rPr>
                <w:rFonts w:ascii="Arial Narrow" w:eastAsiaTheme="majorEastAsia" w:hAnsi="Arial Narrow" w:cstheme="majorBidi"/>
                <w:bCs/>
                <w:sz w:val="20"/>
              </w:rPr>
              <w:t xml:space="preserve">induction uptake across years which could lead to an underestimate of uptake. DUSC noted that in the Australian setting a high proportion of patients used a single induction before preceding to consolidation and that the estimate given for </w:t>
            </w:r>
            <w:r w:rsidR="00593219" w:rsidRPr="00392B10">
              <w:rPr>
                <w:rFonts w:ascii="Arial Narrow" w:eastAsiaTheme="majorEastAsia" w:hAnsi="Arial Narrow" w:cstheme="majorBidi"/>
                <w:bCs/>
                <w:sz w:val="20"/>
              </w:rPr>
              <w:t xml:space="preserve">second </w:t>
            </w:r>
            <w:r w:rsidRPr="00392B10">
              <w:rPr>
                <w:rFonts w:ascii="Arial Narrow" w:eastAsiaTheme="majorEastAsia" w:hAnsi="Arial Narrow" w:cstheme="majorBidi"/>
                <w:bCs/>
                <w:sz w:val="20"/>
              </w:rPr>
              <w:t>induction</w:t>
            </w:r>
            <w:r w:rsidR="00593219" w:rsidRPr="00392B10">
              <w:rPr>
                <w:rFonts w:ascii="Arial Narrow" w:eastAsiaTheme="majorEastAsia" w:hAnsi="Arial Narrow" w:cstheme="majorBidi"/>
                <w:bCs/>
                <w:sz w:val="20"/>
              </w:rPr>
              <w:t xml:space="preserve"> wa</w:t>
            </w:r>
            <w:r w:rsidRPr="00392B10">
              <w:rPr>
                <w:rFonts w:ascii="Arial Narrow" w:eastAsiaTheme="majorEastAsia" w:hAnsi="Arial Narrow" w:cstheme="majorBidi"/>
                <w:bCs/>
                <w:sz w:val="20"/>
              </w:rPr>
              <w:t>s overestimated in the Australian setting. DUSC noted that the population suitable for midostaurin was not explicitly excluded from the estimates of eligible population leading to an overestimate of the eligible patient population.</w:t>
            </w:r>
          </w:p>
        </w:tc>
      </w:tr>
      <w:tr w:rsidR="001A0E96" w:rsidRPr="00392B10" w14:paraId="61C1CDD0" w14:textId="77777777" w:rsidTr="00C21834">
        <w:trPr>
          <w:cantSplit/>
        </w:trPr>
        <w:tc>
          <w:tcPr>
            <w:tcW w:w="950" w:type="pct"/>
            <w:shd w:val="clear" w:color="auto" w:fill="auto"/>
            <w:vAlign w:val="center"/>
          </w:tcPr>
          <w:p w14:paraId="381B9F2A" w14:textId="77777777" w:rsidR="001A0E96" w:rsidRPr="00392B10" w:rsidRDefault="001A0E96" w:rsidP="00C21834">
            <w:pPr>
              <w:widowControl w:val="0"/>
              <w:jc w:val="left"/>
              <w:rPr>
                <w:rFonts w:ascii="Arial Narrow" w:eastAsiaTheme="majorEastAsia" w:hAnsi="Arial Narrow" w:cstheme="majorBidi"/>
                <w:bCs/>
                <w:sz w:val="20"/>
              </w:rPr>
            </w:pPr>
            <w:r w:rsidRPr="00392B10">
              <w:rPr>
                <w:rFonts w:ascii="Arial Narrow" w:eastAsiaTheme="majorEastAsia" w:hAnsi="Arial Narrow" w:cstheme="majorBidi"/>
                <w:bCs/>
                <w:sz w:val="20"/>
              </w:rPr>
              <w:t>Proportion of patients treated with LDC induction and consolidation therapy</w:t>
            </w:r>
          </w:p>
        </w:tc>
        <w:tc>
          <w:tcPr>
            <w:tcW w:w="1803" w:type="pct"/>
            <w:shd w:val="clear" w:color="auto" w:fill="auto"/>
            <w:vAlign w:val="center"/>
          </w:tcPr>
          <w:p w14:paraId="16B5E268" w14:textId="77777777" w:rsidR="001A0E96" w:rsidRPr="00392B10" w:rsidRDefault="001A0E96" w:rsidP="00C21834">
            <w:pPr>
              <w:widowControl w:val="0"/>
              <w:jc w:val="left"/>
              <w:rPr>
                <w:rFonts w:ascii="Arial Narrow" w:eastAsiaTheme="majorEastAsia" w:hAnsi="Arial Narrow" w:cstheme="majorBidi"/>
                <w:bCs/>
                <w:sz w:val="20"/>
              </w:rPr>
            </w:pPr>
            <w:r w:rsidRPr="00392B10">
              <w:rPr>
                <w:rFonts w:ascii="Arial Narrow" w:eastAsiaTheme="majorEastAsia" w:hAnsi="Arial Narrow" w:cstheme="majorBidi"/>
                <w:bCs/>
                <w:sz w:val="20"/>
              </w:rPr>
              <w:t>Induction 1: 100%, Induction 2: 31.4%, Consolidation 1: 32%, Consolidation 2: 15%. Based on circumstances of use in the LDC arm of Study 301.</w:t>
            </w:r>
          </w:p>
        </w:tc>
        <w:tc>
          <w:tcPr>
            <w:tcW w:w="2247" w:type="pct"/>
            <w:shd w:val="clear" w:color="auto" w:fill="auto"/>
            <w:vAlign w:val="center"/>
          </w:tcPr>
          <w:p w14:paraId="5ABB6295" w14:textId="0A04326F" w:rsidR="001A0E96" w:rsidRPr="00392B10" w:rsidRDefault="001A0E96" w:rsidP="00C21834">
            <w:pPr>
              <w:widowControl w:val="0"/>
              <w:jc w:val="left"/>
              <w:rPr>
                <w:rFonts w:ascii="Arial Narrow" w:eastAsiaTheme="majorEastAsia" w:hAnsi="Arial Narrow" w:cstheme="majorBidi"/>
                <w:bCs/>
                <w:sz w:val="20"/>
              </w:rPr>
            </w:pPr>
            <w:r w:rsidRPr="00392B10">
              <w:rPr>
                <w:rFonts w:ascii="Arial Narrow" w:eastAsiaTheme="majorEastAsia" w:hAnsi="Arial Narrow" w:cstheme="majorBidi"/>
                <w:bCs/>
                <w:sz w:val="20"/>
              </w:rPr>
              <w:t xml:space="preserve">The proportions of patients initiating induction and/or consolidation therapy in Study 301 may not reflect the use of LDC in the Australian setting. </w:t>
            </w:r>
            <w:r w:rsidR="00AC5A84" w:rsidRPr="00392B10">
              <w:rPr>
                <w:rFonts w:ascii="Arial Narrow" w:eastAsiaTheme="majorEastAsia" w:hAnsi="Arial Narrow" w:cstheme="majorBidi"/>
                <w:bCs/>
                <w:sz w:val="20"/>
              </w:rPr>
              <w:t>DUSC considered that t</w:t>
            </w:r>
            <w:r w:rsidRPr="00392B10">
              <w:rPr>
                <w:rFonts w:ascii="Arial Narrow" w:eastAsiaTheme="majorEastAsia" w:hAnsi="Arial Narrow" w:cstheme="majorBidi"/>
                <w:bCs/>
                <w:sz w:val="20"/>
              </w:rPr>
              <w:t xml:space="preserve">he use of these estimates in conjunction with uptake rates per treatment cycle </w:t>
            </w:r>
            <w:r w:rsidR="00AC5A84" w:rsidRPr="00392B10">
              <w:rPr>
                <w:rFonts w:ascii="Arial Narrow" w:eastAsiaTheme="majorEastAsia" w:hAnsi="Arial Narrow" w:cstheme="majorBidi"/>
                <w:bCs/>
                <w:sz w:val="20"/>
              </w:rPr>
              <w:t xml:space="preserve">was inappropriate and possibly </w:t>
            </w:r>
            <w:r w:rsidRPr="00392B10">
              <w:rPr>
                <w:rFonts w:ascii="Arial Narrow" w:eastAsiaTheme="majorEastAsia" w:hAnsi="Arial Narrow" w:cstheme="majorBidi"/>
                <w:bCs/>
                <w:sz w:val="20"/>
              </w:rPr>
              <w:t>yielded lower treated patient estimates than observed in the trial for re-induction (22.9%), consolidation 1 (27.4%) and consolidation 2 (12.6%)</w:t>
            </w:r>
            <w:r w:rsidR="00392B10">
              <w:rPr>
                <w:rFonts w:ascii="Arial Narrow" w:eastAsiaTheme="majorEastAsia" w:hAnsi="Arial Narrow" w:cstheme="majorBidi"/>
                <w:bCs/>
                <w:sz w:val="20"/>
              </w:rPr>
              <w:t xml:space="preserve">. </w:t>
            </w:r>
            <w:r w:rsidR="00AC5A84" w:rsidRPr="00392B10">
              <w:rPr>
                <w:rFonts w:ascii="Arial Narrow" w:eastAsiaTheme="majorEastAsia" w:hAnsi="Arial Narrow" w:cstheme="majorBidi"/>
                <w:bCs/>
                <w:sz w:val="20"/>
              </w:rPr>
              <w:t xml:space="preserve">Further, DUSC considered that the number of patients receiving consolidation therapy could be an underestimate due to an incorrect proportion of uptake applied to those receiving </w:t>
            </w:r>
            <w:r w:rsidR="00593219" w:rsidRPr="00392B10">
              <w:rPr>
                <w:rFonts w:ascii="Arial Narrow" w:eastAsiaTheme="majorEastAsia" w:hAnsi="Arial Narrow" w:cstheme="majorBidi"/>
                <w:bCs/>
                <w:sz w:val="20"/>
              </w:rPr>
              <w:t xml:space="preserve">second </w:t>
            </w:r>
            <w:r w:rsidR="00AC5A84" w:rsidRPr="00392B10">
              <w:rPr>
                <w:rFonts w:ascii="Arial Narrow" w:eastAsiaTheme="majorEastAsia" w:hAnsi="Arial Narrow" w:cstheme="majorBidi"/>
                <w:bCs/>
                <w:sz w:val="20"/>
              </w:rPr>
              <w:t>induction in the Australian setting.</w:t>
            </w:r>
          </w:p>
        </w:tc>
      </w:tr>
    </w:tbl>
    <w:p w14:paraId="63017CAD" w14:textId="77777777" w:rsidR="001A0E96" w:rsidRPr="00392B10" w:rsidRDefault="001A0E96" w:rsidP="001A0E96">
      <w:pPr>
        <w:pStyle w:val="COMTablefooter"/>
      </w:pPr>
      <w:r w:rsidRPr="00392B10">
        <w:t>Source: ‘Vyxeos - t-AML &amp; AML-MRC - financials - UCM-Release-3-Workbook-v1081 – updated.xlsx’ Excel workbook of the submission</w:t>
      </w:r>
    </w:p>
    <w:p w14:paraId="4B18EA10" w14:textId="77777777" w:rsidR="001A0E96" w:rsidRPr="00392B10" w:rsidRDefault="001A0E96" w:rsidP="001A0E96">
      <w:pPr>
        <w:pStyle w:val="COMTablefooter"/>
        <w:rPr>
          <w:color w:val="0066FF"/>
        </w:rPr>
      </w:pPr>
      <w:r w:rsidRPr="00392B10">
        <w:t>Abbreviations: AIHW, Australian Institute of Health and Welfare; ALLG NBCR, Australian Leukaemia and Lymphoma Group National Blood Cancer Registry; LDC, liposomal daunorubicin and cytarabine</w:t>
      </w:r>
    </w:p>
    <w:p w14:paraId="15D85343" w14:textId="6153919B" w:rsidR="001A0E96" w:rsidRPr="00392B10" w:rsidRDefault="001A0E96" w:rsidP="001A0E96">
      <w:pPr>
        <w:pStyle w:val="COMexecsumnumberedpara"/>
      </w:pPr>
      <w:r w:rsidRPr="00392B10">
        <w:lastRenderedPageBreak/>
        <w:t>The size of the eligible population was overestimated as the submission did not exclude patients suitable for treatment with midostaurin. This was inconsistent with the proposed restriction. The submission acknowledged that midostaurin is the preferred treatment option for FLT3 mutation positive patients, which may constitute 9-31% of patients with t-AML and AML-MRC based on data provided in the submission.</w:t>
      </w:r>
      <w:r w:rsidR="00B77FB2" w:rsidRPr="00392B10">
        <w:t xml:space="preserve"> The PSCR stated that the questions asked in the clinician survey prompted clinicians to consider patients who might be suitable for treatment with midostaurin, thus, the uptake figures were in the context of midostaurin being available.</w:t>
      </w:r>
    </w:p>
    <w:p w14:paraId="26FEF6F3" w14:textId="45198BBF" w:rsidR="001A0E96" w:rsidRPr="00392B10" w:rsidRDefault="001A0E96" w:rsidP="001A0E96">
      <w:pPr>
        <w:pStyle w:val="COMexecsumnumberedpara"/>
      </w:pPr>
      <w:r w:rsidRPr="00392B10">
        <w:t xml:space="preserve">The approach used in the submission </w:t>
      </w:r>
      <w:r w:rsidR="000366BF">
        <w:t xml:space="preserve">was not based on the standard workbook and </w:t>
      </w:r>
      <w:r w:rsidRPr="00392B10">
        <w:t>did not present discrete script numbers. These were instead based on average drug costs per treatment cycle derived from the economic model applied to patient numbers, with separate estimates for patient copayments. Errors were also identified during the evaluation in the calculations of patient copayments for liposomal daunorubicin and cytarabine as well as cost offsets due to substituted use of idarubicin and cytarabine. These errors were not corrected during the evaluation due to the minimal impact on the financial estimates.</w:t>
      </w:r>
    </w:p>
    <w:p w14:paraId="1E54984E" w14:textId="77777777" w:rsidR="001A0E96" w:rsidRPr="00392B10" w:rsidRDefault="001A0E96" w:rsidP="001A0E96">
      <w:pPr>
        <w:pStyle w:val="COMexecsumnumberedpara"/>
        <w:spacing w:after="60"/>
      </w:pPr>
      <w:r w:rsidRPr="00392B10">
        <w:t>The submission assumed that 53.2% of use of liposomal daunorubicin and cytarabine would be in private hospital settings, based on PBS utilisation estimates for cytarabine in 2022. This estimate was used to determine the net cost to the PBS/RPBS associated with the listing of liposomal daunorubicin and cytarabine. The approach used was inappropriate for the following reasons:</w:t>
      </w:r>
    </w:p>
    <w:p w14:paraId="2E639B83" w14:textId="32199296" w:rsidR="001A0E96" w:rsidRPr="00392B10" w:rsidRDefault="001A0E96" w:rsidP="001A0E96">
      <w:pPr>
        <w:pStyle w:val="COMexecsummbulletlist"/>
        <w:spacing w:after="60"/>
      </w:pPr>
      <w:r w:rsidRPr="00392B10">
        <w:t>Drug costs in public settings were calculated using the proposed AEMP per vial and a preparation fee ($87.07) as per the PBS schedule. The calculated costs may not represent drug costs incurred by public hospitals in the inpatient setting, which is not PBS-subsidised</w:t>
      </w:r>
      <w:r w:rsidR="00392B10">
        <w:t xml:space="preserve">. </w:t>
      </w:r>
    </w:p>
    <w:p w14:paraId="3E51CCC1" w14:textId="77777777" w:rsidR="001A0E96" w:rsidRPr="00392B10" w:rsidRDefault="001A0E96" w:rsidP="001A0E96">
      <w:pPr>
        <w:pStyle w:val="COMexecsummbulletlist"/>
        <w:spacing w:after="60"/>
      </w:pPr>
      <w:r w:rsidRPr="00392B10">
        <w:t>The submission assumed that PBS/RPBS costs would only be applicable to treatments administered in private hospital settings. This assumption was incorrect as chemotherapies administered in public hospital outpatient settings are also PBS-subsidised.</w:t>
      </w:r>
    </w:p>
    <w:p w14:paraId="6328CB9F" w14:textId="1A1959D7" w:rsidR="001A0E96" w:rsidRPr="00392B10" w:rsidRDefault="001A0E96" w:rsidP="001A0E96">
      <w:pPr>
        <w:pStyle w:val="COMexecsummbulletlist"/>
      </w:pPr>
      <w:r w:rsidRPr="00392B10">
        <w:t>The private/public hospital split based on PBS use of idarubicin in the 2022 calendar year was substantially different (93% private and 7% public hospital)</w:t>
      </w:r>
      <w:r w:rsidR="00392B10">
        <w:t xml:space="preserve">. </w:t>
      </w:r>
      <w:r w:rsidRPr="00392B10">
        <w:t>When considering gemtuzumab for newly diagnosed AML, the PBAC considered that the public/private hospital split for inpatient settings was uncertain, but the majority of use would be in public hospitals (para</w:t>
      </w:r>
      <w:r w:rsidR="00593219" w:rsidRPr="00392B10">
        <w:t>graph</w:t>
      </w:r>
      <w:r w:rsidRPr="00392B10">
        <w:t xml:space="preserve"> 6.102, gemtuzumab </w:t>
      </w:r>
      <w:r w:rsidR="00593219" w:rsidRPr="00392B10">
        <w:t xml:space="preserve">ozogamicin </w:t>
      </w:r>
      <w:r w:rsidRPr="00392B10">
        <w:t xml:space="preserve">PSD, November 2021 PBAC meeting). </w:t>
      </w:r>
    </w:p>
    <w:p w14:paraId="7D54B074" w14:textId="350254F7" w:rsidR="00AC5A84" w:rsidRPr="00392B10" w:rsidRDefault="00AC5A84" w:rsidP="001A0E96">
      <w:pPr>
        <w:pStyle w:val="COMexecsummbulletlist"/>
      </w:pPr>
      <w:r w:rsidRPr="00392B10">
        <w:t>DUSC considered the assumption of use in both public (particularly during consolidation) and private hospitals was likely to be an underestimate as use in outpatients is uncertain due to the prolonged time to recovery of neutrophils and platelets than with the comparator.</w:t>
      </w:r>
    </w:p>
    <w:p w14:paraId="2F1885DA" w14:textId="15797509" w:rsidR="001A0E96" w:rsidRPr="00392B10" w:rsidRDefault="001A0E96" w:rsidP="001A0E96">
      <w:pPr>
        <w:pStyle w:val="COMexecsumnumberedpara"/>
      </w:pPr>
      <w:r w:rsidRPr="00392B10">
        <w:t xml:space="preserve">The net cost to the PBS/RPBS should have been estimated with the exclusion of patients receiving treatment in public hospital inpatient settings, with different </w:t>
      </w:r>
      <w:r w:rsidRPr="00392B10">
        <w:lastRenderedPageBreak/>
        <w:t>distributions at each treatment cycle. Estimates presented in the submission were uninformative as the fundamental approach was based on use across all settings, separated into PBS/RPBS costs as the final step after patient copayment, with no discrete estimates provided for scripts per patient.</w:t>
      </w:r>
      <w:r w:rsidR="000366BF">
        <w:t xml:space="preserve"> It was noted that if recommended, the presentation of the financial estimates would be unworkable for the purposes of listing.</w:t>
      </w:r>
    </w:p>
    <w:p w14:paraId="0070A375" w14:textId="74DF39B5" w:rsidR="00AC5A84" w:rsidRPr="00392B10" w:rsidRDefault="001A0E96" w:rsidP="00593219">
      <w:pPr>
        <w:pStyle w:val="COMexecsumnumberedpara"/>
      </w:pPr>
      <w:r w:rsidRPr="00392B10">
        <w:t xml:space="preserve">The submission estimated PBS/RPBS cost offsets assuming 100% substituted use of idarubicin and cytarabine regimens. This may be reasonable for the first induction cycle but may not reflect substituted therapies used in </w:t>
      </w:r>
      <w:r w:rsidR="00593219" w:rsidRPr="00392B10">
        <w:t xml:space="preserve">second </w:t>
      </w:r>
      <w:r w:rsidRPr="00392B10">
        <w:t xml:space="preserve">induction (FLAG-Ida) or consolidation (HiDAC/IDAC). However, the impact is likely minimal as the costs of alternative therapies were relatively low compared to liposomal daunorubicin and cytarabine for </w:t>
      </w:r>
      <w:r w:rsidR="00593219" w:rsidRPr="00392B10">
        <w:t xml:space="preserve">second </w:t>
      </w:r>
      <w:r w:rsidRPr="00392B10">
        <w:t>induction and consolidation (up to $</w:t>
      </w:r>
      <w:r w:rsidR="00EA163B" w:rsidRPr="00795A1F">
        <w:rPr>
          <w:color w:val="000000"/>
          <w:w w:val="15"/>
          <w:shd w:val="solid" w:color="000000" w:fill="000000"/>
          <w:fitText w:val="-20" w:id="-1171540215"/>
          <w14:textFill>
            <w14:solidFill>
              <w14:srgbClr w14:val="000000">
                <w14:alpha w14:val="100000"/>
              </w14:srgbClr>
            </w14:solidFill>
          </w14:textFill>
        </w:rPr>
        <w:t xml:space="preserve">|  </w:t>
      </w:r>
      <w:r w:rsidR="00EA163B" w:rsidRPr="00795A1F">
        <w:rPr>
          <w:color w:val="000000"/>
          <w:spacing w:val="-69"/>
          <w:w w:val="15"/>
          <w:shd w:val="solid" w:color="000000" w:fill="000000"/>
          <w:fitText w:val="-20" w:id="-1171540215"/>
          <w14:textFill>
            <w14:solidFill>
              <w14:srgbClr w14:val="000000">
                <w14:alpha w14:val="100000"/>
              </w14:srgbClr>
            </w14:solidFill>
          </w14:textFill>
        </w:rPr>
        <w:t>|</w:t>
      </w:r>
      <w:r w:rsidRPr="00392B10">
        <w:t>). Approximate costs per cycle published on eviQ was $3,550 for FLAG-Ida, $1,400 for IDAC and up to $4,390 for HiDAC.</w:t>
      </w:r>
      <w:r w:rsidR="00AC5A84" w:rsidRPr="00392B10">
        <w:t xml:space="preserve"> The PCSR noted that although FLAG-Ida can be used for </w:t>
      </w:r>
      <w:r w:rsidR="00593219" w:rsidRPr="00392B10">
        <w:t xml:space="preserve">second </w:t>
      </w:r>
      <w:r w:rsidR="00AC5A84" w:rsidRPr="00392B10">
        <w:t xml:space="preserve">induction in patients not achieving complete remission and that IDAC/HiDAC can be used for consolidation, there was no evidence demonstrating superior effectiveness of these regimens over the 5+2 regimen used in the comparator arm of Study 301 (and which is the least costly for second induction and consolidation). DUSC considered that 100% offset use of idarubicin for the second induction and consolidation may not be reasonable given Australian practice. </w:t>
      </w:r>
    </w:p>
    <w:p w14:paraId="0BC6E8F2" w14:textId="3CB29EBC" w:rsidR="001A0E96" w:rsidRPr="00392B10" w:rsidRDefault="001A0E96" w:rsidP="001A0E96">
      <w:pPr>
        <w:pStyle w:val="COMexecsumnumberedpara"/>
      </w:pPr>
      <w:r w:rsidRPr="00392B10">
        <w:t>The submission did not account for additional costs to the PBS/RPBS/MBS associated with longer treatment durations with liposomal daunorubicin and cytarabine including greater use of supportive therapies (e.g. anti-infectives, G-CSF), pre-HSCT medications and treatments used to manage post-HSCT complications (e.g. GvHD). This was inconsistent with observations in the trial that indicated increased health resource utilisation in the liposomal daunorubicin and cytarabine arm versus the control arm of Study 301.</w:t>
      </w:r>
      <w:r w:rsidR="00AC5A84" w:rsidRPr="00392B10">
        <w:t xml:space="preserve"> DUSC noted that exclusion of these costs favoured the liposomal daunorubicin and cytarabine arm and was not adequately justified in the submission. Further, DUSC considered that the prolonged time to recovery of neutrophils and platelets compared to the comparator and a possible greater proportion of patients accessing HSCT would require additional supportive care as compared to current therapy and noted that these costs were not accounted for in the financial estimates.</w:t>
      </w:r>
    </w:p>
    <w:p w14:paraId="68E33EF0" w14:textId="7F6F984C" w:rsidR="001A0E96" w:rsidRPr="00392B10" w:rsidRDefault="001A0E96" w:rsidP="001A0E96">
      <w:pPr>
        <w:pStyle w:val="COMexecsumnumberedpara"/>
      </w:pPr>
      <w:r w:rsidRPr="00392B10">
        <w:t xml:space="preserve">The estimated use and financial impact of liposomal daunorubicin and cytarabine over the first 6 years of listing is summarised in </w:t>
      </w:r>
      <w:r w:rsidRPr="00392B10">
        <w:fldChar w:fldCharType="begin" w:fldLock="1"/>
      </w:r>
      <w:r w:rsidRPr="00392B10">
        <w:instrText xml:space="preserve"> REF _Ref134543158 \h  \* MERGEFORMAT </w:instrText>
      </w:r>
      <w:r w:rsidRPr="00392B10">
        <w:fldChar w:fldCharType="separate"/>
      </w:r>
      <w:r w:rsidRPr="00392B10">
        <w:t xml:space="preserve">Table </w:t>
      </w:r>
      <w:r w:rsidRPr="000366BF">
        <w:t>16</w:t>
      </w:r>
      <w:r w:rsidRPr="00392B10">
        <w:fldChar w:fldCharType="end"/>
      </w:r>
      <w:r w:rsidRPr="00392B10">
        <w:t>.</w:t>
      </w:r>
    </w:p>
    <w:p w14:paraId="70F271C6" w14:textId="77777777" w:rsidR="001A0E96" w:rsidRPr="000366BF" w:rsidRDefault="001A0E96" w:rsidP="001A0E96">
      <w:pPr>
        <w:pStyle w:val="COMTableheadingrow"/>
        <w:rPr>
          <w:lang w:val="en-AU"/>
        </w:rPr>
      </w:pPr>
      <w:bookmarkStart w:id="67" w:name="_Ref134543158"/>
      <w:r w:rsidRPr="000366BF">
        <w:rPr>
          <w:lang w:val="en-AU"/>
        </w:rPr>
        <w:lastRenderedPageBreak/>
        <w:t xml:space="preserve">Table </w:t>
      </w:r>
      <w:r w:rsidRPr="000366BF">
        <w:rPr>
          <w:lang w:val="en-AU"/>
        </w:rPr>
        <w:fldChar w:fldCharType="begin" w:fldLock="1"/>
      </w:r>
      <w:r w:rsidRPr="000366BF">
        <w:rPr>
          <w:lang w:val="en-AU"/>
        </w:rPr>
        <w:instrText xml:space="preserve"> SEQ Table \* ARABIC </w:instrText>
      </w:r>
      <w:r w:rsidRPr="000366BF">
        <w:rPr>
          <w:lang w:val="en-AU"/>
        </w:rPr>
        <w:fldChar w:fldCharType="separate"/>
      </w:r>
      <w:r w:rsidRPr="000366BF">
        <w:rPr>
          <w:lang w:val="en-AU"/>
        </w:rPr>
        <w:t>16</w:t>
      </w:r>
      <w:r w:rsidRPr="000366BF">
        <w:rPr>
          <w:lang w:val="en-AU"/>
        </w:rPr>
        <w:fldChar w:fldCharType="end"/>
      </w:r>
      <w:bookmarkEnd w:id="67"/>
      <w:r w:rsidRPr="000366BF">
        <w:rPr>
          <w:lang w:val="en-AU"/>
        </w:rPr>
        <w:t>: Estimated use and financial implications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36"/>
        <w:gridCol w:w="1081"/>
        <w:gridCol w:w="1080"/>
        <w:gridCol w:w="1078"/>
        <w:gridCol w:w="1080"/>
        <w:gridCol w:w="1080"/>
        <w:gridCol w:w="1058"/>
      </w:tblGrid>
      <w:tr w:rsidR="001A0E96" w:rsidRPr="00392B10" w14:paraId="7EF19DCD" w14:textId="77777777" w:rsidTr="00207D60">
        <w:trPr>
          <w:tblHeader/>
        </w:trPr>
        <w:tc>
          <w:tcPr>
            <w:tcW w:w="1449" w:type="pct"/>
            <w:shd w:val="clear" w:color="auto" w:fill="auto"/>
            <w:vAlign w:val="center"/>
          </w:tcPr>
          <w:p w14:paraId="2003AB0C" w14:textId="77777777" w:rsidR="001A0E96" w:rsidRPr="00392B10" w:rsidRDefault="001A0E96" w:rsidP="00124B5E">
            <w:pPr>
              <w:pStyle w:val="COMTableheadingrow"/>
              <w:jc w:val="center"/>
              <w:rPr>
                <w:lang w:val="en-AU"/>
              </w:rPr>
            </w:pPr>
          </w:p>
        </w:tc>
        <w:tc>
          <w:tcPr>
            <w:tcW w:w="594" w:type="pct"/>
            <w:shd w:val="clear" w:color="auto" w:fill="auto"/>
            <w:vAlign w:val="center"/>
          </w:tcPr>
          <w:p w14:paraId="47C5B769" w14:textId="77777777" w:rsidR="001A0E96" w:rsidRPr="00392B10" w:rsidRDefault="001A0E96" w:rsidP="00124B5E">
            <w:pPr>
              <w:pStyle w:val="COMTableheadingrow"/>
              <w:jc w:val="center"/>
              <w:rPr>
                <w:lang w:val="en-AU"/>
              </w:rPr>
            </w:pPr>
            <w:r w:rsidRPr="00392B10">
              <w:rPr>
                <w:lang w:val="en-AU"/>
              </w:rPr>
              <w:t>Year 1</w:t>
            </w:r>
          </w:p>
        </w:tc>
        <w:tc>
          <w:tcPr>
            <w:tcW w:w="594" w:type="pct"/>
            <w:shd w:val="clear" w:color="auto" w:fill="auto"/>
            <w:vAlign w:val="center"/>
          </w:tcPr>
          <w:p w14:paraId="071A1F00" w14:textId="77777777" w:rsidR="001A0E96" w:rsidRPr="00392B10" w:rsidRDefault="001A0E96" w:rsidP="00124B5E">
            <w:pPr>
              <w:pStyle w:val="COMTableheadingrow"/>
              <w:jc w:val="center"/>
              <w:rPr>
                <w:lang w:val="en-AU"/>
              </w:rPr>
            </w:pPr>
            <w:r w:rsidRPr="00392B10">
              <w:rPr>
                <w:lang w:val="en-AU"/>
              </w:rPr>
              <w:t>Year 2</w:t>
            </w:r>
          </w:p>
        </w:tc>
        <w:tc>
          <w:tcPr>
            <w:tcW w:w="593" w:type="pct"/>
            <w:shd w:val="clear" w:color="auto" w:fill="auto"/>
            <w:vAlign w:val="center"/>
          </w:tcPr>
          <w:p w14:paraId="1023ED0A" w14:textId="77777777" w:rsidR="001A0E96" w:rsidRPr="00392B10" w:rsidRDefault="001A0E96" w:rsidP="00124B5E">
            <w:pPr>
              <w:pStyle w:val="COMTableheadingrow"/>
              <w:jc w:val="center"/>
              <w:rPr>
                <w:lang w:val="en-AU"/>
              </w:rPr>
            </w:pPr>
            <w:r w:rsidRPr="00392B10">
              <w:rPr>
                <w:lang w:val="en-AU"/>
              </w:rPr>
              <w:t>Year 3</w:t>
            </w:r>
          </w:p>
        </w:tc>
        <w:tc>
          <w:tcPr>
            <w:tcW w:w="594" w:type="pct"/>
            <w:shd w:val="clear" w:color="auto" w:fill="auto"/>
            <w:vAlign w:val="center"/>
          </w:tcPr>
          <w:p w14:paraId="4D494849" w14:textId="77777777" w:rsidR="001A0E96" w:rsidRPr="00392B10" w:rsidRDefault="001A0E96" w:rsidP="00124B5E">
            <w:pPr>
              <w:pStyle w:val="COMTableheadingrow"/>
              <w:jc w:val="center"/>
              <w:rPr>
                <w:lang w:val="en-AU"/>
              </w:rPr>
            </w:pPr>
            <w:r w:rsidRPr="00392B10">
              <w:rPr>
                <w:lang w:val="en-AU"/>
              </w:rPr>
              <w:t>Year 4</w:t>
            </w:r>
          </w:p>
        </w:tc>
        <w:tc>
          <w:tcPr>
            <w:tcW w:w="594" w:type="pct"/>
            <w:shd w:val="clear" w:color="auto" w:fill="auto"/>
            <w:vAlign w:val="center"/>
          </w:tcPr>
          <w:p w14:paraId="0F670671" w14:textId="77777777" w:rsidR="001A0E96" w:rsidRPr="00392B10" w:rsidRDefault="001A0E96" w:rsidP="00124B5E">
            <w:pPr>
              <w:pStyle w:val="COMTableheadingrow"/>
              <w:jc w:val="center"/>
              <w:rPr>
                <w:lang w:val="en-AU"/>
              </w:rPr>
            </w:pPr>
            <w:r w:rsidRPr="00392B10">
              <w:rPr>
                <w:lang w:val="en-AU"/>
              </w:rPr>
              <w:t>Year 5</w:t>
            </w:r>
          </w:p>
        </w:tc>
        <w:tc>
          <w:tcPr>
            <w:tcW w:w="582" w:type="pct"/>
          </w:tcPr>
          <w:p w14:paraId="7E6EE26E" w14:textId="77777777" w:rsidR="001A0E96" w:rsidRPr="00392B10" w:rsidRDefault="001A0E96" w:rsidP="00124B5E">
            <w:pPr>
              <w:pStyle w:val="COMTableheadingrow"/>
              <w:jc w:val="center"/>
              <w:rPr>
                <w:lang w:val="en-AU"/>
              </w:rPr>
            </w:pPr>
            <w:r w:rsidRPr="00392B10">
              <w:rPr>
                <w:lang w:val="en-AU"/>
              </w:rPr>
              <w:t>Year 6</w:t>
            </w:r>
          </w:p>
        </w:tc>
      </w:tr>
      <w:tr w:rsidR="001A0E96" w:rsidRPr="00392B10" w14:paraId="28C786A5" w14:textId="77777777" w:rsidTr="00207D60">
        <w:tc>
          <w:tcPr>
            <w:tcW w:w="5000" w:type="pct"/>
            <w:gridSpan w:val="7"/>
            <w:shd w:val="clear" w:color="auto" w:fill="auto"/>
            <w:vAlign w:val="center"/>
          </w:tcPr>
          <w:p w14:paraId="163FCDD1" w14:textId="77777777" w:rsidR="001A0E96" w:rsidRPr="00392B10" w:rsidRDefault="001A0E96" w:rsidP="00124B5E">
            <w:pPr>
              <w:pStyle w:val="COMTableheadingrow"/>
              <w:rPr>
                <w:bCs/>
                <w:color w:val="000000"/>
                <w:lang w:val="en-AU"/>
              </w:rPr>
            </w:pPr>
            <w:r w:rsidRPr="00392B10">
              <w:rPr>
                <w:bCs/>
                <w:color w:val="000000"/>
                <w:lang w:val="en-AU"/>
              </w:rPr>
              <w:t>Estimated extent of use</w:t>
            </w:r>
          </w:p>
        </w:tc>
      </w:tr>
      <w:tr w:rsidR="001A0E96" w:rsidRPr="00392B10" w14:paraId="48E1E8F6" w14:textId="77777777" w:rsidTr="00207D60">
        <w:tc>
          <w:tcPr>
            <w:tcW w:w="1449" w:type="pct"/>
            <w:shd w:val="clear" w:color="auto" w:fill="auto"/>
            <w:vAlign w:val="center"/>
          </w:tcPr>
          <w:p w14:paraId="098538DE" w14:textId="77777777" w:rsidR="001A0E96" w:rsidRPr="00392B10" w:rsidRDefault="001A0E96" w:rsidP="00124B5E">
            <w:pPr>
              <w:pStyle w:val="COMTabletext"/>
            </w:pPr>
            <w:r w:rsidRPr="00392B10">
              <w:t>Eligible patients</w:t>
            </w:r>
          </w:p>
        </w:tc>
        <w:tc>
          <w:tcPr>
            <w:tcW w:w="594" w:type="pct"/>
            <w:shd w:val="clear" w:color="auto" w:fill="auto"/>
          </w:tcPr>
          <w:p w14:paraId="56E356B7" w14:textId="512786BD" w:rsidR="001A0E96" w:rsidRPr="00207D60" w:rsidRDefault="00EA163B" w:rsidP="00124B5E">
            <w:pPr>
              <w:pStyle w:val="COMTabletext"/>
              <w:jc w:val="center"/>
              <w:rPr>
                <w:highlight w:val="darkGray"/>
                <w:vertAlign w:val="superscript"/>
              </w:rPr>
            </w:pPr>
            <w:r w:rsidRPr="00EA163B">
              <w:rPr>
                <w:rFonts w:hint="eastAsia"/>
                <w:color w:val="000000"/>
                <w:w w:val="15"/>
                <w:shd w:val="solid" w:color="000000" w:fill="000000"/>
                <w:fitText w:val="55" w:id="-1171540214"/>
                <w14:textFill>
                  <w14:solidFill>
                    <w14:srgbClr w14:val="000000">
                      <w14:alpha w14:val="100000"/>
                    </w14:srgbClr>
                  </w14:solidFill>
                </w14:textFill>
              </w:rPr>
              <w:t xml:space="preserve">　</w:t>
            </w:r>
            <w:r w:rsidRPr="00EA163B">
              <w:rPr>
                <w:color w:val="000000"/>
                <w:w w:val="15"/>
                <w:shd w:val="solid" w:color="000000" w:fill="000000"/>
                <w:fitText w:val="55" w:id="-1171540214"/>
                <w14:textFill>
                  <w14:solidFill>
                    <w14:srgbClr w14:val="000000">
                      <w14:alpha w14:val="100000"/>
                    </w14:srgbClr>
                  </w14:solidFill>
                </w14:textFill>
              </w:rPr>
              <w:t>|</w:t>
            </w:r>
            <w:r w:rsidRPr="00EA163B">
              <w:rPr>
                <w:rFonts w:hint="eastAsia"/>
                <w:color w:val="000000"/>
                <w:spacing w:val="-10"/>
                <w:w w:val="15"/>
                <w:shd w:val="solid" w:color="000000" w:fill="000000"/>
                <w:fitText w:val="55" w:id="-1171540214"/>
                <w14:textFill>
                  <w14:solidFill>
                    <w14:srgbClr w14:val="000000">
                      <w14:alpha w14:val="100000"/>
                    </w14:srgbClr>
                  </w14:solidFill>
                </w14:textFill>
              </w:rPr>
              <w:t xml:space="preserve">　</w:t>
            </w:r>
            <w:r w:rsidR="002E17B0" w:rsidRPr="00207D60">
              <w:rPr>
                <w:vertAlign w:val="superscript"/>
              </w:rPr>
              <w:t>1</w:t>
            </w:r>
          </w:p>
        </w:tc>
        <w:tc>
          <w:tcPr>
            <w:tcW w:w="594" w:type="pct"/>
            <w:shd w:val="clear" w:color="auto" w:fill="auto"/>
          </w:tcPr>
          <w:p w14:paraId="6A82A1EA" w14:textId="64CA49B7"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55" w:id="-1171540213"/>
                <w14:textFill>
                  <w14:solidFill>
                    <w14:srgbClr w14:val="000000">
                      <w14:alpha w14:val="100000"/>
                    </w14:srgbClr>
                  </w14:solidFill>
                </w14:textFill>
              </w:rPr>
              <w:t xml:space="preserve">　</w:t>
            </w:r>
            <w:r w:rsidRPr="00EA163B">
              <w:rPr>
                <w:color w:val="000000"/>
                <w:w w:val="15"/>
                <w:shd w:val="solid" w:color="000000" w:fill="000000"/>
                <w:fitText w:val="55" w:id="-1171540213"/>
                <w14:textFill>
                  <w14:solidFill>
                    <w14:srgbClr w14:val="000000">
                      <w14:alpha w14:val="100000"/>
                    </w14:srgbClr>
                  </w14:solidFill>
                </w14:textFill>
              </w:rPr>
              <w:t>|</w:t>
            </w:r>
            <w:r w:rsidRPr="00EA163B">
              <w:rPr>
                <w:rFonts w:hint="eastAsia"/>
                <w:color w:val="000000"/>
                <w:spacing w:val="-10"/>
                <w:w w:val="15"/>
                <w:shd w:val="solid" w:color="000000" w:fill="000000"/>
                <w:fitText w:val="55" w:id="-1171540213"/>
                <w14:textFill>
                  <w14:solidFill>
                    <w14:srgbClr w14:val="000000">
                      <w14:alpha w14:val="100000"/>
                    </w14:srgbClr>
                  </w14:solidFill>
                </w14:textFill>
              </w:rPr>
              <w:t xml:space="preserve">　</w:t>
            </w:r>
            <w:r w:rsidR="002E17B0" w:rsidRPr="00016A4F">
              <w:rPr>
                <w:vertAlign w:val="superscript"/>
              </w:rPr>
              <w:t>1</w:t>
            </w:r>
          </w:p>
        </w:tc>
        <w:tc>
          <w:tcPr>
            <w:tcW w:w="593" w:type="pct"/>
            <w:shd w:val="clear" w:color="auto" w:fill="auto"/>
          </w:tcPr>
          <w:p w14:paraId="308A7C61" w14:textId="31F0E087"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55" w:id="-1171540212"/>
                <w14:textFill>
                  <w14:solidFill>
                    <w14:srgbClr w14:val="000000">
                      <w14:alpha w14:val="100000"/>
                    </w14:srgbClr>
                  </w14:solidFill>
                </w14:textFill>
              </w:rPr>
              <w:t xml:space="preserve">　</w:t>
            </w:r>
            <w:r w:rsidRPr="00EA163B">
              <w:rPr>
                <w:color w:val="000000"/>
                <w:w w:val="15"/>
                <w:shd w:val="solid" w:color="000000" w:fill="000000"/>
                <w:fitText w:val="55" w:id="-1171540212"/>
                <w14:textFill>
                  <w14:solidFill>
                    <w14:srgbClr w14:val="000000">
                      <w14:alpha w14:val="100000"/>
                    </w14:srgbClr>
                  </w14:solidFill>
                </w14:textFill>
              </w:rPr>
              <w:t>|</w:t>
            </w:r>
            <w:r w:rsidRPr="00EA163B">
              <w:rPr>
                <w:rFonts w:hint="eastAsia"/>
                <w:color w:val="000000"/>
                <w:spacing w:val="-10"/>
                <w:w w:val="15"/>
                <w:shd w:val="solid" w:color="000000" w:fill="000000"/>
                <w:fitText w:val="55" w:id="-1171540212"/>
                <w14:textFill>
                  <w14:solidFill>
                    <w14:srgbClr w14:val="000000">
                      <w14:alpha w14:val="100000"/>
                    </w14:srgbClr>
                  </w14:solidFill>
                </w14:textFill>
              </w:rPr>
              <w:t xml:space="preserve">　</w:t>
            </w:r>
            <w:r w:rsidR="002E17B0" w:rsidRPr="00016A4F">
              <w:rPr>
                <w:vertAlign w:val="superscript"/>
              </w:rPr>
              <w:t>1</w:t>
            </w:r>
          </w:p>
        </w:tc>
        <w:tc>
          <w:tcPr>
            <w:tcW w:w="594" w:type="pct"/>
            <w:shd w:val="clear" w:color="auto" w:fill="auto"/>
          </w:tcPr>
          <w:p w14:paraId="4BD25E11" w14:textId="2D79451F"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55" w:id="-1171540211"/>
                <w14:textFill>
                  <w14:solidFill>
                    <w14:srgbClr w14:val="000000">
                      <w14:alpha w14:val="100000"/>
                    </w14:srgbClr>
                  </w14:solidFill>
                </w14:textFill>
              </w:rPr>
              <w:t xml:space="preserve">　</w:t>
            </w:r>
            <w:r w:rsidRPr="00EA163B">
              <w:rPr>
                <w:color w:val="000000"/>
                <w:w w:val="15"/>
                <w:shd w:val="solid" w:color="000000" w:fill="000000"/>
                <w:fitText w:val="55" w:id="-1171540211"/>
                <w14:textFill>
                  <w14:solidFill>
                    <w14:srgbClr w14:val="000000">
                      <w14:alpha w14:val="100000"/>
                    </w14:srgbClr>
                  </w14:solidFill>
                </w14:textFill>
              </w:rPr>
              <w:t>|</w:t>
            </w:r>
            <w:r w:rsidRPr="00EA163B">
              <w:rPr>
                <w:rFonts w:hint="eastAsia"/>
                <w:color w:val="000000"/>
                <w:spacing w:val="-10"/>
                <w:w w:val="15"/>
                <w:shd w:val="solid" w:color="000000" w:fill="000000"/>
                <w:fitText w:val="55" w:id="-1171540211"/>
                <w14:textFill>
                  <w14:solidFill>
                    <w14:srgbClr w14:val="000000">
                      <w14:alpha w14:val="100000"/>
                    </w14:srgbClr>
                  </w14:solidFill>
                </w14:textFill>
              </w:rPr>
              <w:t xml:space="preserve">　</w:t>
            </w:r>
            <w:r w:rsidR="002E17B0" w:rsidRPr="00016A4F">
              <w:rPr>
                <w:vertAlign w:val="superscript"/>
              </w:rPr>
              <w:t>1</w:t>
            </w:r>
          </w:p>
        </w:tc>
        <w:tc>
          <w:tcPr>
            <w:tcW w:w="594" w:type="pct"/>
            <w:shd w:val="clear" w:color="auto" w:fill="auto"/>
          </w:tcPr>
          <w:p w14:paraId="606FA14B" w14:textId="19CB57FF"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55" w:id="-1171540210"/>
                <w14:textFill>
                  <w14:solidFill>
                    <w14:srgbClr w14:val="000000">
                      <w14:alpha w14:val="100000"/>
                    </w14:srgbClr>
                  </w14:solidFill>
                </w14:textFill>
              </w:rPr>
              <w:t xml:space="preserve">　</w:t>
            </w:r>
            <w:r w:rsidRPr="00EA163B">
              <w:rPr>
                <w:color w:val="000000"/>
                <w:w w:val="15"/>
                <w:shd w:val="solid" w:color="000000" w:fill="000000"/>
                <w:fitText w:val="55" w:id="-1171540210"/>
                <w14:textFill>
                  <w14:solidFill>
                    <w14:srgbClr w14:val="000000">
                      <w14:alpha w14:val="100000"/>
                    </w14:srgbClr>
                  </w14:solidFill>
                </w14:textFill>
              </w:rPr>
              <w:t>|</w:t>
            </w:r>
            <w:r w:rsidRPr="00EA163B">
              <w:rPr>
                <w:rFonts w:hint="eastAsia"/>
                <w:color w:val="000000"/>
                <w:spacing w:val="-10"/>
                <w:w w:val="15"/>
                <w:shd w:val="solid" w:color="000000" w:fill="000000"/>
                <w:fitText w:val="55" w:id="-1171540210"/>
                <w14:textFill>
                  <w14:solidFill>
                    <w14:srgbClr w14:val="000000">
                      <w14:alpha w14:val="100000"/>
                    </w14:srgbClr>
                  </w14:solidFill>
                </w14:textFill>
              </w:rPr>
              <w:t xml:space="preserve">　</w:t>
            </w:r>
            <w:r w:rsidR="002E17B0" w:rsidRPr="00016A4F">
              <w:rPr>
                <w:vertAlign w:val="superscript"/>
              </w:rPr>
              <w:t>1</w:t>
            </w:r>
          </w:p>
        </w:tc>
        <w:tc>
          <w:tcPr>
            <w:tcW w:w="582" w:type="pct"/>
          </w:tcPr>
          <w:p w14:paraId="358BA266" w14:textId="79DD282B" w:rsidR="001A0E96" w:rsidRPr="00207D60" w:rsidRDefault="00EA163B" w:rsidP="00124B5E">
            <w:pPr>
              <w:pStyle w:val="COMTabletext"/>
              <w:jc w:val="center"/>
              <w:rPr>
                <w:highlight w:val="darkGray"/>
              </w:rPr>
            </w:pPr>
            <w:r w:rsidRPr="00EA163B">
              <w:rPr>
                <w:rFonts w:hint="eastAsia"/>
                <w:color w:val="000000"/>
                <w:w w:val="16"/>
                <w:shd w:val="solid" w:color="000000" w:fill="000000"/>
                <w:fitText w:val="73" w:id="-1171540209"/>
                <w14:textFill>
                  <w14:solidFill>
                    <w14:srgbClr w14:val="000000">
                      <w14:alpha w14:val="100000"/>
                    </w14:srgbClr>
                  </w14:solidFill>
                </w14:textFill>
              </w:rPr>
              <w:t xml:space="preserve">　</w:t>
            </w:r>
            <w:r w:rsidRPr="00EA163B">
              <w:rPr>
                <w:color w:val="000000"/>
                <w:w w:val="16"/>
                <w:shd w:val="solid" w:color="000000" w:fill="000000"/>
                <w:fitText w:val="73" w:id="-1171540209"/>
                <w14:textFill>
                  <w14:solidFill>
                    <w14:srgbClr w14:val="000000">
                      <w14:alpha w14:val="100000"/>
                    </w14:srgbClr>
                  </w14:solidFill>
                </w14:textFill>
              </w:rPr>
              <w:t>|</w:t>
            </w:r>
            <w:r w:rsidRPr="00EA163B">
              <w:rPr>
                <w:rFonts w:hint="eastAsia"/>
                <w:color w:val="000000"/>
                <w:spacing w:val="3"/>
                <w:w w:val="16"/>
                <w:shd w:val="solid" w:color="000000" w:fill="000000"/>
                <w:fitText w:val="73" w:id="-1171540209"/>
                <w14:textFill>
                  <w14:solidFill>
                    <w14:srgbClr w14:val="000000">
                      <w14:alpha w14:val="100000"/>
                    </w14:srgbClr>
                  </w14:solidFill>
                </w14:textFill>
              </w:rPr>
              <w:t xml:space="preserve">　</w:t>
            </w:r>
            <w:r w:rsidR="002E17B0" w:rsidRPr="00016A4F">
              <w:rPr>
                <w:vertAlign w:val="superscript"/>
              </w:rPr>
              <w:t>1</w:t>
            </w:r>
          </w:p>
        </w:tc>
      </w:tr>
      <w:tr w:rsidR="001A0E96" w:rsidRPr="00392B10" w14:paraId="54E3F0F5" w14:textId="77777777" w:rsidTr="00207D60">
        <w:tc>
          <w:tcPr>
            <w:tcW w:w="1449" w:type="pct"/>
            <w:shd w:val="clear" w:color="auto" w:fill="auto"/>
            <w:vAlign w:val="center"/>
          </w:tcPr>
          <w:p w14:paraId="1DB31144" w14:textId="77777777" w:rsidR="001A0E96" w:rsidRPr="00392B10" w:rsidRDefault="001A0E96" w:rsidP="00124B5E">
            <w:pPr>
              <w:pStyle w:val="COMTabletext"/>
              <w:rPr>
                <w:rFonts w:ascii="Times" w:hAnsi="Times"/>
              </w:rPr>
            </w:pPr>
            <w:r w:rsidRPr="00392B10">
              <w:t>Treated patients (82.5%)</w:t>
            </w:r>
          </w:p>
        </w:tc>
        <w:tc>
          <w:tcPr>
            <w:tcW w:w="594" w:type="pct"/>
            <w:shd w:val="clear" w:color="auto" w:fill="auto"/>
          </w:tcPr>
          <w:p w14:paraId="79AA26C1" w14:textId="5DD78C4C" w:rsidR="001A0E96" w:rsidRPr="00207D60" w:rsidRDefault="00EA163B" w:rsidP="00124B5E">
            <w:pPr>
              <w:pStyle w:val="COMTabletext"/>
              <w:jc w:val="center"/>
              <w:rPr>
                <w:color w:val="000000"/>
                <w:highlight w:val="darkGray"/>
              </w:rPr>
            </w:pPr>
            <w:r w:rsidRPr="00EA163B">
              <w:rPr>
                <w:rFonts w:hint="eastAsia"/>
                <w:color w:val="000000"/>
                <w:w w:val="15"/>
                <w:shd w:val="solid" w:color="000000" w:fill="000000"/>
                <w:fitText w:val="55" w:id="-1171540208"/>
                <w14:textFill>
                  <w14:solidFill>
                    <w14:srgbClr w14:val="000000">
                      <w14:alpha w14:val="100000"/>
                    </w14:srgbClr>
                  </w14:solidFill>
                </w14:textFill>
              </w:rPr>
              <w:t xml:space="preserve">　</w:t>
            </w:r>
            <w:r w:rsidRPr="00EA163B">
              <w:rPr>
                <w:color w:val="000000"/>
                <w:w w:val="15"/>
                <w:shd w:val="solid" w:color="000000" w:fill="000000"/>
                <w:fitText w:val="55" w:id="-1171540208"/>
                <w14:textFill>
                  <w14:solidFill>
                    <w14:srgbClr w14:val="000000">
                      <w14:alpha w14:val="100000"/>
                    </w14:srgbClr>
                  </w14:solidFill>
                </w14:textFill>
              </w:rPr>
              <w:t>|</w:t>
            </w:r>
            <w:r w:rsidRPr="00EA163B">
              <w:rPr>
                <w:rFonts w:hint="eastAsia"/>
                <w:color w:val="000000"/>
                <w:spacing w:val="-10"/>
                <w:w w:val="15"/>
                <w:shd w:val="solid" w:color="000000" w:fill="000000"/>
                <w:fitText w:val="55" w:id="-1171540208"/>
                <w14:textFill>
                  <w14:solidFill>
                    <w14:srgbClr w14:val="000000">
                      <w14:alpha w14:val="100000"/>
                    </w14:srgbClr>
                  </w14:solidFill>
                </w14:textFill>
              </w:rPr>
              <w:t xml:space="preserve">　</w:t>
            </w:r>
            <w:r w:rsidR="002E17B0" w:rsidRPr="00016A4F">
              <w:rPr>
                <w:vertAlign w:val="superscript"/>
              </w:rPr>
              <w:t>1</w:t>
            </w:r>
          </w:p>
        </w:tc>
        <w:tc>
          <w:tcPr>
            <w:tcW w:w="594" w:type="pct"/>
            <w:shd w:val="clear" w:color="auto" w:fill="auto"/>
          </w:tcPr>
          <w:p w14:paraId="0F9DBE24" w14:textId="131DBAB2" w:rsidR="001A0E96" w:rsidRPr="00207D60" w:rsidRDefault="00EA163B" w:rsidP="00124B5E">
            <w:pPr>
              <w:pStyle w:val="COMTabletext"/>
              <w:jc w:val="center"/>
              <w:rPr>
                <w:color w:val="000000"/>
                <w:highlight w:val="darkGray"/>
              </w:rPr>
            </w:pPr>
            <w:r w:rsidRPr="00EA163B">
              <w:rPr>
                <w:rFonts w:hint="eastAsia"/>
                <w:color w:val="000000"/>
                <w:w w:val="15"/>
                <w:shd w:val="solid" w:color="000000" w:fill="000000"/>
                <w:fitText w:val="55" w:id="-1171540224"/>
                <w14:textFill>
                  <w14:solidFill>
                    <w14:srgbClr w14:val="000000">
                      <w14:alpha w14:val="100000"/>
                    </w14:srgbClr>
                  </w14:solidFill>
                </w14:textFill>
              </w:rPr>
              <w:t xml:space="preserve">　</w:t>
            </w:r>
            <w:r w:rsidRPr="00EA163B">
              <w:rPr>
                <w:color w:val="000000"/>
                <w:w w:val="15"/>
                <w:shd w:val="solid" w:color="000000" w:fill="000000"/>
                <w:fitText w:val="55" w:id="-1171540224"/>
                <w14:textFill>
                  <w14:solidFill>
                    <w14:srgbClr w14:val="000000">
                      <w14:alpha w14:val="100000"/>
                    </w14:srgbClr>
                  </w14:solidFill>
                </w14:textFill>
              </w:rPr>
              <w:t>|</w:t>
            </w:r>
            <w:r w:rsidRPr="00EA163B">
              <w:rPr>
                <w:rFonts w:hint="eastAsia"/>
                <w:color w:val="000000"/>
                <w:spacing w:val="-10"/>
                <w:w w:val="15"/>
                <w:shd w:val="solid" w:color="000000" w:fill="000000"/>
                <w:fitText w:val="55" w:id="-1171540224"/>
                <w14:textFill>
                  <w14:solidFill>
                    <w14:srgbClr w14:val="000000">
                      <w14:alpha w14:val="100000"/>
                    </w14:srgbClr>
                  </w14:solidFill>
                </w14:textFill>
              </w:rPr>
              <w:t xml:space="preserve">　</w:t>
            </w:r>
            <w:r w:rsidR="002E17B0" w:rsidRPr="00016A4F">
              <w:rPr>
                <w:vertAlign w:val="superscript"/>
              </w:rPr>
              <w:t>1</w:t>
            </w:r>
          </w:p>
        </w:tc>
        <w:tc>
          <w:tcPr>
            <w:tcW w:w="593" w:type="pct"/>
            <w:shd w:val="clear" w:color="auto" w:fill="auto"/>
          </w:tcPr>
          <w:p w14:paraId="319420A7" w14:textId="782A1170" w:rsidR="001A0E96" w:rsidRPr="00207D60" w:rsidRDefault="00EA163B" w:rsidP="00124B5E">
            <w:pPr>
              <w:pStyle w:val="COMTabletext"/>
              <w:jc w:val="center"/>
              <w:rPr>
                <w:color w:val="000000"/>
                <w:highlight w:val="darkGray"/>
              </w:rPr>
            </w:pPr>
            <w:r w:rsidRPr="00EA163B">
              <w:rPr>
                <w:rFonts w:hint="eastAsia"/>
                <w:color w:val="000000"/>
                <w:w w:val="15"/>
                <w:shd w:val="solid" w:color="000000" w:fill="000000"/>
                <w:fitText w:val="55" w:id="-1171540223"/>
                <w14:textFill>
                  <w14:solidFill>
                    <w14:srgbClr w14:val="000000">
                      <w14:alpha w14:val="100000"/>
                    </w14:srgbClr>
                  </w14:solidFill>
                </w14:textFill>
              </w:rPr>
              <w:t xml:space="preserve">　</w:t>
            </w:r>
            <w:r w:rsidRPr="00EA163B">
              <w:rPr>
                <w:color w:val="000000"/>
                <w:w w:val="15"/>
                <w:shd w:val="solid" w:color="000000" w:fill="000000"/>
                <w:fitText w:val="55" w:id="-1171540223"/>
                <w14:textFill>
                  <w14:solidFill>
                    <w14:srgbClr w14:val="000000">
                      <w14:alpha w14:val="100000"/>
                    </w14:srgbClr>
                  </w14:solidFill>
                </w14:textFill>
              </w:rPr>
              <w:t>|</w:t>
            </w:r>
            <w:r w:rsidRPr="00EA163B">
              <w:rPr>
                <w:rFonts w:hint="eastAsia"/>
                <w:color w:val="000000"/>
                <w:spacing w:val="-10"/>
                <w:w w:val="15"/>
                <w:shd w:val="solid" w:color="000000" w:fill="000000"/>
                <w:fitText w:val="55" w:id="-1171540223"/>
                <w14:textFill>
                  <w14:solidFill>
                    <w14:srgbClr w14:val="000000">
                      <w14:alpha w14:val="100000"/>
                    </w14:srgbClr>
                  </w14:solidFill>
                </w14:textFill>
              </w:rPr>
              <w:t xml:space="preserve">　</w:t>
            </w:r>
            <w:r w:rsidR="002E17B0" w:rsidRPr="00016A4F">
              <w:rPr>
                <w:vertAlign w:val="superscript"/>
              </w:rPr>
              <w:t>1</w:t>
            </w:r>
          </w:p>
        </w:tc>
        <w:tc>
          <w:tcPr>
            <w:tcW w:w="594" w:type="pct"/>
            <w:shd w:val="clear" w:color="auto" w:fill="auto"/>
          </w:tcPr>
          <w:p w14:paraId="1AB57BA4" w14:textId="025B21B7" w:rsidR="001A0E96" w:rsidRPr="00207D60" w:rsidRDefault="00EA163B" w:rsidP="00124B5E">
            <w:pPr>
              <w:pStyle w:val="COMTabletext"/>
              <w:jc w:val="center"/>
              <w:rPr>
                <w:color w:val="000000"/>
                <w:highlight w:val="darkGray"/>
              </w:rPr>
            </w:pPr>
            <w:r w:rsidRPr="00EA163B">
              <w:rPr>
                <w:rFonts w:hint="eastAsia"/>
                <w:color w:val="000000"/>
                <w:w w:val="15"/>
                <w:shd w:val="solid" w:color="000000" w:fill="000000"/>
                <w:fitText w:val="55" w:id="-1171540222"/>
                <w14:textFill>
                  <w14:solidFill>
                    <w14:srgbClr w14:val="000000">
                      <w14:alpha w14:val="100000"/>
                    </w14:srgbClr>
                  </w14:solidFill>
                </w14:textFill>
              </w:rPr>
              <w:t xml:space="preserve">　</w:t>
            </w:r>
            <w:r w:rsidRPr="00EA163B">
              <w:rPr>
                <w:color w:val="000000"/>
                <w:w w:val="15"/>
                <w:shd w:val="solid" w:color="000000" w:fill="000000"/>
                <w:fitText w:val="55" w:id="-1171540222"/>
                <w14:textFill>
                  <w14:solidFill>
                    <w14:srgbClr w14:val="000000">
                      <w14:alpha w14:val="100000"/>
                    </w14:srgbClr>
                  </w14:solidFill>
                </w14:textFill>
              </w:rPr>
              <w:t>|</w:t>
            </w:r>
            <w:r w:rsidRPr="00EA163B">
              <w:rPr>
                <w:rFonts w:hint="eastAsia"/>
                <w:color w:val="000000"/>
                <w:spacing w:val="-10"/>
                <w:w w:val="15"/>
                <w:shd w:val="solid" w:color="000000" w:fill="000000"/>
                <w:fitText w:val="55" w:id="-1171540222"/>
                <w14:textFill>
                  <w14:solidFill>
                    <w14:srgbClr w14:val="000000">
                      <w14:alpha w14:val="100000"/>
                    </w14:srgbClr>
                  </w14:solidFill>
                </w14:textFill>
              </w:rPr>
              <w:t xml:space="preserve">　</w:t>
            </w:r>
            <w:r w:rsidR="002E17B0" w:rsidRPr="00016A4F">
              <w:rPr>
                <w:vertAlign w:val="superscript"/>
              </w:rPr>
              <w:t>1</w:t>
            </w:r>
          </w:p>
        </w:tc>
        <w:tc>
          <w:tcPr>
            <w:tcW w:w="594" w:type="pct"/>
            <w:shd w:val="clear" w:color="auto" w:fill="auto"/>
          </w:tcPr>
          <w:p w14:paraId="3F54F54E" w14:textId="4C956A51" w:rsidR="001A0E96" w:rsidRPr="00207D60" w:rsidRDefault="00EA163B" w:rsidP="00124B5E">
            <w:pPr>
              <w:pStyle w:val="COMTabletext"/>
              <w:jc w:val="center"/>
              <w:rPr>
                <w:color w:val="000000"/>
                <w:highlight w:val="darkGray"/>
              </w:rPr>
            </w:pPr>
            <w:r w:rsidRPr="00EA163B">
              <w:rPr>
                <w:rFonts w:hint="eastAsia"/>
                <w:color w:val="000000"/>
                <w:w w:val="15"/>
                <w:shd w:val="solid" w:color="000000" w:fill="000000"/>
                <w:fitText w:val="55" w:id="-1171540221"/>
                <w14:textFill>
                  <w14:solidFill>
                    <w14:srgbClr w14:val="000000">
                      <w14:alpha w14:val="100000"/>
                    </w14:srgbClr>
                  </w14:solidFill>
                </w14:textFill>
              </w:rPr>
              <w:t xml:space="preserve">　</w:t>
            </w:r>
            <w:r w:rsidRPr="00EA163B">
              <w:rPr>
                <w:color w:val="000000"/>
                <w:w w:val="15"/>
                <w:shd w:val="solid" w:color="000000" w:fill="000000"/>
                <w:fitText w:val="55" w:id="-1171540221"/>
                <w14:textFill>
                  <w14:solidFill>
                    <w14:srgbClr w14:val="000000">
                      <w14:alpha w14:val="100000"/>
                    </w14:srgbClr>
                  </w14:solidFill>
                </w14:textFill>
              </w:rPr>
              <w:t>|</w:t>
            </w:r>
            <w:r w:rsidRPr="00EA163B">
              <w:rPr>
                <w:rFonts w:hint="eastAsia"/>
                <w:color w:val="000000"/>
                <w:spacing w:val="-10"/>
                <w:w w:val="15"/>
                <w:shd w:val="solid" w:color="000000" w:fill="000000"/>
                <w:fitText w:val="55" w:id="-1171540221"/>
                <w14:textFill>
                  <w14:solidFill>
                    <w14:srgbClr w14:val="000000">
                      <w14:alpha w14:val="100000"/>
                    </w14:srgbClr>
                  </w14:solidFill>
                </w14:textFill>
              </w:rPr>
              <w:t xml:space="preserve">　</w:t>
            </w:r>
            <w:r w:rsidR="002E17B0" w:rsidRPr="00016A4F">
              <w:rPr>
                <w:vertAlign w:val="superscript"/>
              </w:rPr>
              <w:t>1</w:t>
            </w:r>
          </w:p>
        </w:tc>
        <w:tc>
          <w:tcPr>
            <w:tcW w:w="582" w:type="pct"/>
          </w:tcPr>
          <w:p w14:paraId="39538A0D" w14:textId="5FD07EE8" w:rsidR="001A0E96" w:rsidRPr="00207D60" w:rsidRDefault="00EA163B" w:rsidP="00124B5E">
            <w:pPr>
              <w:pStyle w:val="COMTabletext"/>
              <w:jc w:val="center"/>
              <w:rPr>
                <w:color w:val="000000"/>
                <w:highlight w:val="darkGray"/>
              </w:rPr>
            </w:pPr>
            <w:r w:rsidRPr="00EA163B">
              <w:rPr>
                <w:rFonts w:hint="eastAsia"/>
                <w:color w:val="000000"/>
                <w:w w:val="16"/>
                <w:shd w:val="solid" w:color="000000" w:fill="000000"/>
                <w:fitText w:val="73" w:id="-1171540220"/>
                <w14:textFill>
                  <w14:solidFill>
                    <w14:srgbClr w14:val="000000">
                      <w14:alpha w14:val="100000"/>
                    </w14:srgbClr>
                  </w14:solidFill>
                </w14:textFill>
              </w:rPr>
              <w:t xml:space="preserve">　</w:t>
            </w:r>
            <w:r w:rsidRPr="00EA163B">
              <w:rPr>
                <w:color w:val="000000"/>
                <w:w w:val="16"/>
                <w:shd w:val="solid" w:color="000000" w:fill="000000"/>
                <w:fitText w:val="73" w:id="-1171540220"/>
                <w14:textFill>
                  <w14:solidFill>
                    <w14:srgbClr w14:val="000000">
                      <w14:alpha w14:val="100000"/>
                    </w14:srgbClr>
                  </w14:solidFill>
                </w14:textFill>
              </w:rPr>
              <w:t>|</w:t>
            </w:r>
            <w:r w:rsidRPr="00EA163B">
              <w:rPr>
                <w:rFonts w:hint="eastAsia"/>
                <w:color w:val="000000"/>
                <w:spacing w:val="3"/>
                <w:w w:val="16"/>
                <w:shd w:val="solid" w:color="000000" w:fill="000000"/>
                <w:fitText w:val="73" w:id="-1171540220"/>
                <w14:textFill>
                  <w14:solidFill>
                    <w14:srgbClr w14:val="000000">
                      <w14:alpha w14:val="100000"/>
                    </w14:srgbClr>
                  </w14:solidFill>
                </w14:textFill>
              </w:rPr>
              <w:t xml:space="preserve">　</w:t>
            </w:r>
            <w:r w:rsidR="002E17B0" w:rsidRPr="00016A4F">
              <w:rPr>
                <w:vertAlign w:val="superscript"/>
              </w:rPr>
              <w:t>1</w:t>
            </w:r>
          </w:p>
        </w:tc>
      </w:tr>
      <w:tr w:rsidR="001A0E96" w:rsidRPr="00392B10" w14:paraId="0E5A0685" w14:textId="77777777" w:rsidTr="00207D60">
        <w:tc>
          <w:tcPr>
            <w:tcW w:w="1449" w:type="pct"/>
            <w:shd w:val="clear" w:color="auto" w:fill="auto"/>
            <w:vAlign w:val="center"/>
          </w:tcPr>
          <w:p w14:paraId="479FD7D9" w14:textId="77777777" w:rsidR="001A0E96" w:rsidRPr="00392B10" w:rsidRDefault="001A0E96" w:rsidP="00124B5E">
            <w:pPr>
              <w:pStyle w:val="COMTabletext"/>
            </w:pPr>
            <w:r w:rsidRPr="00392B10">
              <w:t>- Induction 1 (100%)</w:t>
            </w:r>
          </w:p>
        </w:tc>
        <w:tc>
          <w:tcPr>
            <w:tcW w:w="594" w:type="pct"/>
            <w:shd w:val="clear" w:color="auto" w:fill="auto"/>
          </w:tcPr>
          <w:p w14:paraId="5A286870" w14:textId="7921EBC0" w:rsidR="001A0E96" w:rsidRPr="00207D60" w:rsidRDefault="00EA163B" w:rsidP="00124B5E">
            <w:pPr>
              <w:pStyle w:val="COMTabletext"/>
              <w:jc w:val="center"/>
              <w:rPr>
                <w:color w:val="000000"/>
                <w:highlight w:val="darkGray"/>
              </w:rPr>
            </w:pPr>
            <w:r w:rsidRPr="00EA163B">
              <w:rPr>
                <w:rFonts w:hint="eastAsia"/>
                <w:color w:val="000000"/>
                <w:w w:val="15"/>
                <w:shd w:val="solid" w:color="000000" w:fill="000000"/>
                <w:fitText w:val="55" w:id="-1171540219"/>
                <w14:textFill>
                  <w14:solidFill>
                    <w14:srgbClr w14:val="000000">
                      <w14:alpha w14:val="100000"/>
                    </w14:srgbClr>
                  </w14:solidFill>
                </w14:textFill>
              </w:rPr>
              <w:t xml:space="preserve">　</w:t>
            </w:r>
            <w:r w:rsidRPr="00EA163B">
              <w:rPr>
                <w:color w:val="000000"/>
                <w:w w:val="15"/>
                <w:shd w:val="solid" w:color="000000" w:fill="000000"/>
                <w:fitText w:val="55" w:id="-1171540219"/>
                <w14:textFill>
                  <w14:solidFill>
                    <w14:srgbClr w14:val="000000">
                      <w14:alpha w14:val="100000"/>
                    </w14:srgbClr>
                  </w14:solidFill>
                </w14:textFill>
              </w:rPr>
              <w:t>|</w:t>
            </w:r>
            <w:r w:rsidRPr="00EA163B">
              <w:rPr>
                <w:rFonts w:hint="eastAsia"/>
                <w:color w:val="000000"/>
                <w:spacing w:val="-10"/>
                <w:w w:val="15"/>
                <w:shd w:val="solid" w:color="000000" w:fill="000000"/>
                <w:fitText w:val="55" w:id="-1171540219"/>
                <w14:textFill>
                  <w14:solidFill>
                    <w14:srgbClr w14:val="000000">
                      <w14:alpha w14:val="100000"/>
                    </w14:srgbClr>
                  </w14:solidFill>
                </w14:textFill>
              </w:rPr>
              <w:t xml:space="preserve">　</w:t>
            </w:r>
            <w:r w:rsidR="002E17B0" w:rsidRPr="00016A4F">
              <w:rPr>
                <w:vertAlign w:val="superscript"/>
              </w:rPr>
              <w:t>1</w:t>
            </w:r>
          </w:p>
        </w:tc>
        <w:tc>
          <w:tcPr>
            <w:tcW w:w="594" w:type="pct"/>
            <w:shd w:val="clear" w:color="auto" w:fill="auto"/>
          </w:tcPr>
          <w:p w14:paraId="5B3B6AE6" w14:textId="6882FECD" w:rsidR="001A0E96" w:rsidRPr="00207D60" w:rsidRDefault="00EA163B" w:rsidP="00124B5E">
            <w:pPr>
              <w:pStyle w:val="COMTabletext"/>
              <w:jc w:val="center"/>
              <w:rPr>
                <w:color w:val="000000"/>
                <w:highlight w:val="darkGray"/>
              </w:rPr>
            </w:pPr>
            <w:r w:rsidRPr="00EA163B">
              <w:rPr>
                <w:rFonts w:hint="eastAsia"/>
                <w:color w:val="000000"/>
                <w:w w:val="15"/>
                <w:shd w:val="solid" w:color="000000" w:fill="000000"/>
                <w:fitText w:val="55" w:id="-1171540218"/>
                <w14:textFill>
                  <w14:solidFill>
                    <w14:srgbClr w14:val="000000">
                      <w14:alpha w14:val="100000"/>
                    </w14:srgbClr>
                  </w14:solidFill>
                </w14:textFill>
              </w:rPr>
              <w:t xml:space="preserve">　</w:t>
            </w:r>
            <w:r w:rsidRPr="00EA163B">
              <w:rPr>
                <w:color w:val="000000"/>
                <w:w w:val="15"/>
                <w:shd w:val="solid" w:color="000000" w:fill="000000"/>
                <w:fitText w:val="55" w:id="-1171540218"/>
                <w14:textFill>
                  <w14:solidFill>
                    <w14:srgbClr w14:val="000000">
                      <w14:alpha w14:val="100000"/>
                    </w14:srgbClr>
                  </w14:solidFill>
                </w14:textFill>
              </w:rPr>
              <w:t>|</w:t>
            </w:r>
            <w:r w:rsidRPr="00EA163B">
              <w:rPr>
                <w:rFonts w:hint="eastAsia"/>
                <w:color w:val="000000"/>
                <w:spacing w:val="-10"/>
                <w:w w:val="15"/>
                <w:shd w:val="solid" w:color="000000" w:fill="000000"/>
                <w:fitText w:val="55" w:id="-1171540218"/>
                <w14:textFill>
                  <w14:solidFill>
                    <w14:srgbClr w14:val="000000">
                      <w14:alpha w14:val="100000"/>
                    </w14:srgbClr>
                  </w14:solidFill>
                </w14:textFill>
              </w:rPr>
              <w:t xml:space="preserve">　</w:t>
            </w:r>
            <w:r w:rsidR="002E17B0" w:rsidRPr="00016A4F">
              <w:rPr>
                <w:vertAlign w:val="superscript"/>
              </w:rPr>
              <w:t>1</w:t>
            </w:r>
          </w:p>
        </w:tc>
        <w:tc>
          <w:tcPr>
            <w:tcW w:w="593" w:type="pct"/>
            <w:shd w:val="clear" w:color="auto" w:fill="auto"/>
          </w:tcPr>
          <w:p w14:paraId="1180EE12" w14:textId="5146D71F" w:rsidR="001A0E96" w:rsidRPr="00207D60" w:rsidRDefault="00EA163B" w:rsidP="00124B5E">
            <w:pPr>
              <w:pStyle w:val="COMTabletext"/>
              <w:jc w:val="center"/>
              <w:rPr>
                <w:color w:val="000000"/>
                <w:highlight w:val="darkGray"/>
              </w:rPr>
            </w:pPr>
            <w:r w:rsidRPr="00EA163B">
              <w:rPr>
                <w:rFonts w:hint="eastAsia"/>
                <w:color w:val="000000"/>
                <w:w w:val="15"/>
                <w:shd w:val="solid" w:color="000000" w:fill="000000"/>
                <w:fitText w:val="55" w:id="-1171540217"/>
                <w14:textFill>
                  <w14:solidFill>
                    <w14:srgbClr w14:val="000000">
                      <w14:alpha w14:val="100000"/>
                    </w14:srgbClr>
                  </w14:solidFill>
                </w14:textFill>
              </w:rPr>
              <w:t xml:space="preserve">　</w:t>
            </w:r>
            <w:r w:rsidRPr="00EA163B">
              <w:rPr>
                <w:color w:val="000000"/>
                <w:w w:val="15"/>
                <w:shd w:val="solid" w:color="000000" w:fill="000000"/>
                <w:fitText w:val="55" w:id="-1171540217"/>
                <w14:textFill>
                  <w14:solidFill>
                    <w14:srgbClr w14:val="000000">
                      <w14:alpha w14:val="100000"/>
                    </w14:srgbClr>
                  </w14:solidFill>
                </w14:textFill>
              </w:rPr>
              <w:t>|</w:t>
            </w:r>
            <w:r w:rsidRPr="00EA163B">
              <w:rPr>
                <w:rFonts w:hint="eastAsia"/>
                <w:color w:val="000000"/>
                <w:spacing w:val="-10"/>
                <w:w w:val="15"/>
                <w:shd w:val="solid" w:color="000000" w:fill="000000"/>
                <w:fitText w:val="55" w:id="-1171540217"/>
                <w14:textFill>
                  <w14:solidFill>
                    <w14:srgbClr w14:val="000000">
                      <w14:alpha w14:val="100000"/>
                    </w14:srgbClr>
                  </w14:solidFill>
                </w14:textFill>
              </w:rPr>
              <w:t xml:space="preserve">　</w:t>
            </w:r>
            <w:r w:rsidR="002E17B0" w:rsidRPr="00016A4F">
              <w:rPr>
                <w:vertAlign w:val="superscript"/>
              </w:rPr>
              <w:t>1</w:t>
            </w:r>
          </w:p>
        </w:tc>
        <w:tc>
          <w:tcPr>
            <w:tcW w:w="594" w:type="pct"/>
            <w:shd w:val="clear" w:color="auto" w:fill="auto"/>
          </w:tcPr>
          <w:p w14:paraId="1A39ED53" w14:textId="720960F9" w:rsidR="001A0E96" w:rsidRPr="00207D60" w:rsidRDefault="00EA163B" w:rsidP="00124B5E">
            <w:pPr>
              <w:pStyle w:val="COMTabletext"/>
              <w:jc w:val="center"/>
              <w:rPr>
                <w:color w:val="000000"/>
                <w:highlight w:val="darkGray"/>
              </w:rPr>
            </w:pPr>
            <w:r w:rsidRPr="00EA163B">
              <w:rPr>
                <w:rFonts w:hint="eastAsia"/>
                <w:color w:val="000000"/>
                <w:w w:val="15"/>
                <w:shd w:val="solid" w:color="000000" w:fill="000000"/>
                <w:fitText w:val="55" w:id="-1171540216"/>
                <w14:textFill>
                  <w14:solidFill>
                    <w14:srgbClr w14:val="000000">
                      <w14:alpha w14:val="100000"/>
                    </w14:srgbClr>
                  </w14:solidFill>
                </w14:textFill>
              </w:rPr>
              <w:t xml:space="preserve">　</w:t>
            </w:r>
            <w:r w:rsidRPr="00EA163B">
              <w:rPr>
                <w:color w:val="000000"/>
                <w:w w:val="15"/>
                <w:shd w:val="solid" w:color="000000" w:fill="000000"/>
                <w:fitText w:val="55" w:id="-1171540216"/>
                <w14:textFill>
                  <w14:solidFill>
                    <w14:srgbClr w14:val="000000">
                      <w14:alpha w14:val="100000"/>
                    </w14:srgbClr>
                  </w14:solidFill>
                </w14:textFill>
              </w:rPr>
              <w:t>|</w:t>
            </w:r>
            <w:r w:rsidRPr="00EA163B">
              <w:rPr>
                <w:rFonts w:hint="eastAsia"/>
                <w:color w:val="000000"/>
                <w:spacing w:val="-10"/>
                <w:w w:val="15"/>
                <w:shd w:val="solid" w:color="000000" w:fill="000000"/>
                <w:fitText w:val="55" w:id="-1171540216"/>
                <w14:textFill>
                  <w14:solidFill>
                    <w14:srgbClr w14:val="000000">
                      <w14:alpha w14:val="100000"/>
                    </w14:srgbClr>
                  </w14:solidFill>
                </w14:textFill>
              </w:rPr>
              <w:t xml:space="preserve">　</w:t>
            </w:r>
            <w:r w:rsidR="002E17B0" w:rsidRPr="00016A4F">
              <w:rPr>
                <w:vertAlign w:val="superscript"/>
              </w:rPr>
              <w:t>1</w:t>
            </w:r>
          </w:p>
        </w:tc>
        <w:tc>
          <w:tcPr>
            <w:tcW w:w="594" w:type="pct"/>
            <w:shd w:val="clear" w:color="auto" w:fill="auto"/>
          </w:tcPr>
          <w:p w14:paraId="3B525940" w14:textId="704516BF" w:rsidR="001A0E96" w:rsidRPr="00207D60" w:rsidRDefault="00EA163B" w:rsidP="00124B5E">
            <w:pPr>
              <w:pStyle w:val="COMTabletext"/>
              <w:jc w:val="center"/>
              <w:rPr>
                <w:color w:val="000000"/>
                <w:highlight w:val="darkGray"/>
              </w:rPr>
            </w:pPr>
            <w:r w:rsidRPr="00EA163B">
              <w:rPr>
                <w:rFonts w:hint="eastAsia"/>
                <w:color w:val="000000"/>
                <w:w w:val="15"/>
                <w:shd w:val="solid" w:color="000000" w:fill="000000"/>
                <w:fitText w:val="55" w:id="-1171540215"/>
                <w14:textFill>
                  <w14:solidFill>
                    <w14:srgbClr w14:val="000000">
                      <w14:alpha w14:val="100000"/>
                    </w14:srgbClr>
                  </w14:solidFill>
                </w14:textFill>
              </w:rPr>
              <w:t xml:space="preserve">　</w:t>
            </w:r>
            <w:r w:rsidRPr="00EA163B">
              <w:rPr>
                <w:color w:val="000000"/>
                <w:w w:val="15"/>
                <w:shd w:val="solid" w:color="000000" w:fill="000000"/>
                <w:fitText w:val="55" w:id="-1171540215"/>
                <w14:textFill>
                  <w14:solidFill>
                    <w14:srgbClr w14:val="000000">
                      <w14:alpha w14:val="100000"/>
                    </w14:srgbClr>
                  </w14:solidFill>
                </w14:textFill>
              </w:rPr>
              <w:t>|</w:t>
            </w:r>
            <w:r w:rsidRPr="00EA163B">
              <w:rPr>
                <w:rFonts w:hint="eastAsia"/>
                <w:color w:val="000000"/>
                <w:spacing w:val="-10"/>
                <w:w w:val="15"/>
                <w:shd w:val="solid" w:color="000000" w:fill="000000"/>
                <w:fitText w:val="55" w:id="-1171540215"/>
                <w14:textFill>
                  <w14:solidFill>
                    <w14:srgbClr w14:val="000000">
                      <w14:alpha w14:val="100000"/>
                    </w14:srgbClr>
                  </w14:solidFill>
                </w14:textFill>
              </w:rPr>
              <w:t xml:space="preserve">　</w:t>
            </w:r>
            <w:r w:rsidR="002E17B0" w:rsidRPr="00016A4F">
              <w:rPr>
                <w:vertAlign w:val="superscript"/>
              </w:rPr>
              <w:t>1</w:t>
            </w:r>
          </w:p>
        </w:tc>
        <w:tc>
          <w:tcPr>
            <w:tcW w:w="582" w:type="pct"/>
          </w:tcPr>
          <w:p w14:paraId="6136CCC2" w14:textId="7399937B" w:rsidR="001A0E96" w:rsidRPr="00207D60" w:rsidRDefault="00EA163B" w:rsidP="00124B5E">
            <w:pPr>
              <w:pStyle w:val="COMTabletext"/>
              <w:jc w:val="center"/>
              <w:rPr>
                <w:color w:val="000000"/>
                <w:highlight w:val="darkGray"/>
              </w:rPr>
            </w:pPr>
            <w:r w:rsidRPr="00EA163B">
              <w:rPr>
                <w:rFonts w:hint="eastAsia"/>
                <w:color w:val="000000"/>
                <w:w w:val="16"/>
                <w:shd w:val="solid" w:color="000000" w:fill="000000"/>
                <w:fitText w:val="73" w:id="-1171540214"/>
                <w14:textFill>
                  <w14:solidFill>
                    <w14:srgbClr w14:val="000000">
                      <w14:alpha w14:val="100000"/>
                    </w14:srgbClr>
                  </w14:solidFill>
                </w14:textFill>
              </w:rPr>
              <w:t xml:space="preserve">　</w:t>
            </w:r>
            <w:r w:rsidRPr="00EA163B">
              <w:rPr>
                <w:color w:val="000000"/>
                <w:w w:val="16"/>
                <w:shd w:val="solid" w:color="000000" w:fill="000000"/>
                <w:fitText w:val="73" w:id="-1171540214"/>
                <w14:textFill>
                  <w14:solidFill>
                    <w14:srgbClr w14:val="000000">
                      <w14:alpha w14:val="100000"/>
                    </w14:srgbClr>
                  </w14:solidFill>
                </w14:textFill>
              </w:rPr>
              <w:t>|</w:t>
            </w:r>
            <w:r w:rsidRPr="00EA163B">
              <w:rPr>
                <w:rFonts w:hint="eastAsia"/>
                <w:color w:val="000000"/>
                <w:spacing w:val="3"/>
                <w:w w:val="16"/>
                <w:shd w:val="solid" w:color="000000" w:fill="000000"/>
                <w:fitText w:val="73" w:id="-1171540214"/>
                <w14:textFill>
                  <w14:solidFill>
                    <w14:srgbClr w14:val="000000">
                      <w14:alpha w14:val="100000"/>
                    </w14:srgbClr>
                  </w14:solidFill>
                </w14:textFill>
              </w:rPr>
              <w:t xml:space="preserve">　</w:t>
            </w:r>
            <w:r w:rsidR="002E17B0" w:rsidRPr="00016A4F">
              <w:rPr>
                <w:vertAlign w:val="superscript"/>
              </w:rPr>
              <w:t>1</w:t>
            </w:r>
          </w:p>
        </w:tc>
      </w:tr>
      <w:tr w:rsidR="001A0E96" w:rsidRPr="00392B10" w14:paraId="5621CC37" w14:textId="77777777" w:rsidTr="00207D60">
        <w:tc>
          <w:tcPr>
            <w:tcW w:w="1449" w:type="pct"/>
            <w:shd w:val="clear" w:color="auto" w:fill="auto"/>
            <w:vAlign w:val="center"/>
          </w:tcPr>
          <w:p w14:paraId="2EB8E034" w14:textId="77777777" w:rsidR="001A0E96" w:rsidRPr="00392B10" w:rsidRDefault="001A0E96" w:rsidP="00124B5E">
            <w:pPr>
              <w:pStyle w:val="COMTabletext"/>
              <w:rPr>
                <w:vertAlign w:val="superscript"/>
              </w:rPr>
            </w:pPr>
            <w:r w:rsidRPr="00392B10">
              <w:t xml:space="preserve">- Induction 2 (22.4%) </w:t>
            </w:r>
            <w:r w:rsidRPr="00392B10">
              <w:rPr>
                <w:vertAlign w:val="superscript"/>
              </w:rPr>
              <w:t>a</w:t>
            </w:r>
          </w:p>
        </w:tc>
        <w:tc>
          <w:tcPr>
            <w:tcW w:w="594" w:type="pct"/>
            <w:shd w:val="clear" w:color="auto" w:fill="auto"/>
          </w:tcPr>
          <w:p w14:paraId="057DF419" w14:textId="1256FDD6" w:rsidR="001A0E96" w:rsidRPr="00207D60" w:rsidRDefault="00EA163B" w:rsidP="00124B5E">
            <w:pPr>
              <w:pStyle w:val="COMTabletext"/>
              <w:jc w:val="center"/>
              <w:rPr>
                <w:color w:val="000000"/>
                <w:highlight w:val="darkGray"/>
              </w:rPr>
            </w:pPr>
            <w:r w:rsidRPr="00EA163B">
              <w:rPr>
                <w:rFonts w:hint="eastAsia"/>
                <w:color w:val="000000"/>
                <w:w w:val="15"/>
                <w:shd w:val="solid" w:color="000000" w:fill="000000"/>
                <w:fitText w:val="55" w:id="-1171540213"/>
                <w14:textFill>
                  <w14:solidFill>
                    <w14:srgbClr w14:val="000000">
                      <w14:alpha w14:val="100000"/>
                    </w14:srgbClr>
                  </w14:solidFill>
                </w14:textFill>
              </w:rPr>
              <w:t xml:space="preserve">　</w:t>
            </w:r>
            <w:r w:rsidRPr="00EA163B">
              <w:rPr>
                <w:color w:val="000000"/>
                <w:w w:val="15"/>
                <w:shd w:val="solid" w:color="000000" w:fill="000000"/>
                <w:fitText w:val="55" w:id="-1171540213"/>
                <w14:textFill>
                  <w14:solidFill>
                    <w14:srgbClr w14:val="000000">
                      <w14:alpha w14:val="100000"/>
                    </w14:srgbClr>
                  </w14:solidFill>
                </w14:textFill>
              </w:rPr>
              <w:t>|</w:t>
            </w:r>
            <w:r w:rsidRPr="00EA163B">
              <w:rPr>
                <w:rFonts w:hint="eastAsia"/>
                <w:color w:val="000000"/>
                <w:spacing w:val="-10"/>
                <w:w w:val="15"/>
                <w:shd w:val="solid" w:color="000000" w:fill="000000"/>
                <w:fitText w:val="55" w:id="-1171540213"/>
                <w14:textFill>
                  <w14:solidFill>
                    <w14:srgbClr w14:val="000000">
                      <w14:alpha w14:val="100000"/>
                    </w14:srgbClr>
                  </w14:solidFill>
                </w14:textFill>
              </w:rPr>
              <w:t xml:space="preserve">　</w:t>
            </w:r>
            <w:r w:rsidR="002E17B0" w:rsidRPr="00016A4F">
              <w:rPr>
                <w:vertAlign w:val="superscript"/>
              </w:rPr>
              <w:t>1</w:t>
            </w:r>
          </w:p>
        </w:tc>
        <w:tc>
          <w:tcPr>
            <w:tcW w:w="594" w:type="pct"/>
            <w:shd w:val="clear" w:color="auto" w:fill="auto"/>
          </w:tcPr>
          <w:p w14:paraId="4C0A2851" w14:textId="02EB53CB" w:rsidR="001A0E96" w:rsidRPr="00207D60" w:rsidRDefault="00EA163B" w:rsidP="00124B5E">
            <w:pPr>
              <w:pStyle w:val="COMTabletext"/>
              <w:jc w:val="center"/>
              <w:rPr>
                <w:color w:val="000000"/>
                <w:highlight w:val="darkGray"/>
              </w:rPr>
            </w:pPr>
            <w:r w:rsidRPr="00EA163B">
              <w:rPr>
                <w:rFonts w:hint="eastAsia"/>
                <w:color w:val="000000"/>
                <w:w w:val="15"/>
                <w:shd w:val="solid" w:color="000000" w:fill="000000"/>
                <w:fitText w:val="55" w:id="-1171540212"/>
                <w14:textFill>
                  <w14:solidFill>
                    <w14:srgbClr w14:val="000000">
                      <w14:alpha w14:val="100000"/>
                    </w14:srgbClr>
                  </w14:solidFill>
                </w14:textFill>
              </w:rPr>
              <w:t xml:space="preserve">　</w:t>
            </w:r>
            <w:r w:rsidRPr="00EA163B">
              <w:rPr>
                <w:color w:val="000000"/>
                <w:w w:val="15"/>
                <w:shd w:val="solid" w:color="000000" w:fill="000000"/>
                <w:fitText w:val="55" w:id="-1171540212"/>
                <w14:textFill>
                  <w14:solidFill>
                    <w14:srgbClr w14:val="000000">
                      <w14:alpha w14:val="100000"/>
                    </w14:srgbClr>
                  </w14:solidFill>
                </w14:textFill>
              </w:rPr>
              <w:t>|</w:t>
            </w:r>
            <w:r w:rsidRPr="00EA163B">
              <w:rPr>
                <w:rFonts w:hint="eastAsia"/>
                <w:color w:val="000000"/>
                <w:spacing w:val="-10"/>
                <w:w w:val="15"/>
                <w:shd w:val="solid" w:color="000000" w:fill="000000"/>
                <w:fitText w:val="55" w:id="-1171540212"/>
                <w14:textFill>
                  <w14:solidFill>
                    <w14:srgbClr w14:val="000000">
                      <w14:alpha w14:val="100000"/>
                    </w14:srgbClr>
                  </w14:solidFill>
                </w14:textFill>
              </w:rPr>
              <w:t xml:space="preserve">　</w:t>
            </w:r>
            <w:r w:rsidR="002E17B0" w:rsidRPr="00016A4F">
              <w:rPr>
                <w:vertAlign w:val="superscript"/>
              </w:rPr>
              <w:t>1</w:t>
            </w:r>
          </w:p>
        </w:tc>
        <w:tc>
          <w:tcPr>
            <w:tcW w:w="593" w:type="pct"/>
            <w:shd w:val="clear" w:color="auto" w:fill="auto"/>
          </w:tcPr>
          <w:p w14:paraId="3CB97EF9" w14:textId="7269F4AD" w:rsidR="001A0E96" w:rsidRPr="00207D60" w:rsidRDefault="00EA163B" w:rsidP="00124B5E">
            <w:pPr>
              <w:pStyle w:val="COMTabletext"/>
              <w:jc w:val="center"/>
              <w:rPr>
                <w:color w:val="000000"/>
                <w:highlight w:val="darkGray"/>
              </w:rPr>
            </w:pPr>
            <w:r w:rsidRPr="00EA163B">
              <w:rPr>
                <w:rFonts w:hint="eastAsia"/>
                <w:color w:val="000000"/>
                <w:w w:val="15"/>
                <w:shd w:val="solid" w:color="000000" w:fill="000000"/>
                <w:fitText w:val="55" w:id="-1171540211"/>
                <w14:textFill>
                  <w14:solidFill>
                    <w14:srgbClr w14:val="000000">
                      <w14:alpha w14:val="100000"/>
                    </w14:srgbClr>
                  </w14:solidFill>
                </w14:textFill>
              </w:rPr>
              <w:t xml:space="preserve">　</w:t>
            </w:r>
            <w:r w:rsidRPr="00EA163B">
              <w:rPr>
                <w:color w:val="000000"/>
                <w:w w:val="15"/>
                <w:shd w:val="solid" w:color="000000" w:fill="000000"/>
                <w:fitText w:val="55" w:id="-1171540211"/>
                <w14:textFill>
                  <w14:solidFill>
                    <w14:srgbClr w14:val="000000">
                      <w14:alpha w14:val="100000"/>
                    </w14:srgbClr>
                  </w14:solidFill>
                </w14:textFill>
              </w:rPr>
              <w:t>|</w:t>
            </w:r>
            <w:r w:rsidRPr="00EA163B">
              <w:rPr>
                <w:rFonts w:hint="eastAsia"/>
                <w:color w:val="000000"/>
                <w:spacing w:val="-10"/>
                <w:w w:val="15"/>
                <w:shd w:val="solid" w:color="000000" w:fill="000000"/>
                <w:fitText w:val="55" w:id="-1171540211"/>
                <w14:textFill>
                  <w14:solidFill>
                    <w14:srgbClr w14:val="000000">
                      <w14:alpha w14:val="100000"/>
                    </w14:srgbClr>
                  </w14:solidFill>
                </w14:textFill>
              </w:rPr>
              <w:t xml:space="preserve">　</w:t>
            </w:r>
            <w:r w:rsidR="002E17B0" w:rsidRPr="00016A4F">
              <w:rPr>
                <w:vertAlign w:val="superscript"/>
              </w:rPr>
              <w:t>1</w:t>
            </w:r>
          </w:p>
        </w:tc>
        <w:tc>
          <w:tcPr>
            <w:tcW w:w="594" w:type="pct"/>
            <w:shd w:val="clear" w:color="auto" w:fill="auto"/>
          </w:tcPr>
          <w:p w14:paraId="3348DE3D" w14:textId="4116149E" w:rsidR="001A0E96" w:rsidRPr="00207D60" w:rsidRDefault="00EA163B" w:rsidP="00124B5E">
            <w:pPr>
              <w:pStyle w:val="COMTabletext"/>
              <w:jc w:val="center"/>
              <w:rPr>
                <w:color w:val="000000"/>
                <w:highlight w:val="darkGray"/>
              </w:rPr>
            </w:pPr>
            <w:r w:rsidRPr="00EA163B">
              <w:rPr>
                <w:rFonts w:hint="eastAsia"/>
                <w:color w:val="000000"/>
                <w:w w:val="15"/>
                <w:shd w:val="solid" w:color="000000" w:fill="000000"/>
                <w:fitText w:val="55" w:id="-1171540210"/>
                <w14:textFill>
                  <w14:solidFill>
                    <w14:srgbClr w14:val="000000">
                      <w14:alpha w14:val="100000"/>
                    </w14:srgbClr>
                  </w14:solidFill>
                </w14:textFill>
              </w:rPr>
              <w:t xml:space="preserve">　</w:t>
            </w:r>
            <w:r w:rsidRPr="00EA163B">
              <w:rPr>
                <w:color w:val="000000"/>
                <w:w w:val="15"/>
                <w:shd w:val="solid" w:color="000000" w:fill="000000"/>
                <w:fitText w:val="55" w:id="-1171540210"/>
                <w14:textFill>
                  <w14:solidFill>
                    <w14:srgbClr w14:val="000000">
                      <w14:alpha w14:val="100000"/>
                    </w14:srgbClr>
                  </w14:solidFill>
                </w14:textFill>
              </w:rPr>
              <w:t>|</w:t>
            </w:r>
            <w:r w:rsidRPr="00EA163B">
              <w:rPr>
                <w:rFonts w:hint="eastAsia"/>
                <w:color w:val="000000"/>
                <w:spacing w:val="-10"/>
                <w:w w:val="15"/>
                <w:shd w:val="solid" w:color="000000" w:fill="000000"/>
                <w:fitText w:val="55" w:id="-1171540210"/>
                <w14:textFill>
                  <w14:solidFill>
                    <w14:srgbClr w14:val="000000">
                      <w14:alpha w14:val="100000"/>
                    </w14:srgbClr>
                  </w14:solidFill>
                </w14:textFill>
              </w:rPr>
              <w:t xml:space="preserve">　</w:t>
            </w:r>
            <w:r w:rsidR="002E17B0" w:rsidRPr="00016A4F">
              <w:rPr>
                <w:vertAlign w:val="superscript"/>
              </w:rPr>
              <w:t>1</w:t>
            </w:r>
          </w:p>
        </w:tc>
        <w:tc>
          <w:tcPr>
            <w:tcW w:w="594" w:type="pct"/>
            <w:shd w:val="clear" w:color="auto" w:fill="auto"/>
          </w:tcPr>
          <w:p w14:paraId="0D82A474" w14:textId="26F04096" w:rsidR="001A0E96" w:rsidRPr="00207D60" w:rsidRDefault="00EA163B" w:rsidP="00124B5E">
            <w:pPr>
              <w:pStyle w:val="COMTabletext"/>
              <w:jc w:val="center"/>
              <w:rPr>
                <w:color w:val="000000"/>
                <w:highlight w:val="darkGray"/>
              </w:rPr>
            </w:pPr>
            <w:r w:rsidRPr="00EA163B">
              <w:rPr>
                <w:rFonts w:hint="eastAsia"/>
                <w:color w:val="000000"/>
                <w:w w:val="15"/>
                <w:shd w:val="solid" w:color="000000" w:fill="000000"/>
                <w:fitText w:val="55" w:id="-1171540209"/>
                <w14:textFill>
                  <w14:solidFill>
                    <w14:srgbClr w14:val="000000">
                      <w14:alpha w14:val="100000"/>
                    </w14:srgbClr>
                  </w14:solidFill>
                </w14:textFill>
              </w:rPr>
              <w:t xml:space="preserve">　</w:t>
            </w:r>
            <w:r w:rsidRPr="00EA163B">
              <w:rPr>
                <w:color w:val="000000"/>
                <w:w w:val="15"/>
                <w:shd w:val="solid" w:color="000000" w:fill="000000"/>
                <w:fitText w:val="55" w:id="-1171540209"/>
                <w14:textFill>
                  <w14:solidFill>
                    <w14:srgbClr w14:val="000000">
                      <w14:alpha w14:val="100000"/>
                    </w14:srgbClr>
                  </w14:solidFill>
                </w14:textFill>
              </w:rPr>
              <w:t>|</w:t>
            </w:r>
            <w:r w:rsidRPr="00EA163B">
              <w:rPr>
                <w:rFonts w:hint="eastAsia"/>
                <w:color w:val="000000"/>
                <w:spacing w:val="-10"/>
                <w:w w:val="15"/>
                <w:shd w:val="solid" w:color="000000" w:fill="000000"/>
                <w:fitText w:val="55" w:id="-1171540209"/>
                <w14:textFill>
                  <w14:solidFill>
                    <w14:srgbClr w14:val="000000">
                      <w14:alpha w14:val="100000"/>
                    </w14:srgbClr>
                  </w14:solidFill>
                </w14:textFill>
              </w:rPr>
              <w:t xml:space="preserve">　</w:t>
            </w:r>
            <w:r w:rsidR="002E17B0" w:rsidRPr="00016A4F">
              <w:rPr>
                <w:vertAlign w:val="superscript"/>
              </w:rPr>
              <w:t>1</w:t>
            </w:r>
          </w:p>
        </w:tc>
        <w:tc>
          <w:tcPr>
            <w:tcW w:w="582" w:type="pct"/>
          </w:tcPr>
          <w:p w14:paraId="67EBA4E5" w14:textId="73C5D1EC" w:rsidR="001A0E96" w:rsidRPr="00207D60" w:rsidRDefault="00EA163B" w:rsidP="00124B5E">
            <w:pPr>
              <w:pStyle w:val="COMTabletext"/>
              <w:jc w:val="center"/>
              <w:rPr>
                <w:color w:val="000000"/>
                <w:highlight w:val="darkGray"/>
              </w:rPr>
            </w:pPr>
            <w:r w:rsidRPr="00EA163B">
              <w:rPr>
                <w:rFonts w:hint="eastAsia"/>
                <w:color w:val="000000"/>
                <w:w w:val="16"/>
                <w:shd w:val="solid" w:color="000000" w:fill="000000"/>
                <w:fitText w:val="73" w:id="-1171540208"/>
                <w14:textFill>
                  <w14:solidFill>
                    <w14:srgbClr w14:val="000000">
                      <w14:alpha w14:val="100000"/>
                    </w14:srgbClr>
                  </w14:solidFill>
                </w14:textFill>
              </w:rPr>
              <w:t xml:space="preserve">　</w:t>
            </w:r>
            <w:r w:rsidRPr="00EA163B">
              <w:rPr>
                <w:color w:val="000000"/>
                <w:w w:val="16"/>
                <w:shd w:val="solid" w:color="000000" w:fill="000000"/>
                <w:fitText w:val="73" w:id="-1171540208"/>
                <w14:textFill>
                  <w14:solidFill>
                    <w14:srgbClr w14:val="000000">
                      <w14:alpha w14:val="100000"/>
                    </w14:srgbClr>
                  </w14:solidFill>
                </w14:textFill>
              </w:rPr>
              <w:t>|</w:t>
            </w:r>
            <w:r w:rsidRPr="00EA163B">
              <w:rPr>
                <w:rFonts w:hint="eastAsia"/>
                <w:color w:val="000000"/>
                <w:spacing w:val="3"/>
                <w:w w:val="16"/>
                <w:shd w:val="solid" w:color="000000" w:fill="000000"/>
                <w:fitText w:val="73" w:id="-1171540208"/>
                <w14:textFill>
                  <w14:solidFill>
                    <w14:srgbClr w14:val="000000">
                      <w14:alpha w14:val="100000"/>
                    </w14:srgbClr>
                  </w14:solidFill>
                </w14:textFill>
              </w:rPr>
              <w:t xml:space="preserve">　</w:t>
            </w:r>
            <w:r w:rsidR="002E17B0" w:rsidRPr="00016A4F">
              <w:rPr>
                <w:vertAlign w:val="superscript"/>
              </w:rPr>
              <w:t>1</w:t>
            </w:r>
          </w:p>
        </w:tc>
      </w:tr>
      <w:tr w:rsidR="001A0E96" w:rsidRPr="00392B10" w14:paraId="3764F514" w14:textId="77777777" w:rsidTr="00207D60">
        <w:tc>
          <w:tcPr>
            <w:tcW w:w="1449" w:type="pct"/>
            <w:shd w:val="clear" w:color="auto" w:fill="auto"/>
            <w:vAlign w:val="center"/>
          </w:tcPr>
          <w:p w14:paraId="69A450D1" w14:textId="77777777" w:rsidR="001A0E96" w:rsidRPr="00392B10" w:rsidRDefault="001A0E96" w:rsidP="00124B5E">
            <w:pPr>
              <w:pStyle w:val="COMTabletext"/>
              <w:rPr>
                <w:vertAlign w:val="superscript"/>
              </w:rPr>
            </w:pPr>
            <w:r w:rsidRPr="00392B10">
              <w:t xml:space="preserve">- Consolidation 1 (27.3%) </w:t>
            </w:r>
            <w:r w:rsidRPr="00392B10">
              <w:rPr>
                <w:vertAlign w:val="superscript"/>
              </w:rPr>
              <w:t>a</w:t>
            </w:r>
          </w:p>
        </w:tc>
        <w:tc>
          <w:tcPr>
            <w:tcW w:w="594" w:type="pct"/>
            <w:shd w:val="clear" w:color="auto" w:fill="auto"/>
          </w:tcPr>
          <w:p w14:paraId="5FBD3EE9" w14:textId="2DF90968" w:rsidR="001A0E96" w:rsidRPr="00207D60" w:rsidRDefault="00EA163B" w:rsidP="00124B5E">
            <w:pPr>
              <w:pStyle w:val="COMTabletext"/>
              <w:jc w:val="center"/>
              <w:rPr>
                <w:color w:val="000000"/>
                <w:highlight w:val="darkGray"/>
              </w:rPr>
            </w:pPr>
            <w:r w:rsidRPr="00EA163B">
              <w:rPr>
                <w:rFonts w:hint="eastAsia"/>
                <w:color w:val="000000"/>
                <w:w w:val="15"/>
                <w:shd w:val="solid" w:color="000000" w:fill="000000"/>
                <w:fitText w:val="55" w:id="-1171540224"/>
                <w14:textFill>
                  <w14:solidFill>
                    <w14:srgbClr w14:val="000000">
                      <w14:alpha w14:val="100000"/>
                    </w14:srgbClr>
                  </w14:solidFill>
                </w14:textFill>
              </w:rPr>
              <w:t xml:space="preserve">　</w:t>
            </w:r>
            <w:r w:rsidRPr="00EA163B">
              <w:rPr>
                <w:color w:val="000000"/>
                <w:w w:val="15"/>
                <w:shd w:val="solid" w:color="000000" w:fill="000000"/>
                <w:fitText w:val="55" w:id="-1171540224"/>
                <w14:textFill>
                  <w14:solidFill>
                    <w14:srgbClr w14:val="000000">
                      <w14:alpha w14:val="100000"/>
                    </w14:srgbClr>
                  </w14:solidFill>
                </w14:textFill>
              </w:rPr>
              <w:t>|</w:t>
            </w:r>
            <w:r w:rsidRPr="00EA163B">
              <w:rPr>
                <w:rFonts w:hint="eastAsia"/>
                <w:color w:val="000000"/>
                <w:spacing w:val="-10"/>
                <w:w w:val="15"/>
                <w:shd w:val="solid" w:color="000000" w:fill="000000"/>
                <w:fitText w:val="55" w:id="-1171540224"/>
                <w14:textFill>
                  <w14:solidFill>
                    <w14:srgbClr w14:val="000000">
                      <w14:alpha w14:val="100000"/>
                    </w14:srgbClr>
                  </w14:solidFill>
                </w14:textFill>
              </w:rPr>
              <w:t xml:space="preserve">　</w:t>
            </w:r>
            <w:r w:rsidR="002E17B0" w:rsidRPr="00016A4F">
              <w:rPr>
                <w:vertAlign w:val="superscript"/>
              </w:rPr>
              <w:t>1</w:t>
            </w:r>
          </w:p>
        </w:tc>
        <w:tc>
          <w:tcPr>
            <w:tcW w:w="594" w:type="pct"/>
            <w:shd w:val="clear" w:color="auto" w:fill="auto"/>
          </w:tcPr>
          <w:p w14:paraId="7A235A71" w14:textId="1BF029E8" w:rsidR="001A0E96" w:rsidRPr="00207D60" w:rsidRDefault="00EA163B" w:rsidP="00124B5E">
            <w:pPr>
              <w:pStyle w:val="COMTabletext"/>
              <w:jc w:val="center"/>
              <w:rPr>
                <w:color w:val="000000"/>
                <w:highlight w:val="darkGray"/>
              </w:rPr>
            </w:pPr>
            <w:r w:rsidRPr="00EA163B">
              <w:rPr>
                <w:rFonts w:hint="eastAsia"/>
                <w:color w:val="000000"/>
                <w:w w:val="15"/>
                <w:shd w:val="solid" w:color="000000" w:fill="000000"/>
                <w:fitText w:val="55" w:id="-1171540223"/>
                <w14:textFill>
                  <w14:solidFill>
                    <w14:srgbClr w14:val="000000">
                      <w14:alpha w14:val="100000"/>
                    </w14:srgbClr>
                  </w14:solidFill>
                </w14:textFill>
              </w:rPr>
              <w:t xml:space="preserve">　</w:t>
            </w:r>
            <w:r w:rsidRPr="00EA163B">
              <w:rPr>
                <w:color w:val="000000"/>
                <w:w w:val="15"/>
                <w:shd w:val="solid" w:color="000000" w:fill="000000"/>
                <w:fitText w:val="55" w:id="-1171540223"/>
                <w14:textFill>
                  <w14:solidFill>
                    <w14:srgbClr w14:val="000000">
                      <w14:alpha w14:val="100000"/>
                    </w14:srgbClr>
                  </w14:solidFill>
                </w14:textFill>
              </w:rPr>
              <w:t>|</w:t>
            </w:r>
            <w:r w:rsidRPr="00EA163B">
              <w:rPr>
                <w:rFonts w:hint="eastAsia"/>
                <w:color w:val="000000"/>
                <w:spacing w:val="-10"/>
                <w:w w:val="15"/>
                <w:shd w:val="solid" w:color="000000" w:fill="000000"/>
                <w:fitText w:val="55" w:id="-1171540223"/>
                <w14:textFill>
                  <w14:solidFill>
                    <w14:srgbClr w14:val="000000">
                      <w14:alpha w14:val="100000"/>
                    </w14:srgbClr>
                  </w14:solidFill>
                </w14:textFill>
              </w:rPr>
              <w:t xml:space="preserve">　</w:t>
            </w:r>
            <w:r w:rsidR="002E17B0" w:rsidRPr="00016A4F">
              <w:rPr>
                <w:vertAlign w:val="superscript"/>
              </w:rPr>
              <w:t>1</w:t>
            </w:r>
          </w:p>
        </w:tc>
        <w:tc>
          <w:tcPr>
            <w:tcW w:w="593" w:type="pct"/>
            <w:shd w:val="clear" w:color="auto" w:fill="auto"/>
          </w:tcPr>
          <w:p w14:paraId="39518D2C" w14:textId="4A36391D" w:rsidR="001A0E96" w:rsidRPr="00207D60" w:rsidRDefault="00EA163B" w:rsidP="00124B5E">
            <w:pPr>
              <w:pStyle w:val="COMTabletext"/>
              <w:jc w:val="center"/>
              <w:rPr>
                <w:color w:val="000000"/>
                <w:highlight w:val="darkGray"/>
              </w:rPr>
            </w:pPr>
            <w:r w:rsidRPr="00EA163B">
              <w:rPr>
                <w:rFonts w:hint="eastAsia"/>
                <w:color w:val="000000"/>
                <w:w w:val="15"/>
                <w:shd w:val="solid" w:color="000000" w:fill="000000"/>
                <w:fitText w:val="55" w:id="-1171540222"/>
                <w14:textFill>
                  <w14:solidFill>
                    <w14:srgbClr w14:val="000000">
                      <w14:alpha w14:val="100000"/>
                    </w14:srgbClr>
                  </w14:solidFill>
                </w14:textFill>
              </w:rPr>
              <w:t xml:space="preserve">　</w:t>
            </w:r>
            <w:r w:rsidRPr="00EA163B">
              <w:rPr>
                <w:color w:val="000000"/>
                <w:w w:val="15"/>
                <w:shd w:val="solid" w:color="000000" w:fill="000000"/>
                <w:fitText w:val="55" w:id="-1171540222"/>
                <w14:textFill>
                  <w14:solidFill>
                    <w14:srgbClr w14:val="000000">
                      <w14:alpha w14:val="100000"/>
                    </w14:srgbClr>
                  </w14:solidFill>
                </w14:textFill>
              </w:rPr>
              <w:t>|</w:t>
            </w:r>
            <w:r w:rsidRPr="00EA163B">
              <w:rPr>
                <w:rFonts w:hint="eastAsia"/>
                <w:color w:val="000000"/>
                <w:spacing w:val="-10"/>
                <w:w w:val="15"/>
                <w:shd w:val="solid" w:color="000000" w:fill="000000"/>
                <w:fitText w:val="55" w:id="-1171540222"/>
                <w14:textFill>
                  <w14:solidFill>
                    <w14:srgbClr w14:val="000000">
                      <w14:alpha w14:val="100000"/>
                    </w14:srgbClr>
                  </w14:solidFill>
                </w14:textFill>
              </w:rPr>
              <w:t xml:space="preserve">　</w:t>
            </w:r>
            <w:r w:rsidR="002E17B0" w:rsidRPr="00016A4F">
              <w:rPr>
                <w:vertAlign w:val="superscript"/>
              </w:rPr>
              <w:t>1</w:t>
            </w:r>
          </w:p>
        </w:tc>
        <w:tc>
          <w:tcPr>
            <w:tcW w:w="594" w:type="pct"/>
            <w:shd w:val="clear" w:color="auto" w:fill="auto"/>
          </w:tcPr>
          <w:p w14:paraId="08A1AF06" w14:textId="11D458B2" w:rsidR="001A0E96" w:rsidRPr="00207D60" w:rsidRDefault="00EA163B" w:rsidP="00124B5E">
            <w:pPr>
              <w:pStyle w:val="COMTabletext"/>
              <w:jc w:val="center"/>
              <w:rPr>
                <w:color w:val="000000"/>
                <w:highlight w:val="darkGray"/>
              </w:rPr>
            </w:pPr>
            <w:r w:rsidRPr="00EA163B">
              <w:rPr>
                <w:rFonts w:hint="eastAsia"/>
                <w:color w:val="000000"/>
                <w:w w:val="15"/>
                <w:shd w:val="solid" w:color="000000" w:fill="000000"/>
                <w:fitText w:val="55" w:id="-1171540221"/>
                <w14:textFill>
                  <w14:solidFill>
                    <w14:srgbClr w14:val="000000">
                      <w14:alpha w14:val="100000"/>
                    </w14:srgbClr>
                  </w14:solidFill>
                </w14:textFill>
              </w:rPr>
              <w:t xml:space="preserve">　</w:t>
            </w:r>
            <w:r w:rsidRPr="00EA163B">
              <w:rPr>
                <w:color w:val="000000"/>
                <w:w w:val="15"/>
                <w:shd w:val="solid" w:color="000000" w:fill="000000"/>
                <w:fitText w:val="55" w:id="-1171540221"/>
                <w14:textFill>
                  <w14:solidFill>
                    <w14:srgbClr w14:val="000000">
                      <w14:alpha w14:val="100000"/>
                    </w14:srgbClr>
                  </w14:solidFill>
                </w14:textFill>
              </w:rPr>
              <w:t>|</w:t>
            </w:r>
            <w:r w:rsidRPr="00EA163B">
              <w:rPr>
                <w:rFonts w:hint="eastAsia"/>
                <w:color w:val="000000"/>
                <w:spacing w:val="-10"/>
                <w:w w:val="15"/>
                <w:shd w:val="solid" w:color="000000" w:fill="000000"/>
                <w:fitText w:val="55" w:id="-1171540221"/>
                <w14:textFill>
                  <w14:solidFill>
                    <w14:srgbClr w14:val="000000">
                      <w14:alpha w14:val="100000"/>
                    </w14:srgbClr>
                  </w14:solidFill>
                </w14:textFill>
              </w:rPr>
              <w:t xml:space="preserve">　</w:t>
            </w:r>
            <w:r w:rsidR="002E17B0" w:rsidRPr="00016A4F">
              <w:rPr>
                <w:vertAlign w:val="superscript"/>
              </w:rPr>
              <w:t>1</w:t>
            </w:r>
          </w:p>
        </w:tc>
        <w:tc>
          <w:tcPr>
            <w:tcW w:w="594" w:type="pct"/>
            <w:shd w:val="clear" w:color="auto" w:fill="auto"/>
          </w:tcPr>
          <w:p w14:paraId="3DC42B15" w14:textId="27ABE6D2" w:rsidR="001A0E96" w:rsidRPr="00207D60" w:rsidRDefault="00EA163B" w:rsidP="00124B5E">
            <w:pPr>
              <w:pStyle w:val="COMTabletext"/>
              <w:jc w:val="center"/>
              <w:rPr>
                <w:color w:val="000000"/>
                <w:highlight w:val="darkGray"/>
              </w:rPr>
            </w:pPr>
            <w:r w:rsidRPr="00EA163B">
              <w:rPr>
                <w:rFonts w:hint="eastAsia"/>
                <w:color w:val="000000"/>
                <w:w w:val="15"/>
                <w:shd w:val="solid" w:color="000000" w:fill="000000"/>
                <w:fitText w:val="55" w:id="-1171540220"/>
                <w14:textFill>
                  <w14:solidFill>
                    <w14:srgbClr w14:val="000000">
                      <w14:alpha w14:val="100000"/>
                    </w14:srgbClr>
                  </w14:solidFill>
                </w14:textFill>
              </w:rPr>
              <w:t xml:space="preserve">　</w:t>
            </w:r>
            <w:r w:rsidRPr="00EA163B">
              <w:rPr>
                <w:color w:val="000000"/>
                <w:w w:val="15"/>
                <w:shd w:val="solid" w:color="000000" w:fill="000000"/>
                <w:fitText w:val="55" w:id="-1171540220"/>
                <w14:textFill>
                  <w14:solidFill>
                    <w14:srgbClr w14:val="000000">
                      <w14:alpha w14:val="100000"/>
                    </w14:srgbClr>
                  </w14:solidFill>
                </w14:textFill>
              </w:rPr>
              <w:t>|</w:t>
            </w:r>
            <w:r w:rsidRPr="00EA163B">
              <w:rPr>
                <w:rFonts w:hint="eastAsia"/>
                <w:color w:val="000000"/>
                <w:spacing w:val="-10"/>
                <w:w w:val="15"/>
                <w:shd w:val="solid" w:color="000000" w:fill="000000"/>
                <w:fitText w:val="55" w:id="-1171540220"/>
                <w14:textFill>
                  <w14:solidFill>
                    <w14:srgbClr w14:val="000000">
                      <w14:alpha w14:val="100000"/>
                    </w14:srgbClr>
                  </w14:solidFill>
                </w14:textFill>
              </w:rPr>
              <w:t xml:space="preserve">　</w:t>
            </w:r>
            <w:r w:rsidR="002E17B0" w:rsidRPr="00016A4F">
              <w:rPr>
                <w:vertAlign w:val="superscript"/>
              </w:rPr>
              <w:t>1</w:t>
            </w:r>
          </w:p>
        </w:tc>
        <w:tc>
          <w:tcPr>
            <w:tcW w:w="582" w:type="pct"/>
          </w:tcPr>
          <w:p w14:paraId="29B59D6C" w14:textId="41334DE1" w:rsidR="001A0E96" w:rsidRPr="00207D60" w:rsidRDefault="00EA163B" w:rsidP="00124B5E">
            <w:pPr>
              <w:pStyle w:val="COMTabletext"/>
              <w:jc w:val="center"/>
              <w:rPr>
                <w:color w:val="000000"/>
                <w:highlight w:val="darkGray"/>
              </w:rPr>
            </w:pPr>
            <w:r w:rsidRPr="00EA163B">
              <w:rPr>
                <w:rFonts w:hint="eastAsia"/>
                <w:color w:val="000000"/>
                <w:w w:val="16"/>
                <w:shd w:val="solid" w:color="000000" w:fill="000000"/>
                <w:fitText w:val="73" w:id="-1171540219"/>
                <w14:textFill>
                  <w14:solidFill>
                    <w14:srgbClr w14:val="000000">
                      <w14:alpha w14:val="100000"/>
                    </w14:srgbClr>
                  </w14:solidFill>
                </w14:textFill>
              </w:rPr>
              <w:t xml:space="preserve">　</w:t>
            </w:r>
            <w:r w:rsidRPr="00EA163B">
              <w:rPr>
                <w:color w:val="000000"/>
                <w:w w:val="16"/>
                <w:shd w:val="solid" w:color="000000" w:fill="000000"/>
                <w:fitText w:val="73" w:id="-1171540219"/>
                <w14:textFill>
                  <w14:solidFill>
                    <w14:srgbClr w14:val="000000">
                      <w14:alpha w14:val="100000"/>
                    </w14:srgbClr>
                  </w14:solidFill>
                </w14:textFill>
              </w:rPr>
              <w:t>|</w:t>
            </w:r>
            <w:r w:rsidRPr="00EA163B">
              <w:rPr>
                <w:rFonts w:hint="eastAsia"/>
                <w:color w:val="000000"/>
                <w:spacing w:val="3"/>
                <w:w w:val="16"/>
                <w:shd w:val="solid" w:color="000000" w:fill="000000"/>
                <w:fitText w:val="73" w:id="-1171540219"/>
                <w14:textFill>
                  <w14:solidFill>
                    <w14:srgbClr w14:val="000000">
                      <w14:alpha w14:val="100000"/>
                    </w14:srgbClr>
                  </w14:solidFill>
                </w14:textFill>
              </w:rPr>
              <w:t xml:space="preserve">　</w:t>
            </w:r>
            <w:r w:rsidR="002E17B0" w:rsidRPr="00016A4F">
              <w:rPr>
                <w:vertAlign w:val="superscript"/>
              </w:rPr>
              <w:t>1</w:t>
            </w:r>
          </w:p>
        </w:tc>
      </w:tr>
      <w:tr w:rsidR="001A0E96" w:rsidRPr="00392B10" w14:paraId="4D06C69D" w14:textId="77777777" w:rsidTr="00207D60">
        <w:tc>
          <w:tcPr>
            <w:tcW w:w="1449" w:type="pct"/>
            <w:shd w:val="clear" w:color="auto" w:fill="auto"/>
            <w:vAlign w:val="center"/>
          </w:tcPr>
          <w:p w14:paraId="371AC6A0" w14:textId="77777777" w:rsidR="001A0E96" w:rsidRPr="00392B10" w:rsidRDefault="001A0E96" w:rsidP="00124B5E">
            <w:pPr>
              <w:pStyle w:val="COMTabletext"/>
              <w:rPr>
                <w:vertAlign w:val="superscript"/>
              </w:rPr>
            </w:pPr>
            <w:r w:rsidRPr="00392B10">
              <w:t xml:space="preserve">- Consolidation 2 (12.6%) </w:t>
            </w:r>
            <w:r w:rsidRPr="00392B10">
              <w:rPr>
                <w:vertAlign w:val="superscript"/>
              </w:rPr>
              <w:t>a</w:t>
            </w:r>
          </w:p>
        </w:tc>
        <w:tc>
          <w:tcPr>
            <w:tcW w:w="594" w:type="pct"/>
            <w:shd w:val="clear" w:color="auto" w:fill="auto"/>
          </w:tcPr>
          <w:p w14:paraId="1942B11C" w14:textId="57C5DF02" w:rsidR="001A0E96" w:rsidRPr="00207D60" w:rsidRDefault="00EA163B" w:rsidP="00124B5E">
            <w:pPr>
              <w:pStyle w:val="COMTabletext"/>
              <w:jc w:val="center"/>
              <w:rPr>
                <w:color w:val="000000"/>
                <w:highlight w:val="darkGray"/>
              </w:rPr>
            </w:pPr>
            <w:r w:rsidRPr="00EA163B">
              <w:rPr>
                <w:rFonts w:hint="eastAsia"/>
                <w:color w:val="000000"/>
                <w:w w:val="15"/>
                <w:shd w:val="solid" w:color="000000" w:fill="000000"/>
                <w:fitText w:val="55" w:id="-1171540218"/>
                <w14:textFill>
                  <w14:solidFill>
                    <w14:srgbClr w14:val="000000">
                      <w14:alpha w14:val="100000"/>
                    </w14:srgbClr>
                  </w14:solidFill>
                </w14:textFill>
              </w:rPr>
              <w:t xml:space="preserve">　</w:t>
            </w:r>
            <w:r w:rsidRPr="00EA163B">
              <w:rPr>
                <w:color w:val="000000"/>
                <w:w w:val="15"/>
                <w:shd w:val="solid" w:color="000000" w:fill="000000"/>
                <w:fitText w:val="55" w:id="-1171540218"/>
                <w14:textFill>
                  <w14:solidFill>
                    <w14:srgbClr w14:val="000000">
                      <w14:alpha w14:val="100000"/>
                    </w14:srgbClr>
                  </w14:solidFill>
                </w14:textFill>
              </w:rPr>
              <w:t>|</w:t>
            </w:r>
            <w:r w:rsidRPr="00EA163B">
              <w:rPr>
                <w:rFonts w:hint="eastAsia"/>
                <w:color w:val="000000"/>
                <w:spacing w:val="-10"/>
                <w:w w:val="15"/>
                <w:shd w:val="solid" w:color="000000" w:fill="000000"/>
                <w:fitText w:val="55" w:id="-1171540218"/>
                <w14:textFill>
                  <w14:solidFill>
                    <w14:srgbClr w14:val="000000">
                      <w14:alpha w14:val="100000"/>
                    </w14:srgbClr>
                  </w14:solidFill>
                </w14:textFill>
              </w:rPr>
              <w:t xml:space="preserve">　</w:t>
            </w:r>
            <w:r w:rsidR="002E17B0" w:rsidRPr="00016A4F">
              <w:rPr>
                <w:vertAlign w:val="superscript"/>
              </w:rPr>
              <w:t>1</w:t>
            </w:r>
          </w:p>
        </w:tc>
        <w:tc>
          <w:tcPr>
            <w:tcW w:w="594" w:type="pct"/>
            <w:shd w:val="clear" w:color="auto" w:fill="auto"/>
          </w:tcPr>
          <w:p w14:paraId="2E912F81" w14:textId="0123FAFF" w:rsidR="001A0E96" w:rsidRPr="00207D60" w:rsidRDefault="00EA163B" w:rsidP="00124B5E">
            <w:pPr>
              <w:pStyle w:val="COMTabletext"/>
              <w:jc w:val="center"/>
              <w:rPr>
                <w:color w:val="000000"/>
                <w:highlight w:val="darkGray"/>
              </w:rPr>
            </w:pPr>
            <w:r w:rsidRPr="00EA163B">
              <w:rPr>
                <w:rFonts w:hint="eastAsia"/>
                <w:color w:val="000000"/>
                <w:w w:val="15"/>
                <w:shd w:val="solid" w:color="000000" w:fill="000000"/>
                <w:fitText w:val="55" w:id="-1171540217"/>
                <w14:textFill>
                  <w14:solidFill>
                    <w14:srgbClr w14:val="000000">
                      <w14:alpha w14:val="100000"/>
                    </w14:srgbClr>
                  </w14:solidFill>
                </w14:textFill>
              </w:rPr>
              <w:t xml:space="preserve">　</w:t>
            </w:r>
            <w:r w:rsidRPr="00EA163B">
              <w:rPr>
                <w:color w:val="000000"/>
                <w:w w:val="15"/>
                <w:shd w:val="solid" w:color="000000" w:fill="000000"/>
                <w:fitText w:val="55" w:id="-1171540217"/>
                <w14:textFill>
                  <w14:solidFill>
                    <w14:srgbClr w14:val="000000">
                      <w14:alpha w14:val="100000"/>
                    </w14:srgbClr>
                  </w14:solidFill>
                </w14:textFill>
              </w:rPr>
              <w:t>|</w:t>
            </w:r>
            <w:r w:rsidRPr="00EA163B">
              <w:rPr>
                <w:rFonts w:hint="eastAsia"/>
                <w:color w:val="000000"/>
                <w:spacing w:val="-10"/>
                <w:w w:val="15"/>
                <w:shd w:val="solid" w:color="000000" w:fill="000000"/>
                <w:fitText w:val="55" w:id="-1171540217"/>
                <w14:textFill>
                  <w14:solidFill>
                    <w14:srgbClr w14:val="000000">
                      <w14:alpha w14:val="100000"/>
                    </w14:srgbClr>
                  </w14:solidFill>
                </w14:textFill>
              </w:rPr>
              <w:t xml:space="preserve">　</w:t>
            </w:r>
            <w:r w:rsidR="002E17B0" w:rsidRPr="00016A4F">
              <w:rPr>
                <w:vertAlign w:val="superscript"/>
              </w:rPr>
              <w:t>1</w:t>
            </w:r>
          </w:p>
        </w:tc>
        <w:tc>
          <w:tcPr>
            <w:tcW w:w="593" w:type="pct"/>
            <w:shd w:val="clear" w:color="auto" w:fill="auto"/>
          </w:tcPr>
          <w:p w14:paraId="12D82169" w14:textId="2BF85F51" w:rsidR="001A0E96" w:rsidRPr="00207D60" w:rsidRDefault="00EA163B" w:rsidP="00124B5E">
            <w:pPr>
              <w:pStyle w:val="COMTabletext"/>
              <w:jc w:val="center"/>
              <w:rPr>
                <w:color w:val="000000"/>
                <w:highlight w:val="darkGray"/>
              </w:rPr>
            </w:pPr>
            <w:r w:rsidRPr="00EA163B">
              <w:rPr>
                <w:rFonts w:hint="eastAsia"/>
                <w:color w:val="000000"/>
                <w:w w:val="15"/>
                <w:shd w:val="solid" w:color="000000" w:fill="000000"/>
                <w:fitText w:val="55" w:id="-1171540216"/>
                <w14:textFill>
                  <w14:solidFill>
                    <w14:srgbClr w14:val="000000">
                      <w14:alpha w14:val="100000"/>
                    </w14:srgbClr>
                  </w14:solidFill>
                </w14:textFill>
              </w:rPr>
              <w:t xml:space="preserve">　</w:t>
            </w:r>
            <w:r w:rsidRPr="00EA163B">
              <w:rPr>
                <w:color w:val="000000"/>
                <w:w w:val="15"/>
                <w:shd w:val="solid" w:color="000000" w:fill="000000"/>
                <w:fitText w:val="55" w:id="-1171540216"/>
                <w14:textFill>
                  <w14:solidFill>
                    <w14:srgbClr w14:val="000000">
                      <w14:alpha w14:val="100000"/>
                    </w14:srgbClr>
                  </w14:solidFill>
                </w14:textFill>
              </w:rPr>
              <w:t>|</w:t>
            </w:r>
            <w:r w:rsidRPr="00EA163B">
              <w:rPr>
                <w:rFonts w:hint="eastAsia"/>
                <w:color w:val="000000"/>
                <w:spacing w:val="-10"/>
                <w:w w:val="15"/>
                <w:shd w:val="solid" w:color="000000" w:fill="000000"/>
                <w:fitText w:val="55" w:id="-1171540216"/>
                <w14:textFill>
                  <w14:solidFill>
                    <w14:srgbClr w14:val="000000">
                      <w14:alpha w14:val="100000"/>
                    </w14:srgbClr>
                  </w14:solidFill>
                </w14:textFill>
              </w:rPr>
              <w:t xml:space="preserve">　</w:t>
            </w:r>
            <w:r w:rsidR="002E17B0" w:rsidRPr="00016A4F">
              <w:rPr>
                <w:vertAlign w:val="superscript"/>
              </w:rPr>
              <w:t>1</w:t>
            </w:r>
          </w:p>
        </w:tc>
        <w:tc>
          <w:tcPr>
            <w:tcW w:w="594" w:type="pct"/>
            <w:shd w:val="clear" w:color="auto" w:fill="auto"/>
          </w:tcPr>
          <w:p w14:paraId="08867FCE" w14:textId="5A059B1C" w:rsidR="001A0E96" w:rsidRPr="00207D60" w:rsidRDefault="00EA163B" w:rsidP="00124B5E">
            <w:pPr>
              <w:pStyle w:val="COMTabletext"/>
              <w:jc w:val="center"/>
              <w:rPr>
                <w:color w:val="000000"/>
                <w:highlight w:val="darkGray"/>
              </w:rPr>
            </w:pPr>
            <w:r w:rsidRPr="00EA163B">
              <w:rPr>
                <w:rFonts w:hint="eastAsia"/>
                <w:color w:val="000000"/>
                <w:w w:val="15"/>
                <w:shd w:val="solid" w:color="000000" w:fill="000000"/>
                <w:fitText w:val="55" w:id="-1171540215"/>
                <w14:textFill>
                  <w14:solidFill>
                    <w14:srgbClr w14:val="000000">
                      <w14:alpha w14:val="100000"/>
                    </w14:srgbClr>
                  </w14:solidFill>
                </w14:textFill>
              </w:rPr>
              <w:t xml:space="preserve">　</w:t>
            </w:r>
            <w:r w:rsidRPr="00EA163B">
              <w:rPr>
                <w:color w:val="000000"/>
                <w:w w:val="15"/>
                <w:shd w:val="solid" w:color="000000" w:fill="000000"/>
                <w:fitText w:val="55" w:id="-1171540215"/>
                <w14:textFill>
                  <w14:solidFill>
                    <w14:srgbClr w14:val="000000">
                      <w14:alpha w14:val="100000"/>
                    </w14:srgbClr>
                  </w14:solidFill>
                </w14:textFill>
              </w:rPr>
              <w:t>|</w:t>
            </w:r>
            <w:r w:rsidRPr="00EA163B">
              <w:rPr>
                <w:rFonts w:hint="eastAsia"/>
                <w:color w:val="000000"/>
                <w:spacing w:val="-10"/>
                <w:w w:val="15"/>
                <w:shd w:val="solid" w:color="000000" w:fill="000000"/>
                <w:fitText w:val="55" w:id="-1171540215"/>
                <w14:textFill>
                  <w14:solidFill>
                    <w14:srgbClr w14:val="000000">
                      <w14:alpha w14:val="100000"/>
                    </w14:srgbClr>
                  </w14:solidFill>
                </w14:textFill>
              </w:rPr>
              <w:t xml:space="preserve">　</w:t>
            </w:r>
            <w:r w:rsidR="002E17B0" w:rsidRPr="00016A4F">
              <w:rPr>
                <w:vertAlign w:val="superscript"/>
              </w:rPr>
              <w:t>1</w:t>
            </w:r>
          </w:p>
        </w:tc>
        <w:tc>
          <w:tcPr>
            <w:tcW w:w="594" w:type="pct"/>
            <w:shd w:val="clear" w:color="auto" w:fill="auto"/>
          </w:tcPr>
          <w:p w14:paraId="2AE1C054" w14:textId="4DC44908" w:rsidR="001A0E96" w:rsidRPr="00207D60" w:rsidRDefault="00EA163B" w:rsidP="00124B5E">
            <w:pPr>
              <w:pStyle w:val="COMTabletext"/>
              <w:jc w:val="center"/>
              <w:rPr>
                <w:color w:val="000000"/>
                <w:highlight w:val="darkGray"/>
              </w:rPr>
            </w:pPr>
            <w:r w:rsidRPr="00EA163B">
              <w:rPr>
                <w:rFonts w:hint="eastAsia"/>
                <w:color w:val="000000"/>
                <w:w w:val="15"/>
                <w:shd w:val="solid" w:color="000000" w:fill="000000"/>
                <w:fitText w:val="55" w:id="-1171540214"/>
                <w14:textFill>
                  <w14:solidFill>
                    <w14:srgbClr w14:val="000000">
                      <w14:alpha w14:val="100000"/>
                    </w14:srgbClr>
                  </w14:solidFill>
                </w14:textFill>
              </w:rPr>
              <w:t xml:space="preserve">　</w:t>
            </w:r>
            <w:r w:rsidRPr="00EA163B">
              <w:rPr>
                <w:color w:val="000000"/>
                <w:w w:val="15"/>
                <w:shd w:val="solid" w:color="000000" w:fill="000000"/>
                <w:fitText w:val="55" w:id="-1171540214"/>
                <w14:textFill>
                  <w14:solidFill>
                    <w14:srgbClr w14:val="000000">
                      <w14:alpha w14:val="100000"/>
                    </w14:srgbClr>
                  </w14:solidFill>
                </w14:textFill>
              </w:rPr>
              <w:t>|</w:t>
            </w:r>
            <w:r w:rsidRPr="00EA163B">
              <w:rPr>
                <w:rFonts w:hint="eastAsia"/>
                <w:color w:val="000000"/>
                <w:spacing w:val="-10"/>
                <w:w w:val="15"/>
                <w:shd w:val="solid" w:color="000000" w:fill="000000"/>
                <w:fitText w:val="55" w:id="-1171540214"/>
                <w14:textFill>
                  <w14:solidFill>
                    <w14:srgbClr w14:val="000000">
                      <w14:alpha w14:val="100000"/>
                    </w14:srgbClr>
                  </w14:solidFill>
                </w14:textFill>
              </w:rPr>
              <w:t xml:space="preserve">　</w:t>
            </w:r>
            <w:r w:rsidR="002E17B0" w:rsidRPr="00016A4F">
              <w:rPr>
                <w:vertAlign w:val="superscript"/>
              </w:rPr>
              <w:t>1</w:t>
            </w:r>
          </w:p>
        </w:tc>
        <w:tc>
          <w:tcPr>
            <w:tcW w:w="582" w:type="pct"/>
          </w:tcPr>
          <w:p w14:paraId="319C1CBA" w14:textId="3C6F6BAC" w:rsidR="001A0E96" w:rsidRPr="00207D60" w:rsidRDefault="00EA163B" w:rsidP="00124B5E">
            <w:pPr>
              <w:pStyle w:val="COMTabletext"/>
              <w:jc w:val="center"/>
              <w:rPr>
                <w:color w:val="000000"/>
                <w:highlight w:val="darkGray"/>
              </w:rPr>
            </w:pPr>
            <w:r w:rsidRPr="00EA163B">
              <w:rPr>
                <w:rFonts w:hint="eastAsia"/>
                <w:color w:val="000000"/>
                <w:w w:val="16"/>
                <w:shd w:val="solid" w:color="000000" w:fill="000000"/>
                <w:fitText w:val="73" w:id="-1171540213"/>
                <w14:textFill>
                  <w14:solidFill>
                    <w14:srgbClr w14:val="000000">
                      <w14:alpha w14:val="100000"/>
                    </w14:srgbClr>
                  </w14:solidFill>
                </w14:textFill>
              </w:rPr>
              <w:t xml:space="preserve">　</w:t>
            </w:r>
            <w:r w:rsidRPr="00EA163B">
              <w:rPr>
                <w:color w:val="000000"/>
                <w:w w:val="16"/>
                <w:shd w:val="solid" w:color="000000" w:fill="000000"/>
                <w:fitText w:val="73" w:id="-1171540213"/>
                <w14:textFill>
                  <w14:solidFill>
                    <w14:srgbClr w14:val="000000">
                      <w14:alpha w14:val="100000"/>
                    </w14:srgbClr>
                  </w14:solidFill>
                </w14:textFill>
              </w:rPr>
              <w:t>|</w:t>
            </w:r>
            <w:r w:rsidRPr="00EA163B">
              <w:rPr>
                <w:rFonts w:hint="eastAsia"/>
                <w:color w:val="000000"/>
                <w:spacing w:val="3"/>
                <w:w w:val="16"/>
                <w:shd w:val="solid" w:color="000000" w:fill="000000"/>
                <w:fitText w:val="73" w:id="-1171540213"/>
                <w14:textFill>
                  <w14:solidFill>
                    <w14:srgbClr w14:val="000000">
                      <w14:alpha w14:val="100000"/>
                    </w14:srgbClr>
                  </w14:solidFill>
                </w14:textFill>
              </w:rPr>
              <w:t xml:space="preserve">　</w:t>
            </w:r>
            <w:r w:rsidR="002E17B0" w:rsidRPr="00016A4F">
              <w:rPr>
                <w:vertAlign w:val="superscript"/>
              </w:rPr>
              <w:t>1</w:t>
            </w:r>
          </w:p>
        </w:tc>
      </w:tr>
      <w:tr w:rsidR="001A0E96" w:rsidRPr="00392B10" w14:paraId="0C4DB48E" w14:textId="77777777" w:rsidTr="00207D60">
        <w:tc>
          <w:tcPr>
            <w:tcW w:w="1449" w:type="pct"/>
            <w:shd w:val="clear" w:color="auto" w:fill="auto"/>
            <w:vAlign w:val="center"/>
          </w:tcPr>
          <w:p w14:paraId="17FE53F9" w14:textId="77777777" w:rsidR="001A0E96" w:rsidRPr="00392B10" w:rsidRDefault="001A0E96" w:rsidP="00124B5E">
            <w:pPr>
              <w:pStyle w:val="COMTabletext"/>
              <w:rPr>
                <w:rFonts w:ascii="Times" w:hAnsi="Times"/>
              </w:rPr>
            </w:pPr>
            <w:r w:rsidRPr="00392B10">
              <w:t>Number of scripts dispensed</w:t>
            </w:r>
          </w:p>
        </w:tc>
        <w:tc>
          <w:tcPr>
            <w:tcW w:w="594" w:type="pct"/>
            <w:shd w:val="clear" w:color="auto" w:fill="auto"/>
            <w:vAlign w:val="center"/>
          </w:tcPr>
          <w:p w14:paraId="12E83041" w14:textId="77777777" w:rsidR="001A0E96" w:rsidRPr="00392B10" w:rsidRDefault="001A0E96" w:rsidP="00124B5E">
            <w:pPr>
              <w:pStyle w:val="COMTabletext"/>
              <w:jc w:val="center"/>
              <w:rPr>
                <w:color w:val="000000"/>
              </w:rPr>
            </w:pPr>
            <w:r w:rsidRPr="00392B10">
              <w:rPr>
                <w:color w:val="000000"/>
              </w:rPr>
              <w:t>NE</w:t>
            </w:r>
          </w:p>
        </w:tc>
        <w:tc>
          <w:tcPr>
            <w:tcW w:w="594" w:type="pct"/>
            <w:shd w:val="clear" w:color="auto" w:fill="auto"/>
            <w:vAlign w:val="center"/>
          </w:tcPr>
          <w:p w14:paraId="708FFB50" w14:textId="77777777" w:rsidR="001A0E96" w:rsidRPr="00392B10" w:rsidRDefault="001A0E96" w:rsidP="00124B5E">
            <w:pPr>
              <w:pStyle w:val="COMTabletext"/>
              <w:jc w:val="center"/>
              <w:rPr>
                <w:color w:val="000000"/>
              </w:rPr>
            </w:pPr>
            <w:r w:rsidRPr="00392B10">
              <w:rPr>
                <w:color w:val="000000"/>
              </w:rPr>
              <w:t>NE</w:t>
            </w:r>
          </w:p>
        </w:tc>
        <w:tc>
          <w:tcPr>
            <w:tcW w:w="593" w:type="pct"/>
            <w:shd w:val="clear" w:color="auto" w:fill="auto"/>
            <w:vAlign w:val="center"/>
          </w:tcPr>
          <w:p w14:paraId="5EA913C3" w14:textId="77777777" w:rsidR="001A0E96" w:rsidRPr="00392B10" w:rsidRDefault="001A0E96" w:rsidP="00124B5E">
            <w:pPr>
              <w:pStyle w:val="COMTabletext"/>
              <w:jc w:val="center"/>
              <w:rPr>
                <w:color w:val="000000"/>
              </w:rPr>
            </w:pPr>
            <w:r w:rsidRPr="00392B10">
              <w:rPr>
                <w:color w:val="000000"/>
              </w:rPr>
              <w:t>NE</w:t>
            </w:r>
          </w:p>
        </w:tc>
        <w:tc>
          <w:tcPr>
            <w:tcW w:w="594" w:type="pct"/>
            <w:shd w:val="clear" w:color="auto" w:fill="auto"/>
            <w:vAlign w:val="center"/>
          </w:tcPr>
          <w:p w14:paraId="176808AB" w14:textId="77777777" w:rsidR="001A0E96" w:rsidRPr="00392B10" w:rsidRDefault="001A0E96" w:rsidP="00124B5E">
            <w:pPr>
              <w:pStyle w:val="COMTabletext"/>
              <w:jc w:val="center"/>
              <w:rPr>
                <w:color w:val="000000"/>
              </w:rPr>
            </w:pPr>
            <w:r w:rsidRPr="00392B10">
              <w:rPr>
                <w:color w:val="000000"/>
              </w:rPr>
              <w:t>NE</w:t>
            </w:r>
          </w:p>
        </w:tc>
        <w:tc>
          <w:tcPr>
            <w:tcW w:w="594" w:type="pct"/>
            <w:shd w:val="clear" w:color="auto" w:fill="auto"/>
            <w:vAlign w:val="center"/>
          </w:tcPr>
          <w:p w14:paraId="0D214005" w14:textId="77777777" w:rsidR="001A0E96" w:rsidRPr="00392B10" w:rsidRDefault="001A0E96" w:rsidP="00124B5E">
            <w:pPr>
              <w:pStyle w:val="COMTabletext"/>
              <w:jc w:val="center"/>
              <w:rPr>
                <w:color w:val="000000"/>
              </w:rPr>
            </w:pPr>
            <w:r w:rsidRPr="00392B10">
              <w:rPr>
                <w:color w:val="000000"/>
              </w:rPr>
              <w:t>NE</w:t>
            </w:r>
          </w:p>
        </w:tc>
        <w:tc>
          <w:tcPr>
            <w:tcW w:w="582" w:type="pct"/>
          </w:tcPr>
          <w:p w14:paraId="4FA1C69F" w14:textId="77777777" w:rsidR="001A0E96" w:rsidRPr="00392B10" w:rsidRDefault="001A0E96" w:rsidP="00124B5E">
            <w:pPr>
              <w:pStyle w:val="COMTabletext"/>
              <w:jc w:val="center"/>
              <w:rPr>
                <w:color w:val="000000"/>
              </w:rPr>
            </w:pPr>
            <w:r w:rsidRPr="00392B10">
              <w:rPr>
                <w:color w:val="000000"/>
              </w:rPr>
              <w:t>NE</w:t>
            </w:r>
          </w:p>
        </w:tc>
      </w:tr>
      <w:tr w:rsidR="001A0E96" w:rsidRPr="00392B10" w14:paraId="56222861" w14:textId="77777777" w:rsidTr="00207D60">
        <w:tc>
          <w:tcPr>
            <w:tcW w:w="5000" w:type="pct"/>
            <w:gridSpan w:val="7"/>
            <w:shd w:val="clear" w:color="auto" w:fill="auto"/>
            <w:vAlign w:val="center"/>
          </w:tcPr>
          <w:p w14:paraId="1C14698E" w14:textId="77777777" w:rsidR="001A0E96" w:rsidRPr="00392B10" w:rsidRDefault="001A0E96" w:rsidP="00124B5E">
            <w:pPr>
              <w:pStyle w:val="COMTableheadingrow"/>
              <w:rPr>
                <w:lang w:val="en-AU"/>
              </w:rPr>
            </w:pPr>
            <w:r w:rsidRPr="00392B10">
              <w:rPr>
                <w:lang w:val="en-AU"/>
              </w:rPr>
              <w:t>Estimated financial implications of liposomal daunorubicin and cytarabine</w:t>
            </w:r>
          </w:p>
        </w:tc>
      </w:tr>
      <w:tr w:rsidR="001A0E96" w:rsidRPr="00392B10" w14:paraId="0A66120D" w14:textId="77777777" w:rsidTr="00207D60">
        <w:tc>
          <w:tcPr>
            <w:tcW w:w="1449" w:type="pct"/>
            <w:shd w:val="clear" w:color="auto" w:fill="auto"/>
          </w:tcPr>
          <w:p w14:paraId="7773E920" w14:textId="02846D3F" w:rsidR="001A0E96" w:rsidRPr="00392B10" w:rsidRDefault="001A0E96" w:rsidP="00124B5E">
            <w:pPr>
              <w:pStyle w:val="COMTabletext"/>
            </w:pPr>
            <w:r w:rsidRPr="00392B10">
              <w:t>Cost in public hospitals</w:t>
            </w:r>
            <w:r w:rsidR="007A1383">
              <w:t xml:space="preserve"> ($)</w:t>
            </w:r>
          </w:p>
        </w:tc>
        <w:tc>
          <w:tcPr>
            <w:tcW w:w="594" w:type="pct"/>
            <w:shd w:val="clear" w:color="auto" w:fill="auto"/>
          </w:tcPr>
          <w:p w14:paraId="34C3734D" w14:textId="62014F49"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40212"/>
                <w14:textFill>
                  <w14:solidFill>
                    <w14:srgbClr w14:val="000000">
                      <w14:alpha w14:val="100000"/>
                    </w14:srgbClr>
                  </w14:solidFill>
                </w14:textFill>
              </w:rPr>
              <w:t xml:space="preserve">　</w:t>
            </w:r>
            <w:r w:rsidRPr="00EA163B">
              <w:rPr>
                <w:color w:val="000000"/>
                <w:w w:val="15"/>
                <w:shd w:val="solid" w:color="000000" w:fill="000000"/>
                <w:fitText w:val="64" w:id="-1171540212"/>
                <w14:textFill>
                  <w14:solidFill>
                    <w14:srgbClr w14:val="000000">
                      <w14:alpha w14:val="100000"/>
                    </w14:srgbClr>
                  </w14:solidFill>
                </w14:textFill>
              </w:rPr>
              <w:t>|</w:t>
            </w:r>
            <w:r w:rsidRPr="00EA163B">
              <w:rPr>
                <w:rFonts w:hint="eastAsia"/>
                <w:color w:val="000000"/>
                <w:spacing w:val="-1"/>
                <w:w w:val="15"/>
                <w:shd w:val="solid" w:color="000000" w:fill="000000"/>
                <w:fitText w:val="64" w:id="-1171540212"/>
                <w14:textFill>
                  <w14:solidFill>
                    <w14:srgbClr w14:val="000000">
                      <w14:alpha w14:val="100000"/>
                    </w14:srgbClr>
                  </w14:solidFill>
                </w14:textFill>
              </w:rPr>
              <w:t xml:space="preserve">　</w:t>
            </w:r>
            <w:r w:rsidR="00202D65" w:rsidRPr="00207D60">
              <w:rPr>
                <w:rFonts w:eastAsia="Times New Roman" w:cs="Arial"/>
                <w:iCs/>
                <w:sz w:val="18"/>
                <w:szCs w:val="18"/>
                <w:vertAlign w:val="superscript"/>
              </w:rPr>
              <w:t>2</w:t>
            </w:r>
          </w:p>
        </w:tc>
        <w:tc>
          <w:tcPr>
            <w:tcW w:w="594" w:type="pct"/>
            <w:shd w:val="clear" w:color="auto" w:fill="auto"/>
          </w:tcPr>
          <w:p w14:paraId="492B226B" w14:textId="643F7780"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5" w:id="-1171540211"/>
                <w14:textFill>
                  <w14:solidFill>
                    <w14:srgbClr w14:val="000000">
                      <w14:alpha w14:val="100000"/>
                    </w14:srgbClr>
                  </w14:solidFill>
                </w14:textFill>
              </w:rPr>
              <w:t xml:space="preserve">　</w:t>
            </w:r>
            <w:r w:rsidRPr="00EA163B">
              <w:rPr>
                <w:color w:val="000000"/>
                <w:w w:val="15"/>
                <w:shd w:val="solid" w:color="000000" w:fill="000000"/>
                <w:fitText w:val="65" w:id="-1171540211"/>
                <w14:textFill>
                  <w14:solidFill>
                    <w14:srgbClr w14:val="000000">
                      <w14:alpha w14:val="100000"/>
                    </w14:srgbClr>
                  </w14:solidFill>
                </w14:textFill>
              </w:rPr>
              <w:t>|</w:t>
            </w:r>
            <w:r w:rsidRPr="00EA163B">
              <w:rPr>
                <w:rFonts w:hint="eastAsia"/>
                <w:color w:val="000000"/>
                <w:w w:val="15"/>
                <w:shd w:val="solid" w:color="000000" w:fill="000000"/>
                <w:fitText w:val="65" w:id="-1171540211"/>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2</w:t>
            </w:r>
          </w:p>
        </w:tc>
        <w:tc>
          <w:tcPr>
            <w:tcW w:w="593" w:type="pct"/>
            <w:shd w:val="clear" w:color="auto" w:fill="auto"/>
          </w:tcPr>
          <w:p w14:paraId="16D44DB9" w14:textId="08C2DC37"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40210"/>
                <w14:textFill>
                  <w14:solidFill>
                    <w14:srgbClr w14:val="000000">
                      <w14:alpha w14:val="100000"/>
                    </w14:srgbClr>
                  </w14:solidFill>
                </w14:textFill>
              </w:rPr>
              <w:t xml:space="preserve">　</w:t>
            </w:r>
            <w:r w:rsidRPr="00EA163B">
              <w:rPr>
                <w:color w:val="000000"/>
                <w:w w:val="15"/>
                <w:shd w:val="solid" w:color="000000" w:fill="000000"/>
                <w:fitText w:val="64" w:id="-1171540210"/>
                <w14:textFill>
                  <w14:solidFill>
                    <w14:srgbClr w14:val="000000">
                      <w14:alpha w14:val="100000"/>
                    </w14:srgbClr>
                  </w14:solidFill>
                </w14:textFill>
              </w:rPr>
              <w:t>|</w:t>
            </w:r>
            <w:r w:rsidRPr="00EA163B">
              <w:rPr>
                <w:rFonts w:hint="eastAsia"/>
                <w:color w:val="000000"/>
                <w:spacing w:val="-1"/>
                <w:w w:val="15"/>
                <w:shd w:val="solid" w:color="000000" w:fill="000000"/>
                <w:fitText w:val="64" w:id="-1171540210"/>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2</w:t>
            </w:r>
          </w:p>
        </w:tc>
        <w:tc>
          <w:tcPr>
            <w:tcW w:w="594" w:type="pct"/>
            <w:shd w:val="clear" w:color="auto" w:fill="auto"/>
          </w:tcPr>
          <w:p w14:paraId="69B6666E" w14:textId="69FAEE28"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40209"/>
                <w14:textFill>
                  <w14:solidFill>
                    <w14:srgbClr w14:val="000000">
                      <w14:alpha w14:val="100000"/>
                    </w14:srgbClr>
                  </w14:solidFill>
                </w14:textFill>
              </w:rPr>
              <w:t xml:space="preserve">　</w:t>
            </w:r>
            <w:r w:rsidRPr="00EA163B">
              <w:rPr>
                <w:color w:val="000000"/>
                <w:w w:val="15"/>
                <w:shd w:val="solid" w:color="000000" w:fill="000000"/>
                <w:fitText w:val="64" w:id="-1171540209"/>
                <w14:textFill>
                  <w14:solidFill>
                    <w14:srgbClr w14:val="000000">
                      <w14:alpha w14:val="100000"/>
                    </w14:srgbClr>
                  </w14:solidFill>
                </w14:textFill>
              </w:rPr>
              <w:t>|</w:t>
            </w:r>
            <w:r w:rsidRPr="00EA163B">
              <w:rPr>
                <w:rFonts w:hint="eastAsia"/>
                <w:color w:val="000000"/>
                <w:spacing w:val="-1"/>
                <w:w w:val="15"/>
                <w:shd w:val="solid" w:color="000000" w:fill="000000"/>
                <w:fitText w:val="64" w:id="-1171540209"/>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2</w:t>
            </w:r>
          </w:p>
        </w:tc>
        <w:tc>
          <w:tcPr>
            <w:tcW w:w="594" w:type="pct"/>
            <w:shd w:val="clear" w:color="auto" w:fill="auto"/>
          </w:tcPr>
          <w:p w14:paraId="15847AF5" w14:textId="3A49EF27"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40208"/>
                <w14:textFill>
                  <w14:solidFill>
                    <w14:srgbClr w14:val="000000">
                      <w14:alpha w14:val="100000"/>
                    </w14:srgbClr>
                  </w14:solidFill>
                </w14:textFill>
              </w:rPr>
              <w:t xml:space="preserve">　</w:t>
            </w:r>
            <w:r w:rsidRPr="00EA163B">
              <w:rPr>
                <w:color w:val="000000"/>
                <w:w w:val="15"/>
                <w:shd w:val="solid" w:color="000000" w:fill="000000"/>
                <w:fitText w:val="64" w:id="-1171540208"/>
                <w14:textFill>
                  <w14:solidFill>
                    <w14:srgbClr w14:val="000000">
                      <w14:alpha w14:val="100000"/>
                    </w14:srgbClr>
                  </w14:solidFill>
                </w14:textFill>
              </w:rPr>
              <w:t>|</w:t>
            </w:r>
            <w:r w:rsidRPr="00EA163B">
              <w:rPr>
                <w:rFonts w:hint="eastAsia"/>
                <w:color w:val="000000"/>
                <w:spacing w:val="-1"/>
                <w:w w:val="15"/>
                <w:shd w:val="solid" w:color="000000" w:fill="000000"/>
                <w:fitText w:val="64" w:id="-1171540208"/>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2</w:t>
            </w:r>
          </w:p>
        </w:tc>
        <w:tc>
          <w:tcPr>
            <w:tcW w:w="582" w:type="pct"/>
          </w:tcPr>
          <w:p w14:paraId="166DB930" w14:textId="5D1B1840"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40224"/>
                <w14:textFill>
                  <w14:solidFill>
                    <w14:srgbClr w14:val="000000">
                      <w14:alpha w14:val="100000"/>
                    </w14:srgbClr>
                  </w14:solidFill>
                </w14:textFill>
              </w:rPr>
              <w:t xml:space="preserve">　</w:t>
            </w:r>
            <w:r w:rsidRPr="00EA163B">
              <w:rPr>
                <w:color w:val="000000"/>
                <w:w w:val="15"/>
                <w:shd w:val="solid" w:color="000000" w:fill="000000"/>
                <w:fitText w:val="64" w:id="-1171540224"/>
                <w14:textFill>
                  <w14:solidFill>
                    <w14:srgbClr w14:val="000000">
                      <w14:alpha w14:val="100000"/>
                    </w14:srgbClr>
                  </w14:solidFill>
                </w14:textFill>
              </w:rPr>
              <w:t>|</w:t>
            </w:r>
            <w:r w:rsidRPr="00EA163B">
              <w:rPr>
                <w:rFonts w:hint="eastAsia"/>
                <w:color w:val="000000"/>
                <w:spacing w:val="-1"/>
                <w:w w:val="15"/>
                <w:shd w:val="solid" w:color="000000" w:fill="000000"/>
                <w:fitText w:val="64" w:id="-1171540224"/>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2</w:t>
            </w:r>
          </w:p>
        </w:tc>
      </w:tr>
      <w:tr w:rsidR="001A0E96" w:rsidRPr="00392B10" w14:paraId="785E3FD0" w14:textId="77777777" w:rsidTr="00207D60">
        <w:tc>
          <w:tcPr>
            <w:tcW w:w="1449" w:type="pct"/>
            <w:shd w:val="clear" w:color="auto" w:fill="auto"/>
          </w:tcPr>
          <w:p w14:paraId="08CF2543" w14:textId="7766501D" w:rsidR="001A0E96" w:rsidRPr="00392B10" w:rsidRDefault="001A0E96" w:rsidP="00124B5E">
            <w:pPr>
              <w:pStyle w:val="COMTabletext"/>
            </w:pPr>
            <w:r w:rsidRPr="00392B10">
              <w:t>Cost in private hospitals</w:t>
            </w:r>
            <w:r w:rsidR="007A1383">
              <w:t xml:space="preserve"> ($)</w:t>
            </w:r>
          </w:p>
        </w:tc>
        <w:tc>
          <w:tcPr>
            <w:tcW w:w="594" w:type="pct"/>
            <w:shd w:val="clear" w:color="auto" w:fill="auto"/>
          </w:tcPr>
          <w:p w14:paraId="0DD53916" w14:textId="1588354F"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40223"/>
                <w14:textFill>
                  <w14:solidFill>
                    <w14:srgbClr w14:val="000000">
                      <w14:alpha w14:val="100000"/>
                    </w14:srgbClr>
                  </w14:solidFill>
                </w14:textFill>
              </w:rPr>
              <w:t xml:space="preserve">　</w:t>
            </w:r>
            <w:r w:rsidRPr="00EA163B">
              <w:rPr>
                <w:color w:val="000000"/>
                <w:w w:val="15"/>
                <w:shd w:val="solid" w:color="000000" w:fill="000000"/>
                <w:fitText w:val="64" w:id="-1171540223"/>
                <w14:textFill>
                  <w14:solidFill>
                    <w14:srgbClr w14:val="000000">
                      <w14:alpha w14:val="100000"/>
                    </w14:srgbClr>
                  </w14:solidFill>
                </w14:textFill>
              </w:rPr>
              <w:t>|</w:t>
            </w:r>
            <w:r w:rsidRPr="00EA163B">
              <w:rPr>
                <w:rFonts w:hint="eastAsia"/>
                <w:color w:val="000000"/>
                <w:spacing w:val="-1"/>
                <w:w w:val="15"/>
                <w:shd w:val="solid" w:color="000000" w:fill="000000"/>
                <w:fitText w:val="64" w:id="-1171540223"/>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2</w:t>
            </w:r>
          </w:p>
        </w:tc>
        <w:tc>
          <w:tcPr>
            <w:tcW w:w="594" w:type="pct"/>
            <w:shd w:val="clear" w:color="auto" w:fill="auto"/>
          </w:tcPr>
          <w:p w14:paraId="47FBA7E1" w14:textId="661DD64C"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5" w:id="-1171540222"/>
                <w14:textFill>
                  <w14:solidFill>
                    <w14:srgbClr w14:val="000000">
                      <w14:alpha w14:val="100000"/>
                    </w14:srgbClr>
                  </w14:solidFill>
                </w14:textFill>
              </w:rPr>
              <w:t xml:space="preserve">　</w:t>
            </w:r>
            <w:r w:rsidRPr="00EA163B">
              <w:rPr>
                <w:color w:val="000000"/>
                <w:w w:val="15"/>
                <w:shd w:val="solid" w:color="000000" w:fill="000000"/>
                <w:fitText w:val="65" w:id="-1171540222"/>
                <w14:textFill>
                  <w14:solidFill>
                    <w14:srgbClr w14:val="000000">
                      <w14:alpha w14:val="100000"/>
                    </w14:srgbClr>
                  </w14:solidFill>
                </w14:textFill>
              </w:rPr>
              <w:t>|</w:t>
            </w:r>
            <w:r w:rsidRPr="00EA163B">
              <w:rPr>
                <w:rFonts w:hint="eastAsia"/>
                <w:color w:val="000000"/>
                <w:w w:val="15"/>
                <w:shd w:val="solid" w:color="000000" w:fill="000000"/>
                <w:fitText w:val="65" w:id="-1171540222"/>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2</w:t>
            </w:r>
          </w:p>
        </w:tc>
        <w:tc>
          <w:tcPr>
            <w:tcW w:w="593" w:type="pct"/>
            <w:shd w:val="clear" w:color="auto" w:fill="auto"/>
          </w:tcPr>
          <w:p w14:paraId="1C6446FF" w14:textId="7A47BF1E"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40221"/>
                <w14:textFill>
                  <w14:solidFill>
                    <w14:srgbClr w14:val="000000">
                      <w14:alpha w14:val="100000"/>
                    </w14:srgbClr>
                  </w14:solidFill>
                </w14:textFill>
              </w:rPr>
              <w:t xml:space="preserve">　</w:t>
            </w:r>
            <w:r w:rsidRPr="00EA163B">
              <w:rPr>
                <w:color w:val="000000"/>
                <w:w w:val="15"/>
                <w:shd w:val="solid" w:color="000000" w:fill="000000"/>
                <w:fitText w:val="64" w:id="-1171540221"/>
                <w14:textFill>
                  <w14:solidFill>
                    <w14:srgbClr w14:val="000000">
                      <w14:alpha w14:val="100000"/>
                    </w14:srgbClr>
                  </w14:solidFill>
                </w14:textFill>
              </w:rPr>
              <w:t>|</w:t>
            </w:r>
            <w:r w:rsidRPr="00EA163B">
              <w:rPr>
                <w:rFonts w:hint="eastAsia"/>
                <w:color w:val="000000"/>
                <w:spacing w:val="-1"/>
                <w:w w:val="15"/>
                <w:shd w:val="solid" w:color="000000" w:fill="000000"/>
                <w:fitText w:val="64" w:id="-1171540221"/>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2</w:t>
            </w:r>
          </w:p>
        </w:tc>
        <w:tc>
          <w:tcPr>
            <w:tcW w:w="594" w:type="pct"/>
            <w:shd w:val="clear" w:color="auto" w:fill="auto"/>
          </w:tcPr>
          <w:p w14:paraId="4E045976" w14:textId="3A01FE35"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40220"/>
                <w14:textFill>
                  <w14:solidFill>
                    <w14:srgbClr w14:val="000000">
                      <w14:alpha w14:val="100000"/>
                    </w14:srgbClr>
                  </w14:solidFill>
                </w14:textFill>
              </w:rPr>
              <w:t xml:space="preserve">　</w:t>
            </w:r>
            <w:r w:rsidRPr="00EA163B">
              <w:rPr>
                <w:color w:val="000000"/>
                <w:w w:val="15"/>
                <w:shd w:val="solid" w:color="000000" w:fill="000000"/>
                <w:fitText w:val="64" w:id="-1171540220"/>
                <w14:textFill>
                  <w14:solidFill>
                    <w14:srgbClr w14:val="000000">
                      <w14:alpha w14:val="100000"/>
                    </w14:srgbClr>
                  </w14:solidFill>
                </w14:textFill>
              </w:rPr>
              <w:t>|</w:t>
            </w:r>
            <w:r w:rsidRPr="00EA163B">
              <w:rPr>
                <w:rFonts w:hint="eastAsia"/>
                <w:color w:val="000000"/>
                <w:spacing w:val="-1"/>
                <w:w w:val="15"/>
                <w:shd w:val="solid" w:color="000000" w:fill="000000"/>
                <w:fitText w:val="64" w:id="-1171540220"/>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2</w:t>
            </w:r>
          </w:p>
        </w:tc>
        <w:tc>
          <w:tcPr>
            <w:tcW w:w="594" w:type="pct"/>
            <w:shd w:val="clear" w:color="auto" w:fill="auto"/>
          </w:tcPr>
          <w:p w14:paraId="17E8DFE2" w14:textId="3E2FAC71"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40219"/>
                <w14:textFill>
                  <w14:solidFill>
                    <w14:srgbClr w14:val="000000">
                      <w14:alpha w14:val="100000"/>
                    </w14:srgbClr>
                  </w14:solidFill>
                </w14:textFill>
              </w:rPr>
              <w:t xml:space="preserve">　</w:t>
            </w:r>
            <w:r w:rsidRPr="00EA163B">
              <w:rPr>
                <w:color w:val="000000"/>
                <w:w w:val="15"/>
                <w:shd w:val="solid" w:color="000000" w:fill="000000"/>
                <w:fitText w:val="64" w:id="-1171540219"/>
                <w14:textFill>
                  <w14:solidFill>
                    <w14:srgbClr w14:val="000000">
                      <w14:alpha w14:val="100000"/>
                    </w14:srgbClr>
                  </w14:solidFill>
                </w14:textFill>
              </w:rPr>
              <w:t>|</w:t>
            </w:r>
            <w:r w:rsidRPr="00EA163B">
              <w:rPr>
                <w:rFonts w:hint="eastAsia"/>
                <w:color w:val="000000"/>
                <w:spacing w:val="-1"/>
                <w:w w:val="15"/>
                <w:shd w:val="solid" w:color="000000" w:fill="000000"/>
                <w:fitText w:val="64" w:id="-1171540219"/>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2</w:t>
            </w:r>
          </w:p>
        </w:tc>
        <w:tc>
          <w:tcPr>
            <w:tcW w:w="582" w:type="pct"/>
          </w:tcPr>
          <w:p w14:paraId="5BE196AD" w14:textId="425B6346"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40218"/>
                <w14:textFill>
                  <w14:solidFill>
                    <w14:srgbClr w14:val="000000">
                      <w14:alpha w14:val="100000"/>
                    </w14:srgbClr>
                  </w14:solidFill>
                </w14:textFill>
              </w:rPr>
              <w:t xml:space="preserve">　</w:t>
            </w:r>
            <w:r w:rsidRPr="00EA163B">
              <w:rPr>
                <w:color w:val="000000"/>
                <w:w w:val="15"/>
                <w:shd w:val="solid" w:color="000000" w:fill="000000"/>
                <w:fitText w:val="64" w:id="-1171540218"/>
                <w14:textFill>
                  <w14:solidFill>
                    <w14:srgbClr w14:val="000000">
                      <w14:alpha w14:val="100000"/>
                    </w14:srgbClr>
                  </w14:solidFill>
                </w14:textFill>
              </w:rPr>
              <w:t>|</w:t>
            </w:r>
            <w:r w:rsidRPr="00EA163B">
              <w:rPr>
                <w:rFonts w:hint="eastAsia"/>
                <w:color w:val="000000"/>
                <w:spacing w:val="-1"/>
                <w:w w:val="15"/>
                <w:shd w:val="solid" w:color="000000" w:fill="000000"/>
                <w:fitText w:val="64" w:id="-1171540218"/>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2</w:t>
            </w:r>
          </w:p>
        </w:tc>
      </w:tr>
      <w:tr w:rsidR="001A0E96" w:rsidRPr="00392B10" w14:paraId="2A1E6991" w14:textId="77777777" w:rsidTr="00207D60">
        <w:tc>
          <w:tcPr>
            <w:tcW w:w="1449" w:type="pct"/>
            <w:shd w:val="clear" w:color="auto" w:fill="auto"/>
          </w:tcPr>
          <w:p w14:paraId="52C30E04" w14:textId="7922AC8E" w:rsidR="001A0E96" w:rsidRPr="00392B10" w:rsidRDefault="001A0E96" w:rsidP="00124B5E">
            <w:pPr>
              <w:pStyle w:val="COMTabletext"/>
            </w:pPr>
            <w:r w:rsidRPr="00392B10">
              <w:t>Total expenditure across public and private hospitals</w:t>
            </w:r>
            <w:r w:rsidR="007A1383">
              <w:t xml:space="preserve"> ($)</w:t>
            </w:r>
          </w:p>
        </w:tc>
        <w:tc>
          <w:tcPr>
            <w:tcW w:w="594" w:type="pct"/>
            <w:shd w:val="clear" w:color="auto" w:fill="auto"/>
            <w:vAlign w:val="center"/>
          </w:tcPr>
          <w:p w14:paraId="1FFD883F" w14:textId="357EE0DA"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40217"/>
                <w14:textFill>
                  <w14:solidFill>
                    <w14:srgbClr w14:val="000000">
                      <w14:alpha w14:val="100000"/>
                    </w14:srgbClr>
                  </w14:solidFill>
                </w14:textFill>
              </w:rPr>
              <w:t xml:space="preserve">　</w:t>
            </w:r>
            <w:r w:rsidRPr="00EA163B">
              <w:rPr>
                <w:color w:val="000000"/>
                <w:w w:val="15"/>
                <w:shd w:val="solid" w:color="000000" w:fill="000000"/>
                <w:fitText w:val="64" w:id="-1171540217"/>
                <w14:textFill>
                  <w14:solidFill>
                    <w14:srgbClr w14:val="000000">
                      <w14:alpha w14:val="100000"/>
                    </w14:srgbClr>
                  </w14:solidFill>
                </w14:textFill>
              </w:rPr>
              <w:t>|</w:t>
            </w:r>
            <w:r w:rsidRPr="00EA163B">
              <w:rPr>
                <w:rFonts w:hint="eastAsia"/>
                <w:color w:val="000000"/>
                <w:spacing w:val="-1"/>
                <w:w w:val="15"/>
                <w:shd w:val="solid" w:color="000000" w:fill="000000"/>
                <w:fitText w:val="64" w:id="-1171540217"/>
                <w14:textFill>
                  <w14:solidFill>
                    <w14:srgbClr w14:val="000000">
                      <w14:alpha w14:val="100000"/>
                    </w14:srgbClr>
                  </w14:solidFill>
                </w14:textFill>
              </w:rPr>
              <w:t xml:space="preserve">　</w:t>
            </w:r>
            <w:r w:rsidR="00202D65" w:rsidRPr="00207D60">
              <w:rPr>
                <w:rFonts w:eastAsia="Times New Roman" w:cs="Arial"/>
                <w:iCs/>
                <w:sz w:val="18"/>
                <w:szCs w:val="18"/>
                <w:vertAlign w:val="superscript"/>
              </w:rPr>
              <w:t>3</w:t>
            </w:r>
          </w:p>
        </w:tc>
        <w:tc>
          <w:tcPr>
            <w:tcW w:w="594" w:type="pct"/>
            <w:shd w:val="clear" w:color="auto" w:fill="auto"/>
            <w:vAlign w:val="center"/>
          </w:tcPr>
          <w:p w14:paraId="5C6095BA" w14:textId="24385EC1"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5" w:id="-1171540216"/>
                <w14:textFill>
                  <w14:solidFill>
                    <w14:srgbClr w14:val="000000">
                      <w14:alpha w14:val="100000"/>
                    </w14:srgbClr>
                  </w14:solidFill>
                </w14:textFill>
              </w:rPr>
              <w:t xml:space="preserve">　</w:t>
            </w:r>
            <w:r w:rsidRPr="00EA163B">
              <w:rPr>
                <w:color w:val="000000"/>
                <w:w w:val="15"/>
                <w:shd w:val="solid" w:color="000000" w:fill="000000"/>
                <w:fitText w:val="65" w:id="-1171540216"/>
                <w14:textFill>
                  <w14:solidFill>
                    <w14:srgbClr w14:val="000000">
                      <w14:alpha w14:val="100000"/>
                    </w14:srgbClr>
                  </w14:solidFill>
                </w14:textFill>
              </w:rPr>
              <w:t>|</w:t>
            </w:r>
            <w:r w:rsidRPr="00EA163B">
              <w:rPr>
                <w:rFonts w:hint="eastAsia"/>
                <w:color w:val="000000"/>
                <w:w w:val="15"/>
                <w:shd w:val="solid" w:color="000000" w:fill="000000"/>
                <w:fitText w:val="65" w:id="-1171540216"/>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3</w:t>
            </w:r>
          </w:p>
        </w:tc>
        <w:tc>
          <w:tcPr>
            <w:tcW w:w="593" w:type="pct"/>
            <w:shd w:val="clear" w:color="auto" w:fill="auto"/>
            <w:vAlign w:val="center"/>
          </w:tcPr>
          <w:p w14:paraId="005CED4C" w14:textId="7DF51EBE"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40215"/>
                <w14:textFill>
                  <w14:solidFill>
                    <w14:srgbClr w14:val="000000">
                      <w14:alpha w14:val="100000"/>
                    </w14:srgbClr>
                  </w14:solidFill>
                </w14:textFill>
              </w:rPr>
              <w:t xml:space="preserve">　</w:t>
            </w:r>
            <w:r w:rsidRPr="00EA163B">
              <w:rPr>
                <w:color w:val="000000"/>
                <w:w w:val="15"/>
                <w:shd w:val="solid" w:color="000000" w:fill="000000"/>
                <w:fitText w:val="64" w:id="-1171540215"/>
                <w14:textFill>
                  <w14:solidFill>
                    <w14:srgbClr w14:val="000000">
                      <w14:alpha w14:val="100000"/>
                    </w14:srgbClr>
                  </w14:solidFill>
                </w14:textFill>
              </w:rPr>
              <w:t>|</w:t>
            </w:r>
            <w:r w:rsidRPr="00EA163B">
              <w:rPr>
                <w:rFonts w:hint="eastAsia"/>
                <w:color w:val="000000"/>
                <w:spacing w:val="-1"/>
                <w:w w:val="15"/>
                <w:shd w:val="solid" w:color="000000" w:fill="000000"/>
                <w:fitText w:val="64" w:id="-1171540215"/>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3</w:t>
            </w:r>
          </w:p>
        </w:tc>
        <w:tc>
          <w:tcPr>
            <w:tcW w:w="594" w:type="pct"/>
            <w:shd w:val="clear" w:color="auto" w:fill="auto"/>
            <w:vAlign w:val="center"/>
          </w:tcPr>
          <w:p w14:paraId="08081F3B" w14:textId="11DE9D2A"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40214"/>
                <w14:textFill>
                  <w14:solidFill>
                    <w14:srgbClr w14:val="000000">
                      <w14:alpha w14:val="100000"/>
                    </w14:srgbClr>
                  </w14:solidFill>
                </w14:textFill>
              </w:rPr>
              <w:t xml:space="preserve">　</w:t>
            </w:r>
            <w:r w:rsidRPr="00EA163B">
              <w:rPr>
                <w:color w:val="000000"/>
                <w:w w:val="15"/>
                <w:shd w:val="solid" w:color="000000" w:fill="000000"/>
                <w:fitText w:val="64" w:id="-1171540214"/>
                <w14:textFill>
                  <w14:solidFill>
                    <w14:srgbClr w14:val="000000">
                      <w14:alpha w14:val="100000"/>
                    </w14:srgbClr>
                  </w14:solidFill>
                </w14:textFill>
              </w:rPr>
              <w:t>|</w:t>
            </w:r>
            <w:r w:rsidRPr="00EA163B">
              <w:rPr>
                <w:rFonts w:hint="eastAsia"/>
                <w:color w:val="000000"/>
                <w:spacing w:val="-1"/>
                <w:w w:val="15"/>
                <w:shd w:val="solid" w:color="000000" w:fill="000000"/>
                <w:fitText w:val="64" w:id="-1171540214"/>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3</w:t>
            </w:r>
          </w:p>
        </w:tc>
        <w:tc>
          <w:tcPr>
            <w:tcW w:w="594" w:type="pct"/>
            <w:shd w:val="clear" w:color="auto" w:fill="auto"/>
            <w:vAlign w:val="center"/>
          </w:tcPr>
          <w:p w14:paraId="3AA2CAC4" w14:textId="3BD28785"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40213"/>
                <w14:textFill>
                  <w14:solidFill>
                    <w14:srgbClr w14:val="000000">
                      <w14:alpha w14:val="100000"/>
                    </w14:srgbClr>
                  </w14:solidFill>
                </w14:textFill>
              </w:rPr>
              <w:t xml:space="preserve">　</w:t>
            </w:r>
            <w:r w:rsidRPr="00EA163B">
              <w:rPr>
                <w:color w:val="000000"/>
                <w:w w:val="15"/>
                <w:shd w:val="solid" w:color="000000" w:fill="000000"/>
                <w:fitText w:val="64" w:id="-1171540213"/>
                <w14:textFill>
                  <w14:solidFill>
                    <w14:srgbClr w14:val="000000">
                      <w14:alpha w14:val="100000"/>
                    </w14:srgbClr>
                  </w14:solidFill>
                </w14:textFill>
              </w:rPr>
              <w:t>|</w:t>
            </w:r>
            <w:r w:rsidRPr="00EA163B">
              <w:rPr>
                <w:rFonts w:hint="eastAsia"/>
                <w:color w:val="000000"/>
                <w:spacing w:val="-1"/>
                <w:w w:val="15"/>
                <w:shd w:val="solid" w:color="000000" w:fill="000000"/>
                <w:fitText w:val="64" w:id="-1171540213"/>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3</w:t>
            </w:r>
          </w:p>
        </w:tc>
        <w:tc>
          <w:tcPr>
            <w:tcW w:w="582" w:type="pct"/>
            <w:vAlign w:val="center"/>
          </w:tcPr>
          <w:p w14:paraId="12498921" w14:textId="2CFC0537"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40212"/>
                <w14:textFill>
                  <w14:solidFill>
                    <w14:srgbClr w14:val="000000">
                      <w14:alpha w14:val="100000"/>
                    </w14:srgbClr>
                  </w14:solidFill>
                </w14:textFill>
              </w:rPr>
              <w:t xml:space="preserve">　</w:t>
            </w:r>
            <w:r w:rsidRPr="00EA163B">
              <w:rPr>
                <w:color w:val="000000"/>
                <w:w w:val="15"/>
                <w:shd w:val="solid" w:color="000000" w:fill="000000"/>
                <w:fitText w:val="64" w:id="-1171540212"/>
                <w14:textFill>
                  <w14:solidFill>
                    <w14:srgbClr w14:val="000000">
                      <w14:alpha w14:val="100000"/>
                    </w14:srgbClr>
                  </w14:solidFill>
                </w14:textFill>
              </w:rPr>
              <w:t>|</w:t>
            </w:r>
            <w:r w:rsidRPr="00EA163B">
              <w:rPr>
                <w:rFonts w:hint="eastAsia"/>
                <w:color w:val="000000"/>
                <w:spacing w:val="-1"/>
                <w:w w:val="15"/>
                <w:shd w:val="solid" w:color="000000" w:fill="000000"/>
                <w:fitText w:val="64" w:id="-1171540212"/>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3</w:t>
            </w:r>
          </w:p>
        </w:tc>
      </w:tr>
      <w:tr w:rsidR="001A0E96" w:rsidRPr="00392B10" w14:paraId="2C0B75F8" w14:textId="77777777" w:rsidTr="00207D60">
        <w:tc>
          <w:tcPr>
            <w:tcW w:w="1449" w:type="pct"/>
            <w:shd w:val="clear" w:color="auto" w:fill="auto"/>
          </w:tcPr>
          <w:p w14:paraId="6BC4AA74" w14:textId="77777777" w:rsidR="001A0E96" w:rsidRPr="00392B10" w:rsidRDefault="001A0E96" w:rsidP="00124B5E">
            <w:pPr>
              <w:pStyle w:val="COMTabletext"/>
            </w:pPr>
            <w:r w:rsidRPr="00392B10">
              <w:t xml:space="preserve">Total weighted copayment </w:t>
            </w:r>
            <w:r w:rsidRPr="00392B10">
              <w:rPr>
                <w:vertAlign w:val="superscript"/>
              </w:rPr>
              <w:t>b</w:t>
            </w:r>
          </w:p>
        </w:tc>
        <w:tc>
          <w:tcPr>
            <w:tcW w:w="594" w:type="pct"/>
            <w:shd w:val="clear" w:color="auto" w:fill="auto"/>
          </w:tcPr>
          <w:p w14:paraId="72CC089E" w14:textId="0294BAC1" w:rsidR="001A0E96" w:rsidRPr="00392B10" w:rsidRDefault="00EA163B" w:rsidP="00124B5E">
            <w:pPr>
              <w:pStyle w:val="COMTabletext"/>
              <w:jc w:val="center"/>
            </w:pPr>
            <w:r w:rsidRPr="00EA163B">
              <w:rPr>
                <w:rFonts w:hint="eastAsia"/>
                <w:color w:val="000000"/>
                <w:w w:val="15"/>
                <w:shd w:val="solid" w:color="000000" w:fill="000000"/>
                <w:fitText w:val="64" w:id="-1171540211"/>
                <w14:textFill>
                  <w14:solidFill>
                    <w14:srgbClr w14:val="000000">
                      <w14:alpha w14:val="100000"/>
                    </w14:srgbClr>
                  </w14:solidFill>
                </w14:textFill>
              </w:rPr>
              <w:t xml:space="preserve">　</w:t>
            </w:r>
            <w:r w:rsidRPr="00EA163B">
              <w:rPr>
                <w:color w:val="000000"/>
                <w:w w:val="15"/>
                <w:shd w:val="solid" w:color="000000" w:fill="000000"/>
                <w:fitText w:val="64" w:id="-1171540211"/>
                <w14:textFill>
                  <w14:solidFill>
                    <w14:srgbClr w14:val="000000">
                      <w14:alpha w14:val="100000"/>
                    </w14:srgbClr>
                  </w14:solidFill>
                </w14:textFill>
              </w:rPr>
              <w:t>|</w:t>
            </w:r>
            <w:r w:rsidRPr="00EA163B">
              <w:rPr>
                <w:rFonts w:hint="eastAsia"/>
                <w:color w:val="000000"/>
                <w:spacing w:val="-1"/>
                <w:w w:val="15"/>
                <w:shd w:val="solid" w:color="000000" w:fill="000000"/>
                <w:fitText w:val="64" w:id="-1171540211"/>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4</w:t>
            </w:r>
          </w:p>
        </w:tc>
        <w:tc>
          <w:tcPr>
            <w:tcW w:w="594" w:type="pct"/>
            <w:shd w:val="clear" w:color="auto" w:fill="auto"/>
          </w:tcPr>
          <w:p w14:paraId="18738592" w14:textId="78676E1E" w:rsidR="001A0E96" w:rsidRPr="00392B10" w:rsidRDefault="00EA163B" w:rsidP="00124B5E">
            <w:pPr>
              <w:pStyle w:val="COMTabletext"/>
              <w:jc w:val="center"/>
            </w:pPr>
            <w:r w:rsidRPr="00EA163B">
              <w:rPr>
                <w:rFonts w:hint="eastAsia"/>
                <w:color w:val="000000"/>
                <w:w w:val="15"/>
                <w:shd w:val="solid" w:color="000000" w:fill="000000"/>
                <w:fitText w:val="65" w:id="-1171540210"/>
                <w14:textFill>
                  <w14:solidFill>
                    <w14:srgbClr w14:val="000000">
                      <w14:alpha w14:val="100000"/>
                    </w14:srgbClr>
                  </w14:solidFill>
                </w14:textFill>
              </w:rPr>
              <w:t xml:space="preserve">　</w:t>
            </w:r>
            <w:r w:rsidRPr="00EA163B">
              <w:rPr>
                <w:color w:val="000000"/>
                <w:w w:val="15"/>
                <w:shd w:val="solid" w:color="000000" w:fill="000000"/>
                <w:fitText w:val="65" w:id="-1171540210"/>
                <w14:textFill>
                  <w14:solidFill>
                    <w14:srgbClr w14:val="000000">
                      <w14:alpha w14:val="100000"/>
                    </w14:srgbClr>
                  </w14:solidFill>
                </w14:textFill>
              </w:rPr>
              <w:t>|</w:t>
            </w:r>
            <w:r w:rsidRPr="00EA163B">
              <w:rPr>
                <w:rFonts w:hint="eastAsia"/>
                <w:color w:val="000000"/>
                <w:w w:val="15"/>
                <w:shd w:val="solid" w:color="000000" w:fill="000000"/>
                <w:fitText w:val="65" w:id="-1171540210"/>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4</w:t>
            </w:r>
          </w:p>
        </w:tc>
        <w:tc>
          <w:tcPr>
            <w:tcW w:w="593" w:type="pct"/>
            <w:shd w:val="clear" w:color="auto" w:fill="auto"/>
          </w:tcPr>
          <w:p w14:paraId="22D7E25F" w14:textId="24CD5234" w:rsidR="001A0E96" w:rsidRPr="00392B10" w:rsidRDefault="00EA163B" w:rsidP="00124B5E">
            <w:pPr>
              <w:pStyle w:val="COMTabletext"/>
              <w:jc w:val="center"/>
            </w:pPr>
            <w:r w:rsidRPr="00EA163B">
              <w:rPr>
                <w:rFonts w:hint="eastAsia"/>
                <w:color w:val="000000"/>
                <w:w w:val="15"/>
                <w:shd w:val="solid" w:color="000000" w:fill="000000"/>
                <w:fitText w:val="64" w:id="-1171540209"/>
                <w14:textFill>
                  <w14:solidFill>
                    <w14:srgbClr w14:val="000000">
                      <w14:alpha w14:val="100000"/>
                    </w14:srgbClr>
                  </w14:solidFill>
                </w14:textFill>
              </w:rPr>
              <w:t xml:space="preserve">　</w:t>
            </w:r>
            <w:r w:rsidRPr="00EA163B">
              <w:rPr>
                <w:color w:val="000000"/>
                <w:w w:val="15"/>
                <w:shd w:val="solid" w:color="000000" w:fill="000000"/>
                <w:fitText w:val="64" w:id="-1171540209"/>
                <w14:textFill>
                  <w14:solidFill>
                    <w14:srgbClr w14:val="000000">
                      <w14:alpha w14:val="100000"/>
                    </w14:srgbClr>
                  </w14:solidFill>
                </w14:textFill>
              </w:rPr>
              <w:t>|</w:t>
            </w:r>
            <w:r w:rsidRPr="00EA163B">
              <w:rPr>
                <w:rFonts w:hint="eastAsia"/>
                <w:color w:val="000000"/>
                <w:spacing w:val="-1"/>
                <w:w w:val="15"/>
                <w:shd w:val="solid" w:color="000000" w:fill="000000"/>
                <w:fitText w:val="64" w:id="-1171540209"/>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4</w:t>
            </w:r>
          </w:p>
        </w:tc>
        <w:tc>
          <w:tcPr>
            <w:tcW w:w="594" w:type="pct"/>
            <w:shd w:val="clear" w:color="auto" w:fill="auto"/>
          </w:tcPr>
          <w:p w14:paraId="4F14100E" w14:textId="4F4E141B" w:rsidR="001A0E96" w:rsidRPr="00392B10" w:rsidRDefault="00EA163B" w:rsidP="00124B5E">
            <w:pPr>
              <w:pStyle w:val="COMTabletext"/>
              <w:jc w:val="center"/>
            </w:pPr>
            <w:r w:rsidRPr="00EA163B">
              <w:rPr>
                <w:rFonts w:hint="eastAsia"/>
                <w:color w:val="000000"/>
                <w:w w:val="15"/>
                <w:shd w:val="solid" w:color="000000" w:fill="000000"/>
                <w:fitText w:val="64" w:id="-1171540208"/>
                <w14:textFill>
                  <w14:solidFill>
                    <w14:srgbClr w14:val="000000">
                      <w14:alpha w14:val="100000"/>
                    </w14:srgbClr>
                  </w14:solidFill>
                </w14:textFill>
              </w:rPr>
              <w:t xml:space="preserve">　</w:t>
            </w:r>
            <w:r w:rsidRPr="00EA163B">
              <w:rPr>
                <w:color w:val="000000"/>
                <w:w w:val="15"/>
                <w:shd w:val="solid" w:color="000000" w:fill="000000"/>
                <w:fitText w:val="64" w:id="-1171540208"/>
                <w14:textFill>
                  <w14:solidFill>
                    <w14:srgbClr w14:val="000000">
                      <w14:alpha w14:val="100000"/>
                    </w14:srgbClr>
                  </w14:solidFill>
                </w14:textFill>
              </w:rPr>
              <w:t>|</w:t>
            </w:r>
            <w:r w:rsidRPr="00EA163B">
              <w:rPr>
                <w:rFonts w:hint="eastAsia"/>
                <w:color w:val="000000"/>
                <w:spacing w:val="-1"/>
                <w:w w:val="15"/>
                <w:shd w:val="solid" w:color="000000" w:fill="000000"/>
                <w:fitText w:val="64" w:id="-1171540208"/>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4</w:t>
            </w:r>
          </w:p>
        </w:tc>
        <w:tc>
          <w:tcPr>
            <w:tcW w:w="594" w:type="pct"/>
            <w:shd w:val="clear" w:color="auto" w:fill="auto"/>
          </w:tcPr>
          <w:p w14:paraId="4FB8D61B" w14:textId="1AAC586A" w:rsidR="001A0E96" w:rsidRPr="00392B10" w:rsidRDefault="00EA163B" w:rsidP="00124B5E">
            <w:pPr>
              <w:pStyle w:val="COMTabletext"/>
              <w:jc w:val="center"/>
            </w:pPr>
            <w:r w:rsidRPr="00EA163B">
              <w:rPr>
                <w:rFonts w:hint="eastAsia"/>
                <w:color w:val="000000"/>
                <w:w w:val="15"/>
                <w:shd w:val="solid" w:color="000000" w:fill="000000"/>
                <w:fitText w:val="64" w:id="-1171540224"/>
                <w14:textFill>
                  <w14:solidFill>
                    <w14:srgbClr w14:val="000000">
                      <w14:alpha w14:val="100000"/>
                    </w14:srgbClr>
                  </w14:solidFill>
                </w14:textFill>
              </w:rPr>
              <w:t xml:space="preserve">　</w:t>
            </w:r>
            <w:r w:rsidRPr="00EA163B">
              <w:rPr>
                <w:color w:val="000000"/>
                <w:w w:val="15"/>
                <w:shd w:val="solid" w:color="000000" w:fill="000000"/>
                <w:fitText w:val="64" w:id="-1171540224"/>
                <w14:textFill>
                  <w14:solidFill>
                    <w14:srgbClr w14:val="000000">
                      <w14:alpha w14:val="100000"/>
                    </w14:srgbClr>
                  </w14:solidFill>
                </w14:textFill>
              </w:rPr>
              <w:t>|</w:t>
            </w:r>
            <w:r w:rsidRPr="00EA163B">
              <w:rPr>
                <w:rFonts w:hint="eastAsia"/>
                <w:color w:val="000000"/>
                <w:spacing w:val="-1"/>
                <w:w w:val="15"/>
                <w:shd w:val="solid" w:color="000000" w:fill="000000"/>
                <w:fitText w:val="64" w:id="-1171540224"/>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4</w:t>
            </w:r>
          </w:p>
        </w:tc>
        <w:tc>
          <w:tcPr>
            <w:tcW w:w="582" w:type="pct"/>
          </w:tcPr>
          <w:p w14:paraId="00FAAEAB" w14:textId="2A375DB8" w:rsidR="001A0E96" w:rsidRPr="00392B10" w:rsidRDefault="00EA163B" w:rsidP="00124B5E">
            <w:pPr>
              <w:pStyle w:val="COMTabletext"/>
              <w:jc w:val="center"/>
            </w:pPr>
            <w:r w:rsidRPr="00EA163B">
              <w:rPr>
                <w:rFonts w:hint="eastAsia"/>
                <w:color w:val="000000"/>
                <w:w w:val="15"/>
                <w:shd w:val="solid" w:color="000000" w:fill="000000"/>
                <w:fitText w:val="64" w:id="-1171540223"/>
                <w14:textFill>
                  <w14:solidFill>
                    <w14:srgbClr w14:val="000000">
                      <w14:alpha w14:val="100000"/>
                    </w14:srgbClr>
                  </w14:solidFill>
                </w14:textFill>
              </w:rPr>
              <w:t xml:space="preserve">　</w:t>
            </w:r>
            <w:r w:rsidRPr="00EA163B">
              <w:rPr>
                <w:color w:val="000000"/>
                <w:w w:val="15"/>
                <w:shd w:val="solid" w:color="000000" w:fill="000000"/>
                <w:fitText w:val="64" w:id="-1171540223"/>
                <w14:textFill>
                  <w14:solidFill>
                    <w14:srgbClr w14:val="000000">
                      <w14:alpha w14:val="100000"/>
                    </w14:srgbClr>
                  </w14:solidFill>
                </w14:textFill>
              </w:rPr>
              <w:t>|</w:t>
            </w:r>
            <w:r w:rsidRPr="00EA163B">
              <w:rPr>
                <w:rFonts w:hint="eastAsia"/>
                <w:color w:val="000000"/>
                <w:spacing w:val="-1"/>
                <w:w w:val="15"/>
                <w:shd w:val="solid" w:color="000000" w:fill="000000"/>
                <w:fitText w:val="64" w:id="-1171540223"/>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4</w:t>
            </w:r>
          </w:p>
        </w:tc>
      </w:tr>
      <w:tr w:rsidR="001A0E96" w:rsidRPr="00392B10" w14:paraId="3FF3DFFB" w14:textId="77777777" w:rsidTr="00207D60">
        <w:tc>
          <w:tcPr>
            <w:tcW w:w="1449" w:type="pct"/>
            <w:shd w:val="clear" w:color="auto" w:fill="auto"/>
          </w:tcPr>
          <w:p w14:paraId="4EB96623" w14:textId="3AC59656" w:rsidR="001A0E96" w:rsidRPr="00392B10" w:rsidRDefault="001A0E96" w:rsidP="00124B5E">
            <w:pPr>
              <w:pStyle w:val="COMTabletext"/>
            </w:pPr>
            <w:r w:rsidRPr="00392B10">
              <w:t>Expenditure less copayment</w:t>
            </w:r>
            <w:r w:rsidR="007A1383">
              <w:t xml:space="preserve"> ($)</w:t>
            </w:r>
          </w:p>
        </w:tc>
        <w:tc>
          <w:tcPr>
            <w:tcW w:w="594" w:type="pct"/>
            <w:shd w:val="clear" w:color="auto" w:fill="auto"/>
          </w:tcPr>
          <w:p w14:paraId="39903727" w14:textId="1F42D869"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40222"/>
                <w14:textFill>
                  <w14:solidFill>
                    <w14:srgbClr w14:val="000000">
                      <w14:alpha w14:val="100000"/>
                    </w14:srgbClr>
                  </w14:solidFill>
                </w14:textFill>
              </w:rPr>
              <w:t xml:space="preserve">　</w:t>
            </w:r>
            <w:r w:rsidRPr="00EA163B">
              <w:rPr>
                <w:color w:val="000000"/>
                <w:w w:val="15"/>
                <w:shd w:val="solid" w:color="000000" w:fill="000000"/>
                <w:fitText w:val="64" w:id="-1171540222"/>
                <w14:textFill>
                  <w14:solidFill>
                    <w14:srgbClr w14:val="000000">
                      <w14:alpha w14:val="100000"/>
                    </w14:srgbClr>
                  </w14:solidFill>
                </w14:textFill>
              </w:rPr>
              <w:t>|</w:t>
            </w:r>
            <w:r w:rsidRPr="00EA163B">
              <w:rPr>
                <w:rFonts w:hint="eastAsia"/>
                <w:color w:val="000000"/>
                <w:spacing w:val="-1"/>
                <w:w w:val="15"/>
                <w:shd w:val="solid" w:color="000000" w:fill="000000"/>
                <w:fitText w:val="64" w:id="-1171540222"/>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3</w:t>
            </w:r>
          </w:p>
        </w:tc>
        <w:tc>
          <w:tcPr>
            <w:tcW w:w="594" w:type="pct"/>
            <w:shd w:val="clear" w:color="auto" w:fill="auto"/>
          </w:tcPr>
          <w:p w14:paraId="6CA09AA6" w14:textId="2887204E"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5" w:id="-1171540221"/>
                <w14:textFill>
                  <w14:solidFill>
                    <w14:srgbClr w14:val="000000">
                      <w14:alpha w14:val="100000"/>
                    </w14:srgbClr>
                  </w14:solidFill>
                </w14:textFill>
              </w:rPr>
              <w:t xml:space="preserve">　</w:t>
            </w:r>
            <w:r w:rsidRPr="00EA163B">
              <w:rPr>
                <w:color w:val="000000"/>
                <w:w w:val="15"/>
                <w:shd w:val="solid" w:color="000000" w:fill="000000"/>
                <w:fitText w:val="65" w:id="-1171540221"/>
                <w14:textFill>
                  <w14:solidFill>
                    <w14:srgbClr w14:val="000000">
                      <w14:alpha w14:val="100000"/>
                    </w14:srgbClr>
                  </w14:solidFill>
                </w14:textFill>
              </w:rPr>
              <w:t>|</w:t>
            </w:r>
            <w:r w:rsidRPr="00EA163B">
              <w:rPr>
                <w:rFonts w:hint="eastAsia"/>
                <w:color w:val="000000"/>
                <w:w w:val="15"/>
                <w:shd w:val="solid" w:color="000000" w:fill="000000"/>
                <w:fitText w:val="65" w:id="-1171540221"/>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3</w:t>
            </w:r>
          </w:p>
        </w:tc>
        <w:tc>
          <w:tcPr>
            <w:tcW w:w="593" w:type="pct"/>
            <w:shd w:val="clear" w:color="auto" w:fill="auto"/>
          </w:tcPr>
          <w:p w14:paraId="6859B715" w14:textId="1083A432"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39968"/>
                <w14:textFill>
                  <w14:solidFill>
                    <w14:srgbClr w14:val="000000">
                      <w14:alpha w14:val="100000"/>
                    </w14:srgbClr>
                  </w14:solidFill>
                </w14:textFill>
              </w:rPr>
              <w:t xml:space="preserve">　</w:t>
            </w:r>
            <w:r w:rsidRPr="00EA163B">
              <w:rPr>
                <w:color w:val="000000"/>
                <w:w w:val="15"/>
                <w:shd w:val="solid" w:color="000000" w:fill="000000"/>
                <w:fitText w:val="64" w:id="-1171539968"/>
                <w14:textFill>
                  <w14:solidFill>
                    <w14:srgbClr w14:val="000000">
                      <w14:alpha w14:val="100000"/>
                    </w14:srgbClr>
                  </w14:solidFill>
                </w14:textFill>
              </w:rPr>
              <w:t>|</w:t>
            </w:r>
            <w:r w:rsidRPr="00EA163B">
              <w:rPr>
                <w:rFonts w:hint="eastAsia"/>
                <w:color w:val="000000"/>
                <w:spacing w:val="-1"/>
                <w:w w:val="15"/>
                <w:shd w:val="solid" w:color="000000" w:fill="000000"/>
                <w:fitText w:val="64" w:id="-1171539968"/>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3</w:t>
            </w:r>
          </w:p>
        </w:tc>
        <w:tc>
          <w:tcPr>
            <w:tcW w:w="594" w:type="pct"/>
            <w:shd w:val="clear" w:color="auto" w:fill="auto"/>
          </w:tcPr>
          <w:p w14:paraId="54D1864E" w14:textId="24A319E5"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39967"/>
                <w14:textFill>
                  <w14:solidFill>
                    <w14:srgbClr w14:val="000000">
                      <w14:alpha w14:val="100000"/>
                    </w14:srgbClr>
                  </w14:solidFill>
                </w14:textFill>
              </w:rPr>
              <w:t xml:space="preserve">　</w:t>
            </w:r>
            <w:r w:rsidRPr="00EA163B">
              <w:rPr>
                <w:color w:val="000000"/>
                <w:w w:val="15"/>
                <w:shd w:val="solid" w:color="000000" w:fill="000000"/>
                <w:fitText w:val="64" w:id="-1171539967"/>
                <w14:textFill>
                  <w14:solidFill>
                    <w14:srgbClr w14:val="000000">
                      <w14:alpha w14:val="100000"/>
                    </w14:srgbClr>
                  </w14:solidFill>
                </w14:textFill>
              </w:rPr>
              <w:t>|</w:t>
            </w:r>
            <w:r w:rsidRPr="00EA163B">
              <w:rPr>
                <w:rFonts w:hint="eastAsia"/>
                <w:color w:val="000000"/>
                <w:spacing w:val="-1"/>
                <w:w w:val="15"/>
                <w:shd w:val="solid" w:color="000000" w:fill="000000"/>
                <w:fitText w:val="64" w:id="-1171539967"/>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3</w:t>
            </w:r>
          </w:p>
        </w:tc>
        <w:tc>
          <w:tcPr>
            <w:tcW w:w="594" w:type="pct"/>
            <w:shd w:val="clear" w:color="auto" w:fill="auto"/>
          </w:tcPr>
          <w:p w14:paraId="051A4AD6" w14:textId="7428BEAB"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39966"/>
                <w14:textFill>
                  <w14:solidFill>
                    <w14:srgbClr w14:val="000000">
                      <w14:alpha w14:val="100000"/>
                    </w14:srgbClr>
                  </w14:solidFill>
                </w14:textFill>
              </w:rPr>
              <w:t xml:space="preserve">　</w:t>
            </w:r>
            <w:r w:rsidRPr="00EA163B">
              <w:rPr>
                <w:color w:val="000000"/>
                <w:w w:val="15"/>
                <w:shd w:val="solid" w:color="000000" w:fill="000000"/>
                <w:fitText w:val="64" w:id="-1171539966"/>
                <w14:textFill>
                  <w14:solidFill>
                    <w14:srgbClr w14:val="000000">
                      <w14:alpha w14:val="100000"/>
                    </w14:srgbClr>
                  </w14:solidFill>
                </w14:textFill>
              </w:rPr>
              <w:t>|</w:t>
            </w:r>
            <w:r w:rsidRPr="00EA163B">
              <w:rPr>
                <w:rFonts w:hint="eastAsia"/>
                <w:color w:val="000000"/>
                <w:spacing w:val="-1"/>
                <w:w w:val="15"/>
                <w:shd w:val="solid" w:color="000000" w:fill="000000"/>
                <w:fitText w:val="64" w:id="-1171539966"/>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3</w:t>
            </w:r>
          </w:p>
        </w:tc>
        <w:tc>
          <w:tcPr>
            <w:tcW w:w="582" w:type="pct"/>
          </w:tcPr>
          <w:p w14:paraId="5CB5A7D1" w14:textId="2C133449"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39965"/>
                <w14:textFill>
                  <w14:solidFill>
                    <w14:srgbClr w14:val="000000">
                      <w14:alpha w14:val="100000"/>
                    </w14:srgbClr>
                  </w14:solidFill>
                </w14:textFill>
              </w:rPr>
              <w:t xml:space="preserve">　</w:t>
            </w:r>
            <w:r w:rsidRPr="00EA163B">
              <w:rPr>
                <w:color w:val="000000"/>
                <w:w w:val="15"/>
                <w:shd w:val="solid" w:color="000000" w:fill="000000"/>
                <w:fitText w:val="64" w:id="-1171539965"/>
                <w14:textFill>
                  <w14:solidFill>
                    <w14:srgbClr w14:val="000000">
                      <w14:alpha w14:val="100000"/>
                    </w14:srgbClr>
                  </w14:solidFill>
                </w14:textFill>
              </w:rPr>
              <w:t>|</w:t>
            </w:r>
            <w:r w:rsidRPr="00EA163B">
              <w:rPr>
                <w:rFonts w:hint="eastAsia"/>
                <w:color w:val="000000"/>
                <w:spacing w:val="-1"/>
                <w:w w:val="15"/>
                <w:shd w:val="solid" w:color="000000" w:fill="000000"/>
                <w:fitText w:val="64" w:id="-1171539965"/>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3</w:t>
            </w:r>
          </w:p>
        </w:tc>
      </w:tr>
      <w:tr w:rsidR="001A0E96" w:rsidRPr="00392B10" w14:paraId="7E609EE5" w14:textId="77777777" w:rsidTr="00207D60">
        <w:tc>
          <w:tcPr>
            <w:tcW w:w="1449" w:type="pct"/>
            <w:shd w:val="clear" w:color="auto" w:fill="auto"/>
          </w:tcPr>
          <w:p w14:paraId="09E47EF9" w14:textId="5A43C422" w:rsidR="001A0E96" w:rsidRPr="00392B10" w:rsidRDefault="001A0E96" w:rsidP="00124B5E">
            <w:pPr>
              <w:pStyle w:val="COMTabletext"/>
            </w:pPr>
            <w:r w:rsidRPr="00392B10">
              <w:t xml:space="preserve">Net PBS/RPBS cost (53.2%) </w:t>
            </w:r>
            <w:r w:rsidR="007A1383">
              <w:t>($)</w:t>
            </w:r>
          </w:p>
        </w:tc>
        <w:tc>
          <w:tcPr>
            <w:tcW w:w="594" w:type="pct"/>
            <w:shd w:val="clear" w:color="auto" w:fill="auto"/>
          </w:tcPr>
          <w:p w14:paraId="1DE7C152" w14:textId="08CECC3B"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39964"/>
                <w14:textFill>
                  <w14:solidFill>
                    <w14:srgbClr w14:val="000000">
                      <w14:alpha w14:val="100000"/>
                    </w14:srgbClr>
                  </w14:solidFill>
                </w14:textFill>
              </w:rPr>
              <w:t xml:space="preserve">　</w:t>
            </w:r>
            <w:r w:rsidRPr="00EA163B">
              <w:rPr>
                <w:color w:val="000000"/>
                <w:w w:val="15"/>
                <w:shd w:val="solid" w:color="000000" w:fill="000000"/>
                <w:fitText w:val="64" w:id="-1171539964"/>
                <w14:textFill>
                  <w14:solidFill>
                    <w14:srgbClr w14:val="000000">
                      <w14:alpha w14:val="100000"/>
                    </w14:srgbClr>
                  </w14:solidFill>
                </w14:textFill>
              </w:rPr>
              <w:t>|</w:t>
            </w:r>
            <w:r w:rsidRPr="00EA163B">
              <w:rPr>
                <w:rFonts w:hint="eastAsia"/>
                <w:color w:val="000000"/>
                <w:spacing w:val="-1"/>
                <w:w w:val="15"/>
                <w:shd w:val="solid" w:color="000000" w:fill="000000"/>
                <w:fitText w:val="64" w:id="-1171539964"/>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2</w:t>
            </w:r>
          </w:p>
        </w:tc>
        <w:tc>
          <w:tcPr>
            <w:tcW w:w="594" w:type="pct"/>
            <w:shd w:val="clear" w:color="auto" w:fill="auto"/>
          </w:tcPr>
          <w:p w14:paraId="5EF0165E" w14:textId="23283F46"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5" w:id="-1171539963"/>
                <w14:textFill>
                  <w14:solidFill>
                    <w14:srgbClr w14:val="000000">
                      <w14:alpha w14:val="100000"/>
                    </w14:srgbClr>
                  </w14:solidFill>
                </w14:textFill>
              </w:rPr>
              <w:t xml:space="preserve">　</w:t>
            </w:r>
            <w:r w:rsidRPr="00EA163B">
              <w:rPr>
                <w:color w:val="000000"/>
                <w:w w:val="15"/>
                <w:shd w:val="solid" w:color="000000" w:fill="000000"/>
                <w:fitText w:val="65" w:id="-1171539963"/>
                <w14:textFill>
                  <w14:solidFill>
                    <w14:srgbClr w14:val="000000">
                      <w14:alpha w14:val="100000"/>
                    </w14:srgbClr>
                  </w14:solidFill>
                </w14:textFill>
              </w:rPr>
              <w:t>|</w:t>
            </w:r>
            <w:r w:rsidRPr="00EA163B">
              <w:rPr>
                <w:rFonts w:hint="eastAsia"/>
                <w:color w:val="000000"/>
                <w:w w:val="15"/>
                <w:shd w:val="solid" w:color="000000" w:fill="000000"/>
                <w:fitText w:val="65" w:id="-1171539963"/>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2</w:t>
            </w:r>
          </w:p>
        </w:tc>
        <w:tc>
          <w:tcPr>
            <w:tcW w:w="593" w:type="pct"/>
            <w:shd w:val="clear" w:color="auto" w:fill="auto"/>
          </w:tcPr>
          <w:p w14:paraId="3B96FB1A" w14:textId="35AD3668"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39962"/>
                <w14:textFill>
                  <w14:solidFill>
                    <w14:srgbClr w14:val="000000">
                      <w14:alpha w14:val="100000"/>
                    </w14:srgbClr>
                  </w14:solidFill>
                </w14:textFill>
              </w:rPr>
              <w:t xml:space="preserve">　</w:t>
            </w:r>
            <w:r w:rsidRPr="00EA163B">
              <w:rPr>
                <w:color w:val="000000"/>
                <w:w w:val="15"/>
                <w:shd w:val="solid" w:color="000000" w:fill="000000"/>
                <w:fitText w:val="64" w:id="-1171539962"/>
                <w14:textFill>
                  <w14:solidFill>
                    <w14:srgbClr w14:val="000000">
                      <w14:alpha w14:val="100000"/>
                    </w14:srgbClr>
                  </w14:solidFill>
                </w14:textFill>
              </w:rPr>
              <w:t>|</w:t>
            </w:r>
            <w:r w:rsidRPr="00EA163B">
              <w:rPr>
                <w:rFonts w:hint="eastAsia"/>
                <w:color w:val="000000"/>
                <w:spacing w:val="-1"/>
                <w:w w:val="15"/>
                <w:shd w:val="solid" w:color="000000" w:fill="000000"/>
                <w:fitText w:val="64" w:id="-1171539962"/>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2</w:t>
            </w:r>
          </w:p>
        </w:tc>
        <w:tc>
          <w:tcPr>
            <w:tcW w:w="594" w:type="pct"/>
            <w:shd w:val="clear" w:color="auto" w:fill="auto"/>
          </w:tcPr>
          <w:p w14:paraId="2A2BDDF4" w14:textId="18746406"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39961"/>
                <w14:textFill>
                  <w14:solidFill>
                    <w14:srgbClr w14:val="000000">
                      <w14:alpha w14:val="100000"/>
                    </w14:srgbClr>
                  </w14:solidFill>
                </w14:textFill>
              </w:rPr>
              <w:t xml:space="preserve">　</w:t>
            </w:r>
            <w:r w:rsidRPr="00EA163B">
              <w:rPr>
                <w:color w:val="000000"/>
                <w:w w:val="15"/>
                <w:shd w:val="solid" w:color="000000" w:fill="000000"/>
                <w:fitText w:val="64" w:id="-1171539961"/>
                <w14:textFill>
                  <w14:solidFill>
                    <w14:srgbClr w14:val="000000">
                      <w14:alpha w14:val="100000"/>
                    </w14:srgbClr>
                  </w14:solidFill>
                </w14:textFill>
              </w:rPr>
              <w:t>|</w:t>
            </w:r>
            <w:r w:rsidRPr="00EA163B">
              <w:rPr>
                <w:rFonts w:hint="eastAsia"/>
                <w:color w:val="000000"/>
                <w:spacing w:val="-1"/>
                <w:w w:val="15"/>
                <w:shd w:val="solid" w:color="000000" w:fill="000000"/>
                <w:fitText w:val="64" w:id="-1171539961"/>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2</w:t>
            </w:r>
          </w:p>
        </w:tc>
        <w:tc>
          <w:tcPr>
            <w:tcW w:w="594" w:type="pct"/>
            <w:shd w:val="clear" w:color="auto" w:fill="auto"/>
          </w:tcPr>
          <w:p w14:paraId="6FEE9462" w14:textId="5D3A71B9"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39960"/>
                <w14:textFill>
                  <w14:solidFill>
                    <w14:srgbClr w14:val="000000">
                      <w14:alpha w14:val="100000"/>
                    </w14:srgbClr>
                  </w14:solidFill>
                </w14:textFill>
              </w:rPr>
              <w:t xml:space="preserve">　</w:t>
            </w:r>
            <w:r w:rsidRPr="00EA163B">
              <w:rPr>
                <w:color w:val="000000"/>
                <w:w w:val="15"/>
                <w:shd w:val="solid" w:color="000000" w:fill="000000"/>
                <w:fitText w:val="64" w:id="-1171539960"/>
                <w14:textFill>
                  <w14:solidFill>
                    <w14:srgbClr w14:val="000000">
                      <w14:alpha w14:val="100000"/>
                    </w14:srgbClr>
                  </w14:solidFill>
                </w14:textFill>
              </w:rPr>
              <w:t>|</w:t>
            </w:r>
            <w:r w:rsidRPr="00EA163B">
              <w:rPr>
                <w:rFonts w:hint="eastAsia"/>
                <w:color w:val="000000"/>
                <w:spacing w:val="-1"/>
                <w:w w:val="15"/>
                <w:shd w:val="solid" w:color="000000" w:fill="000000"/>
                <w:fitText w:val="64" w:id="-1171539960"/>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2</w:t>
            </w:r>
          </w:p>
        </w:tc>
        <w:tc>
          <w:tcPr>
            <w:tcW w:w="582" w:type="pct"/>
          </w:tcPr>
          <w:p w14:paraId="2EBF5D07" w14:textId="311743A1"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39959"/>
                <w14:textFill>
                  <w14:solidFill>
                    <w14:srgbClr w14:val="000000">
                      <w14:alpha w14:val="100000"/>
                    </w14:srgbClr>
                  </w14:solidFill>
                </w14:textFill>
              </w:rPr>
              <w:t xml:space="preserve">　</w:t>
            </w:r>
            <w:r w:rsidRPr="00EA163B">
              <w:rPr>
                <w:color w:val="000000"/>
                <w:w w:val="15"/>
                <w:shd w:val="solid" w:color="000000" w:fill="000000"/>
                <w:fitText w:val="64" w:id="-1171539959"/>
                <w14:textFill>
                  <w14:solidFill>
                    <w14:srgbClr w14:val="000000">
                      <w14:alpha w14:val="100000"/>
                    </w14:srgbClr>
                  </w14:solidFill>
                </w14:textFill>
              </w:rPr>
              <w:t>|</w:t>
            </w:r>
            <w:r w:rsidRPr="00EA163B">
              <w:rPr>
                <w:rFonts w:hint="eastAsia"/>
                <w:color w:val="000000"/>
                <w:spacing w:val="-1"/>
                <w:w w:val="15"/>
                <w:shd w:val="solid" w:color="000000" w:fill="000000"/>
                <w:fitText w:val="64" w:id="-1171539959"/>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2</w:t>
            </w:r>
          </w:p>
        </w:tc>
      </w:tr>
      <w:tr w:rsidR="001A0E96" w:rsidRPr="00392B10" w14:paraId="677B7494" w14:textId="77777777" w:rsidTr="00207D60">
        <w:tc>
          <w:tcPr>
            <w:tcW w:w="1449" w:type="pct"/>
            <w:shd w:val="clear" w:color="auto" w:fill="auto"/>
            <w:vAlign w:val="center"/>
          </w:tcPr>
          <w:p w14:paraId="5BBCB0B9" w14:textId="77777777" w:rsidR="001A0E96" w:rsidRPr="00392B10" w:rsidRDefault="001A0E96" w:rsidP="00124B5E">
            <w:pPr>
              <w:pStyle w:val="COMTabletext"/>
              <w:rPr>
                <w:vertAlign w:val="superscript"/>
              </w:rPr>
            </w:pPr>
            <w:r w:rsidRPr="00392B10">
              <w:t xml:space="preserve">PBS/RPBS cost offset less copayment for substituted use of IC </w:t>
            </w:r>
            <w:r w:rsidRPr="00392B10">
              <w:rPr>
                <w:vertAlign w:val="superscript"/>
              </w:rPr>
              <w:t>c</w:t>
            </w:r>
          </w:p>
        </w:tc>
        <w:tc>
          <w:tcPr>
            <w:tcW w:w="594" w:type="pct"/>
            <w:shd w:val="clear" w:color="auto" w:fill="auto"/>
            <w:vAlign w:val="center"/>
          </w:tcPr>
          <w:p w14:paraId="70D49B05" w14:textId="0ADE954B" w:rsidR="001A0E96" w:rsidRPr="00392B10" w:rsidRDefault="00EA163B" w:rsidP="00124B5E">
            <w:pPr>
              <w:pStyle w:val="COMTabletext"/>
              <w:jc w:val="center"/>
            </w:pPr>
            <w:r w:rsidRPr="00EA163B">
              <w:rPr>
                <w:rFonts w:hint="eastAsia"/>
                <w:color w:val="000000"/>
                <w:w w:val="15"/>
                <w:shd w:val="solid" w:color="000000" w:fill="000000"/>
                <w:fitText w:val="64" w:id="-1171539958"/>
                <w14:textFill>
                  <w14:solidFill>
                    <w14:srgbClr w14:val="000000">
                      <w14:alpha w14:val="100000"/>
                    </w14:srgbClr>
                  </w14:solidFill>
                </w14:textFill>
              </w:rPr>
              <w:t xml:space="preserve">　</w:t>
            </w:r>
            <w:r w:rsidRPr="00EA163B">
              <w:rPr>
                <w:color w:val="000000"/>
                <w:w w:val="15"/>
                <w:shd w:val="solid" w:color="000000" w:fill="000000"/>
                <w:fitText w:val="64" w:id="-1171539958"/>
                <w14:textFill>
                  <w14:solidFill>
                    <w14:srgbClr w14:val="000000">
                      <w14:alpha w14:val="100000"/>
                    </w14:srgbClr>
                  </w14:solidFill>
                </w14:textFill>
              </w:rPr>
              <w:t>|</w:t>
            </w:r>
            <w:r w:rsidRPr="00EA163B">
              <w:rPr>
                <w:rFonts w:hint="eastAsia"/>
                <w:color w:val="000000"/>
                <w:spacing w:val="-1"/>
                <w:w w:val="15"/>
                <w:shd w:val="solid" w:color="000000" w:fill="000000"/>
                <w:fitText w:val="64" w:id="-1171539958"/>
                <w14:textFill>
                  <w14:solidFill>
                    <w14:srgbClr w14:val="000000">
                      <w14:alpha w14:val="100000"/>
                    </w14:srgbClr>
                  </w14:solidFill>
                </w14:textFill>
              </w:rPr>
              <w:t xml:space="preserve">　</w:t>
            </w:r>
            <w:r w:rsidR="00202D65" w:rsidRPr="00207D60">
              <w:rPr>
                <w:rFonts w:eastAsia="Times New Roman" w:cs="Arial"/>
                <w:iCs/>
                <w:sz w:val="18"/>
                <w:szCs w:val="18"/>
                <w:vertAlign w:val="superscript"/>
              </w:rPr>
              <w:t>4</w:t>
            </w:r>
          </w:p>
        </w:tc>
        <w:tc>
          <w:tcPr>
            <w:tcW w:w="594" w:type="pct"/>
            <w:shd w:val="clear" w:color="auto" w:fill="auto"/>
            <w:vAlign w:val="center"/>
          </w:tcPr>
          <w:p w14:paraId="274C0BA6" w14:textId="65E9E691" w:rsidR="001A0E96" w:rsidRPr="00392B10" w:rsidRDefault="00EA163B" w:rsidP="00124B5E">
            <w:pPr>
              <w:pStyle w:val="COMTabletext"/>
              <w:jc w:val="center"/>
            </w:pPr>
            <w:r w:rsidRPr="00EA163B">
              <w:rPr>
                <w:rFonts w:hint="eastAsia"/>
                <w:color w:val="000000"/>
                <w:w w:val="15"/>
                <w:shd w:val="solid" w:color="000000" w:fill="000000"/>
                <w:fitText w:val="65" w:id="-1171539957"/>
                <w14:textFill>
                  <w14:solidFill>
                    <w14:srgbClr w14:val="000000">
                      <w14:alpha w14:val="100000"/>
                    </w14:srgbClr>
                  </w14:solidFill>
                </w14:textFill>
              </w:rPr>
              <w:t xml:space="preserve">　</w:t>
            </w:r>
            <w:r w:rsidRPr="00EA163B">
              <w:rPr>
                <w:color w:val="000000"/>
                <w:w w:val="15"/>
                <w:shd w:val="solid" w:color="000000" w:fill="000000"/>
                <w:fitText w:val="65" w:id="-1171539957"/>
                <w14:textFill>
                  <w14:solidFill>
                    <w14:srgbClr w14:val="000000">
                      <w14:alpha w14:val="100000"/>
                    </w14:srgbClr>
                  </w14:solidFill>
                </w14:textFill>
              </w:rPr>
              <w:t>|</w:t>
            </w:r>
            <w:r w:rsidRPr="00EA163B">
              <w:rPr>
                <w:rFonts w:hint="eastAsia"/>
                <w:color w:val="000000"/>
                <w:w w:val="15"/>
                <w:shd w:val="solid" w:color="000000" w:fill="000000"/>
                <w:fitText w:val="65" w:id="-1171539957"/>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4</w:t>
            </w:r>
          </w:p>
        </w:tc>
        <w:tc>
          <w:tcPr>
            <w:tcW w:w="593" w:type="pct"/>
            <w:shd w:val="clear" w:color="auto" w:fill="auto"/>
            <w:vAlign w:val="center"/>
          </w:tcPr>
          <w:p w14:paraId="2B67AA76" w14:textId="79D2E3BA" w:rsidR="001A0E96" w:rsidRPr="00392B10" w:rsidRDefault="00EA163B" w:rsidP="00124B5E">
            <w:pPr>
              <w:pStyle w:val="COMTabletext"/>
              <w:jc w:val="center"/>
            </w:pPr>
            <w:r w:rsidRPr="00EA163B">
              <w:rPr>
                <w:rFonts w:hint="eastAsia"/>
                <w:color w:val="000000"/>
                <w:w w:val="15"/>
                <w:shd w:val="solid" w:color="000000" w:fill="000000"/>
                <w:fitText w:val="64" w:id="-1171539956"/>
                <w14:textFill>
                  <w14:solidFill>
                    <w14:srgbClr w14:val="000000">
                      <w14:alpha w14:val="100000"/>
                    </w14:srgbClr>
                  </w14:solidFill>
                </w14:textFill>
              </w:rPr>
              <w:t xml:space="preserve">　</w:t>
            </w:r>
            <w:r w:rsidRPr="00EA163B">
              <w:rPr>
                <w:color w:val="000000"/>
                <w:w w:val="15"/>
                <w:shd w:val="solid" w:color="000000" w:fill="000000"/>
                <w:fitText w:val="64" w:id="-1171539956"/>
                <w14:textFill>
                  <w14:solidFill>
                    <w14:srgbClr w14:val="000000">
                      <w14:alpha w14:val="100000"/>
                    </w14:srgbClr>
                  </w14:solidFill>
                </w14:textFill>
              </w:rPr>
              <w:t>|</w:t>
            </w:r>
            <w:r w:rsidRPr="00EA163B">
              <w:rPr>
                <w:rFonts w:hint="eastAsia"/>
                <w:color w:val="000000"/>
                <w:spacing w:val="-1"/>
                <w:w w:val="15"/>
                <w:shd w:val="solid" w:color="000000" w:fill="000000"/>
                <w:fitText w:val="64" w:id="-1171539956"/>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4</w:t>
            </w:r>
          </w:p>
        </w:tc>
        <w:tc>
          <w:tcPr>
            <w:tcW w:w="594" w:type="pct"/>
            <w:shd w:val="clear" w:color="auto" w:fill="auto"/>
            <w:vAlign w:val="center"/>
          </w:tcPr>
          <w:p w14:paraId="43032B76" w14:textId="685C3E6A" w:rsidR="001A0E96" w:rsidRPr="00392B10" w:rsidRDefault="00EA163B" w:rsidP="00124B5E">
            <w:pPr>
              <w:pStyle w:val="COMTabletext"/>
              <w:jc w:val="center"/>
            </w:pPr>
            <w:r w:rsidRPr="00EA163B">
              <w:rPr>
                <w:rFonts w:hint="eastAsia"/>
                <w:color w:val="000000"/>
                <w:w w:val="15"/>
                <w:shd w:val="solid" w:color="000000" w:fill="000000"/>
                <w:fitText w:val="64" w:id="-1171539955"/>
                <w14:textFill>
                  <w14:solidFill>
                    <w14:srgbClr w14:val="000000">
                      <w14:alpha w14:val="100000"/>
                    </w14:srgbClr>
                  </w14:solidFill>
                </w14:textFill>
              </w:rPr>
              <w:t xml:space="preserve">　</w:t>
            </w:r>
            <w:r w:rsidRPr="00EA163B">
              <w:rPr>
                <w:color w:val="000000"/>
                <w:w w:val="15"/>
                <w:shd w:val="solid" w:color="000000" w:fill="000000"/>
                <w:fitText w:val="64" w:id="-1171539955"/>
                <w14:textFill>
                  <w14:solidFill>
                    <w14:srgbClr w14:val="000000">
                      <w14:alpha w14:val="100000"/>
                    </w14:srgbClr>
                  </w14:solidFill>
                </w14:textFill>
              </w:rPr>
              <w:t>|</w:t>
            </w:r>
            <w:r w:rsidRPr="00EA163B">
              <w:rPr>
                <w:rFonts w:hint="eastAsia"/>
                <w:color w:val="000000"/>
                <w:spacing w:val="-1"/>
                <w:w w:val="15"/>
                <w:shd w:val="solid" w:color="000000" w:fill="000000"/>
                <w:fitText w:val="64" w:id="-1171539955"/>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4</w:t>
            </w:r>
          </w:p>
        </w:tc>
        <w:tc>
          <w:tcPr>
            <w:tcW w:w="594" w:type="pct"/>
            <w:shd w:val="clear" w:color="auto" w:fill="auto"/>
            <w:vAlign w:val="center"/>
          </w:tcPr>
          <w:p w14:paraId="6BA7295A" w14:textId="521E61B2" w:rsidR="001A0E96" w:rsidRPr="00392B10" w:rsidRDefault="00EA163B" w:rsidP="00124B5E">
            <w:pPr>
              <w:pStyle w:val="COMTabletext"/>
              <w:jc w:val="center"/>
            </w:pPr>
            <w:r w:rsidRPr="00EA163B">
              <w:rPr>
                <w:rFonts w:hint="eastAsia"/>
                <w:color w:val="000000"/>
                <w:w w:val="15"/>
                <w:shd w:val="solid" w:color="000000" w:fill="000000"/>
                <w:fitText w:val="64" w:id="-1171539954"/>
                <w14:textFill>
                  <w14:solidFill>
                    <w14:srgbClr w14:val="000000">
                      <w14:alpha w14:val="100000"/>
                    </w14:srgbClr>
                  </w14:solidFill>
                </w14:textFill>
              </w:rPr>
              <w:t xml:space="preserve">　</w:t>
            </w:r>
            <w:r w:rsidRPr="00EA163B">
              <w:rPr>
                <w:color w:val="000000"/>
                <w:w w:val="15"/>
                <w:shd w:val="solid" w:color="000000" w:fill="000000"/>
                <w:fitText w:val="64" w:id="-1171539954"/>
                <w14:textFill>
                  <w14:solidFill>
                    <w14:srgbClr w14:val="000000">
                      <w14:alpha w14:val="100000"/>
                    </w14:srgbClr>
                  </w14:solidFill>
                </w14:textFill>
              </w:rPr>
              <w:t>|</w:t>
            </w:r>
            <w:r w:rsidRPr="00EA163B">
              <w:rPr>
                <w:rFonts w:hint="eastAsia"/>
                <w:color w:val="000000"/>
                <w:spacing w:val="-1"/>
                <w:w w:val="15"/>
                <w:shd w:val="solid" w:color="000000" w:fill="000000"/>
                <w:fitText w:val="64" w:id="-1171539954"/>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4</w:t>
            </w:r>
          </w:p>
        </w:tc>
        <w:tc>
          <w:tcPr>
            <w:tcW w:w="582" w:type="pct"/>
            <w:vAlign w:val="center"/>
          </w:tcPr>
          <w:p w14:paraId="06EA5996" w14:textId="00567FAC" w:rsidR="001A0E96" w:rsidRPr="00392B10" w:rsidRDefault="00EA163B" w:rsidP="00124B5E">
            <w:pPr>
              <w:pStyle w:val="COMTabletext"/>
              <w:jc w:val="center"/>
            </w:pPr>
            <w:r w:rsidRPr="00EA163B">
              <w:rPr>
                <w:rFonts w:hint="eastAsia"/>
                <w:color w:val="000000"/>
                <w:w w:val="15"/>
                <w:shd w:val="solid" w:color="000000" w:fill="000000"/>
                <w:fitText w:val="64" w:id="-1171539953"/>
                <w14:textFill>
                  <w14:solidFill>
                    <w14:srgbClr w14:val="000000">
                      <w14:alpha w14:val="100000"/>
                    </w14:srgbClr>
                  </w14:solidFill>
                </w14:textFill>
              </w:rPr>
              <w:t xml:space="preserve">　</w:t>
            </w:r>
            <w:r w:rsidRPr="00EA163B">
              <w:rPr>
                <w:color w:val="000000"/>
                <w:w w:val="15"/>
                <w:shd w:val="solid" w:color="000000" w:fill="000000"/>
                <w:fitText w:val="64" w:id="-1171539953"/>
                <w14:textFill>
                  <w14:solidFill>
                    <w14:srgbClr w14:val="000000">
                      <w14:alpha w14:val="100000"/>
                    </w14:srgbClr>
                  </w14:solidFill>
                </w14:textFill>
              </w:rPr>
              <w:t>|</w:t>
            </w:r>
            <w:r w:rsidRPr="00EA163B">
              <w:rPr>
                <w:rFonts w:hint="eastAsia"/>
                <w:color w:val="000000"/>
                <w:spacing w:val="-1"/>
                <w:w w:val="15"/>
                <w:shd w:val="solid" w:color="000000" w:fill="000000"/>
                <w:fitText w:val="64" w:id="-1171539953"/>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4</w:t>
            </w:r>
          </w:p>
        </w:tc>
      </w:tr>
      <w:tr w:rsidR="001A0E96" w:rsidRPr="00392B10" w14:paraId="1FB80E96" w14:textId="77777777" w:rsidTr="00207D60">
        <w:tc>
          <w:tcPr>
            <w:tcW w:w="5000" w:type="pct"/>
            <w:gridSpan w:val="7"/>
            <w:shd w:val="clear" w:color="auto" w:fill="auto"/>
            <w:vAlign w:val="center"/>
          </w:tcPr>
          <w:p w14:paraId="06344E9A" w14:textId="77777777" w:rsidR="001A0E96" w:rsidRPr="00392B10" w:rsidRDefault="001A0E96" w:rsidP="00124B5E">
            <w:pPr>
              <w:pStyle w:val="COMTableheadingrow"/>
              <w:rPr>
                <w:lang w:val="en-AU"/>
              </w:rPr>
            </w:pPr>
            <w:r w:rsidRPr="00392B10">
              <w:rPr>
                <w:lang w:val="en-AU"/>
              </w:rPr>
              <w:t>Net financial implications to PBS/RPBS/MBS</w:t>
            </w:r>
          </w:p>
        </w:tc>
      </w:tr>
      <w:tr w:rsidR="001A0E96" w:rsidRPr="00392B10" w14:paraId="5BEE9795" w14:textId="77777777" w:rsidTr="00207D60">
        <w:tc>
          <w:tcPr>
            <w:tcW w:w="1449" w:type="pct"/>
            <w:shd w:val="clear" w:color="auto" w:fill="auto"/>
            <w:vAlign w:val="center"/>
          </w:tcPr>
          <w:p w14:paraId="73146383" w14:textId="033D5AC3" w:rsidR="001A0E96" w:rsidRPr="00392B10" w:rsidRDefault="001A0E96" w:rsidP="00124B5E">
            <w:pPr>
              <w:pStyle w:val="COMTabletext"/>
              <w:rPr>
                <w:sz w:val="19"/>
                <w:szCs w:val="19"/>
              </w:rPr>
            </w:pPr>
            <w:r w:rsidRPr="00392B10">
              <w:rPr>
                <w:sz w:val="19"/>
                <w:szCs w:val="19"/>
              </w:rPr>
              <w:t>Net cost to PBS/RPBS</w:t>
            </w:r>
            <w:r w:rsidR="007A1383">
              <w:rPr>
                <w:sz w:val="19"/>
                <w:szCs w:val="19"/>
              </w:rPr>
              <w:t xml:space="preserve"> ($)</w:t>
            </w:r>
          </w:p>
        </w:tc>
        <w:tc>
          <w:tcPr>
            <w:tcW w:w="594" w:type="pct"/>
            <w:shd w:val="clear" w:color="auto" w:fill="auto"/>
          </w:tcPr>
          <w:p w14:paraId="703A7C51" w14:textId="7D44A137"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39952"/>
                <w14:textFill>
                  <w14:solidFill>
                    <w14:srgbClr w14:val="000000">
                      <w14:alpha w14:val="100000"/>
                    </w14:srgbClr>
                  </w14:solidFill>
                </w14:textFill>
              </w:rPr>
              <w:t xml:space="preserve">　</w:t>
            </w:r>
            <w:r w:rsidRPr="00EA163B">
              <w:rPr>
                <w:color w:val="000000"/>
                <w:w w:val="15"/>
                <w:shd w:val="solid" w:color="000000" w:fill="000000"/>
                <w:fitText w:val="64" w:id="-1171539952"/>
                <w14:textFill>
                  <w14:solidFill>
                    <w14:srgbClr w14:val="000000">
                      <w14:alpha w14:val="100000"/>
                    </w14:srgbClr>
                  </w14:solidFill>
                </w14:textFill>
              </w:rPr>
              <w:t>|</w:t>
            </w:r>
            <w:r w:rsidRPr="00EA163B">
              <w:rPr>
                <w:rFonts w:hint="eastAsia"/>
                <w:color w:val="000000"/>
                <w:spacing w:val="-1"/>
                <w:w w:val="15"/>
                <w:shd w:val="solid" w:color="000000" w:fill="000000"/>
                <w:fitText w:val="64" w:id="-1171539952"/>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2</w:t>
            </w:r>
          </w:p>
        </w:tc>
        <w:tc>
          <w:tcPr>
            <w:tcW w:w="594" w:type="pct"/>
            <w:shd w:val="clear" w:color="auto" w:fill="auto"/>
          </w:tcPr>
          <w:p w14:paraId="0EC026A4" w14:textId="3CD2AFA9"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5" w:id="-1171539968"/>
                <w14:textFill>
                  <w14:solidFill>
                    <w14:srgbClr w14:val="000000">
                      <w14:alpha w14:val="100000"/>
                    </w14:srgbClr>
                  </w14:solidFill>
                </w14:textFill>
              </w:rPr>
              <w:t xml:space="preserve">　</w:t>
            </w:r>
            <w:r w:rsidRPr="00EA163B">
              <w:rPr>
                <w:color w:val="000000"/>
                <w:w w:val="15"/>
                <w:shd w:val="solid" w:color="000000" w:fill="000000"/>
                <w:fitText w:val="65" w:id="-1171539968"/>
                <w14:textFill>
                  <w14:solidFill>
                    <w14:srgbClr w14:val="000000">
                      <w14:alpha w14:val="100000"/>
                    </w14:srgbClr>
                  </w14:solidFill>
                </w14:textFill>
              </w:rPr>
              <w:t>|</w:t>
            </w:r>
            <w:r w:rsidRPr="00EA163B">
              <w:rPr>
                <w:rFonts w:hint="eastAsia"/>
                <w:color w:val="000000"/>
                <w:w w:val="15"/>
                <w:shd w:val="solid" w:color="000000" w:fill="000000"/>
                <w:fitText w:val="65" w:id="-1171539968"/>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2</w:t>
            </w:r>
          </w:p>
        </w:tc>
        <w:tc>
          <w:tcPr>
            <w:tcW w:w="593" w:type="pct"/>
            <w:shd w:val="clear" w:color="auto" w:fill="auto"/>
          </w:tcPr>
          <w:p w14:paraId="7C9714C0" w14:textId="249484E9"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39967"/>
                <w14:textFill>
                  <w14:solidFill>
                    <w14:srgbClr w14:val="000000">
                      <w14:alpha w14:val="100000"/>
                    </w14:srgbClr>
                  </w14:solidFill>
                </w14:textFill>
              </w:rPr>
              <w:t xml:space="preserve">　</w:t>
            </w:r>
            <w:r w:rsidRPr="00EA163B">
              <w:rPr>
                <w:color w:val="000000"/>
                <w:w w:val="15"/>
                <w:shd w:val="solid" w:color="000000" w:fill="000000"/>
                <w:fitText w:val="64" w:id="-1171539967"/>
                <w14:textFill>
                  <w14:solidFill>
                    <w14:srgbClr w14:val="000000">
                      <w14:alpha w14:val="100000"/>
                    </w14:srgbClr>
                  </w14:solidFill>
                </w14:textFill>
              </w:rPr>
              <w:t>|</w:t>
            </w:r>
            <w:r w:rsidRPr="00EA163B">
              <w:rPr>
                <w:rFonts w:hint="eastAsia"/>
                <w:color w:val="000000"/>
                <w:spacing w:val="-1"/>
                <w:w w:val="15"/>
                <w:shd w:val="solid" w:color="000000" w:fill="000000"/>
                <w:fitText w:val="64" w:id="-1171539967"/>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2</w:t>
            </w:r>
          </w:p>
        </w:tc>
        <w:tc>
          <w:tcPr>
            <w:tcW w:w="594" w:type="pct"/>
            <w:shd w:val="clear" w:color="auto" w:fill="auto"/>
          </w:tcPr>
          <w:p w14:paraId="4B040C46" w14:textId="0D92596B"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39966"/>
                <w14:textFill>
                  <w14:solidFill>
                    <w14:srgbClr w14:val="000000">
                      <w14:alpha w14:val="100000"/>
                    </w14:srgbClr>
                  </w14:solidFill>
                </w14:textFill>
              </w:rPr>
              <w:t xml:space="preserve">　</w:t>
            </w:r>
            <w:r w:rsidRPr="00EA163B">
              <w:rPr>
                <w:color w:val="000000"/>
                <w:w w:val="15"/>
                <w:shd w:val="solid" w:color="000000" w:fill="000000"/>
                <w:fitText w:val="64" w:id="-1171539966"/>
                <w14:textFill>
                  <w14:solidFill>
                    <w14:srgbClr w14:val="000000">
                      <w14:alpha w14:val="100000"/>
                    </w14:srgbClr>
                  </w14:solidFill>
                </w14:textFill>
              </w:rPr>
              <w:t>|</w:t>
            </w:r>
            <w:r w:rsidRPr="00EA163B">
              <w:rPr>
                <w:rFonts w:hint="eastAsia"/>
                <w:color w:val="000000"/>
                <w:spacing w:val="-1"/>
                <w:w w:val="15"/>
                <w:shd w:val="solid" w:color="000000" w:fill="000000"/>
                <w:fitText w:val="64" w:id="-1171539966"/>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2</w:t>
            </w:r>
          </w:p>
        </w:tc>
        <w:tc>
          <w:tcPr>
            <w:tcW w:w="594" w:type="pct"/>
            <w:shd w:val="clear" w:color="auto" w:fill="auto"/>
          </w:tcPr>
          <w:p w14:paraId="7557C373" w14:textId="559A3E3F"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39965"/>
                <w14:textFill>
                  <w14:solidFill>
                    <w14:srgbClr w14:val="000000">
                      <w14:alpha w14:val="100000"/>
                    </w14:srgbClr>
                  </w14:solidFill>
                </w14:textFill>
              </w:rPr>
              <w:t xml:space="preserve">　</w:t>
            </w:r>
            <w:r w:rsidRPr="00EA163B">
              <w:rPr>
                <w:color w:val="000000"/>
                <w:w w:val="15"/>
                <w:shd w:val="solid" w:color="000000" w:fill="000000"/>
                <w:fitText w:val="64" w:id="-1171539965"/>
                <w14:textFill>
                  <w14:solidFill>
                    <w14:srgbClr w14:val="000000">
                      <w14:alpha w14:val="100000"/>
                    </w14:srgbClr>
                  </w14:solidFill>
                </w14:textFill>
              </w:rPr>
              <w:t>|</w:t>
            </w:r>
            <w:r w:rsidRPr="00EA163B">
              <w:rPr>
                <w:rFonts w:hint="eastAsia"/>
                <w:color w:val="000000"/>
                <w:spacing w:val="-1"/>
                <w:w w:val="15"/>
                <w:shd w:val="solid" w:color="000000" w:fill="000000"/>
                <w:fitText w:val="64" w:id="-1171539965"/>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2</w:t>
            </w:r>
          </w:p>
        </w:tc>
        <w:tc>
          <w:tcPr>
            <w:tcW w:w="582" w:type="pct"/>
          </w:tcPr>
          <w:p w14:paraId="42F213CE" w14:textId="7D2F4796"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39964"/>
                <w14:textFill>
                  <w14:solidFill>
                    <w14:srgbClr w14:val="000000">
                      <w14:alpha w14:val="100000"/>
                    </w14:srgbClr>
                  </w14:solidFill>
                </w14:textFill>
              </w:rPr>
              <w:t xml:space="preserve">　</w:t>
            </w:r>
            <w:r w:rsidRPr="00EA163B">
              <w:rPr>
                <w:color w:val="000000"/>
                <w:w w:val="15"/>
                <w:shd w:val="solid" w:color="000000" w:fill="000000"/>
                <w:fitText w:val="64" w:id="-1171539964"/>
                <w14:textFill>
                  <w14:solidFill>
                    <w14:srgbClr w14:val="000000">
                      <w14:alpha w14:val="100000"/>
                    </w14:srgbClr>
                  </w14:solidFill>
                </w14:textFill>
              </w:rPr>
              <w:t>|</w:t>
            </w:r>
            <w:r w:rsidRPr="00EA163B">
              <w:rPr>
                <w:rFonts w:hint="eastAsia"/>
                <w:color w:val="000000"/>
                <w:spacing w:val="-1"/>
                <w:w w:val="15"/>
                <w:shd w:val="solid" w:color="000000" w:fill="000000"/>
                <w:fitText w:val="64" w:id="-1171539964"/>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2</w:t>
            </w:r>
          </w:p>
        </w:tc>
      </w:tr>
      <w:tr w:rsidR="001A0E96" w:rsidRPr="00392B10" w14:paraId="0D31790B" w14:textId="77777777" w:rsidTr="00207D60">
        <w:tc>
          <w:tcPr>
            <w:tcW w:w="1449" w:type="pct"/>
            <w:shd w:val="clear" w:color="auto" w:fill="auto"/>
          </w:tcPr>
          <w:p w14:paraId="6B3A0F7C" w14:textId="12CEC06A" w:rsidR="001A0E96" w:rsidRPr="00392B10" w:rsidRDefault="001A0E96" w:rsidP="00124B5E">
            <w:pPr>
              <w:pStyle w:val="COMTabletext"/>
              <w:rPr>
                <w:rFonts w:ascii="Times" w:hAnsi="Times"/>
              </w:rPr>
            </w:pPr>
            <w:r w:rsidRPr="00392B10">
              <w:t>MBS costs for administration of LDC in outpatient settings</w:t>
            </w:r>
            <w:r w:rsidR="007A1383">
              <w:t xml:space="preserve"> ($)</w:t>
            </w:r>
          </w:p>
        </w:tc>
        <w:tc>
          <w:tcPr>
            <w:tcW w:w="594" w:type="pct"/>
            <w:shd w:val="clear" w:color="auto" w:fill="auto"/>
            <w:vAlign w:val="center"/>
          </w:tcPr>
          <w:p w14:paraId="2D70F884" w14:textId="4D49A328"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39963"/>
                <w14:textFill>
                  <w14:solidFill>
                    <w14:srgbClr w14:val="000000">
                      <w14:alpha w14:val="100000"/>
                    </w14:srgbClr>
                  </w14:solidFill>
                </w14:textFill>
              </w:rPr>
              <w:t xml:space="preserve">　</w:t>
            </w:r>
            <w:r w:rsidRPr="00EA163B">
              <w:rPr>
                <w:color w:val="000000"/>
                <w:w w:val="15"/>
                <w:shd w:val="solid" w:color="000000" w:fill="000000"/>
                <w:fitText w:val="64" w:id="-1171539963"/>
                <w14:textFill>
                  <w14:solidFill>
                    <w14:srgbClr w14:val="000000">
                      <w14:alpha w14:val="100000"/>
                    </w14:srgbClr>
                  </w14:solidFill>
                </w14:textFill>
              </w:rPr>
              <w:t>|</w:t>
            </w:r>
            <w:r w:rsidRPr="00EA163B">
              <w:rPr>
                <w:rFonts w:hint="eastAsia"/>
                <w:color w:val="000000"/>
                <w:spacing w:val="-1"/>
                <w:w w:val="15"/>
                <w:shd w:val="solid" w:color="000000" w:fill="000000"/>
                <w:fitText w:val="64" w:id="-1171539963"/>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2</w:t>
            </w:r>
          </w:p>
        </w:tc>
        <w:tc>
          <w:tcPr>
            <w:tcW w:w="594" w:type="pct"/>
            <w:shd w:val="clear" w:color="auto" w:fill="auto"/>
            <w:vAlign w:val="center"/>
          </w:tcPr>
          <w:p w14:paraId="61FAAC27" w14:textId="64E75447"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5" w:id="-1171539962"/>
                <w14:textFill>
                  <w14:solidFill>
                    <w14:srgbClr w14:val="000000">
                      <w14:alpha w14:val="100000"/>
                    </w14:srgbClr>
                  </w14:solidFill>
                </w14:textFill>
              </w:rPr>
              <w:t xml:space="preserve">　</w:t>
            </w:r>
            <w:r w:rsidRPr="00EA163B">
              <w:rPr>
                <w:color w:val="000000"/>
                <w:w w:val="15"/>
                <w:shd w:val="solid" w:color="000000" w:fill="000000"/>
                <w:fitText w:val="65" w:id="-1171539962"/>
                <w14:textFill>
                  <w14:solidFill>
                    <w14:srgbClr w14:val="000000">
                      <w14:alpha w14:val="100000"/>
                    </w14:srgbClr>
                  </w14:solidFill>
                </w14:textFill>
              </w:rPr>
              <w:t>|</w:t>
            </w:r>
            <w:r w:rsidRPr="00EA163B">
              <w:rPr>
                <w:rFonts w:hint="eastAsia"/>
                <w:color w:val="000000"/>
                <w:w w:val="15"/>
                <w:shd w:val="solid" w:color="000000" w:fill="000000"/>
                <w:fitText w:val="65" w:id="-1171539962"/>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2</w:t>
            </w:r>
          </w:p>
        </w:tc>
        <w:tc>
          <w:tcPr>
            <w:tcW w:w="593" w:type="pct"/>
            <w:shd w:val="clear" w:color="auto" w:fill="auto"/>
            <w:vAlign w:val="center"/>
          </w:tcPr>
          <w:p w14:paraId="68AB49F4" w14:textId="5BC2C591"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39961"/>
                <w14:textFill>
                  <w14:solidFill>
                    <w14:srgbClr w14:val="000000">
                      <w14:alpha w14:val="100000"/>
                    </w14:srgbClr>
                  </w14:solidFill>
                </w14:textFill>
              </w:rPr>
              <w:t xml:space="preserve">　</w:t>
            </w:r>
            <w:r w:rsidRPr="00EA163B">
              <w:rPr>
                <w:color w:val="000000"/>
                <w:w w:val="15"/>
                <w:shd w:val="solid" w:color="000000" w:fill="000000"/>
                <w:fitText w:val="64" w:id="-1171539961"/>
                <w14:textFill>
                  <w14:solidFill>
                    <w14:srgbClr w14:val="000000">
                      <w14:alpha w14:val="100000"/>
                    </w14:srgbClr>
                  </w14:solidFill>
                </w14:textFill>
              </w:rPr>
              <w:t>|</w:t>
            </w:r>
            <w:r w:rsidRPr="00EA163B">
              <w:rPr>
                <w:rFonts w:hint="eastAsia"/>
                <w:color w:val="000000"/>
                <w:spacing w:val="-1"/>
                <w:w w:val="15"/>
                <w:shd w:val="solid" w:color="000000" w:fill="000000"/>
                <w:fitText w:val="64" w:id="-1171539961"/>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2</w:t>
            </w:r>
          </w:p>
        </w:tc>
        <w:tc>
          <w:tcPr>
            <w:tcW w:w="594" w:type="pct"/>
            <w:shd w:val="clear" w:color="auto" w:fill="auto"/>
            <w:vAlign w:val="center"/>
          </w:tcPr>
          <w:p w14:paraId="0E41042A" w14:textId="4C753739"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39960"/>
                <w14:textFill>
                  <w14:solidFill>
                    <w14:srgbClr w14:val="000000">
                      <w14:alpha w14:val="100000"/>
                    </w14:srgbClr>
                  </w14:solidFill>
                </w14:textFill>
              </w:rPr>
              <w:t xml:space="preserve">　</w:t>
            </w:r>
            <w:r w:rsidRPr="00EA163B">
              <w:rPr>
                <w:color w:val="000000"/>
                <w:w w:val="15"/>
                <w:shd w:val="solid" w:color="000000" w:fill="000000"/>
                <w:fitText w:val="64" w:id="-1171539960"/>
                <w14:textFill>
                  <w14:solidFill>
                    <w14:srgbClr w14:val="000000">
                      <w14:alpha w14:val="100000"/>
                    </w14:srgbClr>
                  </w14:solidFill>
                </w14:textFill>
              </w:rPr>
              <w:t>|</w:t>
            </w:r>
            <w:r w:rsidRPr="00EA163B">
              <w:rPr>
                <w:rFonts w:hint="eastAsia"/>
                <w:color w:val="000000"/>
                <w:spacing w:val="-1"/>
                <w:w w:val="15"/>
                <w:shd w:val="solid" w:color="000000" w:fill="000000"/>
                <w:fitText w:val="64" w:id="-1171539960"/>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2</w:t>
            </w:r>
          </w:p>
        </w:tc>
        <w:tc>
          <w:tcPr>
            <w:tcW w:w="594" w:type="pct"/>
            <w:shd w:val="clear" w:color="auto" w:fill="auto"/>
            <w:vAlign w:val="center"/>
          </w:tcPr>
          <w:p w14:paraId="6F496FA9" w14:textId="10C6F8B8"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39959"/>
                <w14:textFill>
                  <w14:solidFill>
                    <w14:srgbClr w14:val="000000">
                      <w14:alpha w14:val="100000"/>
                    </w14:srgbClr>
                  </w14:solidFill>
                </w14:textFill>
              </w:rPr>
              <w:t xml:space="preserve">　</w:t>
            </w:r>
            <w:r w:rsidRPr="00EA163B">
              <w:rPr>
                <w:color w:val="000000"/>
                <w:w w:val="15"/>
                <w:shd w:val="solid" w:color="000000" w:fill="000000"/>
                <w:fitText w:val="64" w:id="-1171539959"/>
                <w14:textFill>
                  <w14:solidFill>
                    <w14:srgbClr w14:val="000000">
                      <w14:alpha w14:val="100000"/>
                    </w14:srgbClr>
                  </w14:solidFill>
                </w14:textFill>
              </w:rPr>
              <w:t>|</w:t>
            </w:r>
            <w:r w:rsidRPr="00EA163B">
              <w:rPr>
                <w:rFonts w:hint="eastAsia"/>
                <w:color w:val="000000"/>
                <w:spacing w:val="-1"/>
                <w:w w:val="15"/>
                <w:shd w:val="solid" w:color="000000" w:fill="000000"/>
                <w:fitText w:val="64" w:id="-1171539959"/>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2</w:t>
            </w:r>
          </w:p>
        </w:tc>
        <w:tc>
          <w:tcPr>
            <w:tcW w:w="582" w:type="pct"/>
            <w:vAlign w:val="center"/>
          </w:tcPr>
          <w:p w14:paraId="6F4D8D45" w14:textId="69DB01FA"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39958"/>
                <w14:textFill>
                  <w14:solidFill>
                    <w14:srgbClr w14:val="000000">
                      <w14:alpha w14:val="100000"/>
                    </w14:srgbClr>
                  </w14:solidFill>
                </w14:textFill>
              </w:rPr>
              <w:t xml:space="preserve">　</w:t>
            </w:r>
            <w:r w:rsidRPr="00EA163B">
              <w:rPr>
                <w:color w:val="000000"/>
                <w:w w:val="15"/>
                <w:shd w:val="solid" w:color="000000" w:fill="000000"/>
                <w:fitText w:val="64" w:id="-1171539958"/>
                <w14:textFill>
                  <w14:solidFill>
                    <w14:srgbClr w14:val="000000">
                      <w14:alpha w14:val="100000"/>
                    </w14:srgbClr>
                  </w14:solidFill>
                </w14:textFill>
              </w:rPr>
              <w:t>|</w:t>
            </w:r>
            <w:r w:rsidRPr="00EA163B">
              <w:rPr>
                <w:rFonts w:hint="eastAsia"/>
                <w:color w:val="000000"/>
                <w:spacing w:val="-1"/>
                <w:w w:val="15"/>
                <w:shd w:val="solid" w:color="000000" w:fill="000000"/>
                <w:fitText w:val="64" w:id="-1171539958"/>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2</w:t>
            </w:r>
          </w:p>
        </w:tc>
      </w:tr>
      <w:tr w:rsidR="001A0E96" w:rsidRPr="00392B10" w14:paraId="47C5894E" w14:textId="77777777" w:rsidTr="00207D60">
        <w:tc>
          <w:tcPr>
            <w:tcW w:w="1449" w:type="pct"/>
            <w:shd w:val="clear" w:color="auto" w:fill="auto"/>
          </w:tcPr>
          <w:p w14:paraId="3DFD60E8" w14:textId="77777777" w:rsidR="001A0E96" w:rsidRPr="00392B10" w:rsidRDefault="001A0E96" w:rsidP="00124B5E">
            <w:pPr>
              <w:pStyle w:val="COMTabletext"/>
              <w:rPr>
                <w:sz w:val="19"/>
                <w:szCs w:val="19"/>
              </w:rPr>
            </w:pPr>
            <w:r w:rsidRPr="00392B10">
              <w:t>MBS cost offsets for administration of IC in outpatient settings</w:t>
            </w:r>
          </w:p>
        </w:tc>
        <w:tc>
          <w:tcPr>
            <w:tcW w:w="594" w:type="pct"/>
            <w:shd w:val="clear" w:color="auto" w:fill="auto"/>
            <w:vAlign w:val="center"/>
          </w:tcPr>
          <w:p w14:paraId="3C7B69D1" w14:textId="48C61C48" w:rsidR="001A0E96" w:rsidRPr="00392B10" w:rsidRDefault="00EA163B" w:rsidP="00124B5E">
            <w:pPr>
              <w:pStyle w:val="COMTabletext"/>
              <w:jc w:val="center"/>
            </w:pPr>
            <w:r w:rsidRPr="00EA163B">
              <w:rPr>
                <w:rFonts w:hint="eastAsia"/>
                <w:color w:val="000000"/>
                <w:w w:val="15"/>
                <w:shd w:val="solid" w:color="000000" w:fill="000000"/>
                <w:fitText w:val="64" w:id="-1171539957"/>
                <w14:textFill>
                  <w14:solidFill>
                    <w14:srgbClr w14:val="000000">
                      <w14:alpha w14:val="100000"/>
                    </w14:srgbClr>
                  </w14:solidFill>
                </w14:textFill>
              </w:rPr>
              <w:t xml:space="preserve">　</w:t>
            </w:r>
            <w:r w:rsidRPr="00EA163B">
              <w:rPr>
                <w:color w:val="000000"/>
                <w:w w:val="15"/>
                <w:shd w:val="solid" w:color="000000" w:fill="000000"/>
                <w:fitText w:val="64" w:id="-1171539957"/>
                <w14:textFill>
                  <w14:solidFill>
                    <w14:srgbClr w14:val="000000">
                      <w14:alpha w14:val="100000"/>
                    </w14:srgbClr>
                  </w14:solidFill>
                </w14:textFill>
              </w:rPr>
              <w:t>|</w:t>
            </w:r>
            <w:r w:rsidRPr="00EA163B">
              <w:rPr>
                <w:rFonts w:hint="eastAsia"/>
                <w:color w:val="000000"/>
                <w:spacing w:val="-1"/>
                <w:w w:val="15"/>
                <w:shd w:val="solid" w:color="000000" w:fill="000000"/>
                <w:fitText w:val="64" w:id="-1171539957"/>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4</w:t>
            </w:r>
          </w:p>
        </w:tc>
        <w:tc>
          <w:tcPr>
            <w:tcW w:w="594" w:type="pct"/>
            <w:shd w:val="clear" w:color="auto" w:fill="auto"/>
            <w:vAlign w:val="center"/>
          </w:tcPr>
          <w:p w14:paraId="65973FFB" w14:textId="01879968" w:rsidR="001A0E96" w:rsidRPr="00392B10" w:rsidRDefault="00EA163B" w:rsidP="00124B5E">
            <w:pPr>
              <w:pStyle w:val="COMTabletext"/>
              <w:jc w:val="center"/>
            </w:pPr>
            <w:r w:rsidRPr="00EA163B">
              <w:rPr>
                <w:rFonts w:hint="eastAsia"/>
                <w:color w:val="000000"/>
                <w:w w:val="15"/>
                <w:shd w:val="solid" w:color="000000" w:fill="000000"/>
                <w:fitText w:val="65" w:id="-1171539956"/>
                <w14:textFill>
                  <w14:solidFill>
                    <w14:srgbClr w14:val="000000">
                      <w14:alpha w14:val="100000"/>
                    </w14:srgbClr>
                  </w14:solidFill>
                </w14:textFill>
              </w:rPr>
              <w:t xml:space="preserve">　</w:t>
            </w:r>
            <w:r w:rsidRPr="00EA163B">
              <w:rPr>
                <w:color w:val="000000"/>
                <w:w w:val="15"/>
                <w:shd w:val="solid" w:color="000000" w:fill="000000"/>
                <w:fitText w:val="65" w:id="-1171539956"/>
                <w14:textFill>
                  <w14:solidFill>
                    <w14:srgbClr w14:val="000000">
                      <w14:alpha w14:val="100000"/>
                    </w14:srgbClr>
                  </w14:solidFill>
                </w14:textFill>
              </w:rPr>
              <w:t>|</w:t>
            </w:r>
            <w:r w:rsidRPr="00EA163B">
              <w:rPr>
                <w:rFonts w:hint="eastAsia"/>
                <w:color w:val="000000"/>
                <w:w w:val="15"/>
                <w:shd w:val="solid" w:color="000000" w:fill="000000"/>
                <w:fitText w:val="65" w:id="-1171539956"/>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4</w:t>
            </w:r>
          </w:p>
        </w:tc>
        <w:tc>
          <w:tcPr>
            <w:tcW w:w="593" w:type="pct"/>
            <w:shd w:val="clear" w:color="auto" w:fill="auto"/>
            <w:vAlign w:val="center"/>
          </w:tcPr>
          <w:p w14:paraId="767E5DD7" w14:textId="4B555FCF" w:rsidR="001A0E96" w:rsidRPr="00392B10" w:rsidRDefault="00EA163B" w:rsidP="00124B5E">
            <w:pPr>
              <w:pStyle w:val="COMTabletext"/>
              <w:jc w:val="center"/>
            </w:pPr>
            <w:r w:rsidRPr="00EA163B">
              <w:rPr>
                <w:rFonts w:hint="eastAsia"/>
                <w:color w:val="000000"/>
                <w:w w:val="15"/>
                <w:shd w:val="solid" w:color="000000" w:fill="000000"/>
                <w:fitText w:val="64" w:id="-1171539955"/>
                <w14:textFill>
                  <w14:solidFill>
                    <w14:srgbClr w14:val="000000">
                      <w14:alpha w14:val="100000"/>
                    </w14:srgbClr>
                  </w14:solidFill>
                </w14:textFill>
              </w:rPr>
              <w:t xml:space="preserve">　</w:t>
            </w:r>
            <w:r w:rsidRPr="00EA163B">
              <w:rPr>
                <w:color w:val="000000"/>
                <w:w w:val="15"/>
                <w:shd w:val="solid" w:color="000000" w:fill="000000"/>
                <w:fitText w:val="64" w:id="-1171539955"/>
                <w14:textFill>
                  <w14:solidFill>
                    <w14:srgbClr w14:val="000000">
                      <w14:alpha w14:val="100000"/>
                    </w14:srgbClr>
                  </w14:solidFill>
                </w14:textFill>
              </w:rPr>
              <w:t>|</w:t>
            </w:r>
            <w:r w:rsidRPr="00EA163B">
              <w:rPr>
                <w:rFonts w:hint="eastAsia"/>
                <w:color w:val="000000"/>
                <w:spacing w:val="-1"/>
                <w:w w:val="15"/>
                <w:shd w:val="solid" w:color="000000" w:fill="000000"/>
                <w:fitText w:val="64" w:id="-1171539955"/>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4</w:t>
            </w:r>
          </w:p>
        </w:tc>
        <w:tc>
          <w:tcPr>
            <w:tcW w:w="594" w:type="pct"/>
            <w:shd w:val="clear" w:color="auto" w:fill="auto"/>
            <w:vAlign w:val="center"/>
          </w:tcPr>
          <w:p w14:paraId="68E30341" w14:textId="659F8939" w:rsidR="001A0E96" w:rsidRPr="00392B10" w:rsidRDefault="00EA163B" w:rsidP="00124B5E">
            <w:pPr>
              <w:pStyle w:val="COMTabletext"/>
              <w:jc w:val="center"/>
            </w:pPr>
            <w:r w:rsidRPr="00EA163B">
              <w:rPr>
                <w:rFonts w:hint="eastAsia"/>
                <w:color w:val="000000"/>
                <w:w w:val="15"/>
                <w:shd w:val="solid" w:color="000000" w:fill="000000"/>
                <w:fitText w:val="64" w:id="-1171539954"/>
                <w14:textFill>
                  <w14:solidFill>
                    <w14:srgbClr w14:val="000000">
                      <w14:alpha w14:val="100000"/>
                    </w14:srgbClr>
                  </w14:solidFill>
                </w14:textFill>
              </w:rPr>
              <w:t xml:space="preserve">　</w:t>
            </w:r>
            <w:r w:rsidRPr="00EA163B">
              <w:rPr>
                <w:color w:val="000000"/>
                <w:w w:val="15"/>
                <w:shd w:val="solid" w:color="000000" w:fill="000000"/>
                <w:fitText w:val="64" w:id="-1171539954"/>
                <w14:textFill>
                  <w14:solidFill>
                    <w14:srgbClr w14:val="000000">
                      <w14:alpha w14:val="100000"/>
                    </w14:srgbClr>
                  </w14:solidFill>
                </w14:textFill>
              </w:rPr>
              <w:t>|</w:t>
            </w:r>
            <w:r w:rsidRPr="00EA163B">
              <w:rPr>
                <w:rFonts w:hint="eastAsia"/>
                <w:color w:val="000000"/>
                <w:spacing w:val="-1"/>
                <w:w w:val="15"/>
                <w:shd w:val="solid" w:color="000000" w:fill="000000"/>
                <w:fitText w:val="64" w:id="-1171539954"/>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4</w:t>
            </w:r>
          </w:p>
        </w:tc>
        <w:tc>
          <w:tcPr>
            <w:tcW w:w="594" w:type="pct"/>
            <w:shd w:val="clear" w:color="auto" w:fill="auto"/>
            <w:vAlign w:val="center"/>
          </w:tcPr>
          <w:p w14:paraId="6800C215" w14:textId="5095E4F6" w:rsidR="001A0E96" w:rsidRPr="00392B10" w:rsidRDefault="00EA163B" w:rsidP="00124B5E">
            <w:pPr>
              <w:pStyle w:val="COMTabletext"/>
              <w:jc w:val="center"/>
            </w:pPr>
            <w:r w:rsidRPr="00EA163B">
              <w:rPr>
                <w:rFonts w:hint="eastAsia"/>
                <w:color w:val="000000"/>
                <w:w w:val="15"/>
                <w:shd w:val="solid" w:color="000000" w:fill="000000"/>
                <w:fitText w:val="64" w:id="-1171539953"/>
                <w14:textFill>
                  <w14:solidFill>
                    <w14:srgbClr w14:val="000000">
                      <w14:alpha w14:val="100000"/>
                    </w14:srgbClr>
                  </w14:solidFill>
                </w14:textFill>
              </w:rPr>
              <w:t xml:space="preserve">　</w:t>
            </w:r>
            <w:r w:rsidRPr="00EA163B">
              <w:rPr>
                <w:color w:val="000000"/>
                <w:w w:val="15"/>
                <w:shd w:val="solid" w:color="000000" w:fill="000000"/>
                <w:fitText w:val="64" w:id="-1171539953"/>
                <w14:textFill>
                  <w14:solidFill>
                    <w14:srgbClr w14:val="000000">
                      <w14:alpha w14:val="100000"/>
                    </w14:srgbClr>
                  </w14:solidFill>
                </w14:textFill>
              </w:rPr>
              <w:t>|</w:t>
            </w:r>
            <w:r w:rsidRPr="00EA163B">
              <w:rPr>
                <w:rFonts w:hint="eastAsia"/>
                <w:color w:val="000000"/>
                <w:spacing w:val="-1"/>
                <w:w w:val="15"/>
                <w:shd w:val="solid" w:color="000000" w:fill="000000"/>
                <w:fitText w:val="64" w:id="-1171539953"/>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4</w:t>
            </w:r>
          </w:p>
        </w:tc>
        <w:tc>
          <w:tcPr>
            <w:tcW w:w="582" w:type="pct"/>
            <w:vAlign w:val="center"/>
          </w:tcPr>
          <w:p w14:paraId="002287EF" w14:textId="04945408" w:rsidR="001A0E96" w:rsidRPr="00392B10" w:rsidRDefault="00EA163B" w:rsidP="00124B5E">
            <w:pPr>
              <w:pStyle w:val="COMTabletext"/>
              <w:jc w:val="center"/>
            </w:pPr>
            <w:r w:rsidRPr="00EA163B">
              <w:rPr>
                <w:rFonts w:hint="eastAsia"/>
                <w:color w:val="000000"/>
                <w:w w:val="15"/>
                <w:shd w:val="solid" w:color="000000" w:fill="000000"/>
                <w:fitText w:val="64" w:id="-1171539952"/>
                <w14:textFill>
                  <w14:solidFill>
                    <w14:srgbClr w14:val="000000">
                      <w14:alpha w14:val="100000"/>
                    </w14:srgbClr>
                  </w14:solidFill>
                </w14:textFill>
              </w:rPr>
              <w:t xml:space="preserve">　</w:t>
            </w:r>
            <w:r w:rsidRPr="00EA163B">
              <w:rPr>
                <w:color w:val="000000"/>
                <w:w w:val="15"/>
                <w:shd w:val="solid" w:color="000000" w:fill="000000"/>
                <w:fitText w:val="64" w:id="-1171539952"/>
                <w14:textFill>
                  <w14:solidFill>
                    <w14:srgbClr w14:val="000000">
                      <w14:alpha w14:val="100000"/>
                    </w14:srgbClr>
                  </w14:solidFill>
                </w14:textFill>
              </w:rPr>
              <w:t>|</w:t>
            </w:r>
            <w:r w:rsidRPr="00EA163B">
              <w:rPr>
                <w:rFonts w:hint="eastAsia"/>
                <w:color w:val="000000"/>
                <w:spacing w:val="-1"/>
                <w:w w:val="15"/>
                <w:shd w:val="solid" w:color="000000" w:fill="000000"/>
                <w:fitText w:val="64" w:id="-1171539952"/>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4</w:t>
            </w:r>
          </w:p>
        </w:tc>
      </w:tr>
      <w:tr w:rsidR="001A0E96" w:rsidRPr="00392B10" w14:paraId="50E4F9DF" w14:textId="77777777" w:rsidTr="00207D60">
        <w:tc>
          <w:tcPr>
            <w:tcW w:w="1449" w:type="pct"/>
            <w:shd w:val="clear" w:color="auto" w:fill="auto"/>
            <w:vAlign w:val="center"/>
          </w:tcPr>
          <w:p w14:paraId="003158FF" w14:textId="75A74088" w:rsidR="001A0E96" w:rsidRPr="00392B10" w:rsidRDefault="001A0E96" w:rsidP="00124B5E">
            <w:pPr>
              <w:pStyle w:val="COMTabletext"/>
              <w:rPr>
                <w:sz w:val="19"/>
                <w:szCs w:val="19"/>
              </w:rPr>
            </w:pPr>
            <w:r w:rsidRPr="00392B10">
              <w:t>Net PBS/RPBS/MBS cost</w:t>
            </w:r>
            <w:r w:rsidR="007A1383">
              <w:t xml:space="preserve"> ($)</w:t>
            </w:r>
          </w:p>
        </w:tc>
        <w:tc>
          <w:tcPr>
            <w:tcW w:w="594" w:type="pct"/>
            <w:shd w:val="clear" w:color="auto" w:fill="auto"/>
          </w:tcPr>
          <w:p w14:paraId="002FE078" w14:textId="0738923E"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39968"/>
                <w14:textFill>
                  <w14:solidFill>
                    <w14:srgbClr w14:val="000000">
                      <w14:alpha w14:val="100000"/>
                    </w14:srgbClr>
                  </w14:solidFill>
                </w14:textFill>
              </w:rPr>
              <w:t xml:space="preserve">　</w:t>
            </w:r>
            <w:r w:rsidRPr="00EA163B">
              <w:rPr>
                <w:color w:val="000000"/>
                <w:w w:val="15"/>
                <w:shd w:val="solid" w:color="000000" w:fill="000000"/>
                <w:fitText w:val="64" w:id="-1171539968"/>
                <w14:textFill>
                  <w14:solidFill>
                    <w14:srgbClr w14:val="000000">
                      <w14:alpha w14:val="100000"/>
                    </w14:srgbClr>
                  </w14:solidFill>
                </w14:textFill>
              </w:rPr>
              <w:t>|</w:t>
            </w:r>
            <w:r w:rsidRPr="00EA163B">
              <w:rPr>
                <w:rFonts w:hint="eastAsia"/>
                <w:color w:val="000000"/>
                <w:spacing w:val="-1"/>
                <w:w w:val="15"/>
                <w:shd w:val="solid" w:color="000000" w:fill="000000"/>
                <w:fitText w:val="64" w:id="-1171539968"/>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2</w:t>
            </w:r>
          </w:p>
        </w:tc>
        <w:tc>
          <w:tcPr>
            <w:tcW w:w="594" w:type="pct"/>
            <w:shd w:val="clear" w:color="auto" w:fill="auto"/>
          </w:tcPr>
          <w:p w14:paraId="47C3070E" w14:textId="45EE057A"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5" w:id="-1171539967"/>
                <w14:textFill>
                  <w14:solidFill>
                    <w14:srgbClr w14:val="000000">
                      <w14:alpha w14:val="100000"/>
                    </w14:srgbClr>
                  </w14:solidFill>
                </w14:textFill>
              </w:rPr>
              <w:t xml:space="preserve">　</w:t>
            </w:r>
            <w:r w:rsidRPr="00EA163B">
              <w:rPr>
                <w:color w:val="000000"/>
                <w:w w:val="15"/>
                <w:shd w:val="solid" w:color="000000" w:fill="000000"/>
                <w:fitText w:val="65" w:id="-1171539967"/>
                <w14:textFill>
                  <w14:solidFill>
                    <w14:srgbClr w14:val="000000">
                      <w14:alpha w14:val="100000"/>
                    </w14:srgbClr>
                  </w14:solidFill>
                </w14:textFill>
              </w:rPr>
              <w:t>|</w:t>
            </w:r>
            <w:r w:rsidRPr="00EA163B">
              <w:rPr>
                <w:rFonts w:hint="eastAsia"/>
                <w:color w:val="000000"/>
                <w:w w:val="15"/>
                <w:shd w:val="solid" w:color="000000" w:fill="000000"/>
                <w:fitText w:val="65" w:id="-1171539967"/>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2</w:t>
            </w:r>
          </w:p>
        </w:tc>
        <w:tc>
          <w:tcPr>
            <w:tcW w:w="593" w:type="pct"/>
            <w:shd w:val="clear" w:color="auto" w:fill="auto"/>
          </w:tcPr>
          <w:p w14:paraId="1FF2736D" w14:textId="6AD3B619"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39966"/>
                <w14:textFill>
                  <w14:solidFill>
                    <w14:srgbClr w14:val="000000">
                      <w14:alpha w14:val="100000"/>
                    </w14:srgbClr>
                  </w14:solidFill>
                </w14:textFill>
              </w:rPr>
              <w:t xml:space="preserve">　</w:t>
            </w:r>
            <w:r w:rsidRPr="00EA163B">
              <w:rPr>
                <w:color w:val="000000"/>
                <w:w w:val="15"/>
                <w:shd w:val="solid" w:color="000000" w:fill="000000"/>
                <w:fitText w:val="64" w:id="-1171539966"/>
                <w14:textFill>
                  <w14:solidFill>
                    <w14:srgbClr w14:val="000000">
                      <w14:alpha w14:val="100000"/>
                    </w14:srgbClr>
                  </w14:solidFill>
                </w14:textFill>
              </w:rPr>
              <w:t>|</w:t>
            </w:r>
            <w:r w:rsidRPr="00EA163B">
              <w:rPr>
                <w:rFonts w:hint="eastAsia"/>
                <w:color w:val="000000"/>
                <w:spacing w:val="-1"/>
                <w:w w:val="15"/>
                <w:shd w:val="solid" w:color="000000" w:fill="000000"/>
                <w:fitText w:val="64" w:id="-1171539966"/>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2</w:t>
            </w:r>
          </w:p>
        </w:tc>
        <w:tc>
          <w:tcPr>
            <w:tcW w:w="594" w:type="pct"/>
            <w:shd w:val="clear" w:color="auto" w:fill="auto"/>
          </w:tcPr>
          <w:p w14:paraId="3342D82B" w14:textId="55B0FCC7"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39965"/>
                <w14:textFill>
                  <w14:solidFill>
                    <w14:srgbClr w14:val="000000">
                      <w14:alpha w14:val="100000"/>
                    </w14:srgbClr>
                  </w14:solidFill>
                </w14:textFill>
              </w:rPr>
              <w:t xml:space="preserve">　</w:t>
            </w:r>
            <w:r w:rsidRPr="00EA163B">
              <w:rPr>
                <w:color w:val="000000"/>
                <w:w w:val="15"/>
                <w:shd w:val="solid" w:color="000000" w:fill="000000"/>
                <w:fitText w:val="64" w:id="-1171539965"/>
                <w14:textFill>
                  <w14:solidFill>
                    <w14:srgbClr w14:val="000000">
                      <w14:alpha w14:val="100000"/>
                    </w14:srgbClr>
                  </w14:solidFill>
                </w14:textFill>
              </w:rPr>
              <w:t>|</w:t>
            </w:r>
            <w:r w:rsidRPr="00EA163B">
              <w:rPr>
                <w:rFonts w:hint="eastAsia"/>
                <w:color w:val="000000"/>
                <w:spacing w:val="-1"/>
                <w:w w:val="15"/>
                <w:shd w:val="solid" w:color="000000" w:fill="000000"/>
                <w:fitText w:val="64" w:id="-1171539965"/>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2</w:t>
            </w:r>
          </w:p>
        </w:tc>
        <w:tc>
          <w:tcPr>
            <w:tcW w:w="594" w:type="pct"/>
            <w:shd w:val="clear" w:color="auto" w:fill="auto"/>
          </w:tcPr>
          <w:p w14:paraId="266BAC9C" w14:textId="382E4D95"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39964"/>
                <w14:textFill>
                  <w14:solidFill>
                    <w14:srgbClr w14:val="000000">
                      <w14:alpha w14:val="100000"/>
                    </w14:srgbClr>
                  </w14:solidFill>
                </w14:textFill>
              </w:rPr>
              <w:t xml:space="preserve">　</w:t>
            </w:r>
            <w:r w:rsidRPr="00EA163B">
              <w:rPr>
                <w:color w:val="000000"/>
                <w:w w:val="15"/>
                <w:shd w:val="solid" w:color="000000" w:fill="000000"/>
                <w:fitText w:val="64" w:id="-1171539964"/>
                <w14:textFill>
                  <w14:solidFill>
                    <w14:srgbClr w14:val="000000">
                      <w14:alpha w14:val="100000"/>
                    </w14:srgbClr>
                  </w14:solidFill>
                </w14:textFill>
              </w:rPr>
              <w:t>|</w:t>
            </w:r>
            <w:r w:rsidRPr="00EA163B">
              <w:rPr>
                <w:rFonts w:hint="eastAsia"/>
                <w:color w:val="000000"/>
                <w:spacing w:val="-1"/>
                <w:w w:val="15"/>
                <w:shd w:val="solid" w:color="000000" w:fill="000000"/>
                <w:fitText w:val="64" w:id="-1171539964"/>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2</w:t>
            </w:r>
          </w:p>
        </w:tc>
        <w:tc>
          <w:tcPr>
            <w:tcW w:w="582" w:type="pct"/>
          </w:tcPr>
          <w:p w14:paraId="0BC99EFD" w14:textId="414491A2" w:rsidR="001A0E96" w:rsidRPr="00207D60" w:rsidRDefault="00EA163B" w:rsidP="00124B5E">
            <w:pPr>
              <w:pStyle w:val="COMTabletext"/>
              <w:jc w:val="center"/>
              <w:rPr>
                <w:highlight w:val="darkGray"/>
              </w:rPr>
            </w:pPr>
            <w:r w:rsidRPr="00EA163B">
              <w:rPr>
                <w:rFonts w:hint="eastAsia"/>
                <w:color w:val="000000"/>
                <w:w w:val="15"/>
                <w:shd w:val="solid" w:color="000000" w:fill="000000"/>
                <w:fitText w:val="64" w:id="-1171539963"/>
                <w14:textFill>
                  <w14:solidFill>
                    <w14:srgbClr w14:val="000000">
                      <w14:alpha w14:val="100000"/>
                    </w14:srgbClr>
                  </w14:solidFill>
                </w14:textFill>
              </w:rPr>
              <w:t xml:space="preserve">　</w:t>
            </w:r>
            <w:r w:rsidRPr="00EA163B">
              <w:rPr>
                <w:color w:val="000000"/>
                <w:w w:val="15"/>
                <w:shd w:val="solid" w:color="000000" w:fill="000000"/>
                <w:fitText w:val="64" w:id="-1171539963"/>
                <w14:textFill>
                  <w14:solidFill>
                    <w14:srgbClr w14:val="000000">
                      <w14:alpha w14:val="100000"/>
                    </w14:srgbClr>
                  </w14:solidFill>
                </w14:textFill>
              </w:rPr>
              <w:t>|</w:t>
            </w:r>
            <w:r w:rsidRPr="00EA163B">
              <w:rPr>
                <w:rFonts w:hint="eastAsia"/>
                <w:color w:val="000000"/>
                <w:spacing w:val="-1"/>
                <w:w w:val="15"/>
                <w:shd w:val="solid" w:color="000000" w:fill="000000"/>
                <w:fitText w:val="64" w:id="-1171539963"/>
                <w14:textFill>
                  <w14:solidFill>
                    <w14:srgbClr w14:val="000000">
                      <w14:alpha w14:val="100000"/>
                    </w14:srgbClr>
                  </w14:solidFill>
                </w14:textFill>
              </w:rPr>
              <w:t xml:space="preserve">　</w:t>
            </w:r>
            <w:r w:rsidR="00202D65" w:rsidRPr="00016A4F">
              <w:rPr>
                <w:rFonts w:eastAsia="Times New Roman" w:cs="Arial"/>
                <w:iCs/>
                <w:sz w:val="18"/>
                <w:szCs w:val="18"/>
                <w:vertAlign w:val="superscript"/>
              </w:rPr>
              <w:t>2</w:t>
            </w:r>
          </w:p>
        </w:tc>
      </w:tr>
    </w:tbl>
    <w:p w14:paraId="7B52AF0F" w14:textId="77777777" w:rsidR="001A0E96" w:rsidRPr="00392B10" w:rsidRDefault="001A0E96" w:rsidP="001A0E96">
      <w:pPr>
        <w:pStyle w:val="COMTablefooter"/>
      </w:pPr>
      <w:r w:rsidRPr="00392B10">
        <w:t>Source: ‘Calculations &amp; results’ spreadsheet of the ‘Vyxeos - t-AML &amp; AML-MRC - financials - UCM-Release-3-Workbook-v1081 – updated.xlsx’ of the submission</w:t>
      </w:r>
    </w:p>
    <w:p w14:paraId="2E12C47E" w14:textId="77777777" w:rsidR="001A0E96" w:rsidRPr="00392B10" w:rsidRDefault="001A0E96" w:rsidP="001A0E96">
      <w:pPr>
        <w:pStyle w:val="COMTablefooter"/>
      </w:pPr>
      <w:r w:rsidRPr="00392B10">
        <w:t>Abbreviations: IC, idarubicin and cytarabine; LDC, liposomal daunorubicin and cytarabine; NE, not estimated</w:t>
      </w:r>
    </w:p>
    <w:p w14:paraId="2108DAEF" w14:textId="77777777" w:rsidR="001A0E96" w:rsidRPr="00392B10" w:rsidRDefault="001A0E96" w:rsidP="001A0E96">
      <w:pPr>
        <w:pStyle w:val="COMTablefooter"/>
        <w:rPr>
          <w:rFonts w:eastAsiaTheme="majorEastAsia"/>
        </w:rPr>
      </w:pPr>
      <w:r w:rsidRPr="00392B10">
        <w:rPr>
          <w:rFonts w:eastAsiaTheme="majorEastAsia"/>
          <w:vertAlign w:val="superscript"/>
        </w:rPr>
        <w:t>a</w:t>
      </w:r>
      <w:r w:rsidRPr="00392B10">
        <w:rPr>
          <w:rFonts w:eastAsiaTheme="majorEastAsia"/>
        </w:rPr>
        <w:t xml:space="preserve"> The proportion of patients treated with subsequent cycles of therapy was estimated in the submission based on circumstances of use in Study 301 (31.4% induction 2, 31.9% consolidation 1, 15.0% consolidation 2) and uptake rates from the KOL survey (59.4% induction 2, 70.9% consolidation 1, 68.6% consolidation 2)</w:t>
      </w:r>
    </w:p>
    <w:p w14:paraId="6BC3CF66" w14:textId="77777777" w:rsidR="001A0E96" w:rsidRPr="00392B10" w:rsidRDefault="001A0E96" w:rsidP="001A0E96">
      <w:pPr>
        <w:pStyle w:val="COMTablefooter"/>
      </w:pPr>
      <w:r w:rsidRPr="00392B10">
        <w:rPr>
          <w:vertAlign w:val="superscript"/>
        </w:rPr>
        <w:t>b</w:t>
      </w:r>
      <w:r w:rsidRPr="00392B10">
        <w:t xml:space="preserve"> Based on one copayment per patient receiving induction and consolidation. This was calculated in error in the submission as weightings for private/public hospital split were applied twice. This was not corrected during the evaluation due to minimal impact on the financial estimates.</w:t>
      </w:r>
    </w:p>
    <w:p w14:paraId="51F86E52" w14:textId="2B7DEF01" w:rsidR="001A0E96" w:rsidRDefault="001A0E96" w:rsidP="00795A1F">
      <w:pPr>
        <w:pStyle w:val="COMTablefooter"/>
        <w:spacing w:after="0"/>
      </w:pPr>
      <w:r w:rsidRPr="00392B10">
        <w:rPr>
          <w:vertAlign w:val="superscript"/>
        </w:rPr>
        <w:t>c</w:t>
      </w:r>
      <w:r w:rsidRPr="00392B10">
        <w:t xml:space="preserve"> Estimates of patients treated with consolidation courses appear to be incorrectly calculated in the submission, as the proportions were applied to subsets of patients receiving a preceding course of therapy rather than all patients (e.g. consolidation 2 patients derived by multiplying 20.5% to patients who received induction 2). This error was not corrected during the evaluation due to minimal impact on the financial estimates.</w:t>
      </w:r>
    </w:p>
    <w:p w14:paraId="167DE896" w14:textId="77777777" w:rsidR="002E17B0" w:rsidRPr="009A6D58" w:rsidRDefault="002E17B0" w:rsidP="00795A1F">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77508DA4" w14:textId="4FAE6028" w:rsidR="002E17B0" w:rsidRPr="009A6D58" w:rsidRDefault="002E17B0" w:rsidP="002E17B0">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&lt; 500</w:t>
      </w:r>
    </w:p>
    <w:p w14:paraId="6856D3E6" w14:textId="2F44F523" w:rsidR="002E17B0" w:rsidRPr="009A6D58" w:rsidRDefault="002E17B0" w:rsidP="002E17B0">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202D65">
        <w:rPr>
          <w:rFonts w:ascii="Arial Narrow" w:hAnsi="Arial Narrow"/>
          <w:i/>
          <w:sz w:val="18"/>
          <w:szCs w:val="18"/>
        </w:rPr>
        <w:t>$0 to &lt; $10 million</w:t>
      </w:r>
    </w:p>
    <w:p w14:paraId="660BFA31" w14:textId="3ED4FCBE" w:rsidR="002E17B0" w:rsidRDefault="002E17B0" w:rsidP="002E17B0">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202D65">
        <w:rPr>
          <w:rFonts w:ascii="Arial Narrow" w:hAnsi="Arial Narrow"/>
          <w:i/>
          <w:sz w:val="18"/>
          <w:szCs w:val="18"/>
        </w:rPr>
        <w:t>$10 million to &lt; $20 million</w:t>
      </w:r>
    </w:p>
    <w:p w14:paraId="748A0942" w14:textId="7CDF4FFC" w:rsidR="002E17B0" w:rsidRDefault="002E17B0" w:rsidP="002E17B0">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202D65">
        <w:rPr>
          <w:rFonts w:ascii="Arial Narrow" w:hAnsi="Arial Narrow"/>
          <w:i/>
          <w:sz w:val="18"/>
          <w:szCs w:val="18"/>
        </w:rPr>
        <w:t>net cost saving</w:t>
      </w:r>
    </w:p>
    <w:p w14:paraId="494D2AC6" w14:textId="77777777" w:rsidR="002E17B0" w:rsidRPr="002E17B0" w:rsidRDefault="002E17B0" w:rsidP="00207D60"/>
    <w:p w14:paraId="58FC2654" w14:textId="6C9F0FF9" w:rsidR="001A0E96" w:rsidRPr="00392B10" w:rsidRDefault="001A0E96" w:rsidP="001A0E96">
      <w:pPr>
        <w:pStyle w:val="COMexecsumnumberedpara"/>
      </w:pPr>
      <w:r w:rsidRPr="00392B10">
        <w:t>The estimated net PBS/RPBS/MBS cost was $</w:t>
      </w:r>
      <w:r w:rsidR="00031FD1">
        <w:t>0</w:t>
      </w:r>
      <w:r w:rsidR="007A1383">
        <w:t> </w:t>
      </w:r>
      <w:r w:rsidR="00031FD1">
        <w:t>to</w:t>
      </w:r>
      <w:r w:rsidR="007A1383">
        <w:t> </w:t>
      </w:r>
      <w:r w:rsidR="00031FD1">
        <w:t>&lt;</w:t>
      </w:r>
      <w:r w:rsidR="007A1383">
        <w:t> </w:t>
      </w:r>
      <w:r w:rsidR="00031FD1">
        <w:t>$10</w:t>
      </w:r>
      <w:r w:rsidRPr="00392B10">
        <w:t xml:space="preserve"> million in Year 1, increasing to $</w:t>
      </w:r>
      <w:r w:rsidR="00031FD1">
        <w:t>0</w:t>
      </w:r>
      <w:r w:rsidR="007A1383">
        <w:t> </w:t>
      </w:r>
      <w:r w:rsidR="00031FD1">
        <w:t>to</w:t>
      </w:r>
      <w:r w:rsidR="007A1383">
        <w:t> </w:t>
      </w:r>
      <w:r w:rsidR="00031FD1">
        <w:t>&lt;</w:t>
      </w:r>
      <w:r w:rsidR="007A1383">
        <w:t> </w:t>
      </w:r>
      <w:r w:rsidR="00031FD1">
        <w:t>$10</w:t>
      </w:r>
      <w:r w:rsidRPr="00392B10">
        <w:t xml:space="preserve"> million in Year 6, a total of $</w:t>
      </w:r>
      <w:r w:rsidR="00207D60">
        <w:t>3</w:t>
      </w:r>
      <w:r w:rsidR="00031FD1">
        <w:t>0</w:t>
      </w:r>
      <w:r w:rsidR="007A1383">
        <w:t> </w:t>
      </w:r>
      <w:r w:rsidR="00031FD1">
        <w:t>million</w:t>
      </w:r>
      <w:r w:rsidR="007A1383">
        <w:t> </w:t>
      </w:r>
      <w:r w:rsidR="00031FD1">
        <w:t>to</w:t>
      </w:r>
      <w:r w:rsidR="007A1383">
        <w:t> </w:t>
      </w:r>
      <w:r w:rsidR="00031FD1">
        <w:t>&lt;</w:t>
      </w:r>
      <w:r w:rsidR="007A1383">
        <w:t> </w:t>
      </w:r>
      <w:r w:rsidR="00031FD1">
        <w:t>$</w:t>
      </w:r>
      <w:r w:rsidR="00207D60">
        <w:t>4</w:t>
      </w:r>
      <w:r w:rsidR="00031FD1">
        <w:t>0</w:t>
      </w:r>
      <w:r w:rsidRPr="00392B10">
        <w:t xml:space="preserve"> million over 6 years. These estimates should not be considered reliable due to concerns with the alternative approach used to determine the cost of liposomal daunorubicin and cytarabine to the PBS/RPBS. </w:t>
      </w:r>
    </w:p>
    <w:p w14:paraId="6015A395" w14:textId="2EDB6A4E" w:rsidR="00576972" w:rsidRPr="00392B10" w:rsidRDefault="00576972" w:rsidP="00606FBA">
      <w:pPr>
        <w:pStyle w:val="COMH2-non-numbered"/>
      </w:pPr>
      <w:bookmarkStart w:id="68" w:name="_Toc22897649"/>
      <w:bookmarkStart w:id="69" w:name="_Toc135056610"/>
      <w:r w:rsidRPr="00392B10">
        <w:lastRenderedPageBreak/>
        <w:t>Financial Management – Risk Sharing Arrangements</w:t>
      </w:r>
      <w:bookmarkEnd w:id="68"/>
      <w:bookmarkEnd w:id="69"/>
    </w:p>
    <w:p w14:paraId="2DAB2A5D" w14:textId="77777777" w:rsidR="001A0E96" w:rsidRPr="00392B10" w:rsidRDefault="00AD183E" w:rsidP="001A0E96">
      <w:pPr>
        <w:pStyle w:val="COMexecsumnumberedpara"/>
      </w:pPr>
      <w:r w:rsidRPr="00392B10">
        <w:t>The submission stated that because the estimated net PBS expenditure was low and there was a low risk of use beyond the requested eligible population, a risk-sharing arrangement was not proposed.</w:t>
      </w:r>
    </w:p>
    <w:p w14:paraId="4B23BD14" w14:textId="0DC08496" w:rsidR="001A0E96" w:rsidRPr="00392B10" w:rsidRDefault="001A0E96" w:rsidP="001A0E96">
      <w:pPr>
        <w:pStyle w:val="COMexecsumnumberedpara"/>
        <w:numPr>
          <w:ilvl w:val="0"/>
          <w:numId w:val="0"/>
        </w:numPr>
        <w:ind w:left="720"/>
        <w:rPr>
          <w:i/>
          <w:iCs/>
        </w:rPr>
      </w:pPr>
      <w:r w:rsidRPr="00392B10">
        <w:rPr>
          <w:i/>
          <w:iCs/>
        </w:rPr>
        <w:t>For more detail on PBAC’s view, see section 7 PBAC outcome.</w:t>
      </w:r>
    </w:p>
    <w:p w14:paraId="3DA8A15A" w14:textId="77777777" w:rsidR="001A0E96" w:rsidRPr="00392B10" w:rsidRDefault="001A0E96" w:rsidP="001A0E96">
      <w:pPr>
        <w:pStyle w:val="COMH1numbered"/>
      </w:pPr>
      <w:bookmarkStart w:id="70" w:name="_Hlk76381249"/>
      <w:bookmarkStart w:id="71" w:name="_Hlk76377955"/>
      <w:r w:rsidRPr="00392B10">
        <w:t>PBAC Outcome</w:t>
      </w:r>
    </w:p>
    <w:p w14:paraId="3740C3FC" w14:textId="135A9740" w:rsidR="00593219" w:rsidRPr="000366BF" w:rsidRDefault="00593219" w:rsidP="001A0E96">
      <w:pPr>
        <w:widowControl w:val="0"/>
        <w:numPr>
          <w:ilvl w:val="1"/>
          <w:numId w:val="1"/>
        </w:numPr>
        <w:spacing w:after="120"/>
        <w:ind w:left="720" w:hanging="720"/>
        <w:rPr>
          <w:rFonts w:asciiTheme="minorHAnsi" w:hAnsiTheme="minorHAnsi"/>
          <w:snapToGrid w:val="0"/>
        </w:rPr>
      </w:pPr>
      <w:bookmarkStart w:id="72" w:name="_Hlk111543188"/>
      <w:r w:rsidRPr="000366BF">
        <w:rPr>
          <w:rFonts w:asciiTheme="minorHAnsi" w:hAnsiTheme="minorHAnsi"/>
          <w:snapToGrid w:val="0"/>
        </w:rPr>
        <w:t xml:space="preserve">The PBAC did not recommend liposomal daunorubicin and cytarabine for the treatment of therapy-related acute myeloid leukaemia (t-AML) or acute myeloid leukaemia with myelodysplasia-related changes (AML-MRC). The PBAC considered that liposomal daunorubicin and cytarabine had improved efficacy over the nominated comparator, idarubicin and cytarabine, in terms of overall survival (OS); however, considered that the incremental cost effectiveness ratio was high and uncertain. The PBAC also considered that the estimated utilisation and financial impact estimates were uncertain. The PBAC nominated the </w:t>
      </w:r>
      <w:r w:rsidR="00B77FB2" w:rsidRPr="000366BF">
        <w:rPr>
          <w:rFonts w:asciiTheme="minorHAnsi" w:hAnsiTheme="minorHAnsi"/>
          <w:snapToGrid w:val="0"/>
        </w:rPr>
        <w:t>e</w:t>
      </w:r>
      <w:r w:rsidRPr="000366BF">
        <w:rPr>
          <w:rFonts w:asciiTheme="minorHAnsi" w:hAnsiTheme="minorHAnsi"/>
          <w:snapToGrid w:val="0"/>
        </w:rPr>
        <w:t xml:space="preserve">arly </w:t>
      </w:r>
      <w:r w:rsidR="00B77FB2" w:rsidRPr="000366BF">
        <w:rPr>
          <w:rFonts w:asciiTheme="minorHAnsi" w:hAnsiTheme="minorHAnsi"/>
          <w:snapToGrid w:val="0"/>
        </w:rPr>
        <w:t>r</w:t>
      </w:r>
      <w:r w:rsidRPr="000366BF">
        <w:rPr>
          <w:rFonts w:asciiTheme="minorHAnsi" w:hAnsiTheme="minorHAnsi"/>
          <w:snapToGrid w:val="0"/>
        </w:rPr>
        <w:t>e-entry pathway for this item.</w:t>
      </w:r>
    </w:p>
    <w:p w14:paraId="0B36533E" w14:textId="77777777" w:rsidR="00593219" w:rsidRPr="000366BF" w:rsidRDefault="00593219" w:rsidP="001A0E96">
      <w:pPr>
        <w:widowControl w:val="0"/>
        <w:numPr>
          <w:ilvl w:val="1"/>
          <w:numId w:val="1"/>
        </w:numPr>
        <w:spacing w:after="120"/>
        <w:ind w:left="720" w:hanging="720"/>
        <w:rPr>
          <w:rFonts w:asciiTheme="minorHAnsi" w:hAnsiTheme="minorHAnsi"/>
          <w:snapToGrid w:val="0"/>
        </w:rPr>
      </w:pPr>
      <w:r w:rsidRPr="000366BF">
        <w:rPr>
          <w:rFonts w:asciiTheme="minorHAnsi" w:hAnsiTheme="minorHAnsi"/>
          <w:snapToGrid w:val="0"/>
        </w:rPr>
        <w:t>The primary reason for this outcome was due to the economic evaluation.</w:t>
      </w:r>
    </w:p>
    <w:p w14:paraId="0124CC55" w14:textId="79E186A7" w:rsidR="00593219" w:rsidRPr="000366BF" w:rsidRDefault="00593219" w:rsidP="001A0E96">
      <w:pPr>
        <w:widowControl w:val="0"/>
        <w:numPr>
          <w:ilvl w:val="1"/>
          <w:numId w:val="1"/>
        </w:numPr>
        <w:spacing w:after="120"/>
        <w:ind w:left="720" w:hanging="720"/>
        <w:rPr>
          <w:rFonts w:asciiTheme="minorHAnsi" w:hAnsiTheme="minorHAnsi"/>
          <w:snapToGrid w:val="0"/>
        </w:rPr>
      </w:pPr>
      <w:r w:rsidRPr="000366BF">
        <w:rPr>
          <w:rFonts w:asciiTheme="minorHAnsi" w:hAnsiTheme="minorHAnsi"/>
          <w:snapToGrid w:val="0"/>
        </w:rPr>
        <w:t>The PBAC acknowledged the advice received via the consumer comments facility which noted the unmet need for alternate AML treatments and was supportive of the submission.</w:t>
      </w:r>
    </w:p>
    <w:p w14:paraId="38A3CD59" w14:textId="00493280" w:rsidR="00593219" w:rsidRPr="000366BF" w:rsidRDefault="00593219" w:rsidP="001A0E96">
      <w:pPr>
        <w:widowControl w:val="0"/>
        <w:numPr>
          <w:ilvl w:val="1"/>
          <w:numId w:val="1"/>
        </w:numPr>
        <w:spacing w:after="120"/>
        <w:ind w:left="720" w:hanging="720"/>
        <w:rPr>
          <w:rFonts w:asciiTheme="minorHAnsi" w:hAnsiTheme="minorHAnsi"/>
          <w:snapToGrid w:val="0"/>
        </w:rPr>
      </w:pPr>
      <w:r w:rsidRPr="000366BF">
        <w:rPr>
          <w:rFonts w:asciiTheme="minorHAnsi" w:hAnsiTheme="minorHAnsi"/>
          <w:snapToGrid w:val="0"/>
        </w:rPr>
        <w:t xml:space="preserve">The PBAC considered that the nomination of idarubicin and cytarabine (7+3 regimen) as the comparator for first induction chemotherapy was appropriate. However, the PBAC considered that the nomination of idarubicin and cytarabine (5+2 regimen) as the comparator for second induction and consolidation chemotherapy was not reasonable. The PBAC noted that in Australia second induction was uncommon, but if done, it was usually with FLAG </w:t>
      </w:r>
      <w:r w:rsidRPr="000366BF">
        <w:rPr>
          <w:rFonts w:asciiTheme="minorHAnsi" w:hAnsiTheme="minorHAnsi" w:cstheme="minorHAnsi"/>
          <w:snapToGrid w:val="0"/>
        </w:rPr>
        <w:t>±</w:t>
      </w:r>
      <w:r w:rsidRPr="000366BF">
        <w:rPr>
          <w:rFonts w:asciiTheme="minorHAnsi" w:hAnsiTheme="minorHAnsi"/>
          <w:snapToGrid w:val="0"/>
        </w:rPr>
        <w:t xml:space="preserve"> idarubicin, and that HiDAC or IDAC were the most commonly used consolidation therapies in Australia.</w:t>
      </w:r>
    </w:p>
    <w:p w14:paraId="38978FA3" w14:textId="60DA9660" w:rsidR="00593219" w:rsidRPr="000366BF" w:rsidRDefault="00593219" w:rsidP="001A0E96">
      <w:pPr>
        <w:widowControl w:val="0"/>
        <w:numPr>
          <w:ilvl w:val="1"/>
          <w:numId w:val="1"/>
        </w:numPr>
        <w:spacing w:after="120"/>
        <w:ind w:left="720" w:hanging="720"/>
        <w:rPr>
          <w:rFonts w:asciiTheme="minorHAnsi" w:hAnsiTheme="minorHAnsi"/>
          <w:snapToGrid w:val="0"/>
        </w:rPr>
      </w:pPr>
      <w:r w:rsidRPr="000366BF">
        <w:rPr>
          <w:rFonts w:asciiTheme="minorHAnsi" w:hAnsiTheme="minorHAnsi"/>
          <w:snapToGrid w:val="0"/>
        </w:rPr>
        <w:t>The PBAC noted that the submission was based on one randomised controlled trial</w:t>
      </w:r>
      <w:r w:rsidR="00B77FB2" w:rsidRPr="000366BF">
        <w:rPr>
          <w:rFonts w:asciiTheme="minorHAnsi" w:hAnsiTheme="minorHAnsi"/>
          <w:snapToGrid w:val="0"/>
        </w:rPr>
        <w:t>,</w:t>
      </w:r>
      <w:r w:rsidRPr="000366BF">
        <w:rPr>
          <w:rFonts w:asciiTheme="minorHAnsi" w:hAnsiTheme="minorHAnsi"/>
          <w:snapToGrid w:val="0"/>
        </w:rPr>
        <w:t xml:space="preserve"> Study 301, that compared liposomal daunorubicin and cytarabine with daunorubicin and cytarabine. The PBAC noted that the submission considered that daunorubicin was a reasonable proxy for idarubicin and that daunorubicin and idarubicin were approximately equi-effective at the recommended 7+3 regimen doses: 60 mg/m</w:t>
      </w:r>
      <w:r w:rsidRPr="000366BF">
        <w:rPr>
          <w:rFonts w:asciiTheme="minorHAnsi" w:hAnsiTheme="minorHAnsi"/>
          <w:snapToGrid w:val="0"/>
          <w:vertAlign w:val="superscript"/>
        </w:rPr>
        <w:t>2</w:t>
      </w:r>
      <w:r w:rsidRPr="000366BF">
        <w:rPr>
          <w:rFonts w:asciiTheme="minorHAnsi" w:hAnsiTheme="minorHAnsi"/>
          <w:snapToGrid w:val="0"/>
        </w:rPr>
        <w:t xml:space="preserve"> of daunorubicin for 3 days = 12 mg/m</w:t>
      </w:r>
      <w:r w:rsidRPr="000366BF">
        <w:rPr>
          <w:rFonts w:asciiTheme="minorHAnsi" w:hAnsiTheme="minorHAnsi"/>
          <w:snapToGrid w:val="0"/>
          <w:vertAlign w:val="superscript"/>
        </w:rPr>
        <w:t>2</w:t>
      </w:r>
      <w:r w:rsidRPr="000366BF">
        <w:rPr>
          <w:rFonts w:asciiTheme="minorHAnsi" w:hAnsiTheme="minorHAnsi"/>
          <w:snapToGrid w:val="0"/>
        </w:rPr>
        <w:t xml:space="preserve"> of idarubicin for 3 days.</w:t>
      </w:r>
    </w:p>
    <w:p w14:paraId="26097B87" w14:textId="6D905C0F" w:rsidR="00593219" w:rsidRPr="000366BF" w:rsidRDefault="00593219" w:rsidP="001A0E96">
      <w:pPr>
        <w:widowControl w:val="0"/>
        <w:numPr>
          <w:ilvl w:val="1"/>
          <w:numId w:val="1"/>
        </w:numPr>
        <w:spacing w:after="120"/>
        <w:ind w:left="720" w:hanging="720"/>
        <w:rPr>
          <w:rFonts w:asciiTheme="minorHAnsi" w:hAnsiTheme="minorHAnsi"/>
          <w:snapToGrid w:val="0"/>
        </w:rPr>
      </w:pPr>
      <w:r w:rsidRPr="000366BF">
        <w:rPr>
          <w:rFonts w:asciiTheme="minorHAnsi" w:hAnsiTheme="minorHAnsi"/>
          <w:snapToGrid w:val="0"/>
        </w:rPr>
        <w:t xml:space="preserve">The PBAC noted that </w:t>
      </w:r>
      <w:r w:rsidR="003F5F37" w:rsidRPr="000366BF">
        <w:rPr>
          <w:rFonts w:asciiTheme="minorHAnsi" w:hAnsiTheme="minorHAnsi"/>
          <w:snapToGrid w:val="0"/>
        </w:rPr>
        <w:t xml:space="preserve">the </w:t>
      </w:r>
      <w:r w:rsidRPr="000366BF">
        <w:rPr>
          <w:rFonts w:asciiTheme="minorHAnsi" w:hAnsiTheme="minorHAnsi"/>
          <w:snapToGrid w:val="0"/>
        </w:rPr>
        <w:t>submission presented a number of randomised trials, systematic reviews, meta-analyses and meta-regressions comparing various doses of daunorubicin with idarubicin (both with cytarabine) in the induction setting to support its claim</w:t>
      </w:r>
      <w:r w:rsidR="00B77FB2" w:rsidRPr="000366BF">
        <w:rPr>
          <w:rFonts w:asciiTheme="minorHAnsi" w:hAnsiTheme="minorHAnsi"/>
          <w:snapToGrid w:val="0"/>
        </w:rPr>
        <w:t xml:space="preserve"> of </w:t>
      </w:r>
      <w:r w:rsidR="00620BE6" w:rsidRPr="000366BF">
        <w:rPr>
          <w:rFonts w:asciiTheme="minorHAnsi" w:hAnsiTheme="minorHAnsi"/>
          <w:snapToGrid w:val="0"/>
        </w:rPr>
        <w:t>equivalent efficacy</w:t>
      </w:r>
      <w:r w:rsidRPr="000366BF">
        <w:rPr>
          <w:rFonts w:asciiTheme="minorHAnsi" w:hAnsiTheme="minorHAnsi"/>
          <w:snapToGrid w:val="0"/>
        </w:rPr>
        <w:t xml:space="preserve">. The PBAC noted that a number of guidelines and protocols considered daunorubicin and idarubicin to be interchangeable when used in the 7+3 regimen and recalled that it had previously considered daunorubicin and idarubicin to be interchangeable (midostaurin PSD, July 2018 and gemtuzumab </w:t>
      </w:r>
      <w:r w:rsidRPr="000366BF">
        <w:rPr>
          <w:rFonts w:asciiTheme="minorHAnsi" w:hAnsiTheme="minorHAnsi"/>
          <w:snapToGrid w:val="0"/>
        </w:rPr>
        <w:lastRenderedPageBreak/>
        <w:t xml:space="preserve">ozogamicin PSD, March 2021 and November 2021). Overall, the PBAC </w:t>
      </w:r>
      <w:r w:rsidR="00620BE6" w:rsidRPr="000366BF">
        <w:rPr>
          <w:rFonts w:asciiTheme="minorHAnsi" w:hAnsiTheme="minorHAnsi"/>
          <w:snapToGrid w:val="0"/>
        </w:rPr>
        <w:t>accepted</w:t>
      </w:r>
      <w:r w:rsidRPr="000366BF">
        <w:rPr>
          <w:rFonts w:asciiTheme="minorHAnsi" w:hAnsiTheme="minorHAnsi"/>
          <w:snapToGrid w:val="0"/>
        </w:rPr>
        <w:t xml:space="preserve"> that daunorubicin was </w:t>
      </w:r>
      <w:r w:rsidR="00620BE6" w:rsidRPr="000366BF">
        <w:rPr>
          <w:rFonts w:asciiTheme="minorHAnsi" w:hAnsiTheme="minorHAnsi"/>
          <w:snapToGrid w:val="0"/>
        </w:rPr>
        <w:t>an acceptable proxy for</w:t>
      </w:r>
      <w:r w:rsidRPr="000366BF">
        <w:rPr>
          <w:rFonts w:asciiTheme="minorHAnsi" w:hAnsiTheme="minorHAnsi"/>
          <w:snapToGrid w:val="0"/>
        </w:rPr>
        <w:t xml:space="preserve"> idarubicin when given at the recommended</w:t>
      </w:r>
      <w:r w:rsidR="00620BE6" w:rsidRPr="000366BF">
        <w:rPr>
          <w:rFonts w:asciiTheme="minorHAnsi" w:hAnsiTheme="minorHAnsi"/>
          <w:snapToGrid w:val="0"/>
        </w:rPr>
        <w:t xml:space="preserve"> dose for the</w:t>
      </w:r>
      <w:r w:rsidRPr="000366BF">
        <w:rPr>
          <w:rFonts w:asciiTheme="minorHAnsi" w:hAnsiTheme="minorHAnsi"/>
          <w:snapToGrid w:val="0"/>
        </w:rPr>
        <w:t xml:space="preserve"> 7+3 regimen in the induction setting.</w:t>
      </w:r>
    </w:p>
    <w:p w14:paraId="32B9E3F9" w14:textId="54A89578" w:rsidR="00593219" w:rsidRPr="000366BF" w:rsidRDefault="00593219" w:rsidP="001A0E96">
      <w:pPr>
        <w:widowControl w:val="0"/>
        <w:numPr>
          <w:ilvl w:val="1"/>
          <w:numId w:val="1"/>
        </w:numPr>
        <w:spacing w:after="120"/>
        <w:ind w:left="720" w:hanging="720"/>
        <w:rPr>
          <w:rFonts w:asciiTheme="minorHAnsi" w:hAnsiTheme="minorHAnsi"/>
          <w:snapToGrid w:val="0"/>
        </w:rPr>
      </w:pPr>
      <w:r w:rsidRPr="000366BF">
        <w:rPr>
          <w:rFonts w:asciiTheme="minorHAnsi" w:hAnsiTheme="minorHAnsi"/>
          <w:snapToGrid w:val="0"/>
        </w:rPr>
        <w:t>The PBAC noted that liposomal daunorubicin and cytarabine resulted in a statistically significant improvement in patients achieving a complete remission with or without incomplete peripheral blood counts (OR = 1.77; 95% CI: 1.11, 2.81), event free survival (HR = 0.74, 95% CI: 0.58, 0.99)</w:t>
      </w:r>
      <w:r w:rsidR="00C21834" w:rsidRPr="000366BF">
        <w:rPr>
          <w:rFonts w:asciiTheme="minorHAnsi" w:hAnsiTheme="minorHAnsi"/>
          <w:snapToGrid w:val="0"/>
        </w:rPr>
        <w:t xml:space="preserve"> and</w:t>
      </w:r>
      <w:r w:rsidRPr="000366BF">
        <w:rPr>
          <w:rFonts w:asciiTheme="minorHAnsi" w:hAnsiTheme="minorHAnsi"/>
          <w:snapToGrid w:val="0"/>
        </w:rPr>
        <w:t xml:space="preserve"> OS (HR = 0.70, 95% CI: 0.55, 0.91) compared to daunorubicin and cytarabine. In terms of effectiveness, the PBAC considered that liposomal daunorubicin and cytarabine was superior compared to daunorubicin/idarubicin plus cytarabine in the first induction setting.</w:t>
      </w:r>
    </w:p>
    <w:p w14:paraId="6CCF0272" w14:textId="7BDD49D1" w:rsidR="00593219" w:rsidRPr="000366BF" w:rsidRDefault="00593219" w:rsidP="001A0E96">
      <w:pPr>
        <w:widowControl w:val="0"/>
        <w:numPr>
          <w:ilvl w:val="1"/>
          <w:numId w:val="1"/>
        </w:numPr>
        <w:spacing w:after="120"/>
        <w:ind w:left="720" w:hanging="720"/>
        <w:rPr>
          <w:rFonts w:asciiTheme="minorHAnsi" w:hAnsiTheme="minorHAnsi"/>
          <w:snapToGrid w:val="0"/>
        </w:rPr>
      </w:pPr>
      <w:r w:rsidRPr="000366BF">
        <w:rPr>
          <w:rFonts w:asciiTheme="minorHAnsi" w:hAnsiTheme="minorHAnsi"/>
          <w:snapToGrid w:val="0"/>
        </w:rPr>
        <w:t xml:space="preserve">The PBAC noted that liposomal daunorubicin and cytarabine was associated with a longer plasma half-life compared to daunorubicin and cytarabine which prolonged the time to neutrophil and platelet recovery following treatment and which increased the incidence of bleeding-related adverse events and myelosuppressive complications. Further, the PBAC noted that liposomal daunorubicin and cytarabine was associated with more serious adverse events (59% versus 43%) compared to daunorubicin and cytarabine. Overall, the PBAC considered that the claim that liposomal daunorubicin and cytarabine was non-inferior </w:t>
      </w:r>
      <w:r w:rsidR="000366BF">
        <w:rPr>
          <w:rFonts w:asciiTheme="minorHAnsi" w:hAnsiTheme="minorHAnsi"/>
          <w:snapToGrid w:val="0"/>
        </w:rPr>
        <w:t xml:space="preserve">in terms of safety compared </w:t>
      </w:r>
      <w:r w:rsidRPr="000366BF">
        <w:rPr>
          <w:rFonts w:asciiTheme="minorHAnsi" w:hAnsiTheme="minorHAnsi"/>
          <w:snapToGrid w:val="0"/>
        </w:rPr>
        <w:t>to daunorubicin/</w:t>
      </w:r>
      <w:r w:rsidR="000366BF">
        <w:rPr>
          <w:rFonts w:asciiTheme="minorHAnsi" w:hAnsiTheme="minorHAnsi"/>
          <w:snapToGrid w:val="0"/>
        </w:rPr>
        <w:t xml:space="preserve"> </w:t>
      </w:r>
      <w:r w:rsidRPr="000366BF">
        <w:rPr>
          <w:rFonts w:asciiTheme="minorHAnsi" w:hAnsiTheme="minorHAnsi"/>
          <w:snapToGrid w:val="0"/>
        </w:rPr>
        <w:t xml:space="preserve">idarubicin and cytarabine was not supported in the first induction setting. </w:t>
      </w:r>
    </w:p>
    <w:p w14:paraId="792957C0" w14:textId="29A648EC" w:rsidR="00593219" w:rsidRPr="000366BF" w:rsidRDefault="00593219" w:rsidP="001A0E96">
      <w:pPr>
        <w:widowControl w:val="0"/>
        <w:numPr>
          <w:ilvl w:val="1"/>
          <w:numId w:val="1"/>
        </w:numPr>
        <w:spacing w:after="120"/>
        <w:ind w:left="720" w:hanging="720"/>
        <w:rPr>
          <w:rFonts w:asciiTheme="minorHAnsi" w:hAnsiTheme="minorHAnsi"/>
          <w:snapToGrid w:val="0"/>
        </w:rPr>
      </w:pPr>
      <w:r w:rsidRPr="000366BF">
        <w:rPr>
          <w:rFonts w:asciiTheme="minorHAnsi" w:hAnsiTheme="minorHAnsi"/>
          <w:snapToGrid w:val="0"/>
        </w:rPr>
        <w:t>The PBAC considered that the claim that liposomal daunorubicin and cytarabine was superior in terms of efficacy and non-inferior in terms of safety compared to daunorubicin/idarubicin and cytarabine (5+2 regimen) in the second induction and consolidation therapy settings w</w:t>
      </w:r>
      <w:r w:rsidR="00B77FB2" w:rsidRPr="000366BF">
        <w:rPr>
          <w:rFonts w:asciiTheme="minorHAnsi" w:hAnsiTheme="minorHAnsi"/>
          <w:snapToGrid w:val="0"/>
        </w:rPr>
        <w:t>as</w:t>
      </w:r>
      <w:r w:rsidRPr="000366BF">
        <w:rPr>
          <w:rFonts w:asciiTheme="minorHAnsi" w:hAnsiTheme="minorHAnsi"/>
          <w:snapToGrid w:val="0"/>
        </w:rPr>
        <w:t xml:space="preserve"> not supported as the 5+2 regimen was not standard clinical practice in Australia.</w:t>
      </w:r>
      <w:r w:rsidR="00830A41" w:rsidRPr="000366BF">
        <w:rPr>
          <w:rFonts w:asciiTheme="minorHAnsi" w:hAnsiTheme="minorHAnsi"/>
          <w:snapToGrid w:val="0"/>
        </w:rPr>
        <w:t xml:space="preserve"> The PBAC noted only a proportion of the trial population received consolidation therapy (32% in the liposomal daunorubicin and cytarabine arm and 2</w:t>
      </w:r>
      <w:r w:rsidR="00FD760C" w:rsidRPr="000366BF">
        <w:rPr>
          <w:rFonts w:asciiTheme="minorHAnsi" w:hAnsiTheme="minorHAnsi"/>
          <w:snapToGrid w:val="0"/>
        </w:rPr>
        <w:t>1</w:t>
      </w:r>
      <w:r w:rsidR="00830A41" w:rsidRPr="000366BF">
        <w:rPr>
          <w:rFonts w:asciiTheme="minorHAnsi" w:hAnsiTheme="minorHAnsi"/>
          <w:snapToGrid w:val="0"/>
        </w:rPr>
        <w:t xml:space="preserve">% in the daunorubicin and cytarabine arm), and </w:t>
      </w:r>
      <w:r w:rsidR="00FD760C" w:rsidRPr="000366BF">
        <w:rPr>
          <w:rFonts w:asciiTheme="minorHAnsi" w:hAnsiTheme="minorHAnsi"/>
          <w:snapToGrid w:val="0"/>
        </w:rPr>
        <w:t xml:space="preserve">the </w:t>
      </w:r>
      <w:r w:rsidR="00254D5C" w:rsidRPr="000366BF">
        <w:rPr>
          <w:rFonts w:asciiTheme="minorHAnsi" w:hAnsiTheme="minorHAnsi"/>
          <w:snapToGrid w:val="0"/>
        </w:rPr>
        <w:t>HSCT</w:t>
      </w:r>
      <w:r w:rsidR="00C21834" w:rsidRPr="000366BF">
        <w:rPr>
          <w:rFonts w:asciiTheme="minorHAnsi" w:hAnsiTheme="minorHAnsi"/>
          <w:snapToGrid w:val="0"/>
        </w:rPr>
        <w:t>,</w:t>
      </w:r>
      <w:r w:rsidR="00FD760C" w:rsidRPr="000366BF">
        <w:rPr>
          <w:rFonts w:asciiTheme="minorHAnsi" w:hAnsiTheme="minorHAnsi"/>
          <w:snapToGrid w:val="0"/>
        </w:rPr>
        <w:t xml:space="preserve"> rather than the consolidation therapy</w:t>
      </w:r>
      <w:r w:rsidR="00C21834" w:rsidRPr="000366BF">
        <w:rPr>
          <w:rFonts w:asciiTheme="minorHAnsi" w:hAnsiTheme="minorHAnsi"/>
          <w:snapToGrid w:val="0"/>
        </w:rPr>
        <w:t>,</w:t>
      </w:r>
      <w:r w:rsidR="00254D5C" w:rsidRPr="000366BF">
        <w:rPr>
          <w:rFonts w:asciiTheme="minorHAnsi" w:hAnsiTheme="minorHAnsi"/>
          <w:snapToGrid w:val="0"/>
        </w:rPr>
        <w:t xml:space="preserve"> </w:t>
      </w:r>
      <w:r w:rsidR="00FD760C" w:rsidRPr="000366BF">
        <w:rPr>
          <w:rFonts w:asciiTheme="minorHAnsi" w:hAnsiTheme="minorHAnsi"/>
          <w:snapToGrid w:val="0"/>
        </w:rPr>
        <w:t>tends to be</w:t>
      </w:r>
      <w:r w:rsidR="00254D5C" w:rsidRPr="000366BF">
        <w:rPr>
          <w:rFonts w:asciiTheme="minorHAnsi" w:hAnsiTheme="minorHAnsi"/>
          <w:snapToGrid w:val="0"/>
        </w:rPr>
        <w:t xml:space="preserve"> </w:t>
      </w:r>
      <w:r w:rsidR="00830A41" w:rsidRPr="000366BF">
        <w:rPr>
          <w:rFonts w:asciiTheme="minorHAnsi" w:hAnsiTheme="minorHAnsi"/>
          <w:snapToGrid w:val="0"/>
        </w:rPr>
        <w:t xml:space="preserve">the key </w:t>
      </w:r>
      <w:r w:rsidR="00254D5C" w:rsidRPr="000366BF">
        <w:rPr>
          <w:rFonts w:asciiTheme="minorHAnsi" w:hAnsiTheme="minorHAnsi"/>
          <w:snapToGrid w:val="0"/>
        </w:rPr>
        <w:t>determinant</w:t>
      </w:r>
      <w:r w:rsidR="00830A41" w:rsidRPr="000366BF">
        <w:rPr>
          <w:rFonts w:asciiTheme="minorHAnsi" w:hAnsiTheme="minorHAnsi"/>
          <w:snapToGrid w:val="0"/>
        </w:rPr>
        <w:t xml:space="preserve"> for </w:t>
      </w:r>
      <w:r w:rsidR="00254D5C" w:rsidRPr="000366BF">
        <w:rPr>
          <w:rFonts w:asciiTheme="minorHAnsi" w:hAnsiTheme="minorHAnsi"/>
          <w:snapToGrid w:val="0"/>
        </w:rPr>
        <w:t>OS.</w:t>
      </w:r>
    </w:p>
    <w:p w14:paraId="425C7153" w14:textId="69FDD9D8" w:rsidR="00593219" w:rsidRPr="000366BF" w:rsidRDefault="00593219" w:rsidP="001A0E96">
      <w:pPr>
        <w:widowControl w:val="0"/>
        <w:numPr>
          <w:ilvl w:val="1"/>
          <w:numId w:val="1"/>
        </w:numPr>
        <w:spacing w:after="120"/>
        <w:ind w:left="720" w:hanging="720"/>
        <w:rPr>
          <w:rFonts w:asciiTheme="minorHAnsi" w:hAnsiTheme="minorHAnsi"/>
          <w:snapToGrid w:val="0"/>
        </w:rPr>
      </w:pPr>
      <w:r w:rsidRPr="000366BF">
        <w:rPr>
          <w:rFonts w:asciiTheme="minorHAnsi" w:hAnsiTheme="minorHAnsi"/>
          <w:snapToGrid w:val="0"/>
        </w:rPr>
        <w:t>The PBAC noted that the submission presented a cost utility analysis comparing liposomal daunorubicin and cytarabine with daunorubicin/idarubicin and cytarabine, based on the results of Study 301. The PBAC considered that the base case ICER of $</w:t>
      </w:r>
      <w:r w:rsidR="00031FD1">
        <w:rPr>
          <w:rFonts w:asciiTheme="minorHAnsi" w:hAnsiTheme="minorHAnsi"/>
          <w:snapToGrid w:val="0"/>
        </w:rPr>
        <w:t>75,000</w:t>
      </w:r>
      <w:r w:rsidR="00207D60">
        <w:rPr>
          <w:rFonts w:asciiTheme="minorHAnsi" w:hAnsiTheme="minorHAnsi"/>
          <w:snapToGrid w:val="0"/>
        </w:rPr>
        <w:t> </w:t>
      </w:r>
      <w:r w:rsidR="00031FD1">
        <w:rPr>
          <w:rFonts w:asciiTheme="minorHAnsi" w:hAnsiTheme="minorHAnsi"/>
          <w:snapToGrid w:val="0"/>
        </w:rPr>
        <w:t>to</w:t>
      </w:r>
      <w:r w:rsidR="00207D60">
        <w:rPr>
          <w:rFonts w:asciiTheme="minorHAnsi" w:hAnsiTheme="minorHAnsi"/>
          <w:snapToGrid w:val="0"/>
        </w:rPr>
        <w:t> </w:t>
      </w:r>
      <w:r w:rsidR="00031FD1">
        <w:rPr>
          <w:rFonts w:asciiTheme="minorHAnsi" w:hAnsiTheme="minorHAnsi"/>
          <w:snapToGrid w:val="0"/>
        </w:rPr>
        <w:t>&lt;</w:t>
      </w:r>
      <w:r w:rsidR="00207D60">
        <w:rPr>
          <w:rFonts w:asciiTheme="minorHAnsi" w:hAnsiTheme="minorHAnsi"/>
          <w:snapToGrid w:val="0"/>
        </w:rPr>
        <w:t> </w:t>
      </w:r>
      <w:r w:rsidR="00031FD1">
        <w:rPr>
          <w:rFonts w:asciiTheme="minorHAnsi" w:hAnsiTheme="minorHAnsi"/>
          <w:snapToGrid w:val="0"/>
        </w:rPr>
        <w:t>$95,000</w:t>
      </w:r>
      <w:r w:rsidRPr="000366BF">
        <w:rPr>
          <w:rFonts w:asciiTheme="minorHAnsi" w:hAnsiTheme="minorHAnsi"/>
          <w:snapToGrid w:val="0"/>
        </w:rPr>
        <w:t xml:space="preserve"> per quality adjusted life year (QALY) was high</w:t>
      </w:r>
      <w:r w:rsidR="00880371" w:rsidRPr="000366BF">
        <w:rPr>
          <w:rFonts w:asciiTheme="minorHAnsi" w:hAnsiTheme="minorHAnsi"/>
          <w:snapToGrid w:val="0"/>
        </w:rPr>
        <w:t xml:space="preserve"> and </w:t>
      </w:r>
      <w:r w:rsidRPr="000366BF">
        <w:rPr>
          <w:rFonts w:asciiTheme="minorHAnsi" w:hAnsiTheme="minorHAnsi"/>
          <w:snapToGrid w:val="0"/>
        </w:rPr>
        <w:t>uncertain</w:t>
      </w:r>
      <w:r w:rsidR="00392B10">
        <w:rPr>
          <w:rFonts w:asciiTheme="minorHAnsi" w:hAnsiTheme="minorHAnsi"/>
          <w:snapToGrid w:val="0"/>
        </w:rPr>
        <w:t xml:space="preserve">. </w:t>
      </w:r>
    </w:p>
    <w:p w14:paraId="163A1B1D" w14:textId="608FC455" w:rsidR="00593219" w:rsidRPr="000366BF" w:rsidRDefault="00593219" w:rsidP="001A0E96">
      <w:pPr>
        <w:widowControl w:val="0"/>
        <w:numPr>
          <w:ilvl w:val="1"/>
          <w:numId w:val="1"/>
        </w:numPr>
        <w:spacing w:after="120"/>
        <w:ind w:left="720" w:hanging="720"/>
        <w:rPr>
          <w:rFonts w:asciiTheme="minorHAnsi" w:hAnsiTheme="minorHAnsi"/>
          <w:snapToGrid w:val="0"/>
        </w:rPr>
      </w:pPr>
      <w:bookmarkStart w:id="73" w:name="_Ref140588527"/>
      <w:r w:rsidRPr="000366BF">
        <w:rPr>
          <w:rFonts w:asciiTheme="minorHAnsi" w:hAnsiTheme="minorHAnsi"/>
          <w:snapToGrid w:val="0"/>
        </w:rPr>
        <w:t xml:space="preserve">The PBAC, noting that </w:t>
      </w:r>
      <w:r w:rsidR="00254D5C" w:rsidRPr="000366BF">
        <w:rPr>
          <w:rFonts w:asciiTheme="minorHAnsi" w:hAnsiTheme="minorHAnsi"/>
          <w:snapToGrid w:val="0"/>
        </w:rPr>
        <w:t>the</w:t>
      </w:r>
      <w:r w:rsidRPr="000366BF">
        <w:rPr>
          <w:rFonts w:asciiTheme="minorHAnsi" w:hAnsiTheme="minorHAnsi"/>
          <w:snapToGrid w:val="0"/>
        </w:rPr>
        <w:t xml:space="preserve"> time horizon of 25 years was long compared to the follow up in Study 301 of 5 years, considered that the approach applied in the submission which resulted in liposomal daunorubicin and cytarabine having a survival advantage at 25 years was highly uncertain given the lack of long-term evidence</w:t>
      </w:r>
      <w:r w:rsidR="00CA71C2" w:rsidRPr="000366BF">
        <w:rPr>
          <w:rFonts w:asciiTheme="minorHAnsi" w:hAnsiTheme="minorHAnsi"/>
          <w:snapToGrid w:val="0"/>
        </w:rPr>
        <w:t xml:space="preserve"> and the average age of patients entering the model (67.7 years)</w:t>
      </w:r>
      <w:r w:rsidRPr="000366BF">
        <w:rPr>
          <w:rFonts w:asciiTheme="minorHAnsi" w:hAnsiTheme="minorHAnsi"/>
          <w:snapToGrid w:val="0"/>
        </w:rPr>
        <w:t>. The PBAC</w:t>
      </w:r>
      <w:r w:rsidR="000366BF">
        <w:rPr>
          <w:rFonts w:asciiTheme="minorHAnsi" w:hAnsiTheme="minorHAnsi"/>
          <w:snapToGrid w:val="0"/>
        </w:rPr>
        <w:t xml:space="preserve">, noting </w:t>
      </w:r>
      <w:r w:rsidR="00E91F95" w:rsidRPr="000366BF">
        <w:rPr>
          <w:rFonts w:asciiTheme="minorHAnsi" w:hAnsiTheme="minorHAnsi"/>
          <w:snapToGrid w:val="0"/>
        </w:rPr>
        <w:t xml:space="preserve">that </w:t>
      </w:r>
      <w:r w:rsidR="000366BF">
        <w:rPr>
          <w:rFonts w:asciiTheme="minorHAnsi" w:hAnsiTheme="minorHAnsi"/>
          <w:snapToGrid w:val="0"/>
        </w:rPr>
        <w:t xml:space="preserve">long term </w:t>
      </w:r>
      <w:r w:rsidR="00E91F95" w:rsidRPr="000366BF">
        <w:rPr>
          <w:rFonts w:asciiTheme="minorHAnsi" w:hAnsiTheme="minorHAnsi"/>
          <w:snapToGrid w:val="0"/>
        </w:rPr>
        <w:t xml:space="preserve">survival </w:t>
      </w:r>
      <w:r w:rsidR="000366BF">
        <w:rPr>
          <w:rFonts w:asciiTheme="minorHAnsi" w:hAnsiTheme="minorHAnsi"/>
          <w:snapToGrid w:val="0"/>
        </w:rPr>
        <w:t>of HSCT recipients alive at 2 to 5 years post-transplant is generally good</w:t>
      </w:r>
      <w:r w:rsidR="00CD4C27" w:rsidRPr="000366BF">
        <w:rPr>
          <w:rFonts w:asciiTheme="minorHAnsi" w:hAnsiTheme="minorHAnsi"/>
          <w:snapToGrid w:val="0"/>
        </w:rPr>
        <w:t>,</w:t>
      </w:r>
      <w:r w:rsidR="00E91F95" w:rsidRPr="000366BF">
        <w:rPr>
          <w:rFonts w:asciiTheme="minorHAnsi" w:hAnsiTheme="minorHAnsi"/>
          <w:snapToGrid w:val="0"/>
        </w:rPr>
        <w:t xml:space="preserve"> </w:t>
      </w:r>
      <w:r w:rsidRPr="000366BF">
        <w:rPr>
          <w:rFonts w:asciiTheme="minorHAnsi" w:hAnsiTheme="minorHAnsi"/>
          <w:snapToGrid w:val="0"/>
        </w:rPr>
        <w:t xml:space="preserve">considered that </w:t>
      </w:r>
      <w:r w:rsidR="00E91F95" w:rsidRPr="000366BF">
        <w:rPr>
          <w:rFonts w:asciiTheme="minorHAnsi" w:hAnsiTheme="minorHAnsi"/>
          <w:snapToGrid w:val="0"/>
        </w:rPr>
        <w:t>the OS curves should converge within the 25 year model time horizon</w:t>
      </w:r>
      <w:r w:rsidRPr="000366BF">
        <w:rPr>
          <w:rFonts w:asciiTheme="minorHAnsi" w:hAnsiTheme="minorHAnsi"/>
          <w:snapToGrid w:val="0"/>
        </w:rPr>
        <w:t>.</w:t>
      </w:r>
      <w:bookmarkEnd w:id="73"/>
    </w:p>
    <w:p w14:paraId="485B8BED" w14:textId="0AD6AE9E" w:rsidR="00593219" w:rsidRPr="000366BF" w:rsidRDefault="00593219" w:rsidP="001A0E96">
      <w:pPr>
        <w:widowControl w:val="0"/>
        <w:numPr>
          <w:ilvl w:val="1"/>
          <w:numId w:val="1"/>
        </w:numPr>
        <w:spacing w:after="120"/>
        <w:ind w:left="720" w:hanging="720"/>
        <w:rPr>
          <w:rFonts w:asciiTheme="minorHAnsi" w:hAnsiTheme="minorHAnsi"/>
          <w:snapToGrid w:val="0"/>
        </w:rPr>
      </w:pPr>
      <w:bookmarkStart w:id="74" w:name="_Ref140588531"/>
      <w:r w:rsidRPr="000366BF">
        <w:rPr>
          <w:rFonts w:asciiTheme="minorHAnsi" w:hAnsiTheme="minorHAnsi"/>
          <w:snapToGrid w:val="0"/>
        </w:rPr>
        <w:t xml:space="preserve">Further, the PBAC noted that the costs associated with subsequent treatments, disease monitoring and management, supportive therapy, adverse events and pre- and post-HSCT costs were not included in the base case evaluation. </w:t>
      </w:r>
      <w:r w:rsidR="000D3599" w:rsidRPr="000366BF">
        <w:rPr>
          <w:rFonts w:asciiTheme="minorHAnsi" w:hAnsiTheme="minorHAnsi"/>
          <w:snapToGrid w:val="0"/>
        </w:rPr>
        <w:t xml:space="preserve">For the purposes </w:t>
      </w:r>
      <w:r w:rsidR="000D3599" w:rsidRPr="000366BF">
        <w:rPr>
          <w:rFonts w:asciiTheme="minorHAnsi" w:hAnsiTheme="minorHAnsi"/>
          <w:snapToGrid w:val="0"/>
        </w:rPr>
        <w:lastRenderedPageBreak/>
        <w:t>of an early re-entry submission, t</w:t>
      </w:r>
      <w:r w:rsidRPr="000366BF">
        <w:rPr>
          <w:rFonts w:asciiTheme="minorHAnsi" w:hAnsiTheme="minorHAnsi"/>
          <w:snapToGrid w:val="0"/>
        </w:rPr>
        <w:t xml:space="preserve">he PBAC </w:t>
      </w:r>
      <w:r w:rsidR="000D3599" w:rsidRPr="000366BF">
        <w:rPr>
          <w:rFonts w:asciiTheme="minorHAnsi" w:hAnsiTheme="minorHAnsi"/>
          <w:snapToGrid w:val="0"/>
        </w:rPr>
        <w:t>accepted</w:t>
      </w:r>
      <w:r w:rsidRPr="000366BF">
        <w:rPr>
          <w:rFonts w:asciiTheme="minorHAnsi" w:hAnsiTheme="minorHAnsi"/>
          <w:snapToGrid w:val="0"/>
        </w:rPr>
        <w:t xml:space="preserve"> the</w:t>
      </w:r>
      <w:r w:rsidR="000D3599" w:rsidRPr="000366BF">
        <w:rPr>
          <w:rFonts w:asciiTheme="minorHAnsi" w:hAnsiTheme="minorHAnsi"/>
          <w:snapToGrid w:val="0"/>
        </w:rPr>
        <w:t xml:space="preserve"> argument in the</w:t>
      </w:r>
      <w:r w:rsidRPr="000366BF">
        <w:rPr>
          <w:rFonts w:asciiTheme="minorHAnsi" w:hAnsiTheme="minorHAnsi"/>
          <w:snapToGrid w:val="0"/>
        </w:rPr>
        <w:t xml:space="preserve"> pre-Sub-Committee response that the sensitivity analysis in which the costs associated with HSCT were increased by 50% could be considered indicative of increasing the costs associated with liposomal daunorubicin and cytarabine treatment.</w:t>
      </w:r>
      <w:bookmarkEnd w:id="74"/>
      <w:r w:rsidRPr="000366BF">
        <w:rPr>
          <w:rFonts w:asciiTheme="minorHAnsi" w:hAnsiTheme="minorHAnsi"/>
          <w:snapToGrid w:val="0"/>
        </w:rPr>
        <w:t xml:space="preserve"> </w:t>
      </w:r>
    </w:p>
    <w:p w14:paraId="53E59460" w14:textId="452B7655" w:rsidR="00593219" w:rsidRPr="000366BF" w:rsidRDefault="00593219" w:rsidP="001A0E96">
      <w:pPr>
        <w:widowControl w:val="0"/>
        <w:numPr>
          <w:ilvl w:val="1"/>
          <w:numId w:val="1"/>
        </w:numPr>
        <w:spacing w:after="120"/>
        <w:ind w:left="720" w:hanging="720"/>
        <w:rPr>
          <w:rFonts w:asciiTheme="minorHAnsi" w:hAnsiTheme="minorHAnsi"/>
          <w:snapToGrid w:val="0"/>
        </w:rPr>
      </w:pPr>
      <w:bookmarkStart w:id="75" w:name="_Ref140653065"/>
      <w:r w:rsidRPr="000366BF">
        <w:rPr>
          <w:rFonts w:asciiTheme="minorHAnsi" w:hAnsiTheme="minorHAnsi"/>
          <w:snapToGrid w:val="0"/>
        </w:rPr>
        <w:t xml:space="preserve">The PBAC considered that liposomal daunorubicin and cytarabine could be considered cost effective if the base case was respecified to include the changes outlined in paragraphs </w:t>
      </w:r>
      <w:r w:rsidRPr="000366BF">
        <w:rPr>
          <w:rFonts w:asciiTheme="minorHAnsi" w:hAnsiTheme="minorHAnsi"/>
          <w:snapToGrid w:val="0"/>
        </w:rPr>
        <w:fldChar w:fldCharType="begin" w:fldLock="1"/>
      </w:r>
      <w:r w:rsidRPr="000366BF">
        <w:rPr>
          <w:rFonts w:asciiTheme="minorHAnsi" w:hAnsiTheme="minorHAnsi"/>
          <w:snapToGrid w:val="0"/>
        </w:rPr>
        <w:instrText xml:space="preserve"> REF _Ref140588527 \r \h </w:instrText>
      </w:r>
      <w:r w:rsidRPr="000366BF">
        <w:rPr>
          <w:rFonts w:asciiTheme="minorHAnsi" w:hAnsiTheme="minorHAnsi"/>
          <w:snapToGrid w:val="0"/>
        </w:rPr>
      </w:r>
      <w:r w:rsidRPr="000366BF">
        <w:rPr>
          <w:rFonts w:asciiTheme="minorHAnsi" w:hAnsiTheme="minorHAnsi"/>
          <w:snapToGrid w:val="0"/>
        </w:rPr>
        <w:fldChar w:fldCharType="separate"/>
      </w:r>
      <w:r w:rsidRPr="000366BF">
        <w:rPr>
          <w:rFonts w:asciiTheme="minorHAnsi" w:hAnsiTheme="minorHAnsi"/>
          <w:snapToGrid w:val="0"/>
        </w:rPr>
        <w:t>7.12</w:t>
      </w:r>
      <w:r w:rsidRPr="000366BF">
        <w:rPr>
          <w:rFonts w:asciiTheme="minorHAnsi" w:hAnsiTheme="minorHAnsi"/>
          <w:snapToGrid w:val="0"/>
        </w:rPr>
        <w:fldChar w:fldCharType="end"/>
      </w:r>
      <w:r w:rsidRPr="000366BF">
        <w:rPr>
          <w:rFonts w:asciiTheme="minorHAnsi" w:hAnsiTheme="minorHAnsi"/>
          <w:snapToGrid w:val="0"/>
        </w:rPr>
        <w:t xml:space="preserve"> and </w:t>
      </w:r>
      <w:r w:rsidRPr="000366BF">
        <w:rPr>
          <w:rFonts w:asciiTheme="minorHAnsi" w:hAnsiTheme="minorHAnsi"/>
          <w:snapToGrid w:val="0"/>
        </w:rPr>
        <w:fldChar w:fldCharType="begin" w:fldLock="1"/>
      </w:r>
      <w:r w:rsidRPr="000366BF">
        <w:rPr>
          <w:rFonts w:asciiTheme="minorHAnsi" w:hAnsiTheme="minorHAnsi"/>
          <w:snapToGrid w:val="0"/>
        </w:rPr>
        <w:instrText xml:space="preserve"> REF _Ref140588531 \r \h </w:instrText>
      </w:r>
      <w:r w:rsidRPr="000366BF">
        <w:rPr>
          <w:rFonts w:asciiTheme="minorHAnsi" w:hAnsiTheme="minorHAnsi"/>
          <w:snapToGrid w:val="0"/>
        </w:rPr>
      </w:r>
      <w:r w:rsidRPr="000366BF">
        <w:rPr>
          <w:rFonts w:asciiTheme="minorHAnsi" w:hAnsiTheme="minorHAnsi"/>
          <w:snapToGrid w:val="0"/>
        </w:rPr>
        <w:fldChar w:fldCharType="separate"/>
      </w:r>
      <w:r w:rsidRPr="000366BF">
        <w:rPr>
          <w:rFonts w:asciiTheme="minorHAnsi" w:hAnsiTheme="minorHAnsi"/>
          <w:snapToGrid w:val="0"/>
        </w:rPr>
        <w:t>7.13</w:t>
      </w:r>
      <w:r w:rsidRPr="000366BF">
        <w:rPr>
          <w:rFonts w:asciiTheme="minorHAnsi" w:hAnsiTheme="minorHAnsi"/>
          <w:snapToGrid w:val="0"/>
        </w:rPr>
        <w:fldChar w:fldCharType="end"/>
      </w:r>
      <w:r w:rsidRPr="000366BF">
        <w:rPr>
          <w:rFonts w:asciiTheme="minorHAnsi" w:hAnsiTheme="minorHAnsi"/>
          <w:snapToGrid w:val="0"/>
        </w:rPr>
        <w:t xml:space="preserve"> and the price of liposomal daunorubicin and cytarabine was reduced to result in an ICER of </w:t>
      </w:r>
      <w:r w:rsidR="000366BF" w:rsidRPr="000366BF">
        <w:rPr>
          <w:rFonts w:asciiTheme="minorHAnsi" w:hAnsiTheme="minorHAnsi"/>
          <w:snapToGrid w:val="0"/>
        </w:rPr>
        <w:t xml:space="preserve">no more than </w:t>
      </w:r>
      <w:r w:rsidRPr="000366BF">
        <w:rPr>
          <w:rFonts w:asciiTheme="minorHAnsi" w:hAnsiTheme="minorHAnsi"/>
          <w:snapToGrid w:val="0"/>
        </w:rPr>
        <w:t>$</w:t>
      </w:r>
      <w:r w:rsidR="000366BF" w:rsidRPr="000366BF">
        <w:rPr>
          <w:rFonts w:asciiTheme="minorHAnsi" w:hAnsiTheme="minorHAnsi"/>
          <w:snapToGrid w:val="0"/>
        </w:rPr>
        <w:t>60,000</w:t>
      </w:r>
      <w:r w:rsidRPr="000366BF">
        <w:rPr>
          <w:rFonts w:asciiTheme="minorHAnsi" w:hAnsiTheme="minorHAnsi"/>
          <w:snapToGrid w:val="0"/>
        </w:rPr>
        <w:t xml:space="preserve"> per QALY</w:t>
      </w:r>
      <w:r w:rsidR="00880371" w:rsidRPr="000366BF">
        <w:rPr>
          <w:rFonts w:asciiTheme="minorHAnsi" w:hAnsiTheme="minorHAnsi"/>
          <w:snapToGrid w:val="0"/>
        </w:rPr>
        <w:t xml:space="preserve"> to account for other uncertainties such as </w:t>
      </w:r>
      <w:r w:rsidR="00B77FB2" w:rsidRPr="000366BF">
        <w:rPr>
          <w:rFonts w:asciiTheme="minorHAnsi" w:hAnsiTheme="minorHAnsi"/>
          <w:snapToGrid w:val="0"/>
        </w:rPr>
        <w:t xml:space="preserve">the concerns regarding the applicability of </w:t>
      </w:r>
      <w:r w:rsidR="00FD760C" w:rsidRPr="000366BF">
        <w:rPr>
          <w:rFonts w:asciiTheme="minorHAnsi" w:hAnsiTheme="minorHAnsi"/>
          <w:snapToGrid w:val="0"/>
        </w:rPr>
        <w:t xml:space="preserve">the second induction and consolidation therapy received in </w:t>
      </w:r>
      <w:r w:rsidR="00B77FB2" w:rsidRPr="000366BF">
        <w:rPr>
          <w:rFonts w:asciiTheme="minorHAnsi" w:hAnsiTheme="minorHAnsi"/>
          <w:snapToGrid w:val="0"/>
        </w:rPr>
        <w:t xml:space="preserve">Study 301 </w:t>
      </w:r>
      <w:r w:rsidR="009C6450" w:rsidRPr="000366BF">
        <w:rPr>
          <w:rFonts w:asciiTheme="minorHAnsi" w:hAnsiTheme="minorHAnsi"/>
          <w:snapToGrid w:val="0"/>
        </w:rPr>
        <w:t>to</w:t>
      </w:r>
      <w:r w:rsidR="00FD760C" w:rsidRPr="000366BF">
        <w:rPr>
          <w:rFonts w:asciiTheme="minorHAnsi" w:hAnsiTheme="minorHAnsi"/>
          <w:snapToGrid w:val="0"/>
        </w:rPr>
        <w:t xml:space="preserve"> Australian clinical practice</w:t>
      </w:r>
      <w:r w:rsidR="00C21834" w:rsidRPr="000366BF">
        <w:rPr>
          <w:rFonts w:asciiTheme="minorHAnsi" w:hAnsiTheme="minorHAnsi"/>
          <w:snapToGrid w:val="0"/>
        </w:rPr>
        <w:t>,</w:t>
      </w:r>
      <w:r w:rsidR="00B77FB2" w:rsidRPr="000366BF">
        <w:rPr>
          <w:rFonts w:asciiTheme="minorHAnsi" w:hAnsiTheme="minorHAnsi"/>
          <w:snapToGrid w:val="0"/>
        </w:rPr>
        <w:t xml:space="preserve"> the high utility applied to patients who survived beyond 3 years (0.80)</w:t>
      </w:r>
      <w:r w:rsidR="00C21834" w:rsidRPr="000366BF">
        <w:rPr>
          <w:rFonts w:asciiTheme="minorHAnsi" w:hAnsiTheme="minorHAnsi"/>
          <w:snapToGrid w:val="0"/>
        </w:rPr>
        <w:t xml:space="preserve"> and the residual uncertainty associated with the fact that the trial patients in the comparator arm received daunorubicin whereas Australian patients receive idarubicin</w:t>
      </w:r>
      <w:r w:rsidRPr="000366BF">
        <w:rPr>
          <w:rFonts w:asciiTheme="minorHAnsi" w:hAnsiTheme="minorHAnsi"/>
          <w:snapToGrid w:val="0"/>
        </w:rPr>
        <w:t>.</w:t>
      </w:r>
      <w:bookmarkEnd w:id="75"/>
    </w:p>
    <w:p w14:paraId="2A3F39C1" w14:textId="6CEAE455" w:rsidR="00593219" w:rsidRPr="000366BF" w:rsidRDefault="00593219" w:rsidP="001A0E96">
      <w:pPr>
        <w:widowControl w:val="0"/>
        <w:numPr>
          <w:ilvl w:val="1"/>
          <w:numId w:val="1"/>
        </w:numPr>
        <w:spacing w:after="120"/>
        <w:ind w:left="720" w:hanging="720"/>
        <w:rPr>
          <w:rFonts w:asciiTheme="minorHAnsi" w:hAnsiTheme="minorHAnsi"/>
          <w:snapToGrid w:val="0"/>
        </w:rPr>
      </w:pPr>
      <w:bookmarkStart w:id="76" w:name="_Ref140653105"/>
      <w:r w:rsidRPr="000366BF">
        <w:rPr>
          <w:rFonts w:asciiTheme="minorHAnsi" w:hAnsiTheme="minorHAnsi"/>
          <w:snapToGrid w:val="0"/>
        </w:rPr>
        <w:t>In terms of the utilisation and financial impact estimates, the PBAC agreed with DUSC and considered that they were uncertain, particularly in terms of uptake rates (underestimated for first induction and overestimated for second induction)</w:t>
      </w:r>
      <w:r w:rsidR="00C21834" w:rsidRPr="000366BF">
        <w:rPr>
          <w:rFonts w:asciiTheme="minorHAnsi" w:hAnsiTheme="minorHAnsi"/>
          <w:snapToGrid w:val="0"/>
        </w:rPr>
        <w:t>, the</w:t>
      </w:r>
      <w:r w:rsidR="00CD4C27" w:rsidRPr="000366BF">
        <w:rPr>
          <w:rFonts w:asciiTheme="minorHAnsi" w:hAnsiTheme="minorHAnsi"/>
          <w:snapToGrid w:val="0"/>
        </w:rPr>
        <w:t xml:space="preserve"> potential inclusion of m</w:t>
      </w:r>
      <w:r w:rsidR="00C21834" w:rsidRPr="000366BF">
        <w:rPr>
          <w:rFonts w:asciiTheme="minorHAnsi" w:hAnsiTheme="minorHAnsi"/>
          <w:snapToGrid w:val="0"/>
        </w:rPr>
        <w:t xml:space="preserve">idostaurin suitable patients </w:t>
      </w:r>
      <w:r w:rsidR="00CD4C27" w:rsidRPr="000366BF">
        <w:rPr>
          <w:rFonts w:asciiTheme="minorHAnsi" w:hAnsiTheme="minorHAnsi"/>
          <w:snapToGrid w:val="0"/>
        </w:rPr>
        <w:t xml:space="preserve">in the estimates </w:t>
      </w:r>
      <w:r w:rsidR="00B77FB2" w:rsidRPr="000366BF">
        <w:rPr>
          <w:rFonts w:asciiTheme="minorHAnsi" w:hAnsiTheme="minorHAnsi"/>
          <w:snapToGrid w:val="0"/>
        </w:rPr>
        <w:t>and</w:t>
      </w:r>
      <w:r w:rsidRPr="000366BF">
        <w:rPr>
          <w:rFonts w:asciiTheme="minorHAnsi" w:hAnsiTheme="minorHAnsi"/>
          <w:snapToGrid w:val="0"/>
        </w:rPr>
        <w:t xml:space="preserve"> use in the private and public hospital settings (underestimated in both). Further, the PBAC considered that use in the private and public hospital settings should align with that previously accepted for gemtuzumab (</w:t>
      </w:r>
      <w:r w:rsidR="00B77FB2" w:rsidRPr="000366BF">
        <w:rPr>
          <w:rFonts w:asciiTheme="minorHAnsi" w:hAnsiTheme="minorHAnsi"/>
          <w:snapToGrid w:val="0"/>
        </w:rPr>
        <w:t xml:space="preserve">i.e. 17% and 83% respectively, </w:t>
      </w:r>
      <w:r w:rsidRPr="000366BF">
        <w:rPr>
          <w:rFonts w:asciiTheme="minorHAnsi" w:hAnsiTheme="minorHAnsi"/>
          <w:snapToGrid w:val="0"/>
        </w:rPr>
        <w:t>paragraph 6.102, gemtuzumab ozogamicin, November 2021).</w:t>
      </w:r>
      <w:bookmarkEnd w:id="76"/>
    </w:p>
    <w:p w14:paraId="3F3AEBC8" w14:textId="21AFCDAB" w:rsidR="00B77FB2" w:rsidRPr="000366BF" w:rsidRDefault="00B77FB2" w:rsidP="00B77FB2">
      <w:pPr>
        <w:widowControl w:val="0"/>
        <w:numPr>
          <w:ilvl w:val="1"/>
          <w:numId w:val="1"/>
        </w:numPr>
        <w:spacing w:after="120"/>
        <w:ind w:left="720" w:hanging="720"/>
        <w:rPr>
          <w:rFonts w:asciiTheme="minorHAnsi" w:hAnsiTheme="minorHAnsi"/>
          <w:snapToGrid w:val="0"/>
        </w:rPr>
      </w:pPr>
      <w:bookmarkStart w:id="77" w:name="_Ref140653126"/>
      <w:r w:rsidRPr="000366BF">
        <w:rPr>
          <w:rFonts w:asciiTheme="minorHAnsi" w:hAnsiTheme="minorHAnsi"/>
          <w:snapToGrid w:val="0"/>
        </w:rPr>
        <w:t>The PBAC considered that any future restriction should include a criteri</w:t>
      </w:r>
      <w:r w:rsidR="00CA71C2" w:rsidRPr="000366BF">
        <w:rPr>
          <w:rFonts w:asciiTheme="minorHAnsi" w:hAnsiTheme="minorHAnsi"/>
          <w:snapToGrid w:val="0"/>
        </w:rPr>
        <w:t>on</w:t>
      </w:r>
      <w:r w:rsidRPr="000366BF">
        <w:rPr>
          <w:rFonts w:asciiTheme="minorHAnsi" w:hAnsiTheme="minorHAnsi"/>
          <w:snapToGrid w:val="0"/>
        </w:rPr>
        <w:t xml:space="preserve"> that prevents treatment in patients with favourable risk cytogenetics,</w:t>
      </w:r>
      <w:r w:rsidR="00C21834" w:rsidRPr="000366BF">
        <w:rPr>
          <w:rFonts w:asciiTheme="minorHAnsi" w:hAnsiTheme="minorHAnsi"/>
          <w:snapToGrid w:val="0"/>
        </w:rPr>
        <w:t xml:space="preserve"> exclude patients who are FLT3 mutation positive</w:t>
      </w:r>
      <w:r w:rsidRPr="000366BF">
        <w:rPr>
          <w:rFonts w:asciiTheme="minorHAnsi" w:hAnsiTheme="minorHAnsi"/>
          <w:snapToGrid w:val="0"/>
        </w:rPr>
        <w:t xml:space="preserve"> and be age agnostic.</w:t>
      </w:r>
      <w:bookmarkEnd w:id="72"/>
      <w:bookmarkEnd w:id="77"/>
    </w:p>
    <w:p w14:paraId="4BB186BF" w14:textId="0CFF112E" w:rsidR="00B77FB2" w:rsidRPr="000366BF" w:rsidRDefault="001A0E96" w:rsidP="00B77FB2">
      <w:pPr>
        <w:widowControl w:val="0"/>
        <w:numPr>
          <w:ilvl w:val="1"/>
          <w:numId w:val="1"/>
        </w:numPr>
        <w:spacing w:after="120"/>
        <w:ind w:left="720" w:hanging="720"/>
        <w:rPr>
          <w:rFonts w:asciiTheme="minorHAnsi" w:hAnsiTheme="minorHAnsi"/>
          <w:snapToGrid w:val="0"/>
        </w:rPr>
      </w:pPr>
      <w:r w:rsidRPr="000366BF">
        <w:rPr>
          <w:rFonts w:asciiTheme="minorHAnsi" w:hAnsiTheme="minorHAnsi"/>
          <w:snapToGrid w:val="0"/>
        </w:rPr>
        <w:t xml:space="preserve">The PBAC considered the outstanding issues could be easily resolved in a simple resubmission for </w:t>
      </w:r>
      <w:r w:rsidR="00B77FB2" w:rsidRPr="000366BF">
        <w:rPr>
          <w:rFonts w:asciiTheme="minorHAnsi" w:hAnsiTheme="minorHAnsi"/>
          <w:snapToGrid w:val="0"/>
        </w:rPr>
        <w:t>liposomal daunorubicin and cytarabine</w:t>
      </w:r>
      <w:r w:rsidRPr="000366BF">
        <w:rPr>
          <w:rFonts w:asciiTheme="minorHAnsi" w:hAnsiTheme="minorHAnsi"/>
          <w:snapToGrid w:val="0"/>
        </w:rPr>
        <w:t xml:space="preserve"> using the early re-entry pathway. If the sponsor accepts this pathway, the following changes may address these outstanding issues without requiring further re-evaluation</w:t>
      </w:r>
      <w:r w:rsidR="00B77FB2" w:rsidRPr="000366BF">
        <w:rPr>
          <w:rFonts w:asciiTheme="minorHAnsi" w:hAnsiTheme="minorHAnsi"/>
          <w:snapToGrid w:val="0"/>
        </w:rPr>
        <w:t>:</w:t>
      </w:r>
    </w:p>
    <w:p w14:paraId="7DD43388" w14:textId="51DDDBAD" w:rsidR="00B77FB2" w:rsidRPr="000366BF" w:rsidRDefault="00B77FB2" w:rsidP="00B77FB2">
      <w:pPr>
        <w:widowControl w:val="0"/>
        <w:numPr>
          <w:ilvl w:val="1"/>
          <w:numId w:val="34"/>
        </w:numPr>
        <w:spacing w:after="120"/>
        <w:ind w:left="1080" w:hanging="360"/>
        <w:rPr>
          <w:rFonts w:asciiTheme="minorHAnsi" w:hAnsiTheme="minorHAnsi"/>
          <w:snapToGrid w:val="0"/>
        </w:rPr>
      </w:pPr>
      <w:r w:rsidRPr="000366BF">
        <w:rPr>
          <w:rFonts w:asciiTheme="minorHAnsi" w:hAnsiTheme="minorHAnsi"/>
          <w:snapToGrid w:val="0"/>
        </w:rPr>
        <w:t xml:space="preserve">Present a revised economic model as per paragraph </w:t>
      </w:r>
      <w:r w:rsidRPr="000366BF">
        <w:rPr>
          <w:rFonts w:asciiTheme="minorHAnsi" w:hAnsiTheme="minorHAnsi"/>
          <w:snapToGrid w:val="0"/>
        </w:rPr>
        <w:fldChar w:fldCharType="begin" w:fldLock="1"/>
      </w:r>
      <w:r w:rsidRPr="000366BF">
        <w:rPr>
          <w:rFonts w:asciiTheme="minorHAnsi" w:hAnsiTheme="minorHAnsi"/>
          <w:snapToGrid w:val="0"/>
        </w:rPr>
        <w:instrText xml:space="preserve"> REF _Ref140653065 \r \h </w:instrText>
      </w:r>
      <w:r w:rsidRPr="000366BF">
        <w:rPr>
          <w:rFonts w:asciiTheme="minorHAnsi" w:hAnsiTheme="minorHAnsi"/>
          <w:snapToGrid w:val="0"/>
        </w:rPr>
      </w:r>
      <w:r w:rsidRPr="000366BF">
        <w:rPr>
          <w:rFonts w:asciiTheme="minorHAnsi" w:hAnsiTheme="minorHAnsi"/>
          <w:snapToGrid w:val="0"/>
        </w:rPr>
        <w:fldChar w:fldCharType="separate"/>
      </w:r>
      <w:r w:rsidRPr="000366BF">
        <w:rPr>
          <w:rFonts w:asciiTheme="minorHAnsi" w:hAnsiTheme="minorHAnsi"/>
          <w:snapToGrid w:val="0"/>
        </w:rPr>
        <w:t>7.13</w:t>
      </w:r>
      <w:r w:rsidRPr="000366BF">
        <w:rPr>
          <w:rFonts w:asciiTheme="minorHAnsi" w:hAnsiTheme="minorHAnsi"/>
          <w:snapToGrid w:val="0"/>
        </w:rPr>
        <w:fldChar w:fldCharType="end"/>
      </w:r>
      <w:r w:rsidRPr="000366BF">
        <w:rPr>
          <w:rFonts w:asciiTheme="minorHAnsi" w:hAnsiTheme="minorHAnsi"/>
          <w:snapToGrid w:val="0"/>
        </w:rPr>
        <w:t>;</w:t>
      </w:r>
    </w:p>
    <w:p w14:paraId="50CC9256" w14:textId="23A577DF" w:rsidR="00B77FB2" w:rsidRPr="000366BF" w:rsidRDefault="00B77FB2" w:rsidP="00B77FB2">
      <w:pPr>
        <w:widowControl w:val="0"/>
        <w:numPr>
          <w:ilvl w:val="1"/>
          <w:numId w:val="34"/>
        </w:numPr>
        <w:spacing w:after="120"/>
        <w:ind w:left="1080" w:hanging="360"/>
        <w:rPr>
          <w:rFonts w:asciiTheme="minorHAnsi" w:hAnsiTheme="minorHAnsi"/>
          <w:snapToGrid w:val="0"/>
        </w:rPr>
      </w:pPr>
      <w:r w:rsidRPr="000366BF">
        <w:rPr>
          <w:rFonts w:asciiTheme="minorHAnsi" w:hAnsiTheme="minorHAnsi"/>
          <w:snapToGrid w:val="0"/>
        </w:rPr>
        <w:t xml:space="preserve">Present revised financial impact estimates as per paragraph </w:t>
      </w:r>
      <w:r w:rsidRPr="000366BF">
        <w:rPr>
          <w:rFonts w:asciiTheme="minorHAnsi" w:hAnsiTheme="minorHAnsi"/>
          <w:snapToGrid w:val="0"/>
        </w:rPr>
        <w:fldChar w:fldCharType="begin" w:fldLock="1"/>
      </w:r>
      <w:r w:rsidRPr="000366BF">
        <w:rPr>
          <w:rFonts w:asciiTheme="minorHAnsi" w:hAnsiTheme="minorHAnsi"/>
          <w:snapToGrid w:val="0"/>
        </w:rPr>
        <w:instrText xml:space="preserve"> REF _Ref140653105 \r \h </w:instrText>
      </w:r>
      <w:r w:rsidRPr="000366BF">
        <w:rPr>
          <w:rFonts w:asciiTheme="minorHAnsi" w:hAnsiTheme="minorHAnsi"/>
          <w:snapToGrid w:val="0"/>
        </w:rPr>
      </w:r>
      <w:r w:rsidRPr="000366BF">
        <w:rPr>
          <w:rFonts w:asciiTheme="minorHAnsi" w:hAnsiTheme="minorHAnsi"/>
          <w:snapToGrid w:val="0"/>
        </w:rPr>
        <w:fldChar w:fldCharType="separate"/>
      </w:r>
      <w:r w:rsidRPr="000366BF">
        <w:rPr>
          <w:rFonts w:asciiTheme="minorHAnsi" w:hAnsiTheme="minorHAnsi"/>
          <w:snapToGrid w:val="0"/>
        </w:rPr>
        <w:t>7.14</w:t>
      </w:r>
      <w:r w:rsidRPr="000366BF">
        <w:rPr>
          <w:rFonts w:asciiTheme="minorHAnsi" w:hAnsiTheme="minorHAnsi"/>
          <w:snapToGrid w:val="0"/>
        </w:rPr>
        <w:fldChar w:fldCharType="end"/>
      </w:r>
      <w:r w:rsidR="000366BF">
        <w:rPr>
          <w:rFonts w:asciiTheme="minorHAnsi" w:hAnsiTheme="minorHAnsi"/>
          <w:snapToGrid w:val="0"/>
        </w:rPr>
        <w:t xml:space="preserve"> </w:t>
      </w:r>
      <w:r w:rsidR="00066DC4">
        <w:rPr>
          <w:rFonts w:asciiTheme="minorHAnsi" w:hAnsiTheme="minorHAnsi"/>
          <w:snapToGrid w:val="0"/>
        </w:rPr>
        <w:t xml:space="preserve">and </w:t>
      </w:r>
      <w:r w:rsidR="000366BF">
        <w:rPr>
          <w:rFonts w:asciiTheme="minorHAnsi" w:hAnsiTheme="minorHAnsi"/>
          <w:snapToGrid w:val="0"/>
        </w:rPr>
        <w:t>using the standard approach and workbook</w:t>
      </w:r>
      <w:r w:rsidRPr="000366BF">
        <w:rPr>
          <w:rFonts w:asciiTheme="minorHAnsi" w:hAnsiTheme="minorHAnsi"/>
          <w:snapToGrid w:val="0"/>
        </w:rPr>
        <w:t xml:space="preserve">; and </w:t>
      </w:r>
    </w:p>
    <w:p w14:paraId="3026B02E" w14:textId="5A3A6B48" w:rsidR="00B77FB2" w:rsidRPr="000366BF" w:rsidRDefault="00B77FB2" w:rsidP="00B77FB2">
      <w:pPr>
        <w:widowControl w:val="0"/>
        <w:numPr>
          <w:ilvl w:val="1"/>
          <w:numId w:val="34"/>
        </w:numPr>
        <w:spacing w:after="120"/>
        <w:ind w:left="1080" w:hanging="360"/>
        <w:rPr>
          <w:rFonts w:asciiTheme="minorHAnsi" w:hAnsiTheme="minorHAnsi"/>
          <w:snapToGrid w:val="0"/>
        </w:rPr>
      </w:pPr>
      <w:r w:rsidRPr="000366BF">
        <w:rPr>
          <w:rFonts w:asciiTheme="minorHAnsi" w:hAnsiTheme="minorHAnsi"/>
          <w:snapToGrid w:val="0"/>
        </w:rPr>
        <w:t xml:space="preserve">Present a revised restriction as per paragraph </w:t>
      </w:r>
      <w:r w:rsidRPr="000366BF">
        <w:rPr>
          <w:rFonts w:asciiTheme="minorHAnsi" w:hAnsiTheme="minorHAnsi"/>
          <w:snapToGrid w:val="0"/>
        </w:rPr>
        <w:fldChar w:fldCharType="begin" w:fldLock="1"/>
      </w:r>
      <w:r w:rsidRPr="000366BF">
        <w:rPr>
          <w:rFonts w:asciiTheme="minorHAnsi" w:hAnsiTheme="minorHAnsi"/>
          <w:snapToGrid w:val="0"/>
        </w:rPr>
        <w:instrText xml:space="preserve"> REF _Ref140653126 \r \h </w:instrText>
      </w:r>
      <w:r w:rsidRPr="000366BF">
        <w:rPr>
          <w:rFonts w:asciiTheme="minorHAnsi" w:hAnsiTheme="minorHAnsi"/>
          <w:snapToGrid w:val="0"/>
        </w:rPr>
      </w:r>
      <w:r w:rsidRPr="000366BF">
        <w:rPr>
          <w:rFonts w:asciiTheme="minorHAnsi" w:hAnsiTheme="minorHAnsi"/>
          <w:snapToGrid w:val="0"/>
        </w:rPr>
        <w:fldChar w:fldCharType="separate"/>
      </w:r>
      <w:r w:rsidRPr="000366BF">
        <w:rPr>
          <w:rFonts w:asciiTheme="minorHAnsi" w:hAnsiTheme="minorHAnsi"/>
          <w:snapToGrid w:val="0"/>
        </w:rPr>
        <w:t>7.15</w:t>
      </w:r>
      <w:r w:rsidRPr="000366BF">
        <w:rPr>
          <w:rFonts w:asciiTheme="minorHAnsi" w:hAnsiTheme="minorHAnsi"/>
          <w:snapToGrid w:val="0"/>
        </w:rPr>
        <w:fldChar w:fldCharType="end"/>
      </w:r>
      <w:r w:rsidRPr="000366BF">
        <w:rPr>
          <w:rFonts w:asciiTheme="minorHAnsi" w:hAnsiTheme="minorHAnsi"/>
          <w:snapToGrid w:val="0"/>
        </w:rPr>
        <w:t>.</w:t>
      </w:r>
    </w:p>
    <w:p w14:paraId="0E22A547" w14:textId="77777777" w:rsidR="00B77FB2" w:rsidRPr="000366BF" w:rsidRDefault="001A0E96" w:rsidP="00B77FB2">
      <w:pPr>
        <w:widowControl w:val="0"/>
        <w:numPr>
          <w:ilvl w:val="1"/>
          <w:numId w:val="1"/>
        </w:numPr>
        <w:spacing w:after="120"/>
        <w:ind w:left="720" w:hanging="720"/>
        <w:rPr>
          <w:rFonts w:asciiTheme="minorHAnsi" w:hAnsiTheme="minorHAnsi"/>
          <w:snapToGrid w:val="0"/>
        </w:rPr>
      </w:pPr>
      <w:r w:rsidRPr="000366BF">
        <w:rPr>
          <w:rFonts w:asciiTheme="minorHAnsi" w:hAnsiTheme="minorHAnsi"/>
          <w:bCs/>
          <w:snapToGrid w:val="0"/>
        </w:rPr>
        <w:t xml:space="preserve">The PBAC noted that this submission is eligible for an Independent Review. </w:t>
      </w:r>
    </w:p>
    <w:p w14:paraId="27DDAECD" w14:textId="77777777" w:rsidR="00EA163B" w:rsidRDefault="00EA163B" w:rsidP="00B77FB2">
      <w:pPr>
        <w:widowControl w:val="0"/>
        <w:spacing w:after="120"/>
        <w:rPr>
          <w:rFonts w:asciiTheme="minorHAnsi" w:hAnsiTheme="minorHAnsi"/>
          <w:b/>
          <w:bCs/>
          <w:snapToGrid w:val="0"/>
        </w:rPr>
      </w:pPr>
    </w:p>
    <w:p w14:paraId="4FD4E749" w14:textId="1E867906" w:rsidR="001A0E96" w:rsidRPr="000366BF" w:rsidRDefault="001A0E96" w:rsidP="00B77FB2">
      <w:pPr>
        <w:widowControl w:val="0"/>
        <w:spacing w:after="120"/>
        <w:rPr>
          <w:rFonts w:asciiTheme="minorHAnsi" w:hAnsiTheme="minorHAnsi"/>
          <w:snapToGrid w:val="0"/>
        </w:rPr>
      </w:pPr>
      <w:r w:rsidRPr="000366BF">
        <w:rPr>
          <w:rFonts w:asciiTheme="minorHAnsi" w:hAnsiTheme="minorHAnsi"/>
          <w:b/>
          <w:bCs/>
          <w:snapToGrid w:val="0"/>
        </w:rPr>
        <w:t>Outcome:</w:t>
      </w:r>
    </w:p>
    <w:p w14:paraId="35B9B91B" w14:textId="4CA74DC0" w:rsidR="001A0E96" w:rsidRPr="000366BF" w:rsidRDefault="001A0E96" w:rsidP="001A0E96">
      <w:pPr>
        <w:rPr>
          <w:rFonts w:asciiTheme="minorHAnsi" w:hAnsiTheme="minorHAnsi"/>
          <w:bCs/>
          <w:snapToGrid w:val="0"/>
        </w:rPr>
      </w:pPr>
      <w:r w:rsidRPr="000366BF">
        <w:rPr>
          <w:rFonts w:asciiTheme="minorHAnsi" w:hAnsiTheme="minorHAnsi"/>
          <w:bCs/>
          <w:snapToGrid w:val="0"/>
        </w:rPr>
        <w:t xml:space="preserve">Not recommended </w:t>
      </w:r>
    </w:p>
    <w:p w14:paraId="30FF15A1" w14:textId="77777777" w:rsidR="001A0E96" w:rsidRPr="00392B10" w:rsidRDefault="001A0E96" w:rsidP="001A0E96">
      <w:pPr>
        <w:widowControl w:val="0"/>
        <w:rPr>
          <w:rFonts w:asciiTheme="minorHAnsi" w:hAnsiTheme="minorHAnsi"/>
          <w:b/>
          <w:bCs/>
          <w:snapToGrid w:val="0"/>
        </w:rPr>
      </w:pPr>
    </w:p>
    <w:bookmarkEnd w:id="70"/>
    <w:bookmarkEnd w:id="71"/>
    <w:p w14:paraId="49566415" w14:textId="48CD9469" w:rsidR="003F1890" w:rsidRPr="003F1890" w:rsidRDefault="003F1890" w:rsidP="003F1890">
      <w:pPr>
        <w:pStyle w:val="COMH1numbered"/>
      </w:pPr>
      <w:r w:rsidRPr="00C07617">
        <w:lastRenderedPageBreak/>
        <w:t>Context for Decision</w:t>
      </w:r>
    </w:p>
    <w:p w14:paraId="124A53B2" w14:textId="77777777" w:rsidR="003F1890" w:rsidRPr="007129F2" w:rsidRDefault="003F1890" w:rsidP="003F1890">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87993E1" w14:textId="4BE80593" w:rsidR="003F1890" w:rsidRPr="003F1890" w:rsidRDefault="003F1890" w:rsidP="003F1890">
      <w:pPr>
        <w:pStyle w:val="COMH1numbered"/>
      </w:pPr>
      <w:r>
        <w:t>Sponsor’s Comment</w:t>
      </w:r>
    </w:p>
    <w:p w14:paraId="38A38D8E" w14:textId="77777777" w:rsidR="003F1890" w:rsidRPr="001179AC" w:rsidRDefault="003F1890" w:rsidP="003F1890">
      <w:pPr>
        <w:spacing w:after="120"/>
        <w:ind w:left="426" w:firstLine="294"/>
        <w:rPr>
          <w:rFonts w:asciiTheme="minorHAnsi" w:hAnsiTheme="minorHAnsi"/>
          <w:bCs/>
        </w:rPr>
      </w:pPr>
      <w:r w:rsidRPr="00C07617">
        <w:rPr>
          <w:rFonts w:asciiTheme="minorHAnsi" w:hAnsiTheme="minorHAnsi"/>
          <w:bCs/>
        </w:rPr>
        <w:t>The sponsor had no comment.</w:t>
      </w:r>
    </w:p>
    <w:sectPr w:rsidR="003F1890" w:rsidRPr="001179AC" w:rsidSect="00524286">
      <w:headerReference w:type="default" r:id="rId17"/>
      <w:footerReference w:type="default" r:id="rId18"/>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40C5E" w14:textId="77777777" w:rsidR="003E19EA" w:rsidRDefault="003E19EA" w:rsidP="00124A51">
      <w:r>
        <w:separator/>
      </w:r>
    </w:p>
    <w:p w14:paraId="610B5DF8" w14:textId="77777777" w:rsidR="003E19EA" w:rsidRDefault="003E19EA"/>
    <w:p w14:paraId="0C20DB8C" w14:textId="77777777" w:rsidR="003E19EA" w:rsidRDefault="003E19EA"/>
  </w:endnote>
  <w:endnote w:type="continuationSeparator" w:id="0">
    <w:p w14:paraId="23D59035" w14:textId="77777777" w:rsidR="003E19EA" w:rsidRDefault="003E19EA" w:rsidP="00124A51">
      <w:r>
        <w:continuationSeparator/>
      </w:r>
    </w:p>
    <w:p w14:paraId="530A0BCF" w14:textId="77777777" w:rsidR="003E19EA" w:rsidRDefault="003E19EA"/>
    <w:p w14:paraId="4373D3C6" w14:textId="77777777" w:rsidR="003E19EA" w:rsidRDefault="003E1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NYXB U+ Gotham HTF">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7A61F" w14:textId="77777777" w:rsidR="00D11FE4" w:rsidRDefault="00D11FE4" w:rsidP="00753B29">
    <w:pPr>
      <w:jc w:val="center"/>
    </w:pPr>
  </w:p>
  <w:p w14:paraId="6B3CC1A2" w14:textId="7585A804" w:rsidR="00D11FE4" w:rsidRPr="006566B8" w:rsidRDefault="00795A1F" w:rsidP="00753B29">
    <w:pPr>
      <w:jc w:val="center"/>
      <w:rPr>
        <w:b/>
        <w:bCs/>
      </w:rPr>
    </w:pPr>
    <w:sdt>
      <w:sdtPr>
        <w:rPr>
          <w:b/>
          <w:bCs/>
        </w:rPr>
        <w:id w:val="-1288351000"/>
        <w:docPartObj>
          <w:docPartGallery w:val="Page Numbers (Bottom of Page)"/>
          <w:docPartUnique/>
        </w:docPartObj>
      </w:sdtPr>
      <w:sdtEndPr>
        <w:rPr>
          <w:noProof/>
        </w:rPr>
      </w:sdtEndPr>
      <w:sdtContent>
        <w:r w:rsidR="00D11FE4" w:rsidRPr="006566B8">
          <w:rPr>
            <w:b/>
            <w:bCs/>
          </w:rPr>
          <w:fldChar w:fldCharType="begin"/>
        </w:r>
        <w:r w:rsidR="00D11FE4" w:rsidRPr="006566B8">
          <w:rPr>
            <w:b/>
            <w:bCs/>
          </w:rPr>
          <w:instrText xml:space="preserve"> PAGE   \* MERGEFORMAT </w:instrText>
        </w:r>
        <w:r w:rsidR="00D11FE4" w:rsidRPr="006566B8">
          <w:rPr>
            <w:b/>
            <w:bCs/>
          </w:rPr>
          <w:fldChar w:fldCharType="separate"/>
        </w:r>
        <w:r w:rsidR="00D11FE4" w:rsidRPr="006566B8">
          <w:rPr>
            <w:b/>
            <w:bCs/>
            <w:noProof/>
          </w:rPr>
          <w:t>2</w:t>
        </w:r>
        <w:r w:rsidR="00D11FE4" w:rsidRPr="006566B8">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13F32" w14:textId="77777777" w:rsidR="003E19EA" w:rsidRDefault="003E19EA" w:rsidP="00124A51">
      <w:r>
        <w:separator/>
      </w:r>
    </w:p>
    <w:p w14:paraId="07A2457F" w14:textId="77777777" w:rsidR="003E19EA" w:rsidRDefault="003E19EA"/>
    <w:p w14:paraId="7750D4ED" w14:textId="77777777" w:rsidR="003E19EA" w:rsidRDefault="003E19EA"/>
  </w:footnote>
  <w:footnote w:type="continuationSeparator" w:id="0">
    <w:p w14:paraId="36000715" w14:textId="77777777" w:rsidR="003E19EA" w:rsidRDefault="003E19EA" w:rsidP="00124A51">
      <w:r>
        <w:continuationSeparator/>
      </w:r>
    </w:p>
    <w:p w14:paraId="3A1C891F" w14:textId="77777777" w:rsidR="003E19EA" w:rsidRDefault="003E19EA"/>
    <w:p w14:paraId="73C53197" w14:textId="77777777" w:rsidR="003E19EA" w:rsidRDefault="003E19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CAE6C" w14:textId="0235D8D6" w:rsidR="00D11FE4" w:rsidRPr="00195452" w:rsidRDefault="003F1890" w:rsidP="003C2DE2">
    <w:pPr>
      <w:jc w:val="center"/>
      <w:rPr>
        <w:rFonts w:asciiTheme="minorHAnsi" w:hAnsiTheme="minorHAnsi"/>
        <w:i/>
        <w:color w:val="808080"/>
      </w:rPr>
    </w:pPr>
    <w:r>
      <w:rPr>
        <w:rFonts w:asciiTheme="minorHAnsi" w:hAnsiTheme="minorHAnsi"/>
        <w:i/>
        <w:color w:val="808080"/>
      </w:rPr>
      <w:t>Public Summary Document</w:t>
    </w:r>
    <w:r w:rsidR="001A0E96">
      <w:rPr>
        <w:rFonts w:asciiTheme="minorHAnsi" w:hAnsiTheme="minorHAnsi"/>
        <w:i/>
        <w:color w:val="808080"/>
      </w:rPr>
      <w:t xml:space="preserve"> - </w:t>
    </w:r>
    <w:r w:rsidR="00D11FE4">
      <w:rPr>
        <w:rFonts w:asciiTheme="minorHAnsi" w:hAnsiTheme="minorHAnsi"/>
        <w:i/>
        <w:color w:val="808080"/>
      </w:rPr>
      <w:t xml:space="preserve">July 2023 </w:t>
    </w:r>
    <w:r w:rsidR="00D11FE4" w:rsidRPr="00195452">
      <w:rPr>
        <w:rFonts w:asciiTheme="minorHAnsi" w:hAnsiTheme="minorHAnsi"/>
        <w:i/>
        <w:color w:val="808080"/>
      </w:rPr>
      <w:t>PBAC Meeting</w:t>
    </w:r>
  </w:p>
  <w:p w14:paraId="50111CBF" w14:textId="77777777" w:rsidR="00D11FE4" w:rsidRPr="008C7ECB" w:rsidRDefault="00D11F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73EC6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AE6E36"/>
    <w:multiLevelType w:val="hybridMultilevel"/>
    <w:tmpl w:val="A6105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043A55"/>
    <w:multiLevelType w:val="hybridMultilevel"/>
    <w:tmpl w:val="D932D4C6"/>
    <w:lvl w:ilvl="0" w:tplc="2E7250A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EA73EE"/>
    <w:multiLevelType w:val="multilevel"/>
    <w:tmpl w:val="8CFC4140"/>
    <w:lvl w:ilvl="0">
      <w:start w:val="1"/>
      <w:numFmt w:val="decimal"/>
      <w:lvlText w:val="%1"/>
      <w:lvlJc w:val="left"/>
      <w:pPr>
        <w:ind w:left="720" w:hanging="720"/>
      </w:pPr>
      <w:rPr>
        <w:rFonts w:hint="default"/>
        <w:b/>
      </w:rPr>
    </w:lvl>
    <w:lvl w:ilvl="1">
      <w:start w:val="1"/>
      <w:numFmt w:val="bullet"/>
      <w:lvlText w:val=""/>
      <w:lvlJc w:val="left"/>
      <w:rPr>
        <w:rFonts w:ascii="Symbol" w:hAnsi="Symbol"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B219F8"/>
    <w:multiLevelType w:val="hybridMultilevel"/>
    <w:tmpl w:val="0D18B60A"/>
    <w:lvl w:ilvl="0" w:tplc="37424F70">
      <w:start w:val="1"/>
      <w:numFmt w:val="bullet"/>
      <w:pStyle w:val="COMexecsummmainissuesbullets"/>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24859A5"/>
    <w:multiLevelType w:val="multilevel"/>
    <w:tmpl w:val="C6121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79A0B13"/>
    <w:multiLevelType w:val="hybridMultilevel"/>
    <w:tmpl w:val="3C70E330"/>
    <w:lvl w:ilvl="0" w:tplc="0D2C8F8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A9F4AD9"/>
    <w:multiLevelType w:val="multilevel"/>
    <w:tmpl w:val="631822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442297"/>
    <w:multiLevelType w:val="hybridMultilevel"/>
    <w:tmpl w:val="E6FE4E00"/>
    <w:lvl w:ilvl="0" w:tplc="C324F4FC">
      <w:start w:val="1"/>
      <w:numFmt w:val="bullet"/>
      <w:pStyle w:val="zz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8D67A6"/>
    <w:multiLevelType w:val="hybridMultilevel"/>
    <w:tmpl w:val="FFF64804"/>
    <w:lvl w:ilvl="0" w:tplc="8708BECA">
      <w:start w:val="1"/>
      <w:numFmt w:val="bullet"/>
      <w:pStyle w:val="ListParagraph"/>
      <w:lvlText w:val=""/>
      <w:lvlJc w:val="left"/>
      <w:pPr>
        <w:ind w:left="720" w:hanging="360"/>
      </w:pPr>
      <w:rPr>
        <w:rFonts w:ascii="Symbol" w:hAnsi="Symbol" w:hint="default"/>
      </w:rPr>
    </w:lvl>
    <w:lvl w:ilvl="1" w:tplc="5846D334">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B12C13"/>
    <w:multiLevelType w:val="hybridMultilevel"/>
    <w:tmpl w:val="ED9067F6"/>
    <w:lvl w:ilvl="0" w:tplc="FFFFFFFF">
      <w:start w:val="1"/>
      <w:numFmt w:val="bullet"/>
      <w:lvlText w:val=""/>
      <w:lvlJc w:val="left"/>
      <w:pPr>
        <w:ind w:left="720" w:hanging="360"/>
      </w:pPr>
      <w:rPr>
        <w:rFonts w:ascii="Symbol" w:hAnsi="Symbol" w:hint="default"/>
      </w:rPr>
    </w:lvl>
    <w:lvl w:ilvl="1" w:tplc="3B8838D6">
      <w:start w:val="49"/>
      <w:numFmt w:val="bullet"/>
      <w:lvlText w:val="-"/>
      <w:lvlJc w:val="left"/>
      <w:pPr>
        <w:ind w:left="1440" w:hanging="360"/>
      </w:pPr>
      <w:rPr>
        <w:rFonts w:ascii="Arial Narrow" w:eastAsiaTheme="majorEastAsia" w:hAnsi="Arial Narrow" w:cstheme="maj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FA6BDD"/>
    <w:multiLevelType w:val="hybridMultilevel"/>
    <w:tmpl w:val="62F4C35A"/>
    <w:lvl w:ilvl="0" w:tplc="FFFFFFFF">
      <w:start w:val="1"/>
      <w:numFmt w:val="bullet"/>
      <w:lvlText w:val=""/>
      <w:lvlJc w:val="left"/>
      <w:pPr>
        <w:ind w:left="720" w:hanging="360"/>
      </w:pPr>
      <w:rPr>
        <w:rFonts w:ascii="Symbol" w:hAnsi="Symbol" w:hint="default"/>
      </w:rPr>
    </w:lvl>
    <w:lvl w:ilvl="1" w:tplc="399A3B2E">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A664731"/>
    <w:multiLevelType w:val="hybridMultilevel"/>
    <w:tmpl w:val="1EDAF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7C652A"/>
    <w:multiLevelType w:val="hybridMultilevel"/>
    <w:tmpl w:val="BFC8F6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1BD6952"/>
    <w:multiLevelType w:val="hybridMultilevel"/>
    <w:tmpl w:val="99BEBE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CC43C2"/>
    <w:multiLevelType w:val="multilevel"/>
    <w:tmpl w:val="3C423D24"/>
    <w:lvl w:ilvl="0">
      <w:start w:val="1"/>
      <w:numFmt w:val="decimal"/>
      <w:lvlText w:val="%1"/>
      <w:lvlJc w:val="left"/>
      <w:pPr>
        <w:ind w:left="720" w:hanging="720"/>
      </w:pPr>
      <w:rPr>
        <w:rFonts w:hint="default"/>
        <w:b/>
      </w:rPr>
    </w:lvl>
    <w:lvl w:ilvl="1">
      <w:start w:val="1"/>
      <w:numFmt w:val="bullet"/>
      <w:lvlText w:val=""/>
      <w:lvlJc w:val="left"/>
      <w:rPr>
        <w:rFonts w:ascii="Symbol" w:hAnsi="Symbol"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1F5076"/>
    <w:multiLevelType w:val="hybridMultilevel"/>
    <w:tmpl w:val="B622D54E"/>
    <w:lvl w:ilvl="0" w:tplc="0C090001">
      <w:start w:val="1"/>
      <w:numFmt w:val="bullet"/>
      <w:lvlText w:val=""/>
      <w:lvlJc w:val="left"/>
      <w:pPr>
        <w:tabs>
          <w:tab w:val="num" w:pos="720"/>
        </w:tabs>
        <w:ind w:left="720" w:hanging="360"/>
      </w:pPr>
      <w:rPr>
        <w:rFonts w:ascii="Symbol" w:hAnsi="Symbol" w:hint="default"/>
        <w:color w:val="auto"/>
      </w:rPr>
    </w:lvl>
    <w:lvl w:ilvl="1" w:tplc="4E00BE38">
      <w:start w:val="1"/>
      <w:numFmt w:val="bullet"/>
      <w:lvlText w:val="-"/>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575A44"/>
    <w:multiLevelType w:val="hybridMultilevel"/>
    <w:tmpl w:val="64A80B64"/>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15:restartNumberingAfterBreak="0">
    <w:nsid w:val="66B327E4"/>
    <w:multiLevelType w:val="hybridMultilevel"/>
    <w:tmpl w:val="8A3CC350"/>
    <w:lvl w:ilvl="0" w:tplc="6AD4D354">
      <w:start w:val="1"/>
      <w:numFmt w:val="lowerRoman"/>
      <w:lvlText w:val="%1."/>
      <w:lvlJc w:val="right"/>
      <w:pPr>
        <w:ind w:left="1080" w:hanging="360"/>
      </w:pPr>
      <w:rPr>
        <w:i w:val="0"/>
        <w:iCs w:val="0"/>
        <w:color w:val="auto"/>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8"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FA3C06"/>
    <w:multiLevelType w:val="hybridMultilevel"/>
    <w:tmpl w:val="C478C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EBC0146"/>
    <w:multiLevelType w:val="hybridMultilevel"/>
    <w:tmpl w:val="F9FCDCD2"/>
    <w:lvl w:ilvl="0" w:tplc="CCEC2DAA">
      <w:start w:val="1"/>
      <w:numFmt w:val="decimal"/>
      <w:lvlText w:val="%1."/>
      <w:lvlJc w:val="left"/>
      <w:pPr>
        <w:ind w:left="1077" w:hanging="360"/>
      </w:pPr>
      <w:rPr>
        <w:b w:val="0"/>
        <w:bCs/>
        <w:color w:val="auto"/>
      </w:rPr>
    </w:lvl>
    <w:lvl w:ilvl="1" w:tplc="0C090019">
      <w:start w:val="1"/>
      <w:numFmt w:val="lowerLetter"/>
      <w:lvlText w:val="%2."/>
      <w:lvlJc w:val="left"/>
      <w:pPr>
        <w:ind w:left="1797" w:hanging="360"/>
      </w:pPr>
    </w:lvl>
    <w:lvl w:ilvl="2" w:tplc="0C09001B">
      <w:start w:val="1"/>
      <w:numFmt w:val="lowerRoman"/>
      <w:lvlText w:val="%3."/>
      <w:lvlJc w:val="right"/>
      <w:pPr>
        <w:ind w:left="2517" w:hanging="180"/>
      </w:pPr>
    </w:lvl>
    <w:lvl w:ilvl="3" w:tplc="0C09000F">
      <w:start w:val="1"/>
      <w:numFmt w:val="decimal"/>
      <w:lvlText w:val="%4."/>
      <w:lvlJc w:val="left"/>
      <w:pPr>
        <w:ind w:left="3237" w:hanging="360"/>
      </w:pPr>
    </w:lvl>
    <w:lvl w:ilvl="4" w:tplc="0C090019">
      <w:start w:val="1"/>
      <w:numFmt w:val="lowerLetter"/>
      <w:lvlText w:val="%5."/>
      <w:lvlJc w:val="left"/>
      <w:pPr>
        <w:ind w:left="3957" w:hanging="360"/>
      </w:pPr>
    </w:lvl>
    <w:lvl w:ilvl="5" w:tplc="0C09001B">
      <w:start w:val="1"/>
      <w:numFmt w:val="lowerRoman"/>
      <w:lvlText w:val="%6."/>
      <w:lvlJc w:val="right"/>
      <w:pPr>
        <w:ind w:left="4677" w:hanging="180"/>
      </w:pPr>
    </w:lvl>
    <w:lvl w:ilvl="6" w:tplc="0C09000F">
      <w:start w:val="1"/>
      <w:numFmt w:val="decimal"/>
      <w:lvlText w:val="%7."/>
      <w:lvlJc w:val="left"/>
      <w:pPr>
        <w:ind w:left="5397" w:hanging="360"/>
      </w:pPr>
    </w:lvl>
    <w:lvl w:ilvl="7" w:tplc="0C090019">
      <w:start w:val="1"/>
      <w:numFmt w:val="lowerLetter"/>
      <w:lvlText w:val="%8."/>
      <w:lvlJc w:val="left"/>
      <w:pPr>
        <w:ind w:left="6117" w:hanging="360"/>
      </w:pPr>
    </w:lvl>
    <w:lvl w:ilvl="8" w:tplc="0C09001B">
      <w:start w:val="1"/>
      <w:numFmt w:val="lowerRoman"/>
      <w:lvlText w:val="%9."/>
      <w:lvlJc w:val="right"/>
      <w:pPr>
        <w:ind w:left="6837" w:hanging="180"/>
      </w:pPr>
    </w:lvl>
  </w:abstractNum>
  <w:abstractNum w:abstractNumId="32" w15:restartNumberingAfterBreak="0">
    <w:nsid w:val="784D033C"/>
    <w:multiLevelType w:val="multilevel"/>
    <w:tmpl w:val="45FC285E"/>
    <w:lvl w:ilvl="0">
      <w:start w:val="1"/>
      <w:numFmt w:val="decimal"/>
      <w:pStyle w:val="COMH1numbered"/>
      <w:lvlText w:val="%1"/>
      <w:lvlJc w:val="left"/>
      <w:pPr>
        <w:ind w:left="720" w:hanging="720"/>
      </w:pPr>
      <w:rPr>
        <w:rFonts w:hint="default"/>
        <w:b/>
      </w:rPr>
    </w:lvl>
    <w:lvl w:ilvl="1">
      <w:start w:val="1"/>
      <w:numFmt w:val="decimal"/>
      <w:pStyle w:val="COMexecsumnumberedpara"/>
      <w:lvlText w:val="%1.%2"/>
      <w:lvlJc w:val="left"/>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76833739">
    <w:abstractNumId w:val="32"/>
  </w:num>
  <w:num w:numId="2" w16cid:durableId="902905519">
    <w:abstractNumId w:val="14"/>
  </w:num>
  <w:num w:numId="3" w16cid:durableId="1236353773">
    <w:abstractNumId w:val="15"/>
  </w:num>
  <w:num w:numId="4" w16cid:durableId="360785215">
    <w:abstractNumId w:val="0"/>
  </w:num>
  <w:num w:numId="5" w16cid:durableId="2020043412">
    <w:abstractNumId w:val="32"/>
  </w:num>
  <w:num w:numId="6" w16cid:durableId="17368535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036370">
    <w:abstractNumId w:val="7"/>
  </w:num>
  <w:num w:numId="8" w16cid:durableId="429207608">
    <w:abstractNumId w:val="23"/>
  </w:num>
  <w:num w:numId="9" w16cid:durableId="518742628">
    <w:abstractNumId w:val="16"/>
  </w:num>
  <w:num w:numId="10" w16cid:durableId="44528924">
    <w:abstractNumId w:val="20"/>
  </w:num>
  <w:num w:numId="11" w16cid:durableId="1241407961">
    <w:abstractNumId w:val="4"/>
  </w:num>
  <w:num w:numId="12" w16cid:durableId="81996859">
    <w:abstractNumId w:val="19"/>
  </w:num>
  <w:num w:numId="13" w16cid:durableId="1573519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01829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1987880">
    <w:abstractNumId w:val="5"/>
  </w:num>
  <w:num w:numId="16" w16cid:durableId="1665159797">
    <w:abstractNumId w:val="11"/>
  </w:num>
  <w:num w:numId="17" w16cid:durableId="1337537339">
    <w:abstractNumId w:val="21"/>
  </w:num>
  <w:num w:numId="18" w16cid:durableId="198663768">
    <w:abstractNumId w:val="28"/>
  </w:num>
  <w:num w:numId="19" w16cid:durableId="1261916231">
    <w:abstractNumId w:val="6"/>
  </w:num>
  <w:num w:numId="20" w16cid:durableId="489634843">
    <w:abstractNumId w:val="8"/>
  </w:num>
  <w:num w:numId="21" w16cid:durableId="1369600369">
    <w:abstractNumId w:val="25"/>
  </w:num>
  <w:num w:numId="22" w16cid:durableId="266621769">
    <w:abstractNumId w:val="29"/>
  </w:num>
  <w:num w:numId="23" w16cid:durableId="804473389">
    <w:abstractNumId w:val="26"/>
  </w:num>
  <w:num w:numId="24" w16cid:durableId="1338387955">
    <w:abstractNumId w:val="2"/>
  </w:num>
  <w:num w:numId="25" w16cid:durableId="1810853626">
    <w:abstractNumId w:val="17"/>
  </w:num>
  <w:num w:numId="26" w16cid:durableId="344139632">
    <w:abstractNumId w:val="18"/>
  </w:num>
  <w:num w:numId="27" w16cid:durableId="2096049072">
    <w:abstractNumId w:val="3"/>
  </w:num>
  <w:num w:numId="28" w16cid:durableId="847864767">
    <w:abstractNumId w:val="1"/>
  </w:num>
  <w:num w:numId="29" w16cid:durableId="591429519">
    <w:abstractNumId w:val="10"/>
  </w:num>
  <w:num w:numId="30" w16cid:durableId="1292245909">
    <w:abstractNumId w:val="13"/>
  </w:num>
  <w:num w:numId="31" w16cid:durableId="82260834">
    <w:abstractNumId w:val="9"/>
  </w:num>
  <w:num w:numId="32" w16cid:durableId="128753894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0951269">
    <w:abstractNumId w:val="30"/>
  </w:num>
  <w:num w:numId="34" w16cid:durableId="287203312">
    <w:abstractNumId w:val="24"/>
  </w:num>
  <w:num w:numId="35" w16cid:durableId="1524780283">
    <w:abstractNumId w:val="12"/>
  </w:num>
  <w:num w:numId="36" w16cid:durableId="1383940422">
    <w:abstractNumId w:val="32"/>
  </w:num>
  <w:num w:numId="37" w16cid:durableId="1782607635">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79"/>
    <w:rsid w:val="000005FA"/>
    <w:rsid w:val="00000790"/>
    <w:rsid w:val="000007C4"/>
    <w:rsid w:val="00000C38"/>
    <w:rsid w:val="00000E45"/>
    <w:rsid w:val="00000F3A"/>
    <w:rsid w:val="0000110B"/>
    <w:rsid w:val="0000113B"/>
    <w:rsid w:val="000022A2"/>
    <w:rsid w:val="0000244F"/>
    <w:rsid w:val="00002488"/>
    <w:rsid w:val="00002C00"/>
    <w:rsid w:val="00002C7C"/>
    <w:rsid w:val="000033B8"/>
    <w:rsid w:val="00003499"/>
    <w:rsid w:val="0000352D"/>
    <w:rsid w:val="000039B7"/>
    <w:rsid w:val="000045FB"/>
    <w:rsid w:val="000048E5"/>
    <w:rsid w:val="0000508F"/>
    <w:rsid w:val="000056B9"/>
    <w:rsid w:val="00005A0F"/>
    <w:rsid w:val="00005BD1"/>
    <w:rsid w:val="00005EA0"/>
    <w:rsid w:val="0000639A"/>
    <w:rsid w:val="00006F94"/>
    <w:rsid w:val="000106AB"/>
    <w:rsid w:val="00010EFA"/>
    <w:rsid w:val="000116DF"/>
    <w:rsid w:val="00011FE9"/>
    <w:rsid w:val="0001248B"/>
    <w:rsid w:val="00012D20"/>
    <w:rsid w:val="00013247"/>
    <w:rsid w:val="00014518"/>
    <w:rsid w:val="00015886"/>
    <w:rsid w:val="000162EF"/>
    <w:rsid w:val="00016815"/>
    <w:rsid w:val="00017B94"/>
    <w:rsid w:val="00017D98"/>
    <w:rsid w:val="00017E9C"/>
    <w:rsid w:val="0002012B"/>
    <w:rsid w:val="00020146"/>
    <w:rsid w:val="000202A8"/>
    <w:rsid w:val="000207C9"/>
    <w:rsid w:val="00020DEF"/>
    <w:rsid w:val="00020F83"/>
    <w:rsid w:val="000211CD"/>
    <w:rsid w:val="000212FC"/>
    <w:rsid w:val="00021C9D"/>
    <w:rsid w:val="00022180"/>
    <w:rsid w:val="0002225F"/>
    <w:rsid w:val="0002314D"/>
    <w:rsid w:val="000231F4"/>
    <w:rsid w:val="0002330E"/>
    <w:rsid w:val="00023356"/>
    <w:rsid w:val="00023487"/>
    <w:rsid w:val="00023763"/>
    <w:rsid w:val="00023AB6"/>
    <w:rsid w:val="00023C2D"/>
    <w:rsid w:val="0002407B"/>
    <w:rsid w:val="0002408A"/>
    <w:rsid w:val="00024EB5"/>
    <w:rsid w:val="00025180"/>
    <w:rsid w:val="00025F4A"/>
    <w:rsid w:val="000264C3"/>
    <w:rsid w:val="000274B8"/>
    <w:rsid w:val="00027B66"/>
    <w:rsid w:val="0003002E"/>
    <w:rsid w:val="00030525"/>
    <w:rsid w:val="00030616"/>
    <w:rsid w:val="00030E1A"/>
    <w:rsid w:val="0003114E"/>
    <w:rsid w:val="00031DCE"/>
    <w:rsid w:val="00031FD1"/>
    <w:rsid w:val="0003226A"/>
    <w:rsid w:val="00032D49"/>
    <w:rsid w:val="00033186"/>
    <w:rsid w:val="00033863"/>
    <w:rsid w:val="00033D19"/>
    <w:rsid w:val="00033E4A"/>
    <w:rsid w:val="00033F8C"/>
    <w:rsid w:val="00034D43"/>
    <w:rsid w:val="00034DED"/>
    <w:rsid w:val="00034E9E"/>
    <w:rsid w:val="00035147"/>
    <w:rsid w:val="0003542F"/>
    <w:rsid w:val="000359D4"/>
    <w:rsid w:val="00035DC0"/>
    <w:rsid w:val="00035F13"/>
    <w:rsid w:val="000366BF"/>
    <w:rsid w:val="00036829"/>
    <w:rsid w:val="00036A6C"/>
    <w:rsid w:val="00036B75"/>
    <w:rsid w:val="00036BF1"/>
    <w:rsid w:val="00036E93"/>
    <w:rsid w:val="00037588"/>
    <w:rsid w:val="000378E2"/>
    <w:rsid w:val="00037C2C"/>
    <w:rsid w:val="00040036"/>
    <w:rsid w:val="00040895"/>
    <w:rsid w:val="00040A4B"/>
    <w:rsid w:val="000410A0"/>
    <w:rsid w:val="000412EB"/>
    <w:rsid w:val="00041315"/>
    <w:rsid w:val="00041387"/>
    <w:rsid w:val="00041575"/>
    <w:rsid w:val="000419AD"/>
    <w:rsid w:val="00042D3A"/>
    <w:rsid w:val="00043057"/>
    <w:rsid w:val="000435EE"/>
    <w:rsid w:val="000437E4"/>
    <w:rsid w:val="00043C37"/>
    <w:rsid w:val="00043F66"/>
    <w:rsid w:val="00045017"/>
    <w:rsid w:val="00045425"/>
    <w:rsid w:val="0004548F"/>
    <w:rsid w:val="000454B9"/>
    <w:rsid w:val="0004577C"/>
    <w:rsid w:val="00045A2B"/>
    <w:rsid w:val="00045C74"/>
    <w:rsid w:val="00046001"/>
    <w:rsid w:val="0004697E"/>
    <w:rsid w:val="0004698F"/>
    <w:rsid w:val="00046CDF"/>
    <w:rsid w:val="00046D64"/>
    <w:rsid w:val="00046F41"/>
    <w:rsid w:val="00046F4F"/>
    <w:rsid w:val="000479A2"/>
    <w:rsid w:val="00047A8A"/>
    <w:rsid w:val="00047B21"/>
    <w:rsid w:val="00047D61"/>
    <w:rsid w:val="000508C2"/>
    <w:rsid w:val="00050AEF"/>
    <w:rsid w:val="00051390"/>
    <w:rsid w:val="000516DA"/>
    <w:rsid w:val="00051AFB"/>
    <w:rsid w:val="0005387D"/>
    <w:rsid w:val="000539D0"/>
    <w:rsid w:val="00054027"/>
    <w:rsid w:val="0005444B"/>
    <w:rsid w:val="00054621"/>
    <w:rsid w:val="000546D7"/>
    <w:rsid w:val="000546FF"/>
    <w:rsid w:val="00054A8D"/>
    <w:rsid w:val="00054E78"/>
    <w:rsid w:val="00055047"/>
    <w:rsid w:val="000555F4"/>
    <w:rsid w:val="00055968"/>
    <w:rsid w:val="00055A8B"/>
    <w:rsid w:val="000564EF"/>
    <w:rsid w:val="00056780"/>
    <w:rsid w:val="00056ECF"/>
    <w:rsid w:val="00057C12"/>
    <w:rsid w:val="00060282"/>
    <w:rsid w:val="000604DF"/>
    <w:rsid w:val="00060BD5"/>
    <w:rsid w:val="00060C49"/>
    <w:rsid w:val="00060F67"/>
    <w:rsid w:val="00061192"/>
    <w:rsid w:val="0006124B"/>
    <w:rsid w:val="00061621"/>
    <w:rsid w:val="00061846"/>
    <w:rsid w:val="00061B0B"/>
    <w:rsid w:val="00061BE9"/>
    <w:rsid w:val="00062324"/>
    <w:rsid w:val="00062CD3"/>
    <w:rsid w:val="00062D9D"/>
    <w:rsid w:val="0006366C"/>
    <w:rsid w:val="00063682"/>
    <w:rsid w:val="0006524E"/>
    <w:rsid w:val="000653B5"/>
    <w:rsid w:val="000653D0"/>
    <w:rsid w:val="000655F2"/>
    <w:rsid w:val="00065A86"/>
    <w:rsid w:val="00065CE3"/>
    <w:rsid w:val="00065EF3"/>
    <w:rsid w:val="00066320"/>
    <w:rsid w:val="00066360"/>
    <w:rsid w:val="000669E8"/>
    <w:rsid w:val="00066AF8"/>
    <w:rsid w:val="00066DC4"/>
    <w:rsid w:val="000679B2"/>
    <w:rsid w:val="00067A1F"/>
    <w:rsid w:val="00070177"/>
    <w:rsid w:val="0007066F"/>
    <w:rsid w:val="00070BF1"/>
    <w:rsid w:val="00070D24"/>
    <w:rsid w:val="00071248"/>
    <w:rsid w:val="000720B9"/>
    <w:rsid w:val="0007215B"/>
    <w:rsid w:val="00072AD2"/>
    <w:rsid w:val="00072AE3"/>
    <w:rsid w:val="00072D43"/>
    <w:rsid w:val="00072E1D"/>
    <w:rsid w:val="0007341A"/>
    <w:rsid w:val="000734D0"/>
    <w:rsid w:val="00073637"/>
    <w:rsid w:val="000737F7"/>
    <w:rsid w:val="0007381B"/>
    <w:rsid w:val="0007399D"/>
    <w:rsid w:val="000740FA"/>
    <w:rsid w:val="0007413E"/>
    <w:rsid w:val="00074220"/>
    <w:rsid w:val="000743E8"/>
    <w:rsid w:val="00074CD7"/>
    <w:rsid w:val="00074FCE"/>
    <w:rsid w:val="0007568A"/>
    <w:rsid w:val="000764FB"/>
    <w:rsid w:val="0007672F"/>
    <w:rsid w:val="00076B54"/>
    <w:rsid w:val="000771C8"/>
    <w:rsid w:val="000773CA"/>
    <w:rsid w:val="000774F0"/>
    <w:rsid w:val="0007751A"/>
    <w:rsid w:val="0008076F"/>
    <w:rsid w:val="00080909"/>
    <w:rsid w:val="00081077"/>
    <w:rsid w:val="000812CA"/>
    <w:rsid w:val="00081312"/>
    <w:rsid w:val="00081BB8"/>
    <w:rsid w:val="00081E63"/>
    <w:rsid w:val="00082029"/>
    <w:rsid w:val="00082228"/>
    <w:rsid w:val="0008258D"/>
    <w:rsid w:val="00083E99"/>
    <w:rsid w:val="00084379"/>
    <w:rsid w:val="0008440F"/>
    <w:rsid w:val="00084A3F"/>
    <w:rsid w:val="00084C56"/>
    <w:rsid w:val="00084FA8"/>
    <w:rsid w:val="000856C5"/>
    <w:rsid w:val="00085C31"/>
    <w:rsid w:val="00085E59"/>
    <w:rsid w:val="00086A15"/>
    <w:rsid w:val="00086F18"/>
    <w:rsid w:val="00087BE4"/>
    <w:rsid w:val="00087CE1"/>
    <w:rsid w:val="00087E88"/>
    <w:rsid w:val="0009001C"/>
    <w:rsid w:val="00090138"/>
    <w:rsid w:val="000902D9"/>
    <w:rsid w:val="00090ABD"/>
    <w:rsid w:val="00090C7E"/>
    <w:rsid w:val="00090E3E"/>
    <w:rsid w:val="00090FEB"/>
    <w:rsid w:val="000911AC"/>
    <w:rsid w:val="000916C2"/>
    <w:rsid w:val="00092532"/>
    <w:rsid w:val="00092600"/>
    <w:rsid w:val="0009262B"/>
    <w:rsid w:val="00092F86"/>
    <w:rsid w:val="00093310"/>
    <w:rsid w:val="000933AB"/>
    <w:rsid w:val="00093908"/>
    <w:rsid w:val="000939B6"/>
    <w:rsid w:val="00093BBB"/>
    <w:rsid w:val="00094005"/>
    <w:rsid w:val="0009445C"/>
    <w:rsid w:val="00094CCD"/>
    <w:rsid w:val="00094EDF"/>
    <w:rsid w:val="00095200"/>
    <w:rsid w:val="0009562B"/>
    <w:rsid w:val="00095D8D"/>
    <w:rsid w:val="00095FE5"/>
    <w:rsid w:val="00096284"/>
    <w:rsid w:val="0009696F"/>
    <w:rsid w:val="00097505"/>
    <w:rsid w:val="00097786"/>
    <w:rsid w:val="00097962"/>
    <w:rsid w:val="00097C9D"/>
    <w:rsid w:val="00097FCE"/>
    <w:rsid w:val="000A0298"/>
    <w:rsid w:val="000A0AD8"/>
    <w:rsid w:val="000A1B8A"/>
    <w:rsid w:val="000A1BC0"/>
    <w:rsid w:val="000A2F9E"/>
    <w:rsid w:val="000A320B"/>
    <w:rsid w:val="000A36F8"/>
    <w:rsid w:val="000A3E47"/>
    <w:rsid w:val="000A3F0A"/>
    <w:rsid w:val="000A4859"/>
    <w:rsid w:val="000A4C04"/>
    <w:rsid w:val="000A522B"/>
    <w:rsid w:val="000A5921"/>
    <w:rsid w:val="000A596F"/>
    <w:rsid w:val="000A6039"/>
    <w:rsid w:val="000A6302"/>
    <w:rsid w:val="000A65A9"/>
    <w:rsid w:val="000A70CD"/>
    <w:rsid w:val="000A7199"/>
    <w:rsid w:val="000A7438"/>
    <w:rsid w:val="000A7453"/>
    <w:rsid w:val="000A751D"/>
    <w:rsid w:val="000A7648"/>
    <w:rsid w:val="000A79EF"/>
    <w:rsid w:val="000A7C7E"/>
    <w:rsid w:val="000A7D08"/>
    <w:rsid w:val="000B007B"/>
    <w:rsid w:val="000B0092"/>
    <w:rsid w:val="000B0121"/>
    <w:rsid w:val="000B0670"/>
    <w:rsid w:val="000B0AAC"/>
    <w:rsid w:val="000B0C46"/>
    <w:rsid w:val="000B0D57"/>
    <w:rsid w:val="000B0E75"/>
    <w:rsid w:val="000B120D"/>
    <w:rsid w:val="000B1472"/>
    <w:rsid w:val="000B2045"/>
    <w:rsid w:val="000B2508"/>
    <w:rsid w:val="000B2DCB"/>
    <w:rsid w:val="000B2E2E"/>
    <w:rsid w:val="000B2FB0"/>
    <w:rsid w:val="000B31B7"/>
    <w:rsid w:val="000B3334"/>
    <w:rsid w:val="000B33FC"/>
    <w:rsid w:val="000B3F54"/>
    <w:rsid w:val="000B420A"/>
    <w:rsid w:val="000B434A"/>
    <w:rsid w:val="000B491D"/>
    <w:rsid w:val="000B5122"/>
    <w:rsid w:val="000B5CE0"/>
    <w:rsid w:val="000B6B89"/>
    <w:rsid w:val="000B6CAC"/>
    <w:rsid w:val="000B7005"/>
    <w:rsid w:val="000B7612"/>
    <w:rsid w:val="000B78AE"/>
    <w:rsid w:val="000C06B8"/>
    <w:rsid w:val="000C095C"/>
    <w:rsid w:val="000C13EB"/>
    <w:rsid w:val="000C232C"/>
    <w:rsid w:val="000C2606"/>
    <w:rsid w:val="000C2C2C"/>
    <w:rsid w:val="000C2D3A"/>
    <w:rsid w:val="000C325E"/>
    <w:rsid w:val="000C3674"/>
    <w:rsid w:val="000C3739"/>
    <w:rsid w:val="000C3755"/>
    <w:rsid w:val="000C38A2"/>
    <w:rsid w:val="000C3DF1"/>
    <w:rsid w:val="000C3DF9"/>
    <w:rsid w:val="000C44DC"/>
    <w:rsid w:val="000C4C09"/>
    <w:rsid w:val="000C4C7A"/>
    <w:rsid w:val="000C4CF2"/>
    <w:rsid w:val="000C4DF8"/>
    <w:rsid w:val="000C51B8"/>
    <w:rsid w:val="000C5903"/>
    <w:rsid w:val="000C5B9E"/>
    <w:rsid w:val="000C6713"/>
    <w:rsid w:val="000C6EEB"/>
    <w:rsid w:val="000C79A7"/>
    <w:rsid w:val="000C7C91"/>
    <w:rsid w:val="000C7D74"/>
    <w:rsid w:val="000D13C4"/>
    <w:rsid w:val="000D1BFC"/>
    <w:rsid w:val="000D1D5D"/>
    <w:rsid w:val="000D281A"/>
    <w:rsid w:val="000D2848"/>
    <w:rsid w:val="000D326A"/>
    <w:rsid w:val="000D3599"/>
    <w:rsid w:val="000D3D3F"/>
    <w:rsid w:val="000D3E25"/>
    <w:rsid w:val="000D42BC"/>
    <w:rsid w:val="000D45CC"/>
    <w:rsid w:val="000D48E6"/>
    <w:rsid w:val="000D492B"/>
    <w:rsid w:val="000D4F3E"/>
    <w:rsid w:val="000D51FB"/>
    <w:rsid w:val="000D5267"/>
    <w:rsid w:val="000D529F"/>
    <w:rsid w:val="000D5928"/>
    <w:rsid w:val="000D5FB6"/>
    <w:rsid w:val="000D6DD0"/>
    <w:rsid w:val="000D73C9"/>
    <w:rsid w:val="000D7525"/>
    <w:rsid w:val="000D79D2"/>
    <w:rsid w:val="000D7B29"/>
    <w:rsid w:val="000D7DE9"/>
    <w:rsid w:val="000D7F63"/>
    <w:rsid w:val="000E0386"/>
    <w:rsid w:val="000E0640"/>
    <w:rsid w:val="000E075F"/>
    <w:rsid w:val="000E083C"/>
    <w:rsid w:val="000E0C5F"/>
    <w:rsid w:val="000E135D"/>
    <w:rsid w:val="000E177C"/>
    <w:rsid w:val="000E1A37"/>
    <w:rsid w:val="000E1AA8"/>
    <w:rsid w:val="000E20D3"/>
    <w:rsid w:val="000E21AD"/>
    <w:rsid w:val="000E2279"/>
    <w:rsid w:val="000E35CB"/>
    <w:rsid w:val="000E4021"/>
    <w:rsid w:val="000E4777"/>
    <w:rsid w:val="000E50F4"/>
    <w:rsid w:val="000E5521"/>
    <w:rsid w:val="000E5EAD"/>
    <w:rsid w:val="000E661A"/>
    <w:rsid w:val="000E6994"/>
    <w:rsid w:val="000E6D42"/>
    <w:rsid w:val="000E7199"/>
    <w:rsid w:val="000E76B3"/>
    <w:rsid w:val="000F00BA"/>
    <w:rsid w:val="000F056D"/>
    <w:rsid w:val="000F10CE"/>
    <w:rsid w:val="000F19A5"/>
    <w:rsid w:val="000F19EB"/>
    <w:rsid w:val="000F1BEF"/>
    <w:rsid w:val="000F1C8C"/>
    <w:rsid w:val="000F1DD9"/>
    <w:rsid w:val="000F24DC"/>
    <w:rsid w:val="000F2923"/>
    <w:rsid w:val="000F2E8C"/>
    <w:rsid w:val="000F316A"/>
    <w:rsid w:val="000F3584"/>
    <w:rsid w:val="000F3A88"/>
    <w:rsid w:val="000F3B16"/>
    <w:rsid w:val="000F3C74"/>
    <w:rsid w:val="000F3CD1"/>
    <w:rsid w:val="000F3CD4"/>
    <w:rsid w:val="000F3E27"/>
    <w:rsid w:val="000F3E90"/>
    <w:rsid w:val="000F41BE"/>
    <w:rsid w:val="000F4357"/>
    <w:rsid w:val="000F4B05"/>
    <w:rsid w:val="000F4BB8"/>
    <w:rsid w:val="000F4D12"/>
    <w:rsid w:val="000F4FA9"/>
    <w:rsid w:val="000F53FB"/>
    <w:rsid w:val="000F6395"/>
    <w:rsid w:val="000F6615"/>
    <w:rsid w:val="000F6C62"/>
    <w:rsid w:val="000F7127"/>
    <w:rsid w:val="000F789C"/>
    <w:rsid w:val="000F7A86"/>
    <w:rsid w:val="000F7B54"/>
    <w:rsid w:val="000F7F4F"/>
    <w:rsid w:val="001000B3"/>
    <w:rsid w:val="00100A24"/>
    <w:rsid w:val="00100F8A"/>
    <w:rsid w:val="001018BB"/>
    <w:rsid w:val="0010272A"/>
    <w:rsid w:val="00102881"/>
    <w:rsid w:val="00102F54"/>
    <w:rsid w:val="00102FD8"/>
    <w:rsid w:val="001032A8"/>
    <w:rsid w:val="001034FA"/>
    <w:rsid w:val="001036CC"/>
    <w:rsid w:val="0010422B"/>
    <w:rsid w:val="0010447B"/>
    <w:rsid w:val="0010452E"/>
    <w:rsid w:val="00105AE2"/>
    <w:rsid w:val="00105CC3"/>
    <w:rsid w:val="001060C6"/>
    <w:rsid w:val="001069BC"/>
    <w:rsid w:val="00106B80"/>
    <w:rsid w:val="001072DD"/>
    <w:rsid w:val="00107904"/>
    <w:rsid w:val="00107A2C"/>
    <w:rsid w:val="00107E35"/>
    <w:rsid w:val="00107FB2"/>
    <w:rsid w:val="0011032E"/>
    <w:rsid w:val="00110ADB"/>
    <w:rsid w:val="00112053"/>
    <w:rsid w:val="00112635"/>
    <w:rsid w:val="00112A83"/>
    <w:rsid w:val="00112F7D"/>
    <w:rsid w:val="0011348B"/>
    <w:rsid w:val="0011391A"/>
    <w:rsid w:val="001141AC"/>
    <w:rsid w:val="0011455F"/>
    <w:rsid w:val="001145F0"/>
    <w:rsid w:val="0011503A"/>
    <w:rsid w:val="00115353"/>
    <w:rsid w:val="00115982"/>
    <w:rsid w:val="00115B42"/>
    <w:rsid w:val="00115BF5"/>
    <w:rsid w:val="00115F1F"/>
    <w:rsid w:val="001165E8"/>
    <w:rsid w:val="00116C53"/>
    <w:rsid w:val="00117DD1"/>
    <w:rsid w:val="00120142"/>
    <w:rsid w:val="001216B7"/>
    <w:rsid w:val="00121799"/>
    <w:rsid w:val="001222FC"/>
    <w:rsid w:val="00122AC0"/>
    <w:rsid w:val="001233C0"/>
    <w:rsid w:val="00123582"/>
    <w:rsid w:val="00123902"/>
    <w:rsid w:val="00123DCE"/>
    <w:rsid w:val="001241F0"/>
    <w:rsid w:val="00124A51"/>
    <w:rsid w:val="0012543B"/>
    <w:rsid w:val="00125BE1"/>
    <w:rsid w:val="00125D36"/>
    <w:rsid w:val="00126621"/>
    <w:rsid w:val="00126B1D"/>
    <w:rsid w:val="00126EDD"/>
    <w:rsid w:val="0012740D"/>
    <w:rsid w:val="001276C6"/>
    <w:rsid w:val="001301E9"/>
    <w:rsid w:val="00130334"/>
    <w:rsid w:val="001308AF"/>
    <w:rsid w:val="00130BD5"/>
    <w:rsid w:val="0013191F"/>
    <w:rsid w:val="00131B97"/>
    <w:rsid w:val="00131D82"/>
    <w:rsid w:val="00132589"/>
    <w:rsid w:val="00132A15"/>
    <w:rsid w:val="00132B22"/>
    <w:rsid w:val="00132E01"/>
    <w:rsid w:val="0013304E"/>
    <w:rsid w:val="00133857"/>
    <w:rsid w:val="00133CA8"/>
    <w:rsid w:val="00133D36"/>
    <w:rsid w:val="001345CD"/>
    <w:rsid w:val="001346DE"/>
    <w:rsid w:val="00134822"/>
    <w:rsid w:val="00134C6E"/>
    <w:rsid w:val="00134E5B"/>
    <w:rsid w:val="00135145"/>
    <w:rsid w:val="00135D5D"/>
    <w:rsid w:val="00136573"/>
    <w:rsid w:val="00136A15"/>
    <w:rsid w:val="00136A77"/>
    <w:rsid w:val="00136ACF"/>
    <w:rsid w:val="00137645"/>
    <w:rsid w:val="00137800"/>
    <w:rsid w:val="0014015A"/>
    <w:rsid w:val="00140B6D"/>
    <w:rsid w:val="00140E99"/>
    <w:rsid w:val="00141025"/>
    <w:rsid w:val="00141AA6"/>
    <w:rsid w:val="00141DA9"/>
    <w:rsid w:val="00141EA7"/>
    <w:rsid w:val="0014282D"/>
    <w:rsid w:val="00142B05"/>
    <w:rsid w:val="00143305"/>
    <w:rsid w:val="00143B87"/>
    <w:rsid w:val="00143F67"/>
    <w:rsid w:val="00144383"/>
    <w:rsid w:val="00144B56"/>
    <w:rsid w:val="00144F69"/>
    <w:rsid w:val="00145157"/>
    <w:rsid w:val="0014516B"/>
    <w:rsid w:val="00145234"/>
    <w:rsid w:val="0014547D"/>
    <w:rsid w:val="00145540"/>
    <w:rsid w:val="001456B0"/>
    <w:rsid w:val="001464FD"/>
    <w:rsid w:val="001467C7"/>
    <w:rsid w:val="00146A69"/>
    <w:rsid w:val="0014749D"/>
    <w:rsid w:val="001474B6"/>
    <w:rsid w:val="0014758E"/>
    <w:rsid w:val="00147BD3"/>
    <w:rsid w:val="001500C4"/>
    <w:rsid w:val="00150467"/>
    <w:rsid w:val="00150B48"/>
    <w:rsid w:val="00150CE9"/>
    <w:rsid w:val="00150D59"/>
    <w:rsid w:val="00151EDE"/>
    <w:rsid w:val="00152400"/>
    <w:rsid w:val="001530AC"/>
    <w:rsid w:val="001531A0"/>
    <w:rsid w:val="00153DD2"/>
    <w:rsid w:val="00154213"/>
    <w:rsid w:val="001547AB"/>
    <w:rsid w:val="00154A61"/>
    <w:rsid w:val="00155066"/>
    <w:rsid w:val="00155179"/>
    <w:rsid w:val="00155369"/>
    <w:rsid w:val="00155A36"/>
    <w:rsid w:val="00155C83"/>
    <w:rsid w:val="00156408"/>
    <w:rsid w:val="001569C9"/>
    <w:rsid w:val="00156F8F"/>
    <w:rsid w:val="00156FBF"/>
    <w:rsid w:val="00157130"/>
    <w:rsid w:val="001576B1"/>
    <w:rsid w:val="0016047B"/>
    <w:rsid w:val="00160577"/>
    <w:rsid w:val="001607FD"/>
    <w:rsid w:val="00160A4C"/>
    <w:rsid w:val="00160C4C"/>
    <w:rsid w:val="0016217F"/>
    <w:rsid w:val="001624F8"/>
    <w:rsid w:val="00162913"/>
    <w:rsid w:val="00163ABA"/>
    <w:rsid w:val="00163BB7"/>
    <w:rsid w:val="00163E81"/>
    <w:rsid w:val="00163EFF"/>
    <w:rsid w:val="00163F66"/>
    <w:rsid w:val="001643B4"/>
    <w:rsid w:val="0016478E"/>
    <w:rsid w:val="0016557A"/>
    <w:rsid w:val="001655AF"/>
    <w:rsid w:val="0016587C"/>
    <w:rsid w:val="00165889"/>
    <w:rsid w:val="00165D36"/>
    <w:rsid w:val="00165EC4"/>
    <w:rsid w:val="001661FB"/>
    <w:rsid w:val="00166802"/>
    <w:rsid w:val="00166E44"/>
    <w:rsid w:val="00166F08"/>
    <w:rsid w:val="00167009"/>
    <w:rsid w:val="001671A0"/>
    <w:rsid w:val="0016733D"/>
    <w:rsid w:val="0016767F"/>
    <w:rsid w:val="001677C3"/>
    <w:rsid w:val="00167C5F"/>
    <w:rsid w:val="00167FFB"/>
    <w:rsid w:val="00170378"/>
    <w:rsid w:val="001704FA"/>
    <w:rsid w:val="00170BBD"/>
    <w:rsid w:val="00170CC9"/>
    <w:rsid w:val="00171308"/>
    <w:rsid w:val="001713FE"/>
    <w:rsid w:val="00171483"/>
    <w:rsid w:val="00171B35"/>
    <w:rsid w:val="00172841"/>
    <w:rsid w:val="00172AF7"/>
    <w:rsid w:val="00173565"/>
    <w:rsid w:val="001738BC"/>
    <w:rsid w:val="00173959"/>
    <w:rsid w:val="00173A35"/>
    <w:rsid w:val="00173B07"/>
    <w:rsid w:val="00173B5E"/>
    <w:rsid w:val="00173F6B"/>
    <w:rsid w:val="001751FA"/>
    <w:rsid w:val="00176753"/>
    <w:rsid w:val="001767EE"/>
    <w:rsid w:val="00176E42"/>
    <w:rsid w:val="00177110"/>
    <w:rsid w:val="001771F1"/>
    <w:rsid w:val="00180E31"/>
    <w:rsid w:val="001814E4"/>
    <w:rsid w:val="00181C10"/>
    <w:rsid w:val="00181D9C"/>
    <w:rsid w:val="00182CA5"/>
    <w:rsid w:val="00182E8F"/>
    <w:rsid w:val="00183021"/>
    <w:rsid w:val="00183617"/>
    <w:rsid w:val="00183792"/>
    <w:rsid w:val="001837FF"/>
    <w:rsid w:val="00183847"/>
    <w:rsid w:val="00183985"/>
    <w:rsid w:val="00183C15"/>
    <w:rsid w:val="00183E63"/>
    <w:rsid w:val="00183F72"/>
    <w:rsid w:val="001844F0"/>
    <w:rsid w:val="0018494C"/>
    <w:rsid w:val="00184B0E"/>
    <w:rsid w:val="00184CDC"/>
    <w:rsid w:val="00184F84"/>
    <w:rsid w:val="00185EF3"/>
    <w:rsid w:val="00186267"/>
    <w:rsid w:val="001864EC"/>
    <w:rsid w:val="0018689C"/>
    <w:rsid w:val="00186A9F"/>
    <w:rsid w:val="00186F1F"/>
    <w:rsid w:val="0018745F"/>
    <w:rsid w:val="0018752F"/>
    <w:rsid w:val="00187921"/>
    <w:rsid w:val="00187E82"/>
    <w:rsid w:val="001902AE"/>
    <w:rsid w:val="001903F6"/>
    <w:rsid w:val="001904D0"/>
    <w:rsid w:val="00190886"/>
    <w:rsid w:val="00190AC4"/>
    <w:rsid w:val="00190B55"/>
    <w:rsid w:val="001911F4"/>
    <w:rsid w:val="0019131F"/>
    <w:rsid w:val="00191AA1"/>
    <w:rsid w:val="00191D1D"/>
    <w:rsid w:val="00192024"/>
    <w:rsid w:val="001921E2"/>
    <w:rsid w:val="00192E43"/>
    <w:rsid w:val="001930F2"/>
    <w:rsid w:val="00193838"/>
    <w:rsid w:val="001939C1"/>
    <w:rsid w:val="00193F25"/>
    <w:rsid w:val="00194921"/>
    <w:rsid w:val="00194AD8"/>
    <w:rsid w:val="00194B6F"/>
    <w:rsid w:val="00194EE1"/>
    <w:rsid w:val="00195019"/>
    <w:rsid w:val="00195222"/>
    <w:rsid w:val="00195452"/>
    <w:rsid w:val="0019555A"/>
    <w:rsid w:val="001964F3"/>
    <w:rsid w:val="001966D8"/>
    <w:rsid w:val="001968C0"/>
    <w:rsid w:val="00196C48"/>
    <w:rsid w:val="001971E7"/>
    <w:rsid w:val="001975D8"/>
    <w:rsid w:val="00197CE0"/>
    <w:rsid w:val="001A01D2"/>
    <w:rsid w:val="001A0D94"/>
    <w:rsid w:val="001A0E96"/>
    <w:rsid w:val="001A178E"/>
    <w:rsid w:val="001A1E76"/>
    <w:rsid w:val="001A22F7"/>
    <w:rsid w:val="001A23A4"/>
    <w:rsid w:val="001A2BB4"/>
    <w:rsid w:val="001A2F54"/>
    <w:rsid w:val="001A3354"/>
    <w:rsid w:val="001A36DF"/>
    <w:rsid w:val="001A3B2F"/>
    <w:rsid w:val="001A3B3C"/>
    <w:rsid w:val="001A3C68"/>
    <w:rsid w:val="001A3FB3"/>
    <w:rsid w:val="001A4115"/>
    <w:rsid w:val="001A43FA"/>
    <w:rsid w:val="001A47C5"/>
    <w:rsid w:val="001A5322"/>
    <w:rsid w:val="001A57CB"/>
    <w:rsid w:val="001A5869"/>
    <w:rsid w:val="001A59FB"/>
    <w:rsid w:val="001A5E9E"/>
    <w:rsid w:val="001A6354"/>
    <w:rsid w:val="001A6366"/>
    <w:rsid w:val="001A7497"/>
    <w:rsid w:val="001A7AA0"/>
    <w:rsid w:val="001A7AE8"/>
    <w:rsid w:val="001A7C45"/>
    <w:rsid w:val="001B00E7"/>
    <w:rsid w:val="001B0D16"/>
    <w:rsid w:val="001B0EB1"/>
    <w:rsid w:val="001B1281"/>
    <w:rsid w:val="001B1290"/>
    <w:rsid w:val="001B1308"/>
    <w:rsid w:val="001B1727"/>
    <w:rsid w:val="001B177E"/>
    <w:rsid w:val="001B1EE7"/>
    <w:rsid w:val="001B204E"/>
    <w:rsid w:val="001B2372"/>
    <w:rsid w:val="001B274F"/>
    <w:rsid w:val="001B2D33"/>
    <w:rsid w:val="001B3443"/>
    <w:rsid w:val="001B3C7F"/>
    <w:rsid w:val="001B44A2"/>
    <w:rsid w:val="001B460C"/>
    <w:rsid w:val="001B4C6E"/>
    <w:rsid w:val="001B4D20"/>
    <w:rsid w:val="001B4E88"/>
    <w:rsid w:val="001B5B72"/>
    <w:rsid w:val="001B63F3"/>
    <w:rsid w:val="001B6425"/>
    <w:rsid w:val="001B6506"/>
    <w:rsid w:val="001B6ACE"/>
    <w:rsid w:val="001B705A"/>
    <w:rsid w:val="001B7686"/>
    <w:rsid w:val="001B7A82"/>
    <w:rsid w:val="001B7EBD"/>
    <w:rsid w:val="001B7F40"/>
    <w:rsid w:val="001B7F84"/>
    <w:rsid w:val="001C045B"/>
    <w:rsid w:val="001C0841"/>
    <w:rsid w:val="001C1DB5"/>
    <w:rsid w:val="001C1E02"/>
    <w:rsid w:val="001C2196"/>
    <w:rsid w:val="001C2A9B"/>
    <w:rsid w:val="001C2D24"/>
    <w:rsid w:val="001C366A"/>
    <w:rsid w:val="001C3B40"/>
    <w:rsid w:val="001C3DD6"/>
    <w:rsid w:val="001C4299"/>
    <w:rsid w:val="001C4874"/>
    <w:rsid w:val="001C503F"/>
    <w:rsid w:val="001C5BEE"/>
    <w:rsid w:val="001C5F94"/>
    <w:rsid w:val="001C5FA3"/>
    <w:rsid w:val="001C6102"/>
    <w:rsid w:val="001C6C0E"/>
    <w:rsid w:val="001C6C36"/>
    <w:rsid w:val="001C6E66"/>
    <w:rsid w:val="001C6FAA"/>
    <w:rsid w:val="001C7355"/>
    <w:rsid w:val="001C7443"/>
    <w:rsid w:val="001C78A5"/>
    <w:rsid w:val="001C78EA"/>
    <w:rsid w:val="001C790F"/>
    <w:rsid w:val="001D1100"/>
    <w:rsid w:val="001D1391"/>
    <w:rsid w:val="001D13E2"/>
    <w:rsid w:val="001D1B02"/>
    <w:rsid w:val="001D1B11"/>
    <w:rsid w:val="001D1DF6"/>
    <w:rsid w:val="001D25D7"/>
    <w:rsid w:val="001D2C6B"/>
    <w:rsid w:val="001D324B"/>
    <w:rsid w:val="001D3A62"/>
    <w:rsid w:val="001D4B93"/>
    <w:rsid w:val="001D4C4A"/>
    <w:rsid w:val="001D4F3C"/>
    <w:rsid w:val="001D50B2"/>
    <w:rsid w:val="001D51EB"/>
    <w:rsid w:val="001D52CF"/>
    <w:rsid w:val="001D540B"/>
    <w:rsid w:val="001D5E60"/>
    <w:rsid w:val="001D6527"/>
    <w:rsid w:val="001D6A34"/>
    <w:rsid w:val="001D6B64"/>
    <w:rsid w:val="001D71F4"/>
    <w:rsid w:val="001D7645"/>
    <w:rsid w:val="001D795C"/>
    <w:rsid w:val="001D7DE0"/>
    <w:rsid w:val="001E0897"/>
    <w:rsid w:val="001E0B78"/>
    <w:rsid w:val="001E0DB4"/>
    <w:rsid w:val="001E10FB"/>
    <w:rsid w:val="001E1A7C"/>
    <w:rsid w:val="001E1E86"/>
    <w:rsid w:val="001E1F93"/>
    <w:rsid w:val="001E2187"/>
    <w:rsid w:val="001E22A9"/>
    <w:rsid w:val="001E238E"/>
    <w:rsid w:val="001E2483"/>
    <w:rsid w:val="001E2B1E"/>
    <w:rsid w:val="001E2CFF"/>
    <w:rsid w:val="001E2F24"/>
    <w:rsid w:val="001E30D4"/>
    <w:rsid w:val="001E312C"/>
    <w:rsid w:val="001E314C"/>
    <w:rsid w:val="001E3395"/>
    <w:rsid w:val="001E3454"/>
    <w:rsid w:val="001E34DF"/>
    <w:rsid w:val="001E383B"/>
    <w:rsid w:val="001E3998"/>
    <w:rsid w:val="001E3E38"/>
    <w:rsid w:val="001E41E3"/>
    <w:rsid w:val="001E4262"/>
    <w:rsid w:val="001E43F0"/>
    <w:rsid w:val="001E4635"/>
    <w:rsid w:val="001E4A29"/>
    <w:rsid w:val="001E52EB"/>
    <w:rsid w:val="001E571E"/>
    <w:rsid w:val="001E57BA"/>
    <w:rsid w:val="001E5C84"/>
    <w:rsid w:val="001E5C85"/>
    <w:rsid w:val="001E5F7B"/>
    <w:rsid w:val="001E61D2"/>
    <w:rsid w:val="001E6246"/>
    <w:rsid w:val="001E6266"/>
    <w:rsid w:val="001E6BAF"/>
    <w:rsid w:val="001E740C"/>
    <w:rsid w:val="001E7AD9"/>
    <w:rsid w:val="001E7F58"/>
    <w:rsid w:val="001E7FB6"/>
    <w:rsid w:val="001F00D7"/>
    <w:rsid w:val="001F08EE"/>
    <w:rsid w:val="001F0960"/>
    <w:rsid w:val="001F0C62"/>
    <w:rsid w:val="001F0F48"/>
    <w:rsid w:val="001F1053"/>
    <w:rsid w:val="001F1235"/>
    <w:rsid w:val="001F12B3"/>
    <w:rsid w:val="001F13CA"/>
    <w:rsid w:val="001F1CB3"/>
    <w:rsid w:val="001F27E7"/>
    <w:rsid w:val="001F291B"/>
    <w:rsid w:val="001F2A38"/>
    <w:rsid w:val="001F2D85"/>
    <w:rsid w:val="001F38B5"/>
    <w:rsid w:val="001F3F8E"/>
    <w:rsid w:val="001F4081"/>
    <w:rsid w:val="001F4373"/>
    <w:rsid w:val="001F496E"/>
    <w:rsid w:val="001F5147"/>
    <w:rsid w:val="001F67CF"/>
    <w:rsid w:val="001F67EC"/>
    <w:rsid w:val="001F68AB"/>
    <w:rsid w:val="001F6D06"/>
    <w:rsid w:val="001F6E63"/>
    <w:rsid w:val="001F7111"/>
    <w:rsid w:val="001F7361"/>
    <w:rsid w:val="001F7C22"/>
    <w:rsid w:val="00200103"/>
    <w:rsid w:val="00200BC2"/>
    <w:rsid w:val="00200FD5"/>
    <w:rsid w:val="002011B0"/>
    <w:rsid w:val="00201CE8"/>
    <w:rsid w:val="00201E97"/>
    <w:rsid w:val="002024E6"/>
    <w:rsid w:val="0020269C"/>
    <w:rsid w:val="00202D65"/>
    <w:rsid w:val="00203181"/>
    <w:rsid w:val="002032AB"/>
    <w:rsid w:val="00203479"/>
    <w:rsid w:val="00203783"/>
    <w:rsid w:val="0020385F"/>
    <w:rsid w:val="0020391D"/>
    <w:rsid w:val="002039FD"/>
    <w:rsid w:val="00203CFC"/>
    <w:rsid w:val="002041B4"/>
    <w:rsid w:val="0020433E"/>
    <w:rsid w:val="0020467C"/>
    <w:rsid w:val="00204EEA"/>
    <w:rsid w:val="002050EC"/>
    <w:rsid w:val="0020521A"/>
    <w:rsid w:val="0020557A"/>
    <w:rsid w:val="002057D9"/>
    <w:rsid w:val="002061A3"/>
    <w:rsid w:val="0020635A"/>
    <w:rsid w:val="0020649C"/>
    <w:rsid w:val="002064B5"/>
    <w:rsid w:val="0020686F"/>
    <w:rsid w:val="002068A0"/>
    <w:rsid w:val="002069D7"/>
    <w:rsid w:val="00206CB2"/>
    <w:rsid w:val="00206FC5"/>
    <w:rsid w:val="00207021"/>
    <w:rsid w:val="002070B0"/>
    <w:rsid w:val="0020732F"/>
    <w:rsid w:val="00207364"/>
    <w:rsid w:val="00207D00"/>
    <w:rsid w:val="00207D60"/>
    <w:rsid w:val="00207E3D"/>
    <w:rsid w:val="002105C1"/>
    <w:rsid w:val="00210996"/>
    <w:rsid w:val="0021112C"/>
    <w:rsid w:val="00211262"/>
    <w:rsid w:val="002112A5"/>
    <w:rsid w:val="002116FD"/>
    <w:rsid w:val="00211804"/>
    <w:rsid w:val="0021191F"/>
    <w:rsid w:val="00211A2E"/>
    <w:rsid w:val="00211A42"/>
    <w:rsid w:val="002120E6"/>
    <w:rsid w:val="00212241"/>
    <w:rsid w:val="0021271E"/>
    <w:rsid w:val="00212F92"/>
    <w:rsid w:val="00213184"/>
    <w:rsid w:val="00213EF5"/>
    <w:rsid w:val="002144DC"/>
    <w:rsid w:val="00214500"/>
    <w:rsid w:val="002145A2"/>
    <w:rsid w:val="002158A3"/>
    <w:rsid w:val="00215F8C"/>
    <w:rsid w:val="002161A1"/>
    <w:rsid w:val="00216419"/>
    <w:rsid w:val="00216BF5"/>
    <w:rsid w:val="00216FBD"/>
    <w:rsid w:val="00217F7A"/>
    <w:rsid w:val="00220DD0"/>
    <w:rsid w:val="00221C80"/>
    <w:rsid w:val="00221D13"/>
    <w:rsid w:val="00221F55"/>
    <w:rsid w:val="002237B3"/>
    <w:rsid w:val="00223B49"/>
    <w:rsid w:val="00223D5A"/>
    <w:rsid w:val="00224580"/>
    <w:rsid w:val="002245E1"/>
    <w:rsid w:val="00224DD4"/>
    <w:rsid w:val="0022561D"/>
    <w:rsid w:val="00226040"/>
    <w:rsid w:val="00226524"/>
    <w:rsid w:val="00226DD7"/>
    <w:rsid w:val="00226FF6"/>
    <w:rsid w:val="002273A5"/>
    <w:rsid w:val="002278A0"/>
    <w:rsid w:val="00227CE0"/>
    <w:rsid w:val="002301EA"/>
    <w:rsid w:val="002304AE"/>
    <w:rsid w:val="002309CC"/>
    <w:rsid w:val="002309DC"/>
    <w:rsid w:val="00231359"/>
    <w:rsid w:val="002316BF"/>
    <w:rsid w:val="00231BA9"/>
    <w:rsid w:val="00231DF2"/>
    <w:rsid w:val="0023209F"/>
    <w:rsid w:val="00232269"/>
    <w:rsid w:val="00232859"/>
    <w:rsid w:val="00232932"/>
    <w:rsid w:val="00232A79"/>
    <w:rsid w:val="00232E8C"/>
    <w:rsid w:val="0023352E"/>
    <w:rsid w:val="0023368B"/>
    <w:rsid w:val="00233844"/>
    <w:rsid w:val="00233926"/>
    <w:rsid w:val="00233C01"/>
    <w:rsid w:val="00233CF8"/>
    <w:rsid w:val="00233DA9"/>
    <w:rsid w:val="00233E29"/>
    <w:rsid w:val="0023413C"/>
    <w:rsid w:val="0023457E"/>
    <w:rsid w:val="002346F0"/>
    <w:rsid w:val="002349FD"/>
    <w:rsid w:val="00234B80"/>
    <w:rsid w:val="00234E9C"/>
    <w:rsid w:val="00235500"/>
    <w:rsid w:val="002357EB"/>
    <w:rsid w:val="002359E2"/>
    <w:rsid w:val="00235D72"/>
    <w:rsid w:val="002361DA"/>
    <w:rsid w:val="0023629D"/>
    <w:rsid w:val="002368F8"/>
    <w:rsid w:val="00236EAF"/>
    <w:rsid w:val="00236F79"/>
    <w:rsid w:val="00237255"/>
    <w:rsid w:val="00237EDD"/>
    <w:rsid w:val="0024004E"/>
    <w:rsid w:val="002400C3"/>
    <w:rsid w:val="0024021A"/>
    <w:rsid w:val="002406BE"/>
    <w:rsid w:val="00240E76"/>
    <w:rsid w:val="0024108F"/>
    <w:rsid w:val="00241132"/>
    <w:rsid w:val="0024145A"/>
    <w:rsid w:val="0024153C"/>
    <w:rsid w:val="00241A19"/>
    <w:rsid w:val="00241A8E"/>
    <w:rsid w:val="00241C58"/>
    <w:rsid w:val="00242199"/>
    <w:rsid w:val="002422CF"/>
    <w:rsid w:val="002424AF"/>
    <w:rsid w:val="0024262B"/>
    <w:rsid w:val="002426FB"/>
    <w:rsid w:val="00242B5B"/>
    <w:rsid w:val="00242C9E"/>
    <w:rsid w:val="002432CD"/>
    <w:rsid w:val="002439DC"/>
    <w:rsid w:val="00243D59"/>
    <w:rsid w:val="002441D2"/>
    <w:rsid w:val="00244421"/>
    <w:rsid w:val="00244DC8"/>
    <w:rsid w:val="0024531F"/>
    <w:rsid w:val="002458BA"/>
    <w:rsid w:val="00245CE9"/>
    <w:rsid w:val="0024636C"/>
    <w:rsid w:val="00247302"/>
    <w:rsid w:val="00247362"/>
    <w:rsid w:val="002477F5"/>
    <w:rsid w:val="00247925"/>
    <w:rsid w:val="00251006"/>
    <w:rsid w:val="00251469"/>
    <w:rsid w:val="00251E6F"/>
    <w:rsid w:val="002524D5"/>
    <w:rsid w:val="002527DE"/>
    <w:rsid w:val="0025296A"/>
    <w:rsid w:val="00252B8A"/>
    <w:rsid w:val="00253B1D"/>
    <w:rsid w:val="00254634"/>
    <w:rsid w:val="00254891"/>
    <w:rsid w:val="00254D5C"/>
    <w:rsid w:val="00254DCF"/>
    <w:rsid w:val="0025534B"/>
    <w:rsid w:val="00255BB7"/>
    <w:rsid w:val="00256775"/>
    <w:rsid w:val="0025719D"/>
    <w:rsid w:val="002571B5"/>
    <w:rsid w:val="00257541"/>
    <w:rsid w:val="002577CB"/>
    <w:rsid w:val="002577E3"/>
    <w:rsid w:val="00257A39"/>
    <w:rsid w:val="00257AC4"/>
    <w:rsid w:val="00257BBE"/>
    <w:rsid w:val="00260534"/>
    <w:rsid w:val="0026127E"/>
    <w:rsid w:val="00261364"/>
    <w:rsid w:val="00261365"/>
    <w:rsid w:val="002613D4"/>
    <w:rsid w:val="002618B9"/>
    <w:rsid w:val="00261EEF"/>
    <w:rsid w:val="002627C9"/>
    <w:rsid w:val="00262A1A"/>
    <w:rsid w:val="00262A87"/>
    <w:rsid w:val="00262F67"/>
    <w:rsid w:val="00262F8D"/>
    <w:rsid w:val="00263357"/>
    <w:rsid w:val="00263F83"/>
    <w:rsid w:val="0026477B"/>
    <w:rsid w:val="00264D26"/>
    <w:rsid w:val="00264E92"/>
    <w:rsid w:val="00265406"/>
    <w:rsid w:val="00265A6C"/>
    <w:rsid w:val="0026668B"/>
    <w:rsid w:val="00266875"/>
    <w:rsid w:val="00266C78"/>
    <w:rsid w:val="00266F2C"/>
    <w:rsid w:val="00266F69"/>
    <w:rsid w:val="002670C5"/>
    <w:rsid w:val="00267642"/>
    <w:rsid w:val="00267831"/>
    <w:rsid w:val="00267A62"/>
    <w:rsid w:val="00267AEA"/>
    <w:rsid w:val="00270080"/>
    <w:rsid w:val="002700E6"/>
    <w:rsid w:val="002703EF"/>
    <w:rsid w:val="00270409"/>
    <w:rsid w:val="00270981"/>
    <w:rsid w:val="0027105F"/>
    <w:rsid w:val="002711BB"/>
    <w:rsid w:val="0027134B"/>
    <w:rsid w:val="00271696"/>
    <w:rsid w:val="00272177"/>
    <w:rsid w:val="00272211"/>
    <w:rsid w:val="0027294B"/>
    <w:rsid w:val="00272BF4"/>
    <w:rsid w:val="00273958"/>
    <w:rsid w:val="00273E7E"/>
    <w:rsid w:val="00273EB4"/>
    <w:rsid w:val="00273F02"/>
    <w:rsid w:val="00274202"/>
    <w:rsid w:val="00274682"/>
    <w:rsid w:val="002748EC"/>
    <w:rsid w:val="00274AAB"/>
    <w:rsid w:val="00274BD8"/>
    <w:rsid w:val="00274D0A"/>
    <w:rsid w:val="00274E9E"/>
    <w:rsid w:val="00275158"/>
    <w:rsid w:val="0027530B"/>
    <w:rsid w:val="002757E4"/>
    <w:rsid w:val="0027587B"/>
    <w:rsid w:val="00275C5A"/>
    <w:rsid w:val="00275FC7"/>
    <w:rsid w:val="00276684"/>
    <w:rsid w:val="00276741"/>
    <w:rsid w:val="00276C5F"/>
    <w:rsid w:val="0027715B"/>
    <w:rsid w:val="0027732A"/>
    <w:rsid w:val="00280C7C"/>
    <w:rsid w:val="00281014"/>
    <w:rsid w:val="0028108F"/>
    <w:rsid w:val="002813AA"/>
    <w:rsid w:val="00281960"/>
    <w:rsid w:val="00282AB6"/>
    <w:rsid w:val="00283051"/>
    <w:rsid w:val="002830E7"/>
    <w:rsid w:val="002835F8"/>
    <w:rsid w:val="002837E5"/>
    <w:rsid w:val="00283EAA"/>
    <w:rsid w:val="0028449B"/>
    <w:rsid w:val="0028488E"/>
    <w:rsid w:val="00284CC5"/>
    <w:rsid w:val="002857DE"/>
    <w:rsid w:val="00285BCE"/>
    <w:rsid w:val="00285C42"/>
    <w:rsid w:val="00286184"/>
    <w:rsid w:val="002862EE"/>
    <w:rsid w:val="0028665D"/>
    <w:rsid w:val="002867B8"/>
    <w:rsid w:val="00287083"/>
    <w:rsid w:val="0028714E"/>
    <w:rsid w:val="00287323"/>
    <w:rsid w:val="002913ED"/>
    <w:rsid w:val="00291A63"/>
    <w:rsid w:val="0029259E"/>
    <w:rsid w:val="0029269B"/>
    <w:rsid w:val="0029352E"/>
    <w:rsid w:val="002937DF"/>
    <w:rsid w:val="00293CAE"/>
    <w:rsid w:val="00293FD1"/>
    <w:rsid w:val="0029417F"/>
    <w:rsid w:val="002944FE"/>
    <w:rsid w:val="00294AEC"/>
    <w:rsid w:val="00294E9C"/>
    <w:rsid w:val="00294F3A"/>
    <w:rsid w:val="0029686B"/>
    <w:rsid w:val="00297060"/>
    <w:rsid w:val="00297BB0"/>
    <w:rsid w:val="00297C36"/>
    <w:rsid w:val="00297DF6"/>
    <w:rsid w:val="002A054A"/>
    <w:rsid w:val="002A0F47"/>
    <w:rsid w:val="002A14AB"/>
    <w:rsid w:val="002A171E"/>
    <w:rsid w:val="002A1E96"/>
    <w:rsid w:val="002A2123"/>
    <w:rsid w:val="002A245F"/>
    <w:rsid w:val="002A2A5E"/>
    <w:rsid w:val="002A2ADE"/>
    <w:rsid w:val="002A2BCC"/>
    <w:rsid w:val="002A2F50"/>
    <w:rsid w:val="002A347A"/>
    <w:rsid w:val="002A3AB3"/>
    <w:rsid w:val="002A3F5E"/>
    <w:rsid w:val="002A41B2"/>
    <w:rsid w:val="002A479D"/>
    <w:rsid w:val="002A5532"/>
    <w:rsid w:val="002A570F"/>
    <w:rsid w:val="002A6C60"/>
    <w:rsid w:val="002A7720"/>
    <w:rsid w:val="002A7943"/>
    <w:rsid w:val="002A7B10"/>
    <w:rsid w:val="002B05A1"/>
    <w:rsid w:val="002B071A"/>
    <w:rsid w:val="002B08BA"/>
    <w:rsid w:val="002B09A4"/>
    <w:rsid w:val="002B0CC3"/>
    <w:rsid w:val="002B0CD6"/>
    <w:rsid w:val="002B0DB5"/>
    <w:rsid w:val="002B1371"/>
    <w:rsid w:val="002B1C1F"/>
    <w:rsid w:val="002B1CF5"/>
    <w:rsid w:val="002B20B0"/>
    <w:rsid w:val="002B3441"/>
    <w:rsid w:val="002B34F3"/>
    <w:rsid w:val="002B3518"/>
    <w:rsid w:val="002B3534"/>
    <w:rsid w:val="002B3752"/>
    <w:rsid w:val="002B380A"/>
    <w:rsid w:val="002B3CCF"/>
    <w:rsid w:val="002B3D77"/>
    <w:rsid w:val="002B432F"/>
    <w:rsid w:val="002B4464"/>
    <w:rsid w:val="002B4572"/>
    <w:rsid w:val="002B5738"/>
    <w:rsid w:val="002B57AC"/>
    <w:rsid w:val="002B62B3"/>
    <w:rsid w:val="002B671F"/>
    <w:rsid w:val="002B6754"/>
    <w:rsid w:val="002B6CCE"/>
    <w:rsid w:val="002B6E5B"/>
    <w:rsid w:val="002B73A0"/>
    <w:rsid w:val="002B7C31"/>
    <w:rsid w:val="002B7FE4"/>
    <w:rsid w:val="002C003B"/>
    <w:rsid w:val="002C024D"/>
    <w:rsid w:val="002C02E7"/>
    <w:rsid w:val="002C030A"/>
    <w:rsid w:val="002C1890"/>
    <w:rsid w:val="002C1AC2"/>
    <w:rsid w:val="002C224B"/>
    <w:rsid w:val="002C22DA"/>
    <w:rsid w:val="002C2352"/>
    <w:rsid w:val="002C2510"/>
    <w:rsid w:val="002C2775"/>
    <w:rsid w:val="002C2780"/>
    <w:rsid w:val="002C27C1"/>
    <w:rsid w:val="002C36D0"/>
    <w:rsid w:val="002C36E3"/>
    <w:rsid w:val="002C3722"/>
    <w:rsid w:val="002C3877"/>
    <w:rsid w:val="002C3C0A"/>
    <w:rsid w:val="002C42E1"/>
    <w:rsid w:val="002C47F4"/>
    <w:rsid w:val="002C4979"/>
    <w:rsid w:val="002C4E73"/>
    <w:rsid w:val="002C5099"/>
    <w:rsid w:val="002C5611"/>
    <w:rsid w:val="002C5722"/>
    <w:rsid w:val="002C5889"/>
    <w:rsid w:val="002C5DB5"/>
    <w:rsid w:val="002C6097"/>
    <w:rsid w:val="002C6196"/>
    <w:rsid w:val="002C642C"/>
    <w:rsid w:val="002C672B"/>
    <w:rsid w:val="002C67B8"/>
    <w:rsid w:val="002C6C92"/>
    <w:rsid w:val="002C71CE"/>
    <w:rsid w:val="002C72A8"/>
    <w:rsid w:val="002C7569"/>
    <w:rsid w:val="002C768F"/>
    <w:rsid w:val="002C776B"/>
    <w:rsid w:val="002C7C7D"/>
    <w:rsid w:val="002C7D24"/>
    <w:rsid w:val="002D00CC"/>
    <w:rsid w:val="002D08F8"/>
    <w:rsid w:val="002D08F9"/>
    <w:rsid w:val="002D0A09"/>
    <w:rsid w:val="002D1397"/>
    <w:rsid w:val="002D16A0"/>
    <w:rsid w:val="002D17A2"/>
    <w:rsid w:val="002D21A6"/>
    <w:rsid w:val="002D2BF1"/>
    <w:rsid w:val="002D2E8D"/>
    <w:rsid w:val="002D386D"/>
    <w:rsid w:val="002D4744"/>
    <w:rsid w:val="002D4825"/>
    <w:rsid w:val="002D5255"/>
    <w:rsid w:val="002D577C"/>
    <w:rsid w:val="002D5A71"/>
    <w:rsid w:val="002D5B9D"/>
    <w:rsid w:val="002D6E45"/>
    <w:rsid w:val="002D7832"/>
    <w:rsid w:val="002D78DD"/>
    <w:rsid w:val="002D7FF7"/>
    <w:rsid w:val="002E0195"/>
    <w:rsid w:val="002E0C32"/>
    <w:rsid w:val="002E1071"/>
    <w:rsid w:val="002E118E"/>
    <w:rsid w:val="002E14C5"/>
    <w:rsid w:val="002E15B9"/>
    <w:rsid w:val="002E16A1"/>
    <w:rsid w:val="002E17B0"/>
    <w:rsid w:val="002E2158"/>
    <w:rsid w:val="002E23E9"/>
    <w:rsid w:val="002E242F"/>
    <w:rsid w:val="002E376E"/>
    <w:rsid w:val="002E3F1D"/>
    <w:rsid w:val="002E4471"/>
    <w:rsid w:val="002E44E0"/>
    <w:rsid w:val="002E46C8"/>
    <w:rsid w:val="002E4718"/>
    <w:rsid w:val="002E4BAA"/>
    <w:rsid w:val="002E4BD7"/>
    <w:rsid w:val="002E4C77"/>
    <w:rsid w:val="002E4F02"/>
    <w:rsid w:val="002E5053"/>
    <w:rsid w:val="002E51A3"/>
    <w:rsid w:val="002E52A0"/>
    <w:rsid w:val="002E53E8"/>
    <w:rsid w:val="002E5831"/>
    <w:rsid w:val="002E5B71"/>
    <w:rsid w:val="002E5F70"/>
    <w:rsid w:val="002E60A6"/>
    <w:rsid w:val="002E638C"/>
    <w:rsid w:val="002E7722"/>
    <w:rsid w:val="002E7739"/>
    <w:rsid w:val="002E7DA3"/>
    <w:rsid w:val="002F07BA"/>
    <w:rsid w:val="002F0DA9"/>
    <w:rsid w:val="002F1014"/>
    <w:rsid w:val="002F15F9"/>
    <w:rsid w:val="002F18EA"/>
    <w:rsid w:val="002F1E3B"/>
    <w:rsid w:val="002F25BE"/>
    <w:rsid w:val="002F2776"/>
    <w:rsid w:val="002F30DE"/>
    <w:rsid w:val="002F3E07"/>
    <w:rsid w:val="002F3F1C"/>
    <w:rsid w:val="002F40DD"/>
    <w:rsid w:val="002F5039"/>
    <w:rsid w:val="002F50A6"/>
    <w:rsid w:val="002F55AB"/>
    <w:rsid w:val="002F5B09"/>
    <w:rsid w:val="002F5EED"/>
    <w:rsid w:val="002F643C"/>
    <w:rsid w:val="002F71C0"/>
    <w:rsid w:val="002F7255"/>
    <w:rsid w:val="002F74F1"/>
    <w:rsid w:val="002F75A6"/>
    <w:rsid w:val="002F7E26"/>
    <w:rsid w:val="003000DB"/>
    <w:rsid w:val="00300403"/>
    <w:rsid w:val="00300495"/>
    <w:rsid w:val="00300998"/>
    <w:rsid w:val="00300A01"/>
    <w:rsid w:val="00301017"/>
    <w:rsid w:val="00301247"/>
    <w:rsid w:val="0030155F"/>
    <w:rsid w:val="00301619"/>
    <w:rsid w:val="00302425"/>
    <w:rsid w:val="0030277F"/>
    <w:rsid w:val="00302BEE"/>
    <w:rsid w:val="00304122"/>
    <w:rsid w:val="0030458A"/>
    <w:rsid w:val="0030468A"/>
    <w:rsid w:val="00304FDA"/>
    <w:rsid w:val="0030571B"/>
    <w:rsid w:val="0030587B"/>
    <w:rsid w:val="003059F4"/>
    <w:rsid w:val="00306A9B"/>
    <w:rsid w:val="00306ADF"/>
    <w:rsid w:val="00306D34"/>
    <w:rsid w:val="00306D98"/>
    <w:rsid w:val="00306E67"/>
    <w:rsid w:val="003070FE"/>
    <w:rsid w:val="0030786C"/>
    <w:rsid w:val="003079C6"/>
    <w:rsid w:val="00307B00"/>
    <w:rsid w:val="0031031A"/>
    <w:rsid w:val="00310981"/>
    <w:rsid w:val="00310E1D"/>
    <w:rsid w:val="00311654"/>
    <w:rsid w:val="00311794"/>
    <w:rsid w:val="00311B86"/>
    <w:rsid w:val="00311D9B"/>
    <w:rsid w:val="00312382"/>
    <w:rsid w:val="003123EA"/>
    <w:rsid w:val="003124D9"/>
    <w:rsid w:val="00312594"/>
    <w:rsid w:val="00312845"/>
    <w:rsid w:val="003132F8"/>
    <w:rsid w:val="00313727"/>
    <w:rsid w:val="0031451C"/>
    <w:rsid w:val="003148AB"/>
    <w:rsid w:val="00315498"/>
    <w:rsid w:val="003154AA"/>
    <w:rsid w:val="00315B46"/>
    <w:rsid w:val="00315C03"/>
    <w:rsid w:val="00315D1C"/>
    <w:rsid w:val="00315DC1"/>
    <w:rsid w:val="00315FD5"/>
    <w:rsid w:val="00316474"/>
    <w:rsid w:val="0031656C"/>
    <w:rsid w:val="00316919"/>
    <w:rsid w:val="00316E18"/>
    <w:rsid w:val="00317244"/>
    <w:rsid w:val="0031730C"/>
    <w:rsid w:val="00320D4F"/>
    <w:rsid w:val="00320EC3"/>
    <w:rsid w:val="0032113D"/>
    <w:rsid w:val="0032115D"/>
    <w:rsid w:val="00321852"/>
    <w:rsid w:val="00321C0F"/>
    <w:rsid w:val="00322107"/>
    <w:rsid w:val="00322165"/>
    <w:rsid w:val="00322355"/>
    <w:rsid w:val="003224C8"/>
    <w:rsid w:val="003224FB"/>
    <w:rsid w:val="00322846"/>
    <w:rsid w:val="00322D7B"/>
    <w:rsid w:val="00323098"/>
    <w:rsid w:val="003238DE"/>
    <w:rsid w:val="003238E8"/>
    <w:rsid w:val="00323EA1"/>
    <w:rsid w:val="00323EAF"/>
    <w:rsid w:val="00323F2D"/>
    <w:rsid w:val="00324576"/>
    <w:rsid w:val="00324AEB"/>
    <w:rsid w:val="00324D9D"/>
    <w:rsid w:val="00325D3D"/>
    <w:rsid w:val="00326745"/>
    <w:rsid w:val="00326BBA"/>
    <w:rsid w:val="00326DA7"/>
    <w:rsid w:val="003270E4"/>
    <w:rsid w:val="00327989"/>
    <w:rsid w:val="00327D07"/>
    <w:rsid w:val="00327DCB"/>
    <w:rsid w:val="003302F6"/>
    <w:rsid w:val="003309F3"/>
    <w:rsid w:val="00330DAA"/>
    <w:rsid w:val="00330F5C"/>
    <w:rsid w:val="003316CD"/>
    <w:rsid w:val="00331A52"/>
    <w:rsid w:val="00331CA9"/>
    <w:rsid w:val="0033231A"/>
    <w:rsid w:val="00332523"/>
    <w:rsid w:val="0033258C"/>
    <w:rsid w:val="00332C1D"/>
    <w:rsid w:val="00332DC1"/>
    <w:rsid w:val="003332B8"/>
    <w:rsid w:val="00333395"/>
    <w:rsid w:val="00333809"/>
    <w:rsid w:val="003338D4"/>
    <w:rsid w:val="00333CA1"/>
    <w:rsid w:val="00333DFF"/>
    <w:rsid w:val="00334195"/>
    <w:rsid w:val="003343D0"/>
    <w:rsid w:val="003345D9"/>
    <w:rsid w:val="00334A4F"/>
    <w:rsid w:val="00334B7E"/>
    <w:rsid w:val="00335450"/>
    <w:rsid w:val="00335FA4"/>
    <w:rsid w:val="003366C9"/>
    <w:rsid w:val="003367F6"/>
    <w:rsid w:val="00336A8D"/>
    <w:rsid w:val="003371B0"/>
    <w:rsid w:val="00337329"/>
    <w:rsid w:val="0033761D"/>
    <w:rsid w:val="00337BCC"/>
    <w:rsid w:val="00337D1B"/>
    <w:rsid w:val="00337FD6"/>
    <w:rsid w:val="003402BB"/>
    <w:rsid w:val="00340DF1"/>
    <w:rsid w:val="00340E59"/>
    <w:rsid w:val="00341033"/>
    <w:rsid w:val="003420F1"/>
    <w:rsid w:val="003430E0"/>
    <w:rsid w:val="003431C7"/>
    <w:rsid w:val="0034377B"/>
    <w:rsid w:val="003437E2"/>
    <w:rsid w:val="00343CF6"/>
    <w:rsid w:val="003440B8"/>
    <w:rsid w:val="00344257"/>
    <w:rsid w:val="00344D90"/>
    <w:rsid w:val="00345CEE"/>
    <w:rsid w:val="00346164"/>
    <w:rsid w:val="00346404"/>
    <w:rsid w:val="0034671D"/>
    <w:rsid w:val="003471ED"/>
    <w:rsid w:val="003477D7"/>
    <w:rsid w:val="003478DC"/>
    <w:rsid w:val="00347CCA"/>
    <w:rsid w:val="00347F4E"/>
    <w:rsid w:val="003501E8"/>
    <w:rsid w:val="00350384"/>
    <w:rsid w:val="003503A3"/>
    <w:rsid w:val="00350863"/>
    <w:rsid w:val="00350B79"/>
    <w:rsid w:val="00350CE3"/>
    <w:rsid w:val="0035142C"/>
    <w:rsid w:val="00351681"/>
    <w:rsid w:val="003517E7"/>
    <w:rsid w:val="003517F9"/>
    <w:rsid w:val="00351844"/>
    <w:rsid w:val="00351BA9"/>
    <w:rsid w:val="00351F6C"/>
    <w:rsid w:val="003523AB"/>
    <w:rsid w:val="00352663"/>
    <w:rsid w:val="0035268E"/>
    <w:rsid w:val="00352E86"/>
    <w:rsid w:val="0035364D"/>
    <w:rsid w:val="003538DF"/>
    <w:rsid w:val="00353A7B"/>
    <w:rsid w:val="003549F3"/>
    <w:rsid w:val="00354F64"/>
    <w:rsid w:val="003554DF"/>
    <w:rsid w:val="0035620E"/>
    <w:rsid w:val="00356B37"/>
    <w:rsid w:val="00356CBA"/>
    <w:rsid w:val="00356CEA"/>
    <w:rsid w:val="00357049"/>
    <w:rsid w:val="00357336"/>
    <w:rsid w:val="003575BE"/>
    <w:rsid w:val="00357D51"/>
    <w:rsid w:val="00360345"/>
    <w:rsid w:val="00360673"/>
    <w:rsid w:val="0036101C"/>
    <w:rsid w:val="0036112C"/>
    <w:rsid w:val="003615D4"/>
    <w:rsid w:val="00361A05"/>
    <w:rsid w:val="00361F79"/>
    <w:rsid w:val="003622E6"/>
    <w:rsid w:val="003624C4"/>
    <w:rsid w:val="00362A40"/>
    <w:rsid w:val="00362B38"/>
    <w:rsid w:val="00363B00"/>
    <w:rsid w:val="00363C7F"/>
    <w:rsid w:val="00364056"/>
    <w:rsid w:val="00364383"/>
    <w:rsid w:val="003645E4"/>
    <w:rsid w:val="00365285"/>
    <w:rsid w:val="003654AC"/>
    <w:rsid w:val="0036560B"/>
    <w:rsid w:val="003667E3"/>
    <w:rsid w:val="00367400"/>
    <w:rsid w:val="003676C5"/>
    <w:rsid w:val="003700A3"/>
    <w:rsid w:val="00370474"/>
    <w:rsid w:val="00370C1C"/>
    <w:rsid w:val="00370C3B"/>
    <w:rsid w:val="00370FF9"/>
    <w:rsid w:val="003710CF"/>
    <w:rsid w:val="00371172"/>
    <w:rsid w:val="003712D1"/>
    <w:rsid w:val="00371491"/>
    <w:rsid w:val="003718C6"/>
    <w:rsid w:val="003718EA"/>
    <w:rsid w:val="003727D1"/>
    <w:rsid w:val="003730A7"/>
    <w:rsid w:val="003732A4"/>
    <w:rsid w:val="0037358A"/>
    <w:rsid w:val="003740FE"/>
    <w:rsid w:val="00374843"/>
    <w:rsid w:val="003750F6"/>
    <w:rsid w:val="003759C0"/>
    <w:rsid w:val="00375BFD"/>
    <w:rsid w:val="00376048"/>
    <w:rsid w:val="003760FC"/>
    <w:rsid w:val="003762FF"/>
    <w:rsid w:val="00376C47"/>
    <w:rsid w:val="00377040"/>
    <w:rsid w:val="0037746F"/>
    <w:rsid w:val="00377521"/>
    <w:rsid w:val="003775B2"/>
    <w:rsid w:val="0037789C"/>
    <w:rsid w:val="00380090"/>
    <w:rsid w:val="0038009E"/>
    <w:rsid w:val="00380A9E"/>
    <w:rsid w:val="00380F7D"/>
    <w:rsid w:val="00381143"/>
    <w:rsid w:val="00381EC3"/>
    <w:rsid w:val="00382551"/>
    <w:rsid w:val="00382CBA"/>
    <w:rsid w:val="0038365C"/>
    <w:rsid w:val="0038369B"/>
    <w:rsid w:val="00383A5E"/>
    <w:rsid w:val="00383B78"/>
    <w:rsid w:val="0038427A"/>
    <w:rsid w:val="003843A5"/>
    <w:rsid w:val="00385502"/>
    <w:rsid w:val="00385802"/>
    <w:rsid w:val="00385A9D"/>
    <w:rsid w:val="0038622C"/>
    <w:rsid w:val="0038693E"/>
    <w:rsid w:val="00387121"/>
    <w:rsid w:val="0038734F"/>
    <w:rsid w:val="0038744A"/>
    <w:rsid w:val="00387E63"/>
    <w:rsid w:val="0039023C"/>
    <w:rsid w:val="003902B1"/>
    <w:rsid w:val="00390488"/>
    <w:rsid w:val="003905C0"/>
    <w:rsid w:val="00391321"/>
    <w:rsid w:val="0039179C"/>
    <w:rsid w:val="0039259E"/>
    <w:rsid w:val="0039268E"/>
    <w:rsid w:val="00392B10"/>
    <w:rsid w:val="00392CAD"/>
    <w:rsid w:val="00393488"/>
    <w:rsid w:val="003936D5"/>
    <w:rsid w:val="0039406D"/>
    <w:rsid w:val="0039420E"/>
    <w:rsid w:val="00395366"/>
    <w:rsid w:val="003959E4"/>
    <w:rsid w:val="00395B96"/>
    <w:rsid w:val="00395CD2"/>
    <w:rsid w:val="00395DDA"/>
    <w:rsid w:val="00395FDF"/>
    <w:rsid w:val="0039622D"/>
    <w:rsid w:val="00396896"/>
    <w:rsid w:val="00396A36"/>
    <w:rsid w:val="00396FD0"/>
    <w:rsid w:val="00397506"/>
    <w:rsid w:val="00397858"/>
    <w:rsid w:val="003A0071"/>
    <w:rsid w:val="003A0469"/>
    <w:rsid w:val="003A09C1"/>
    <w:rsid w:val="003A09F5"/>
    <w:rsid w:val="003A0F79"/>
    <w:rsid w:val="003A139D"/>
    <w:rsid w:val="003A16EB"/>
    <w:rsid w:val="003A1A7A"/>
    <w:rsid w:val="003A1EE4"/>
    <w:rsid w:val="003A2392"/>
    <w:rsid w:val="003A2617"/>
    <w:rsid w:val="003A2831"/>
    <w:rsid w:val="003A327E"/>
    <w:rsid w:val="003A360D"/>
    <w:rsid w:val="003A39DA"/>
    <w:rsid w:val="003A3B92"/>
    <w:rsid w:val="003A3CB6"/>
    <w:rsid w:val="003A3ED1"/>
    <w:rsid w:val="003A44DB"/>
    <w:rsid w:val="003A468E"/>
    <w:rsid w:val="003A4A0E"/>
    <w:rsid w:val="003A4C14"/>
    <w:rsid w:val="003A4C7F"/>
    <w:rsid w:val="003A5F06"/>
    <w:rsid w:val="003A6338"/>
    <w:rsid w:val="003A6458"/>
    <w:rsid w:val="003A7154"/>
    <w:rsid w:val="003A764D"/>
    <w:rsid w:val="003A7BB9"/>
    <w:rsid w:val="003A7CC3"/>
    <w:rsid w:val="003B02E5"/>
    <w:rsid w:val="003B0830"/>
    <w:rsid w:val="003B0B50"/>
    <w:rsid w:val="003B10C5"/>
    <w:rsid w:val="003B173D"/>
    <w:rsid w:val="003B2688"/>
    <w:rsid w:val="003B28D4"/>
    <w:rsid w:val="003B2EEB"/>
    <w:rsid w:val="003B3971"/>
    <w:rsid w:val="003B3BBF"/>
    <w:rsid w:val="003B43E9"/>
    <w:rsid w:val="003B47B9"/>
    <w:rsid w:val="003B522B"/>
    <w:rsid w:val="003B55D1"/>
    <w:rsid w:val="003B5B61"/>
    <w:rsid w:val="003B5CB0"/>
    <w:rsid w:val="003B5F91"/>
    <w:rsid w:val="003B62EF"/>
    <w:rsid w:val="003B66E8"/>
    <w:rsid w:val="003B69A3"/>
    <w:rsid w:val="003B6B1B"/>
    <w:rsid w:val="003B6D23"/>
    <w:rsid w:val="003B7A09"/>
    <w:rsid w:val="003B7E18"/>
    <w:rsid w:val="003C05CC"/>
    <w:rsid w:val="003C0A10"/>
    <w:rsid w:val="003C0DCA"/>
    <w:rsid w:val="003C1355"/>
    <w:rsid w:val="003C13FF"/>
    <w:rsid w:val="003C1427"/>
    <w:rsid w:val="003C1654"/>
    <w:rsid w:val="003C1709"/>
    <w:rsid w:val="003C17E6"/>
    <w:rsid w:val="003C19A4"/>
    <w:rsid w:val="003C1CB5"/>
    <w:rsid w:val="003C2933"/>
    <w:rsid w:val="003C2C2B"/>
    <w:rsid w:val="003C2DE2"/>
    <w:rsid w:val="003C347A"/>
    <w:rsid w:val="003C44C6"/>
    <w:rsid w:val="003C4AE3"/>
    <w:rsid w:val="003C504E"/>
    <w:rsid w:val="003C50EE"/>
    <w:rsid w:val="003C530F"/>
    <w:rsid w:val="003C5542"/>
    <w:rsid w:val="003C5EC4"/>
    <w:rsid w:val="003C63E9"/>
    <w:rsid w:val="003C6848"/>
    <w:rsid w:val="003C6C4B"/>
    <w:rsid w:val="003C7011"/>
    <w:rsid w:val="003C734F"/>
    <w:rsid w:val="003C7AAB"/>
    <w:rsid w:val="003C7C15"/>
    <w:rsid w:val="003C7CBE"/>
    <w:rsid w:val="003C7D19"/>
    <w:rsid w:val="003C7D2F"/>
    <w:rsid w:val="003C7DF4"/>
    <w:rsid w:val="003D03CF"/>
    <w:rsid w:val="003D063E"/>
    <w:rsid w:val="003D0703"/>
    <w:rsid w:val="003D0AD3"/>
    <w:rsid w:val="003D0B7A"/>
    <w:rsid w:val="003D0BB4"/>
    <w:rsid w:val="003D0C4A"/>
    <w:rsid w:val="003D0C5A"/>
    <w:rsid w:val="003D0D08"/>
    <w:rsid w:val="003D12CE"/>
    <w:rsid w:val="003D15D2"/>
    <w:rsid w:val="003D1828"/>
    <w:rsid w:val="003D1957"/>
    <w:rsid w:val="003D1A50"/>
    <w:rsid w:val="003D1BA2"/>
    <w:rsid w:val="003D1D90"/>
    <w:rsid w:val="003D1DE4"/>
    <w:rsid w:val="003D1E9A"/>
    <w:rsid w:val="003D1ED8"/>
    <w:rsid w:val="003D1F62"/>
    <w:rsid w:val="003D20C1"/>
    <w:rsid w:val="003D2297"/>
    <w:rsid w:val="003D2340"/>
    <w:rsid w:val="003D2422"/>
    <w:rsid w:val="003D353C"/>
    <w:rsid w:val="003D39A1"/>
    <w:rsid w:val="003D3BDD"/>
    <w:rsid w:val="003D3DBA"/>
    <w:rsid w:val="003D3E49"/>
    <w:rsid w:val="003D3FBF"/>
    <w:rsid w:val="003D421D"/>
    <w:rsid w:val="003D4256"/>
    <w:rsid w:val="003D4A30"/>
    <w:rsid w:val="003D4EFB"/>
    <w:rsid w:val="003D5307"/>
    <w:rsid w:val="003D5786"/>
    <w:rsid w:val="003D58EC"/>
    <w:rsid w:val="003D60E1"/>
    <w:rsid w:val="003D6E53"/>
    <w:rsid w:val="003D7452"/>
    <w:rsid w:val="003D7457"/>
    <w:rsid w:val="003D79BB"/>
    <w:rsid w:val="003D7C1D"/>
    <w:rsid w:val="003D7C98"/>
    <w:rsid w:val="003D7D9D"/>
    <w:rsid w:val="003E00CF"/>
    <w:rsid w:val="003E02E0"/>
    <w:rsid w:val="003E0543"/>
    <w:rsid w:val="003E1228"/>
    <w:rsid w:val="003E12C8"/>
    <w:rsid w:val="003E19EA"/>
    <w:rsid w:val="003E1D55"/>
    <w:rsid w:val="003E1F05"/>
    <w:rsid w:val="003E3CD3"/>
    <w:rsid w:val="003E3FA9"/>
    <w:rsid w:val="003E4375"/>
    <w:rsid w:val="003E4688"/>
    <w:rsid w:val="003E476C"/>
    <w:rsid w:val="003E491D"/>
    <w:rsid w:val="003E4968"/>
    <w:rsid w:val="003E4CDD"/>
    <w:rsid w:val="003E4DC2"/>
    <w:rsid w:val="003E5603"/>
    <w:rsid w:val="003E58A1"/>
    <w:rsid w:val="003E58CE"/>
    <w:rsid w:val="003E624E"/>
    <w:rsid w:val="003E69E7"/>
    <w:rsid w:val="003E6C2C"/>
    <w:rsid w:val="003E6EE7"/>
    <w:rsid w:val="003E749E"/>
    <w:rsid w:val="003E785D"/>
    <w:rsid w:val="003E7955"/>
    <w:rsid w:val="003E7D87"/>
    <w:rsid w:val="003F080A"/>
    <w:rsid w:val="003F0F40"/>
    <w:rsid w:val="003F1684"/>
    <w:rsid w:val="003F1890"/>
    <w:rsid w:val="003F2006"/>
    <w:rsid w:val="003F22A9"/>
    <w:rsid w:val="003F2C99"/>
    <w:rsid w:val="003F2D8B"/>
    <w:rsid w:val="003F2E66"/>
    <w:rsid w:val="003F33D8"/>
    <w:rsid w:val="003F3E08"/>
    <w:rsid w:val="003F4156"/>
    <w:rsid w:val="003F428D"/>
    <w:rsid w:val="003F4EBC"/>
    <w:rsid w:val="003F5A3E"/>
    <w:rsid w:val="003F5ADF"/>
    <w:rsid w:val="003F5DEB"/>
    <w:rsid w:val="003F5F37"/>
    <w:rsid w:val="003F6737"/>
    <w:rsid w:val="003F6DC1"/>
    <w:rsid w:val="003F7D88"/>
    <w:rsid w:val="00400202"/>
    <w:rsid w:val="00400561"/>
    <w:rsid w:val="00400827"/>
    <w:rsid w:val="00400B29"/>
    <w:rsid w:val="0040115F"/>
    <w:rsid w:val="004014CC"/>
    <w:rsid w:val="0040173E"/>
    <w:rsid w:val="00402812"/>
    <w:rsid w:val="00404817"/>
    <w:rsid w:val="00404E7D"/>
    <w:rsid w:val="0040504B"/>
    <w:rsid w:val="00405365"/>
    <w:rsid w:val="004059F4"/>
    <w:rsid w:val="00406CAE"/>
    <w:rsid w:val="004070DF"/>
    <w:rsid w:val="004073FF"/>
    <w:rsid w:val="00407637"/>
    <w:rsid w:val="004078CF"/>
    <w:rsid w:val="00407E25"/>
    <w:rsid w:val="00407FE5"/>
    <w:rsid w:val="004101B0"/>
    <w:rsid w:val="00410326"/>
    <w:rsid w:val="00410708"/>
    <w:rsid w:val="0041088C"/>
    <w:rsid w:val="00410B8D"/>
    <w:rsid w:val="00410CFD"/>
    <w:rsid w:val="00410EC7"/>
    <w:rsid w:val="004115B7"/>
    <w:rsid w:val="00411773"/>
    <w:rsid w:val="00411898"/>
    <w:rsid w:val="004119C9"/>
    <w:rsid w:val="00411B39"/>
    <w:rsid w:val="00411DC9"/>
    <w:rsid w:val="0041203D"/>
    <w:rsid w:val="004127A7"/>
    <w:rsid w:val="004128E4"/>
    <w:rsid w:val="00412969"/>
    <w:rsid w:val="00412CED"/>
    <w:rsid w:val="0041337A"/>
    <w:rsid w:val="004137FD"/>
    <w:rsid w:val="00413A1E"/>
    <w:rsid w:val="00413C76"/>
    <w:rsid w:val="00414112"/>
    <w:rsid w:val="00414476"/>
    <w:rsid w:val="004144F3"/>
    <w:rsid w:val="00414C2E"/>
    <w:rsid w:val="00415012"/>
    <w:rsid w:val="004151CF"/>
    <w:rsid w:val="00415202"/>
    <w:rsid w:val="00415BCA"/>
    <w:rsid w:val="00415C19"/>
    <w:rsid w:val="00415E60"/>
    <w:rsid w:val="004160A6"/>
    <w:rsid w:val="00416364"/>
    <w:rsid w:val="004164EB"/>
    <w:rsid w:val="0041692F"/>
    <w:rsid w:val="00417130"/>
    <w:rsid w:val="00417D02"/>
    <w:rsid w:val="0042047F"/>
    <w:rsid w:val="004209EE"/>
    <w:rsid w:val="00420AA6"/>
    <w:rsid w:val="00420B10"/>
    <w:rsid w:val="00420B9F"/>
    <w:rsid w:val="00420C2D"/>
    <w:rsid w:val="004212CD"/>
    <w:rsid w:val="004215BC"/>
    <w:rsid w:val="00421803"/>
    <w:rsid w:val="0042192C"/>
    <w:rsid w:val="00421CF6"/>
    <w:rsid w:val="00422230"/>
    <w:rsid w:val="00422260"/>
    <w:rsid w:val="00423178"/>
    <w:rsid w:val="0042344C"/>
    <w:rsid w:val="00423B0F"/>
    <w:rsid w:val="0042413F"/>
    <w:rsid w:val="004241A2"/>
    <w:rsid w:val="00424586"/>
    <w:rsid w:val="004245F2"/>
    <w:rsid w:val="00424D25"/>
    <w:rsid w:val="00425759"/>
    <w:rsid w:val="004260A6"/>
    <w:rsid w:val="00426B03"/>
    <w:rsid w:val="00426D82"/>
    <w:rsid w:val="00427652"/>
    <w:rsid w:val="00427FDE"/>
    <w:rsid w:val="00427FEF"/>
    <w:rsid w:val="00430852"/>
    <w:rsid w:val="00430B33"/>
    <w:rsid w:val="0043159F"/>
    <w:rsid w:val="004317A1"/>
    <w:rsid w:val="004319F8"/>
    <w:rsid w:val="00431E55"/>
    <w:rsid w:val="00431F4E"/>
    <w:rsid w:val="00432054"/>
    <w:rsid w:val="00432168"/>
    <w:rsid w:val="00432179"/>
    <w:rsid w:val="004321F6"/>
    <w:rsid w:val="00432436"/>
    <w:rsid w:val="00433044"/>
    <w:rsid w:val="004331D6"/>
    <w:rsid w:val="00433343"/>
    <w:rsid w:val="00433652"/>
    <w:rsid w:val="00433C0E"/>
    <w:rsid w:val="00433D2F"/>
    <w:rsid w:val="00434088"/>
    <w:rsid w:val="00435734"/>
    <w:rsid w:val="00435CB1"/>
    <w:rsid w:val="00435D6B"/>
    <w:rsid w:val="00436226"/>
    <w:rsid w:val="0043691B"/>
    <w:rsid w:val="0043703B"/>
    <w:rsid w:val="004375B9"/>
    <w:rsid w:val="00437C07"/>
    <w:rsid w:val="00437DF5"/>
    <w:rsid w:val="00440265"/>
    <w:rsid w:val="004409D4"/>
    <w:rsid w:val="00440CD6"/>
    <w:rsid w:val="00440D21"/>
    <w:rsid w:val="00440E3A"/>
    <w:rsid w:val="00440E72"/>
    <w:rsid w:val="00440FA8"/>
    <w:rsid w:val="0044111B"/>
    <w:rsid w:val="00441283"/>
    <w:rsid w:val="00441614"/>
    <w:rsid w:val="00441D48"/>
    <w:rsid w:val="00442051"/>
    <w:rsid w:val="00442365"/>
    <w:rsid w:val="004423AF"/>
    <w:rsid w:val="00442746"/>
    <w:rsid w:val="004428D0"/>
    <w:rsid w:val="004429C7"/>
    <w:rsid w:val="00442BDF"/>
    <w:rsid w:val="0044355E"/>
    <w:rsid w:val="00443CAF"/>
    <w:rsid w:val="00444185"/>
    <w:rsid w:val="004443A7"/>
    <w:rsid w:val="0044442C"/>
    <w:rsid w:val="00444C71"/>
    <w:rsid w:val="004457F0"/>
    <w:rsid w:val="00445941"/>
    <w:rsid w:val="00445C4E"/>
    <w:rsid w:val="004464EB"/>
    <w:rsid w:val="0044789F"/>
    <w:rsid w:val="00447D26"/>
    <w:rsid w:val="00447DFC"/>
    <w:rsid w:val="004500DF"/>
    <w:rsid w:val="00450255"/>
    <w:rsid w:val="0045114C"/>
    <w:rsid w:val="00451578"/>
    <w:rsid w:val="0045190E"/>
    <w:rsid w:val="00451F0B"/>
    <w:rsid w:val="00452D3A"/>
    <w:rsid w:val="00453217"/>
    <w:rsid w:val="0045366E"/>
    <w:rsid w:val="0045437D"/>
    <w:rsid w:val="00454798"/>
    <w:rsid w:val="00454DF0"/>
    <w:rsid w:val="00454F25"/>
    <w:rsid w:val="00454F92"/>
    <w:rsid w:val="00455D45"/>
    <w:rsid w:val="0045610B"/>
    <w:rsid w:val="00456511"/>
    <w:rsid w:val="00456776"/>
    <w:rsid w:val="00456AA6"/>
    <w:rsid w:val="00456AAB"/>
    <w:rsid w:val="004572FB"/>
    <w:rsid w:val="00457AFA"/>
    <w:rsid w:val="00460150"/>
    <w:rsid w:val="004606B4"/>
    <w:rsid w:val="00460773"/>
    <w:rsid w:val="004608E1"/>
    <w:rsid w:val="00460B85"/>
    <w:rsid w:val="00460F97"/>
    <w:rsid w:val="004610F4"/>
    <w:rsid w:val="0046134F"/>
    <w:rsid w:val="00461A08"/>
    <w:rsid w:val="00461A74"/>
    <w:rsid w:val="00461AB2"/>
    <w:rsid w:val="00462783"/>
    <w:rsid w:val="00462E8D"/>
    <w:rsid w:val="00462EB3"/>
    <w:rsid w:val="004631F9"/>
    <w:rsid w:val="004634F6"/>
    <w:rsid w:val="00463D0D"/>
    <w:rsid w:val="0046425C"/>
    <w:rsid w:val="0046457C"/>
    <w:rsid w:val="00464595"/>
    <w:rsid w:val="0046469A"/>
    <w:rsid w:val="00464DAC"/>
    <w:rsid w:val="0046505F"/>
    <w:rsid w:val="004654FF"/>
    <w:rsid w:val="004655A0"/>
    <w:rsid w:val="004658B5"/>
    <w:rsid w:val="0046593B"/>
    <w:rsid w:val="00466719"/>
    <w:rsid w:val="00466781"/>
    <w:rsid w:val="00466B70"/>
    <w:rsid w:val="00466FE0"/>
    <w:rsid w:val="004677A7"/>
    <w:rsid w:val="0046784F"/>
    <w:rsid w:val="00467C9C"/>
    <w:rsid w:val="00470318"/>
    <w:rsid w:val="00471213"/>
    <w:rsid w:val="0047168F"/>
    <w:rsid w:val="00471DBA"/>
    <w:rsid w:val="00471EA5"/>
    <w:rsid w:val="004720E3"/>
    <w:rsid w:val="004722F9"/>
    <w:rsid w:val="00472376"/>
    <w:rsid w:val="004723F5"/>
    <w:rsid w:val="00472627"/>
    <w:rsid w:val="00472A79"/>
    <w:rsid w:val="00472A7D"/>
    <w:rsid w:val="00473A0A"/>
    <w:rsid w:val="00473A8F"/>
    <w:rsid w:val="00473D52"/>
    <w:rsid w:val="00473F19"/>
    <w:rsid w:val="004741CA"/>
    <w:rsid w:val="00474535"/>
    <w:rsid w:val="00474682"/>
    <w:rsid w:val="00474C39"/>
    <w:rsid w:val="00474F11"/>
    <w:rsid w:val="004756DF"/>
    <w:rsid w:val="00475E22"/>
    <w:rsid w:val="00476015"/>
    <w:rsid w:val="00476342"/>
    <w:rsid w:val="0047656D"/>
    <w:rsid w:val="00476A15"/>
    <w:rsid w:val="00476D8A"/>
    <w:rsid w:val="0047792A"/>
    <w:rsid w:val="004803DD"/>
    <w:rsid w:val="00480423"/>
    <w:rsid w:val="004805FD"/>
    <w:rsid w:val="004806D8"/>
    <w:rsid w:val="0048088E"/>
    <w:rsid w:val="00480B71"/>
    <w:rsid w:val="00480CA6"/>
    <w:rsid w:val="00480F2B"/>
    <w:rsid w:val="004814D2"/>
    <w:rsid w:val="00481E42"/>
    <w:rsid w:val="00482073"/>
    <w:rsid w:val="00482288"/>
    <w:rsid w:val="00482720"/>
    <w:rsid w:val="0048306C"/>
    <w:rsid w:val="00483089"/>
    <w:rsid w:val="00483213"/>
    <w:rsid w:val="004835E7"/>
    <w:rsid w:val="004838A0"/>
    <w:rsid w:val="00483B0C"/>
    <w:rsid w:val="00483EA2"/>
    <w:rsid w:val="00485556"/>
    <w:rsid w:val="004859E1"/>
    <w:rsid w:val="00486187"/>
    <w:rsid w:val="0048657E"/>
    <w:rsid w:val="004867E2"/>
    <w:rsid w:val="00486864"/>
    <w:rsid w:val="00486D16"/>
    <w:rsid w:val="00486E76"/>
    <w:rsid w:val="00486FA5"/>
    <w:rsid w:val="004873C3"/>
    <w:rsid w:val="00490054"/>
    <w:rsid w:val="0049045E"/>
    <w:rsid w:val="0049070A"/>
    <w:rsid w:val="00490AEB"/>
    <w:rsid w:val="00490B17"/>
    <w:rsid w:val="00491B3A"/>
    <w:rsid w:val="00491F5C"/>
    <w:rsid w:val="00492110"/>
    <w:rsid w:val="00492383"/>
    <w:rsid w:val="00492CFD"/>
    <w:rsid w:val="00492F2B"/>
    <w:rsid w:val="004934F8"/>
    <w:rsid w:val="0049399B"/>
    <w:rsid w:val="00493CB5"/>
    <w:rsid w:val="00493F70"/>
    <w:rsid w:val="00494207"/>
    <w:rsid w:val="0049463E"/>
    <w:rsid w:val="00494DD5"/>
    <w:rsid w:val="00494DE7"/>
    <w:rsid w:val="0049515D"/>
    <w:rsid w:val="004951A9"/>
    <w:rsid w:val="00495E37"/>
    <w:rsid w:val="004962D2"/>
    <w:rsid w:val="004965AF"/>
    <w:rsid w:val="00497C22"/>
    <w:rsid w:val="00497D0B"/>
    <w:rsid w:val="004A03CE"/>
    <w:rsid w:val="004A05B1"/>
    <w:rsid w:val="004A0CE2"/>
    <w:rsid w:val="004A0DA1"/>
    <w:rsid w:val="004A0DE6"/>
    <w:rsid w:val="004A0DEB"/>
    <w:rsid w:val="004A0F80"/>
    <w:rsid w:val="004A13D6"/>
    <w:rsid w:val="004A1B72"/>
    <w:rsid w:val="004A1F78"/>
    <w:rsid w:val="004A2438"/>
    <w:rsid w:val="004A28F2"/>
    <w:rsid w:val="004A2F91"/>
    <w:rsid w:val="004A310B"/>
    <w:rsid w:val="004A360E"/>
    <w:rsid w:val="004A384C"/>
    <w:rsid w:val="004A44EA"/>
    <w:rsid w:val="004A4770"/>
    <w:rsid w:val="004A4795"/>
    <w:rsid w:val="004A52E9"/>
    <w:rsid w:val="004A5407"/>
    <w:rsid w:val="004A55B6"/>
    <w:rsid w:val="004A5617"/>
    <w:rsid w:val="004A5B53"/>
    <w:rsid w:val="004A5FAE"/>
    <w:rsid w:val="004A6040"/>
    <w:rsid w:val="004A6172"/>
    <w:rsid w:val="004A6213"/>
    <w:rsid w:val="004A6215"/>
    <w:rsid w:val="004A6597"/>
    <w:rsid w:val="004A68CE"/>
    <w:rsid w:val="004A69CD"/>
    <w:rsid w:val="004A6EB0"/>
    <w:rsid w:val="004A766C"/>
    <w:rsid w:val="004A7848"/>
    <w:rsid w:val="004A793B"/>
    <w:rsid w:val="004A7CD5"/>
    <w:rsid w:val="004B138E"/>
    <w:rsid w:val="004B14B8"/>
    <w:rsid w:val="004B1C32"/>
    <w:rsid w:val="004B1CB4"/>
    <w:rsid w:val="004B2289"/>
    <w:rsid w:val="004B22F0"/>
    <w:rsid w:val="004B2B0F"/>
    <w:rsid w:val="004B2F18"/>
    <w:rsid w:val="004B3019"/>
    <w:rsid w:val="004B33EA"/>
    <w:rsid w:val="004B375B"/>
    <w:rsid w:val="004B3791"/>
    <w:rsid w:val="004B3DDB"/>
    <w:rsid w:val="004B44FD"/>
    <w:rsid w:val="004B4768"/>
    <w:rsid w:val="004B4DD1"/>
    <w:rsid w:val="004B50DF"/>
    <w:rsid w:val="004B5527"/>
    <w:rsid w:val="004B5705"/>
    <w:rsid w:val="004B574A"/>
    <w:rsid w:val="004B59BD"/>
    <w:rsid w:val="004B5CFC"/>
    <w:rsid w:val="004B5D1F"/>
    <w:rsid w:val="004B5E7E"/>
    <w:rsid w:val="004B69EE"/>
    <w:rsid w:val="004B6F79"/>
    <w:rsid w:val="004B7044"/>
    <w:rsid w:val="004B7298"/>
    <w:rsid w:val="004B7316"/>
    <w:rsid w:val="004B7409"/>
    <w:rsid w:val="004B7485"/>
    <w:rsid w:val="004B774D"/>
    <w:rsid w:val="004B785B"/>
    <w:rsid w:val="004B7DED"/>
    <w:rsid w:val="004C0029"/>
    <w:rsid w:val="004C0104"/>
    <w:rsid w:val="004C0BFD"/>
    <w:rsid w:val="004C1027"/>
    <w:rsid w:val="004C11E7"/>
    <w:rsid w:val="004C1BD5"/>
    <w:rsid w:val="004C1F91"/>
    <w:rsid w:val="004C2AC2"/>
    <w:rsid w:val="004C2CCB"/>
    <w:rsid w:val="004C3001"/>
    <w:rsid w:val="004C3850"/>
    <w:rsid w:val="004C3B7F"/>
    <w:rsid w:val="004C40E8"/>
    <w:rsid w:val="004C4A06"/>
    <w:rsid w:val="004C4A65"/>
    <w:rsid w:val="004C4AED"/>
    <w:rsid w:val="004C4F61"/>
    <w:rsid w:val="004C595D"/>
    <w:rsid w:val="004C5E56"/>
    <w:rsid w:val="004C6492"/>
    <w:rsid w:val="004C649C"/>
    <w:rsid w:val="004C6D2F"/>
    <w:rsid w:val="004C75E3"/>
    <w:rsid w:val="004C7AF3"/>
    <w:rsid w:val="004C7B84"/>
    <w:rsid w:val="004C7E59"/>
    <w:rsid w:val="004C7FFE"/>
    <w:rsid w:val="004D00AA"/>
    <w:rsid w:val="004D126C"/>
    <w:rsid w:val="004D157F"/>
    <w:rsid w:val="004D21AA"/>
    <w:rsid w:val="004D27F8"/>
    <w:rsid w:val="004D2A00"/>
    <w:rsid w:val="004D2C2D"/>
    <w:rsid w:val="004D2DEF"/>
    <w:rsid w:val="004D35C1"/>
    <w:rsid w:val="004D361C"/>
    <w:rsid w:val="004D371A"/>
    <w:rsid w:val="004D3AC1"/>
    <w:rsid w:val="004D3DD2"/>
    <w:rsid w:val="004D507B"/>
    <w:rsid w:val="004D5368"/>
    <w:rsid w:val="004D5905"/>
    <w:rsid w:val="004D5E7D"/>
    <w:rsid w:val="004D69B5"/>
    <w:rsid w:val="004D6C3B"/>
    <w:rsid w:val="004D7227"/>
    <w:rsid w:val="004D7829"/>
    <w:rsid w:val="004D78E3"/>
    <w:rsid w:val="004D78FA"/>
    <w:rsid w:val="004D795B"/>
    <w:rsid w:val="004D7B5E"/>
    <w:rsid w:val="004E06B4"/>
    <w:rsid w:val="004E0A91"/>
    <w:rsid w:val="004E0E7F"/>
    <w:rsid w:val="004E0EB8"/>
    <w:rsid w:val="004E185C"/>
    <w:rsid w:val="004E189C"/>
    <w:rsid w:val="004E18E9"/>
    <w:rsid w:val="004E1D3D"/>
    <w:rsid w:val="004E1FFA"/>
    <w:rsid w:val="004E2ADC"/>
    <w:rsid w:val="004E3730"/>
    <w:rsid w:val="004E39EC"/>
    <w:rsid w:val="004E3D8E"/>
    <w:rsid w:val="004E3E94"/>
    <w:rsid w:val="004E404C"/>
    <w:rsid w:val="004E43B2"/>
    <w:rsid w:val="004E4B65"/>
    <w:rsid w:val="004E4F7C"/>
    <w:rsid w:val="004E544A"/>
    <w:rsid w:val="004E5637"/>
    <w:rsid w:val="004E5CB6"/>
    <w:rsid w:val="004E6F71"/>
    <w:rsid w:val="004E70B8"/>
    <w:rsid w:val="004E7AAF"/>
    <w:rsid w:val="004E7B6B"/>
    <w:rsid w:val="004E7CF1"/>
    <w:rsid w:val="004E7D41"/>
    <w:rsid w:val="004E7F58"/>
    <w:rsid w:val="004F0F04"/>
    <w:rsid w:val="004F15E3"/>
    <w:rsid w:val="004F1691"/>
    <w:rsid w:val="004F19E6"/>
    <w:rsid w:val="004F1A9C"/>
    <w:rsid w:val="004F1D02"/>
    <w:rsid w:val="004F2520"/>
    <w:rsid w:val="004F2679"/>
    <w:rsid w:val="004F2A07"/>
    <w:rsid w:val="004F2F21"/>
    <w:rsid w:val="004F33CB"/>
    <w:rsid w:val="004F35C4"/>
    <w:rsid w:val="004F3DE5"/>
    <w:rsid w:val="004F4385"/>
    <w:rsid w:val="004F66B8"/>
    <w:rsid w:val="004F6913"/>
    <w:rsid w:val="004F6B78"/>
    <w:rsid w:val="004F6D72"/>
    <w:rsid w:val="004F6DCD"/>
    <w:rsid w:val="004F7865"/>
    <w:rsid w:val="004F7D4A"/>
    <w:rsid w:val="005002D2"/>
    <w:rsid w:val="00500F6B"/>
    <w:rsid w:val="0050174E"/>
    <w:rsid w:val="00501854"/>
    <w:rsid w:val="0050219B"/>
    <w:rsid w:val="00502283"/>
    <w:rsid w:val="005027A3"/>
    <w:rsid w:val="00502A9C"/>
    <w:rsid w:val="00502BFD"/>
    <w:rsid w:val="00502CF4"/>
    <w:rsid w:val="00502D75"/>
    <w:rsid w:val="00503EA7"/>
    <w:rsid w:val="00503F17"/>
    <w:rsid w:val="00503F3A"/>
    <w:rsid w:val="005042C2"/>
    <w:rsid w:val="00504F23"/>
    <w:rsid w:val="00505221"/>
    <w:rsid w:val="00505582"/>
    <w:rsid w:val="0050613A"/>
    <w:rsid w:val="00506373"/>
    <w:rsid w:val="005067DB"/>
    <w:rsid w:val="00506928"/>
    <w:rsid w:val="00506CEC"/>
    <w:rsid w:val="00506F33"/>
    <w:rsid w:val="00506F9D"/>
    <w:rsid w:val="005077EF"/>
    <w:rsid w:val="005078FF"/>
    <w:rsid w:val="00507ED9"/>
    <w:rsid w:val="005108BA"/>
    <w:rsid w:val="0051092D"/>
    <w:rsid w:val="00510F9D"/>
    <w:rsid w:val="00511437"/>
    <w:rsid w:val="00511742"/>
    <w:rsid w:val="00511AD5"/>
    <w:rsid w:val="00511C8E"/>
    <w:rsid w:val="00511DC7"/>
    <w:rsid w:val="0051225B"/>
    <w:rsid w:val="005122A2"/>
    <w:rsid w:val="00513056"/>
    <w:rsid w:val="005136A9"/>
    <w:rsid w:val="005137F0"/>
    <w:rsid w:val="005138FE"/>
    <w:rsid w:val="00514213"/>
    <w:rsid w:val="005142C5"/>
    <w:rsid w:val="005146CF"/>
    <w:rsid w:val="0051501B"/>
    <w:rsid w:val="005152B5"/>
    <w:rsid w:val="00515886"/>
    <w:rsid w:val="00515C66"/>
    <w:rsid w:val="00516AA2"/>
    <w:rsid w:val="00516ACD"/>
    <w:rsid w:val="00517A1D"/>
    <w:rsid w:val="00517A33"/>
    <w:rsid w:val="00517CD3"/>
    <w:rsid w:val="00517D18"/>
    <w:rsid w:val="00517E6A"/>
    <w:rsid w:val="00517E73"/>
    <w:rsid w:val="005201ED"/>
    <w:rsid w:val="00520216"/>
    <w:rsid w:val="00520778"/>
    <w:rsid w:val="005209D7"/>
    <w:rsid w:val="00520D0C"/>
    <w:rsid w:val="00520EB0"/>
    <w:rsid w:val="0052123C"/>
    <w:rsid w:val="00521319"/>
    <w:rsid w:val="005213B3"/>
    <w:rsid w:val="005221ED"/>
    <w:rsid w:val="005222C4"/>
    <w:rsid w:val="005222DF"/>
    <w:rsid w:val="0052299D"/>
    <w:rsid w:val="00522BC8"/>
    <w:rsid w:val="005230FD"/>
    <w:rsid w:val="00523102"/>
    <w:rsid w:val="005233FF"/>
    <w:rsid w:val="00523655"/>
    <w:rsid w:val="00523804"/>
    <w:rsid w:val="00523924"/>
    <w:rsid w:val="00523C28"/>
    <w:rsid w:val="00524203"/>
    <w:rsid w:val="00524286"/>
    <w:rsid w:val="00524508"/>
    <w:rsid w:val="00524542"/>
    <w:rsid w:val="00524822"/>
    <w:rsid w:val="005249F1"/>
    <w:rsid w:val="00524C01"/>
    <w:rsid w:val="005251A6"/>
    <w:rsid w:val="00525380"/>
    <w:rsid w:val="005257FE"/>
    <w:rsid w:val="00525DC1"/>
    <w:rsid w:val="00526359"/>
    <w:rsid w:val="005264C2"/>
    <w:rsid w:val="00526D25"/>
    <w:rsid w:val="00526EFF"/>
    <w:rsid w:val="00527520"/>
    <w:rsid w:val="00527700"/>
    <w:rsid w:val="00527A36"/>
    <w:rsid w:val="00527AB8"/>
    <w:rsid w:val="00527AFA"/>
    <w:rsid w:val="005304EC"/>
    <w:rsid w:val="00530538"/>
    <w:rsid w:val="00530981"/>
    <w:rsid w:val="0053176B"/>
    <w:rsid w:val="00531B70"/>
    <w:rsid w:val="00531C92"/>
    <w:rsid w:val="00531D23"/>
    <w:rsid w:val="0053253B"/>
    <w:rsid w:val="005328F2"/>
    <w:rsid w:val="00532959"/>
    <w:rsid w:val="005329A0"/>
    <w:rsid w:val="00532ACD"/>
    <w:rsid w:val="00532C20"/>
    <w:rsid w:val="005331EC"/>
    <w:rsid w:val="005341B3"/>
    <w:rsid w:val="00534862"/>
    <w:rsid w:val="0053486B"/>
    <w:rsid w:val="00534A05"/>
    <w:rsid w:val="00535D0F"/>
    <w:rsid w:val="00535D60"/>
    <w:rsid w:val="00535F0B"/>
    <w:rsid w:val="00536139"/>
    <w:rsid w:val="005368EE"/>
    <w:rsid w:val="00536CA5"/>
    <w:rsid w:val="00536DF9"/>
    <w:rsid w:val="00536E34"/>
    <w:rsid w:val="00536F42"/>
    <w:rsid w:val="00536F6A"/>
    <w:rsid w:val="0053702F"/>
    <w:rsid w:val="00537182"/>
    <w:rsid w:val="0053725A"/>
    <w:rsid w:val="005373E8"/>
    <w:rsid w:val="005375E8"/>
    <w:rsid w:val="0053765B"/>
    <w:rsid w:val="00537A69"/>
    <w:rsid w:val="00540022"/>
    <w:rsid w:val="00540509"/>
    <w:rsid w:val="005408E6"/>
    <w:rsid w:val="00540DC1"/>
    <w:rsid w:val="005415F8"/>
    <w:rsid w:val="00541805"/>
    <w:rsid w:val="00541924"/>
    <w:rsid w:val="00541CD5"/>
    <w:rsid w:val="00541E67"/>
    <w:rsid w:val="00541EDD"/>
    <w:rsid w:val="00542743"/>
    <w:rsid w:val="00542BA8"/>
    <w:rsid w:val="00542C2D"/>
    <w:rsid w:val="00542CF8"/>
    <w:rsid w:val="00542E5E"/>
    <w:rsid w:val="00542ED0"/>
    <w:rsid w:val="00543217"/>
    <w:rsid w:val="00543760"/>
    <w:rsid w:val="005442AB"/>
    <w:rsid w:val="00544B3D"/>
    <w:rsid w:val="00544C07"/>
    <w:rsid w:val="00545E8E"/>
    <w:rsid w:val="00546A8F"/>
    <w:rsid w:val="00546BDC"/>
    <w:rsid w:val="00546D15"/>
    <w:rsid w:val="00546E4E"/>
    <w:rsid w:val="005478BD"/>
    <w:rsid w:val="005479E3"/>
    <w:rsid w:val="005479FE"/>
    <w:rsid w:val="00547F75"/>
    <w:rsid w:val="00550BE8"/>
    <w:rsid w:val="005514F4"/>
    <w:rsid w:val="0055164E"/>
    <w:rsid w:val="00551985"/>
    <w:rsid w:val="00551D3A"/>
    <w:rsid w:val="00552059"/>
    <w:rsid w:val="0055208B"/>
    <w:rsid w:val="00552190"/>
    <w:rsid w:val="0055293E"/>
    <w:rsid w:val="005529F8"/>
    <w:rsid w:val="00552BD3"/>
    <w:rsid w:val="00552C4C"/>
    <w:rsid w:val="0055310D"/>
    <w:rsid w:val="005532A0"/>
    <w:rsid w:val="005532E0"/>
    <w:rsid w:val="00553C17"/>
    <w:rsid w:val="00554F04"/>
    <w:rsid w:val="00555054"/>
    <w:rsid w:val="00555109"/>
    <w:rsid w:val="00555999"/>
    <w:rsid w:val="00556A0A"/>
    <w:rsid w:val="00556B35"/>
    <w:rsid w:val="00557261"/>
    <w:rsid w:val="0055741A"/>
    <w:rsid w:val="005577C7"/>
    <w:rsid w:val="00557A55"/>
    <w:rsid w:val="00557ADD"/>
    <w:rsid w:val="005607AE"/>
    <w:rsid w:val="005611B7"/>
    <w:rsid w:val="00561840"/>
    <w:rsid w:val="005618D4"/>
    <w:rsid w:val="00561C03"/>
    <w:rsid w:val="00561CF0"/>
    <w:rsid w:val="005626DD"/>
    <w:rsid w:val="00562744"/>
    <w:rsid w:val="005627AF"/>
    <w:rsid w:val="0056286F"/>
    <w:rsid w:val="00563752"/>
    <w:rsid w:val="005639B6"/>
    <w:rsid w:val="00563B6C"/>
    <w:rsid w:val="00563BD7"/>
    <w:rsid w:val="00563C08"/>
    <w:rsid w:val="00563CD9"/>
    <w:rsid w:val="00564184"/>
    <w:rsid w:val="005641DD"/>
    <w:rsid w:val="0056423C"/>
    <w:rsid w:val="00564277"/>
    <w:rsid w:val="00564438"/>
    <w:rsid w:val="00564867"/>
    <w:rsid w:val="0056512F"/>
    <w:rsid w:val="00565377"/>
    <w:rsid w:val="005655D6"/>
    <w:rsid w:val="00565BFB"/>
    <w:rsid w:val="00565C79"/>
    <w:rsid w:val="00565DF0"/>
    <w:rsid w:val="00565E29"/>
    <w:rsid w:val="00565F26"/>
    <w:rsid w:val="0056629D"/>
    <w:rsid w:val="0056696F"/>
    <w:rsid w:val="00566A65"/>
    <w:rsid w:val="00566ABB"/>
    <w:rsid w:val="0056724B"/>
    <w:rsid w:val="00567A30"/>
    <w:rsid w:val="00567E16"/>
    <w:rsid w:val="00570007"/>
    <w:rsid w:val="00570811"/>
    <w:rsid w:val="00571256"/>
    <w:rsid w:val="00572269"/>
    <w:rsid w:val="0057244A"/>
    <w:rsid w:val="005726A8"/>
    <w:rsid w:val="00572AFA"/>
    <w:rsid w:val="00572C01"/>
    <w:rsid w:val="00572F26"/>
    <w:rsid w:val="005738E9"/>
    <w:rsid w:val="00573931"/>
    <w:rsid w:val="00573D79"/>
    <w:rsid w:val="00573F29"/>
    <w:rsid w:val="00574577"/>
    <w:rsid w:val="005747CA"/>
    <w:rsid w:val="0057485B"/>
    <w:rsid w:val="00574AD7"/>
    <w:rsid w:val="00574B03"/>
    <w:rsid w:val="00574CF1"/>
    <w:rsid w:val="00574DD1"/>
    <w:rsid w:val="005750C5"/>
    <w:rsid w:val="005752DE"/>
    <w:rsid w:val="00575897"/>
    <w:rsid w:val="00575D60"/>
    <w:rsid w:val="00575D8D"/>
    <w:rsid w:val="005760B9"/>
    <w:rsid w:val="00576972"/>
    <w:rsid w:val="00576FCF"/>
    <w:rsid w:val="00577248"/>
    <w:rsid w:val="00577399"/>
    <w:rsid w:val="0057767D"/>
    <w:rsid w:val="0057784F"/>
    <w:rsid w:val="00580B83"/>
    <w:rsid w:val="00580FDD"/>
    <w:rsid w:val="005818D1"/>
    <w:rsid w:val="00582501"/>
    <w:rsid w:val="005827F7"/>
    <w:rsid w:val="005829DB"/>
    <w:rsid w:val="00582BFF"/>
    <w:rsid w:val="00582E8F"/>
    <w:rsid w:val="00583699"/>
    <w:rsid w:val="00583E4C"/>
    <w:rsid w:val="00584485"/>
    <w:rsid w:val="00584652"/>
    <w:rsid w:val="005846C3"/>
    <w:rsid w:val="00584AB9"/>
    <w:rsid w:val="005851D6"/>
    <w:rsid w:val="0058596C"/>
    <w:rsid w:val="00585A6E"/>
    <w:rsid w:val="00585CDD"/>
    <w:rsid w:val="00585F9D"/>
    <w:rsid w:val="0058650E"/>
    <w:rsid w:val="0058652B"/>
    <w:rsid w:val="005867B4"/>
    <w:rsid w:val="00586B2B"/>
    <w:rsid w:val="00586D55"/>
    <w:rsid w:val="00586DA4"/>
    <w:rsid w:val="00587024"/>
    <w:rsid w:val="00587058"/>
    <w:rsid w:val="00587FF4"/>
    <w:rsid w:val="00590206"/>
    <w:rsid w:val="0059068E"/>
    <w:rsid w:val="005908EB"/>
    <w:rsid w:val="00591490"/>
    <w:rsid w:val="005914DE"/>
    <w:rsid w:val="00591957"/>
    <w:rsid w:val="00591AC0"/>
    <w:rsid w:val="005923D6"/>
    <w:rsid w:val="00592B5B"/>
    <w:rsid w:val="00593110"/>
    <w:rsid w:val="00593219"/>
    <w:rsid w:val="00593389"/>
    <w:rsid w:val="00593AC5"/>
    <w:rsid w:val="00593B2F"/>
    <w:rsid w:val="00593CB7"/>
    <w:rsid w:val="00593CE0"/>
    <w:rsid w:val="00593D15"/>
    <w:rsid w:val="00593D46"/>
    <w:rsid w:val="00593DED"/>
    <w:rsid w:val="005945F8"/>
    <w:rsid w:val="00594C21"/>
    <w:rsid w:val="005951EB"/>
    <w:rsid w:val="005956E5"/>
    <w:rsid w:val="00595B42"/>
    <w:rsid w:val="00595CA9"/>
    <w:rsid w:val="00595EE4"/>
    <w:rsid w:val="00595F7F"/>
    <w:rsid w:val="0059600C"/>
    <w:rsid w:val="005960D1"/>
    <w:rsid w:val="005961F6"/>
    <w:rsid w:val="00596B98"/>
    <w:rsid w:val="0059711A"/>
    <w:rsid w:val="0059720C"/>
    <w:rsid w:val="00597A71"/>
    <w:rsid w:val="00597BF9"/>
    <w:rsid w:val="005A0535"/>
    <w:rsid w:val="005A068F"/>
    <w:rsid w:val="005A081F"/>
    <w:rsid w:val="005A0B2E"/>
    <w:rsid w:val="005A0C11"/>
    <w:rsid w:val="005A0C95"/>
    <w:rsid w:val="005A0D83"/>
    <w:rsid w:val="005A1005"/>
    <w:rsid w:val="005A17B8"/>
    <w:rsid w:val="005A1AD3"/>
    <w:rsid w:val="005A1E65"/>
    <w:rsid w:val="005A1FAD"/>
    <w:rsid w:val="005A202D"/>
    <w:rsid w:val="005A20E3"/>
    <w:rsid w:val="005A238B"/>
    <w:rsid w:val="005A2469"/>
    <w:rsid w:val="005A24FD"/>
    <w:rsid w:val="005A2504"/>
    <w:rsid w:val="005A2B9D"/>
    <w:rsid w:val="005A309A"/>
    <w:rsid w:val="005A34AE"/>
    <w:rsid w:val="005A373D"/>
    <w:rsid w:val="005A3961"/>
    <w:rsid w:val="005A4220"/>
    <w:rsid w:val="005A459D"/>
    <w:rsid w:val="005A4699"/>
    <w:rsid w:val="005A486E"/>
    <w:rsid w:val="005A4A0B"/>
    <w:rsid w:val="005A4BCA"/>
    <w:rsid w:val="005A50C4"/>
    <w:rsid w:val="005A5431"/>
    <w:rsid w:val="005A5973"/>
    <w:rsid w:val="005A5AE5"/>
    <w:rsid w:val="005A5B39"/>
    <w:rsid w:val="005A5E0A"/>
    <w:rsid w:val="005A6BE3"/>
    <w:rsid w:val="005A6C40"/>
    <w:rsid w:val="005A714C"/>
    <w:rsid w:val="005A7307"/>
    <w:rsid w:val="005A7367"/>
    <w:rsid w:val="005A7708"/>
    <w:rsid w:val="005A7FE3"/>
    <w:rsid w:val="005B01D5"/>
    <w:rsid w:val="005B05C8"/>
    <w:rsid w:val="005B0B58"/>
    <w:rsid w:val="005B12EF"/>
    <w:rsid w:val="005B131D"/>
    <w:rsid w:val="005B1634"/>
    <w:rsid w:val="005B1A2F"/>
    <w:rsid w:val="005B1AFD"/>
    <w:rsid w:val="005B1F0B"/>
    <w:rsid w:val="005B1F8D"/>
    <w:rsid w:val="005B1FD9"/>
    <w:rsid w:val="005B25A3"/>
    <w:rsid w:val="005B2711"/>
    <w:rsid w:val="005B2A71"/>
    <w:rsid w:val="005B2CB7"/>
    <w:rsid w:val="005B2E89"/>
    <w:rsid w:val="005B4057"/>
    <w:rsid w:val="005B4485"/>
    <w:rsid w:val="005B44A8"/>
    <w:rsid w:val="005B44F3"/>
    <w:rsid w:val="005B4D17"/>
    <w:rsid w:val="005B4E53"/>
    <w:rsid w:val="005B515D"/>
    <w:rsid w:val="005B56B2"/>
    <w:rsid w:val="005B5857"/>
    <w:rsid w:val="005B5A23"/>
    <w:rsid w:val="005B5FC3"/>
    <w:rsid w:val="005B62DF"/>
    <w:rsid w:val="005B6356"/>
    <w:rsid w:val="005B6BF1"/>
    <w:rsid w:val="005B6CA9"/>
    <w:rsid w:val="005B6E30"/>
    <w:rsid w:val="005B70A5"/>
    <w:rsid w:val="005B7503"/>
    <w:rsid w:val="005B756C"/>
    <w:rsid w:val="005C025F"/>
    <w:rsid w:val="005C0380"/>
    <w:rsid w:val="005C06EB"/>
    <w:rsid w:val="005C08E4"/>
    <w:rsid w:val="005C08E7"/>
    <w:rsid w:val="005C11E1"/>
    <w:rsid w:val="005C19C4"/>
    <w:rsid w:val="005C1B83"/>
    <w:rsid w:val="005C1C87"/>
    <w:rsid w:val="005C25FF"/>
    <w:rsid w:val="005C2938"/>
    <w:rsid w:val="005C2AD1"/>
    <w:rsid w:val="005C2B52"/>
    <w:rsid w:val="005C2BDE"/>
    <w:rsid w:val="005C2D55"/>
    <w:rsid w:val="005C315C"/>
    <w:rsid w:val="005C346B"/>
    <w:rsid w:val="005C3FAC"/>
    <w:rsid w:val="005C4040"/>
    <w:rsid w:val="005C49B9"/>
    <w:rsid w:val="005C5335"/>
    <w:rsid w:val="005C5ABC"/>
    <w:rsid w:val="005C5D0C"/>
    <w:rsid w:val="005C5EC2"/>
    <w:rsid w:val="005C61F2"/>
    <w:rsid w:val="005C66CA"/>
    <w:rsid w:val="005C6B2F"/>
    <w:rsid w:val="005C733F"/>
    <w:rsid w:val="005D044D"/>
    <w:rsid w:val="005D08CD"/>
    <w:rsid w:val="005D0ABD"/>
    <w:rsid w:val="005D18AD"/>
    <w:rsid w:val="005D1A03"/>
    <w:rsid w:val="005D26B4"/>
    <w:rsid w:val="005D26EC"/>
    <w:rsid w:val="005D36BB"/>
    <w:rsid w:val="005D384C"/>
    <w:rsid w:val="005D405C"/>
    <w:rsid w:val="005D4693"/>
    <w:rsid w:val="005D5DC3"/>
    <w:rsid w:val="005D5E72"/>
    <w:rsid w:val="005D624B"/>
    <w:rsid w:val="005D7A26"/>
    <w:rsid w:val="005D7E8E"/>
    <w:rsid w:val="005D7F53"/>
    <w:rsid w:val="005E089B"/>
    <w:rsid w:val="005E121D"/>
    <w:rsid w:val="005E1995"/>
    <w:rsid w:val="005E3429"/>
    <w:rsid w:val="005E36D7"/>
    <w:rsid w:val="005E3868"/>
    <w:rsid w:val="005E3C33"/>
    <w:rsid w:val="005E4A7D"/>
    <w:rsid w:val="005E4AFF"/>
    <w:rsid w:val="005E4EB1"/>
    <w:rsid w:val="005E53C2"/>
    <w:rsid w:val="005E5905"/>
    <w:rsid w:val="005E6B90"/>
    <w:rsid w:val="005E6CBC"/>
    <w:rsid w:val="005E72FF"/>
    <w:rsid w:val="005E7351"/>
    <w:rsid w:val="005E73C0"/>
    <w:rsid w:val="005E7A2A"/>
    <w:rsid w:val="005F05E9"/>
    <w:rsid w:val="005F07ED"/>
    <w:rsid w:val="005F0882"/>
    <w:rsid w:val="005F12D1"/>
    <w:rsid w:val="005F1533"/>
    <w:rsid w:val="005F1650"/>
    <w:rsid w:val="005F1692"/>
    <w:rsid w:val="005F1A23"/>
    <w:rsid w:val="005F2706"/>
    <w:rsid w:val="005F27D7"/>
    <w:rsid w:val="005F3392"/>
    <w:rsid w:val="005F3497"/>
    <w:rsid w:val="005F3705"/>
    <w:rsid w:val="005F3A7C"/>
    <w:rsid w:val="005F4412"/>
    <w:rsid w:val="005F499D"/>
    <w:rsid w:val="005F4AC9"/>
    <w:rsid w:val="005F4CA1"/>
    <w:rsid w:val="005F4E1C"/>
    <w:rsid w:val="005F51C7"/>
    <w:rsid w:val="005F51F7"/>
    <w:rsid w:val="005F55EB"/>
    <w:rsid w:val="005F5A33"/>
    <w:rsid w:val="005F5F8B"/>
    <w:rsid w:val="005F6338"/>
    <w:rsid w:val="005F69B5"/>
    <w:rsid w:val="005F6A8F"/>
    <w:rsid w:val="005F6BB7"/>
    <w:rsid w:val="005F7588"/>
    <w:rsid w:val="005F783B"/>
    <w:rsid w:val="0060004C"/>
    <w:rsid w:val="00601AA8"/>
    <w:rsid w:val="0060204A"/>
    <w:rsid w:val="0060274C"/>
    <w:rsid w:val="0060288A"/>
    <w:rsid w:val="00602AA7"/>
    <w:rsid w:val="00603248"/>
    <w:rsid w:val="00603589"/>
    <w:rsid w:val="00603DB9"/>
    <w:rsid w:val="00603E51"/>
    <w:rsid w:val="006044D4"/>
    <w:rsid w:val="0060481A"/>
    <w:rsid w:val="0060578A"/>
    <w:rsid w:val="00606187"/>
    <w:rsid w:val="0060667C"/>
    <w:rsid w:val="006066B5"/>
    <w:rsid w:val="00606ACE"/>
    <w:rsid w:val="00606FBA"/>
    <w:rsid w:val="00607669"/>
    <w:rsid w:val="006076F4"/>
    <w:rsid w:val="00607A32"/>
    <w:rsid w:val="00607AFD"/>
    <w:rsid w:val="006104F6"/>
    <w:rsid w:val="00610904"/>
    <w:rsid w:val="00611280"/>
    <w:rsid w:val="006112FC"/>
    <w:rsid w:val="00611ABA"/>
    <w:rsid w:val="00611B12"/>
    <w:rsid w:val="00611E3D"/>
    <w:rsid w:val="006123BA"/>
    <w:rsid w:val="00612A15"/>
    <w:rsid w:val="00612E5E"/>
    <w:rsid w:val="00612F97"/>
    <w:rsid w:val="00612FAB"/>
    <w:rsid w:val="0061345D"/>
    <w:rsid w:val="00613565"/>
    <w:rsid w:val="006135C6"/>
    <w:rsid w:val="00613FB8"/>
    <w:rsid w:val="0061408D"/>
    <w:rsid w:val="00614414"/>
    <w:rsid w:val="006145BC"/>
    <w:rsid w:val="006146DB"/>
    <w:rsid w:val="0061521A"/>
    <w:rsid w:val="0061549B"/>
    <w:rsid w:val="0061577B"/>
    <w:rsid w:val="00615B60"/>
    <w:rsid w:val="006167D0"/>
    <w:rsid w:val="00616802"/>
    <w:rsid w:val="00616A23"/>
    <w:rsid w:val="00617509"/>
    <w:rsid w:val="0061751A"/>
    <w:rsid w:val="00617E12"/>
    <w:rsid w:val="00617F3B"/>
    <w:rsid w:val="006204C6"/>
    <w:rsid w:val="006205CC"/>
    <w:rsid w:val="0062072D"/>
    <w:rsid w:val="00620840"/>
    <w:rsid w:val="00620BE6"/>
    <w:rsid w:val="00620C25"/>
    <w:rsid w:val="00620C4A"/>
    <w:rsid w:val="00620C84"/>
    <w:rsid w:val="006210D3"/>
    <w:rsid w:val="006211E9"/>
    <w:rsid w:val="00621477"/>
    <w:rsid w:val="00621505"/>
    <w:rsid w:val="0062183E"/>
    <w:rsid w:val="00621ADA"/>
    <w:rsid w:val="0062215D"/>
    <w:rsid w:val="0062273C"/>
    <w:rsid w:val="00622F45"/>
    <w:rsid w:val="006230BC"/>
    <w:rsid w:val="00623833"/>
    <w:rsid w:val="00623C71"/>
    <w:rsid w:val="00623F7B"/>
    <w:rsid w:val="00624711"/>
    <w:rsid w:val="00624A11"/>
    <w:rsid w:val="00624BD4"/>
    <w:rsid w:val="00625105"/>
    <w:rsid w:val="0062551E"/>
    <w:rsid w:val="006257E2"/>
    <w:rsid w:val="006260E6"/>
    <w:rsid w:val="006265C8"/>
    <w:rsid w:val="00626C88"/>
    <w:rsid w:val="00626EE5"/>
    <w:rsid w:val="00626F37"/>
    <w:rsid w:val="006270A9"/>
    <w:rsid w:val="006270D7"/>
    <w:rsid w:val="00627924"/>
    <w:rsid w:val="00630284"/>
    <w:rsid w:val="00630B0F"/>
    <w:rsid w:val="00630E8A"/>
    <w:rsid w:val="0063158F"/>
    <w:rsid w:val="006319EA"/>
    <w:rsid w:val="00631B2F"/>
    <w:rsid w:val="00631D6B"/>
    <w:rsid w:val="0063210C"/>
    <w:rsid w:val="00632183"/>
    <w:rsid w:val="0063294A"/>
    <w:rsid w:val="00632996"/>
    <w:rsid w:val="006330A1"/>
    <w:rsid w:val="00634047"/>
    <w:rsid w:val="006340B5"/>
    <w:rsid w:val="0063412A"/>
    <w:rsid w:val="0063422A"/>
    <w:rsid w:val="0063432C"/>
    <w:rsid w:val="0063479F"/>
    <w:rsid w:val="00634975"/>
    <w:rsid w:val="00634A16"/>
    <w:rsid w:val="006353F0"/>
    <w:rsid w:val="006357B5"/>
    <w:rsid w:val="006364A1"/>
    <w:rsid w:val="006364CB"/>
    <w:rsid w:val="0063678E"/>
    <w:rsid w:val="006368B5"/>
    <w:rsid w:val="00636B87"/>
    <w:rsid w:val="00636EF2"/>
    <w:rsid w:val="00637476"/>
    <w:rsid w:val="00637BE1"/>
    <w:rsid w:val="00637BFD"/>
    <w:rsid w:val="00637C5C"/>
    <w:rsid w:val="00637D97"/>
    <w:rsid w:val="006400F9"/>
    <w:rsid w:val="00640980"/>
    <w:rsid w:val="00640F09"/>
    <w:rsid w:val="00641C4E"/>
    <w:rsid w:val="00641DED"/>
    <w:rsid w:val="00641FB3"/>
    <w:rsid w:val="0064234C"/>
    <w:rsid w:val="0064244F"/>
    <w:rsid w:val="00642A41"/>
    <w:rsid w:val="0064382D"/>
    <w:rsid w:val="00643D25"/>
    <w:rsid w:val="00643F3A"/>
    <w:rsid w:val="006440CE"/>
    <w:rsid w:val="0064434C"/>
    <w:rsid w:val="00644AE0"/>
    <w:rsid w:val="00645647"/>
    <w:rsid w:val="006457F5"/>
    <w:rsid w:val="006462FF"/>
    <w:rsid w:val="00646E35"/>
    <w:rsid w:val="006471CC"/>
    <w:rsid w:val="006472FE"/>
    <w:rsid w:val="0064759F"/>
    <w:rsid w:val="006475DF"/>
    <w:rsid w:val="00647A29"/>
    <w:rsid w:val="00650117"/>
    <w:rsid w:val="0065079F"/>
    <w:rsid w:val="00650AF8"/>
    <w:rsid w:val="006515BC"/>
    <w:rsid w:val="00651868"/>
    <w:rsid w:val="00651C63"/>
    <w:rsid w:val="006520F5"/>
    <w:rsid w:val="00652A28"/>
    <w:rsid w:val="00652AA9"/>
    <w:rsid w:val="0065379F"/>
    <w:rsid w:val="00653C5B"/>
    <w:rsid w:val="00653DD2"/>
    <w:rsid w:val="00654741"/>
    <w:rsid w:val="006547BD"/>
    <w:rsid w:val="00654F42"/>
    <w:rsid w:val="00656188"/>
    <w:rsid w:val="006566B8"/>
    <w:rsid w:val="006568E4"/>
    <w:rsid w:val="00656A40"/>
    <w:rsid w:val="00656AEE"/>
    <w:rsid w:val="00656BAC"/>
    <w:rsid w:val="0065715A"/>
    <w:rsid w:val="006574A7"/>
    <w:rsid w:val="006575B2"/>
    <w:rsid w:val="00657702"/>
    <w:rsid w:val="00657C7C"/>
    <w:rsid w:val="006606E1"/>
    <w:rsid w:val="006610CA"/>
    <w:rsid w:val="006610F1"/>
    <w:rsid w:val="00661642"/>
    <w:rsid w:val="00661C6B"/>
    <w:rsid w:val="00661D3A"/>
    <w:rsid w:val="006621FE"/>
    <w:rsid w:val="006622A8"/>
    <w:rsid w:val="00662623"/>
    <w:rsid w:val="006627C9"/>
    <w:rsid w:val="00662B60"/>
    <w:rsid w:val="00662D3E"/>
    <w:rsid w:val="006634C0"/>
    <w:rsid w:val="006634C8"/>
    <w:rsid w:val="0066386E"/>
    <w:rsid w:val="00663E8B"/>
    <w:rsid w:val="00663F6D"/>
    <w:rsid w:val="006644C8"/>
    <w:rsid w:val="00664724"/>
    <w:rsid w:val="00664A14"/>
    <w:rsid w:val="00665404"/>
    <w:rsid w:val="00665590"/>
    <w:rsid w:val="00665986"/>
    <w:rsid w:val="00665ED7"/>
    <w:rsid w:val="0066692E"/>
    <w:rsid w:val="00666B75"/>
    <w:rsid w:val="0066749B"/>
    <w:rsid w:val="0066758A"/>
    <w:rsid w:val="00667BE3"/>
    <w:rsid w:val="00667C27"/>
    <w:rsid w:val="00670240"/>
    <w:rsid w:val="00670547"/>
    <w:rsid w:val="006706F8"/>
    <w:rsid w:val="00670C5C"/>
    <w:rsid w:val="00670E28"/>
    <w:rsid w:val="00670F72"/>
    <w:rsid w:val="00671004"/>
    <w:rsid w:val="00671460"/>
    <w:rsid w:val="00671B7D"/>
    <w:rsid w:val="00672072"/>
    <w:rsid w:val="00672646"/>
    <w:rsid w:val="00672F0B"/>
    <w:rsid w:val="0067311F"/>
    <w:rsid w:val="00673AC8"/>
    <w:rsid w:val="00674E42"/>
    <w:rsid w:val="006750CC"/>
    <w:rsid w:val="00675447"/>
    <w:rsid w:val="00675639"/>
    <w:rsid w:val="006756B1"/>
    <w:rsid w:val="006757CF"/>
    <w:rsid w:val="00675C38"/>
    <w:rsid w:val="0067616F"/>
    <w:rsid w:val="00676563"/>
    <w:rsid w:val="00676564"/>
    <w:rsid w:val="0067666D"/>
    <w:rsid w:val="006769CA"/>
    <w:rsid w:val="00676D77"/>
    <w:rsid w:val="00677146"/>
    <w:rsid w:val="0067786E"/>
    <w:rsid w:val="00677B70"/>
    <w:rsid w:val="00677BC6"/>
    <w:rsid w:val="00680731"/>
    <w:rsid w:val="006813F8"/>
    <w:rsid w:val="00681A45"/>
    <w:rsid w:val="00681AAE"/>
    <w:rsid w:val="00681CBE"/>
    <w:rsid w:val="00681DC0"/>
    <w:rsid w:val="00682112"/>
    <w:rsid w:val="006828E3"/>
    <w:rsid w:val="00682BA6"/>
    <w:rsid w:val="00682D2A"/>
    <w:rsid w:val="00682E49"/>
    <w:rsid w:val="00682FBE"/>
    <w:rsid w:val="0068327B"/>
    <w:rsid w:val="006835FC"/>
    <w:rsid w:val="00683779"/>
    <w:rsid w:val="006837F3"/>
    <w:rsid w:val="0068424C"/>
    <w:rsid w:val="006845C2"/>
    <w:rsid w:val="0068463F"/>
    <w:rsid w:val="0068515C"/>
    <w:rsid w:val="006854ED"/>
    <w:rsid w:val="00685B7C"/>
    <w:rsid w:val="00686957"/>
    <w:rsid w:val="00687287"/>
    <w:rsid w:val="006872BA"/>
    <w:rsid w:val="006875E3"/>
    <w:rsid w:val="00687DFE"/>
    <w:rsid w:val="00687E9D"/>
    <w:rsid w:val="00690655"/>
    <w:rsid w:val="00690795"/>
    <w:rsid w:val="006913EA"/>
    <w:rsid w:val="00691648"/>
    <w:rsid w:val="006917D7"/>
    <w:rsid w:val="00691992"/>
    <w:rsid w:val="00691C8C"/>
    <w:rsid w:val="00692EDC"/>
    <w:rsid w:val="0069369A"/>
    <w:rsid w:val="00693784"/>
    <w:rsid w:val="0069390B"/>
    <w:rsid w:val="0069434C"/>
    <w:rsid w:val="00694AD4"/>
    <w:rsid w:val="00694C7F"/>
    <w:rsid w:val="00694F44"/>
    <w:rsid w:val="0069558E"/>
    <w:rsid w:val="00695C0D"/>
    <w:rsid w:val="00696259"/>
    <w:rsid w:val="00696EF9"/>
    <w:rsid w:val="00696F51"/>
    <w:rsid w:val="00697261"/>
    <w:rsid w:val="006973F2"/>
    <w:rsid w:val="006979A5"/>
    <w:rsid w:val="006A0155"/>
    <w:rsid w:val="006A016F"/>
    <w:rsid w:val="006A0185"/>
    <w:rsid w:val="006A0DF7"/>
    <w:rsid w:val="006A1CA6"/>
    <w:rsid w:val="006A21A2"/>
    <w:rsid w:val="006A25FF"/>
    <w:rsid w:val="006A2797"/>
    <w:rsid w:val="006A30BF"/>
    <w:rsid w:val="006A3774"/>
    <w:rsid w:val="006A3799"/>
    <w:rsid w:val="006A3B73"/>
    <w:rsid w:val="006A3BE2"/>
    <w:rsid w:val="006A3E82"/>
    <w:rsid w:val="006A42C6"/>
    <w:rsid w:val="006A4321"/>
    <w:rsid w:val="006A43D9"/>
    <w:rsid w:val="006A4770"/>
    <w:rsid w:val="006A48F7"/>
    <w:rsid w:val="006A4AB9"/>
    <w:rsid w:val="006A4B32"/>
    <w:rsid w:val="006A4C5C"/>
    <w:rsid w:val="006A4FA9"/>
    <w:rsid w:val="006A5859"/>
    <w:rsid w:val="006A61A7"/>
    <w:rsid w:val="006A6B99"/>
    <w:rsid w:val="006A6DD6"/>
    <w:rsid w:val="006A7165"/>
    <w:rsid w:val="006A7466"/>
    <w:rsid w:val="006A748C"/>
    <w:rsid w:val="006A752E"/>
    <w:rsid w:val="006A782F"/>
    <w:rsid w:val="006A7C5C"/>
    <w:rsid w:val="006A7E5F"/>
    <w:rsid w:val="006B032F"/>
    <w:rsid w:val="006B0B5D"/>
    <w:rsid w:val="006B10E5"/>
    <w:rsid w:val="006B1B13"/>
    <w:rsid w:val="006B251B"/>
    <w:rsid w:val="006B261B"/>
    <w:rsid w:val="006B2795"/>
    <w:rsid w:val="006B2BA6"/>
    <w:rsid w:val="006B2C90"/>
    <w:rsid w:val="006B2F1E"/>
    <w:rsid w:val="006B3180"/>
    <w:rsid w:val="006B35E6"/>
    <w:rsid w:val="006B3942"/>
    <w:rsid w:val="006B3DA1"/>
    <w:rsid w:val="006B454B"/>
    <w:rsid w:val="006B465A"/>
    <w:rsid w:val="006B4DC8"/>
    <w:rsid w:val="006B5981"/>
    <w:rsid w:val="006B59D1"/>
    <w:rsid w:val="006B5AEC"/>
    <w:rsid w:val="006B5D17"/>
    <w:rsid w:val="006B615D"/>
    <w:rsid w:val="006B68EE"/>
    <w:rsid w:val="006B6DD0"/>
    <w:rsid w:val="006B7101"/>
    <w:rsid w:val="006B7736"/>
    <w:rsid w:val="006B79BF"/>
    <w:rsid w:val="006B7B50"/>
    <w:rsid w:val="006B7FAC"/>
    <w:rsid w:val="006C011A"/>
    <w:rsid w:val="006C0399"/>
    <w:rsid w:val="006C0736"/>
    <w:rsid w:val="006C0762"/>
    <w:rsid w:val="006C0B94"/>
    <w:rsid w:val="006C0BA1"/>
    <w:rsid w:val="006C0BB6"/>
    <w:rsid w:val="006C0F8D"/>
    <w:rsid w:val="006C16F3"/>
    <w:rsid w:val="006C1D0D"/>
    <w:rsid w:val="006C20A9"/>
    <w:rsid w:val="006C2539"/>
    <w:rsid w:val="006C2617"/>
    <w:rsid w:val="006C2A8E"/>
    <w:rsid w:val="006C2B1A"/>
    <w:rsid w:val="006C2BE2"/>
    <w:rsid w:val="006C2F33"/>
    <w:rsid w:val="006C2FE2"/>
    <w:rsid w:val="006C3255"/>
    <w:rsid w:val="006C33CD"/>
    <w:rsid w:val="006C350D"/>
    <w:rsid w:val="006C3ABF"/>
    <w:rsid w:val="006C3EB4"/>
    <w:rsid w:val="006C3F26"/>
    <w:rsid w:val="006C4B4A"/>
    <w:rsid w:val="006C52B7"/>
    <w:rsid w:val="006C55AA"/>
    <w:rsid w:val="006C5AD1"/>
    <w:rsid w:val="006C5D55"/>
    <w:rsid w:val="006C5D6B"/>
    <w:rsid w:val="006C5D98"/>
    <w:rsid w:val="006C5EB2"/>
    <w:rsid w:val="006C644C"/>
    <w:rsid w:val="006C6CA9"/>
    <w:rsid w:val="006C6D5D"/>
    <w:rsid w:val="006C6FA1"/>
    <w:rsid w:val="006C7013"/>
    <w:rsid w:val="006C734B"/>
    <w:rsid w:val="006C7371"/>
    <w:rsid w:val="006C78BD"/>
    <w:rsid w:val="006C7FA2"/>
    <w:rsid w:val="006D015C"/>
    <w:rsid w:val="006D0428"/>
    <w:rsid w:val="006D0A48"/>
    <w:rsid w:val="006D0A79"/>
    <w:rsid w:val="006D0C57"/>
    <w:rsid w:val="006D0D17"/>
    <w:rsid w:val="006D1DE6"/>
    <w:rsid w:val="006D2575"/>
    <w:rsid w:val="006D286F"/>
    <w:rsid w:val="006D338F"/>
    <w:rsid w:val="006D354C"/>
    <w:rsid w:val="006D39D1"/>
    <w:rsid w:val="006D3C7D"/>
    <w:rsid w:val="006D3C8B"/>
    <w:rsid w:val="006D4659"/>
    <w:rsid w:val="006D58D2"/>
    <w:rsid w:val="006D5D5F"/>
    <w:rsid w:val="006D6139"/>
    <w:rsid w:val="006D64B3"/>
    <w:rsid w:val="006D6730"/>
    <w:rsid w:val="006D6833"/>
    <w:rsid w:val="006D68FB"/>
    <w:rsid w:val="006D6ADA"/>
    <w:rsid w:val="006D7627"/>
    <w:rsid w:val="006D7FD4"/>
    <w:rsid w:val="006E05EE"/>
    <w:rsid w:val="006E06B7"/>
    <w:rsid w:val="006E08F7"/>
    <w:rsid w:val="006E1869"/>
    <w:rsid w:val="006E1C46"/>
    <w:rsid w:val="006E1E67"/>
    <w:rsid w:val="006E2341"/>
    <w:rsid w:val="006E2868"/>
    <w:rsid w:val="006E2E7D"/>
    <w:rsid w:val="006E2E96"/>
    <w:rsid w:val="006E327C"/>
    <w:rsid w:val="006E37F6"/>
    <w:rsid w:val="006E3CB7"/>
    <w:rsid w:val="006E434B"/>
    <w:rsid w:val="006E489E"/>
    <w:rsid w:val="006E4BE9"/>
    <w:rsid w:val="006E514C"/>
    <w:rsid w:val="006E529B"/>
    <w:rsid w:val="006E5390"/>
    <w:rsid w:val="006E5F99"/>
    <w:rsid w:val="006E6788"/>
    <w:rsid w:val="006E6ABB"/>
    <w:rsid w:val="006E7460"/>
    <w:rsid w:val="006E7465"/>
    <w:rsid w:val="006E7701"/>
    <w:rsid w:val="006E7803"/>
    <w:rsid w:val="006E7899"/>
    <w:rsid w:val="006E7C83"/>
    <w:rsid w:val="006F0004"/>
    <w:rsid w:val="006F0D0A"/>
    <w:rsid w:val="006F10B1"/>
    <w:rsid w:val="006F154E"/>
    <w:rsid w:val="006F2346"/>
    <w:rsid w:val="006F25B8"/>
    <w:rsid w:val="006F2A33"/>
    <w:rsid w:val="006F2CD8"/>
    <w:rsid w:val="006F306C"/>
    <w:rsid w:val="006F32B5"/>
    <w:rsid w:val="006F3A86"/>
    <w:rsid w:val="006F4980"/>
    <w:rsid w:val="006F514F"/>
    <w:rsid w:val="006F5AF5"/>
    <w:rsid w:val="006F5FA3"/>
    <w:rsid w:val="006F621F"/>
    <w:rsid w:val="006F63A5"/>
    <w:rsid w:val="006F7840"/>
    <w:rsid w:val="006F78CC"/>
    <w:rsid w:val="006F7EED"/>
    <w:rsid w:val="006F7F47"/>
    <w:rsid w:val="007009C0"/>
    <w:rsid w:val="00700AD3"/>
    <w:rsid w:val="0070142B"/>
    <w:rsid w:val="00701EC1"/>
    <w:rsid w:val="00702205"/>
    <w:rsid w:val="0070276E"/>
    <w:rsid w:val="00702F8F"/>
    <w:rsid w:val="007031D6"/>
    <w:rsid w:val="00704CBA"/>
    <w:rsid w:val="00705612"/>
    <w:rsid w:val="007057E0"/>
    <w:rsid w:val="0070583D"/>
    <w:rsid w:val="00705BA4"/>
    <w:rsid w:val="0070625F"/>
    <w:rsid w:val="00706C20"/>
    <w:rsid w:val="00706CCF"/>
    <w:rsid w:val="00707403"/>
    <w:rsid w:val="00707899"/>
    <w:rsid w:val="007079FC"/>
    <w:rsid w:val="007105AF"/>
    <w:rsid w:val="00710636"/>
    <w:rsid w:val="007111A5"/>
    <w:rsid w:val="007112B3"/>
    <w:rsid w:val="0071155A"/>
    <w:rsid w:val="00711A36"/>
    <w:rsid w:val="00711C95"/>
    <w:rsid w:val="00711F72"/>
    <w:rsid w:val="00712259"/>
    <w:rsid w:val="007125D3"/>
    <w:rsid w:val="00712652"/>
    <w:rsid w:val="00712AE2"/>
    <w:rsid w:val="00712E86"/>
    <w:rsid w:val="00713029"/>
    <w:rsid w:val="00713040"/>
    <w:rsid w:val="007131C9"/>
    <w:rsid w:val="0071332C"/>
    <w:rsid w:val="00713974"/>
    <w:rsid w:val="00714090"/>
    <w:rsid w:val="00714137"/>
    <w:rsid w:val="0071463C"/>
    <w:rsid w:val="00714A36"/>
    <w:rsid w:val="00714C26"/>
    <w:rsid w:val="00714EBB"/>
    <w:rsid w:val="0071529C"/>
    <w:rsid w:val="00715329"/>
    <w:rsid w:val="00715C24"/>
    <w:rsid w:val="0071606A"/>
    <w:rsid w:val="007160DB"/>
    <w:rsid w:val="00716828"/>
    <w:rsid w:val="00716855"/>
    <w:rsid w:val="00716B46"/>
    <w:rsid w:val="00716EE2"/>
    <w:rsid w:val="00716FD7"/>
    <w:rsid w:val="007170B8"/>
    <w:rsid w:val="007170DA"/>
    <w:rsid w:val="007172AD"/>
    <w:rsid w:val="00717546"/>
    <w:rsid w:val="00717ADE"/>
    <w:rsid w:val="0072021B"/>
    <w:rsid w:val="00720801"/>
    <w:rsid w:val="007211DE"/>
    <w:rsid w:val="00721B0D"/>
    <w:rsid w:val="00721D64"/>
    <w:rsid w:val="00721EA3"/>
    <w:rsid w:val="00722B1B"/>
    <w:rsid w:val="00722D14"/>
    <w:rsid w:val="0072359B"/>
    <w:rsid w:val="007238AE"/>
    <w:rsid w:val="007238DC"/>
    <w:rsid w:val="0072416F"/>
    <w:rsid w:val="00724444"/>
    <w:rsid w:val="007245C1"/>
    <w:rsid w:val="0072548B"/>
    <w:rsid w:val="007257B3"/>
    <w:rsid w:val="00725F20"/>
    <w:rsid w:val="0072688C"/>
    <w:rsid w:val="0072735E"/>
    <w:rsid w:val="007275B2"/>
    <w:rsid w:val="00727786"/>
    <w:rsid w:val="00727A58"/>
    <w:rsid w:val="00727C4A"/>
    <w:rsid w:val="00727C94"/>
    <w:rsid w:val="00730131"/>
    <w:rsid w:val="00730C03"/>
    <w:rsid w:val="00730EE1"/>
    <w:rsid w:val="00731100"/>
    <w:rsid w:val="00731993"/>
    <w:rsid w:val="00731B0A"/>
    <w:rsid w:val="00731B8D"/>
    <w:rsid w:val="00731EAE"/>
    <w:rsid w:val="00731F6C"/>
    <w:rsid w:val="007327AC"/>
    <w:rsid w:val="00732A9C"/>
    <w:rsid w:val="00733073"/>
    <w:rsid w:val="00733408"/>
    <w:rsid w:val="00734945"/>
    <w:rsid w:val="00734F2A"/>
    <w:rsid w:val="00734F72"/>
    <w:rsid w:val="00735033"/>
    <w:rsid w:val="00735328"/>
    <w:rsid w:val="007365A9"/>
    <w:rsid w:val="007366AC"/>
    <w:rsid w:val="0073685B"/>
    <w:rsid w:val="0073688D"/>
    <w:rsid w:val="00736B95"/>
    <w:rsid w:val="00736C50"/>
    <w:rsid w:val="00737072"/>
    <w:rsid w:val="007373F0"/>
    <w:rsid w:val="007375B8"/>
    <w:rsid w:val="00737FD6"/>
    <w:rsid w:val="0074000A"/>
    <w:rsid w:val="0074011A"/>
    <w:rsid w:val="00740439"/>
    <w:rsid w:val="00740462"/>
    <w:rsid w:val="007404B8"/>
    <w:rsid w:val="00740872"/>
    <w:rsid w:val="00740DC0"/>
    <w:rsid w:val="00740DD1"/>
    <w:rsid w:val="00740DE2"/>
    <w:rsid w:val="00740E05"/>
    <w:rsid w:val="0074104C"/>
    <w:rsid w:val="00741136"/>
    <w:rsid w:val="0074125F"/>
    <w:rsid w:val="00741595"/>
    <w:rsid w:val="007421A7"/>
    <w:rsid w:val="007429C2"/>
    <w:rsid w:val="00742ED9"/>
    <w:rsid w:val="00742F0D"/>
    <w:rsid w:val="0074354B"/>
    <w:rsid w:val="0074368F"/>
    <w:rsid w:val="007437B6"/>
    <w:rsid w:val="00743CA5"/>
    <w:rsid w:val="0074442B"/>
    <w:rsid w:val="007449BF"/>
    <w:rsid w:val="007449FB"/>
    <w:rsid w:val="00744F86"/>
    <w:rsid w:val="00745094"/>
    <w:rsid w:val="00745284"/>
    <w:rsid w:val="00745EB3"/>
    <w:rsid w:val="00746080"/>
    <w:rsid w:val="007462E1"/>
    <w:rsid w:val="007463FE"/>
    <w:rsid w:val="007467CC"/>
    <w:rsid w:val="00746870"/>
    <w:rsid w:val="00746A71"/>
    <w:rsid w:val="00746BC0"/>
    <w:rsid w:val="00746F34"/>
    <w:rsid w:val="007470F0"/>
    <w:rsid w:val="00750481"/>
    <w:rsid w:val="00750758"/>
    <w:rsid w:val="00750AE0"/>
    <w:rsid w:val="00750F17"/>
    <w:rsid w:val="007510B4"/>
    <w:rsid w:val="007515E7"/>
    <w:rsid w:val="00752142"/>
    <w:rsid w:val="007521D7"/>
    <w:rsid w:val="007523E9"/>
    <w:rsid w:val="007523F9"/>
    <w:rsid w:val="00752783"/>
    <w:rsid w:val="0075357E"/>
    <w:rsid w:val="00753778"/>
    <w:rsid w:val="007537F7"/>
    <w:rsid w:val="00753B29"/>
    <w:rsid w:val="00754297"/>
    <w:rsid w:val="00754832"/>
    <w:rsid w:val="00754978"/>
    <w:rsid w:val="00754BE7"/>
    <w:rsid w:val="00754BF4"/>
    <w:rsid w:val="007550C5"/>
    <w:rsid w:val="00755282"/>
    <w:rsid w:val="007553B3"/>
    <w:rsid w:val="00755F10"/>
    <w:rsid w:val="00755FC8"/>
    <w:rsid w:val="00756069"/>
    <w:rsid w:val="00756AAD"/>
    <w:rsid w:val="00756BEF"/>
    <w:rsid w:val="00756DC8"/>
    <w:rsid w:val="007573E8"/>
    <w:rsid w:val="00757673"/>
    <w:rsid w:val="00757894"/>
    <w:rsid w:val="00757F54"/>
    <w:rsid w:val="0076048D"/>
    <w:rsid w:val="007606CC"/>
    <w:rsid w:val="0076086B"/>
    <w:rsid w:val="0076096F"/>
    <w:rsid w:val="007609F5"/>
    <w:rsid w:val="00760C4E"/>
    <w:rsid w:val="00760E67"/>
    <w:rsid w:val="00760F9E"/>
    <w:rsid w:val="007616E6"/>
    <w:rsid w:val="00761729"/>
    <w:rsid w:val="00761F97"/>
    <w:rsid w:val="007627BE"/>
    <w:rsid w:val="00762B74"/>
    <w:rsid w:val="00762DF4"/>
    <w:rsid w:val="0076364F"/>
    <w:rsid w:val="00763926"/>
    <w:rsid w:val="00764C24"/>
    <w:rsid w:val="00764F03"/>
    <w:rsid w:val="00765B1A"/>
    <w:rsid w:val="00765DC1"/>
    <w:rsid w:val="00766281"/>
    <w:rsid w:val="00766419"/>
    <w:rsid w:val="0076694F"/>
    <w:rsid w:val="00766986"/>
    <w:rsid w:val="00766C8D"/>
    <w:rsid w:val="00767687"/>
    <w:rsid w:val="007700A0"/>
    <w:rsid w:val="0077012C"/>
    <w:rsid w:val="00770E33"/>
    <w:rsid w:val="00770ED8"/>
    <w:rsid w:val="00770EDF"/>
    <w:rsid w:val="00771763"/>
    <w:rsid w:val="007718F1"/>
    <w:rsid w:val="00772032"/>
    <w:rsid w:val="00772489"/>
    <w:rsid w:val="0077287C"/>
    <w:rsid w:val="00773749"/>
    <w:rsid w:val="00773DAD"/>
    <w:rsid w:val="00773E87"/>
    <w:rsid w:val="0077465E"/>
    <w:rsid w:val="00775CA9"/>
    <w:rsid w:val="00776182"/>
    <w:rsid w:val="00776817"/>
    <w:rsid w:val="00776959"/>
    <w:rsid w:val="007770EC"/>
    <w:rsid w:val="00777335"/>
    <w:rsid w:val="00777C81"/>
    <w:rsid w:val="00777CC8"/>
    <w:rsid w:val="00777F14"/>
    <w:rsid w:val="0078010C"/>
    <w:rsid w:val="00780822"/>
    <w:rsid w:val="0078097E"/>
    <w:rsid w:val="00780A28"/>
    <w:rsid w:val="00780CC3"/>
    <w:rsid w:val="00780CD3"/>
    <w:rsid w:val="00780E69"/>
    <w:rsid w:val="00781534"/>
    <w:rsid w:val="007817DA"/>
    <w:rsid w:val="00781847"/>
    <w:rsid w:val="00781908"/>
    <w:rsid w:val="00781A0A"/>
    <w:rsid w:val="00781AD5"/>
    <w:rsid w:val="0078225E"/>
    <w:rsid w:val="0078226B"/>
    <w:rsid w:val="007828CA"/>
    <w:rsid w:val="00783B3F"/>
    <w:rsid w:val="00783F07"/>
    <w:rsid w:val="0078402E"/>
    <w:rsid w:val="007843F2"/>
    <w:rsid w:val="007846FA"/>
    <w:rsid w:val="00784C0B"/>
    <w:rsid w:val="0078500E"/>
    <w:rsid w:val="007855A6"/>
    <w:rsid w:val="007858D1"/>
    <w:rsid w:val="00785A9F"/>
    <w:rsid w:val="00785AC2"/>
    <w:rsid w:val="00785C61"/>
    <w:rsid w:val="00785F80"/>
    <w:rsid w:val="00786414"/>
    <w:rsid w:val="00786660"/>
    <w:rsid w:val="00786669"/>
    <w:rsid w:val="00786782"/>
    <w:rsid w:val="007867B9"/>
    <w:rsid w:val="00786D82"/>
    <w:rsid w:val="0078788E"/>
    <w:rsid w:val="00787A05"/>
    <w:rsid w:val="007900D9"/>
    <w:rsid w:val="007902A7"/>
    <w:rsid w:val="0079042B"/>
    <w:rsid w:val="007908DE"/>
    <w:rsid w:val="00790BD9"/>
    <w:rsid w:val="00791B2D"/>
    <w:rsid w:val="007925DF"/>
    <w:rsid w:val="00792984"/>
    <w:rsid w:val="00792C60"/>
    <w:rsid w:val="00793796"/>
    <w:rsid w:val="00793F34"/>
    <w:rsid w:val="00794696"/>
    <w:rsid w:val="007947EF"/>
    <w:rsid w:val="00794850"/>
    <w:rsid w:val="00794E89"/>
    <w:rsid w:val="007952FB"/>
    <w:rsid w:val="00795A1F"/>
    <w:rsid w:val="00795DBE"/>
    <w:rsid w:val="00795F64"/>
    <w:rsid w:val="0079607F"/>
    <w:rsid w:val="007962AE"/>
    <w:rsid w:val="00796339"/>
    <w:rsid w:val="0079652E"/>
    <w:rsid w:val="00796791"/>
    <w:rsid w:val="00797A7D"/>
    <w:rsid w:val="00797C29"/>
    <w:rsid w:val="007A021B"/>
    <w:rsid w:val="007A08AA"/>
    <w:rsid w:val="007A0A12"/>
    <w:rsid w:val="007A0BB4"/>
    <w:rsid w:val="007A1198"/>
    <w:rsid w:val="007A132D"/>
    <w:rsid w:val="007A1345"/>
    <w:rsid w:val="007A1383"/>
    <w:rsid w:val="007A17B4"/>
    <w:rsid w:val="007A2DDB"/>
    <w:rsid w:val="007A3430"/>
    <w:rsid w:val="007A37C6"/>
    <w:rsid w:val="007A4154"/>
    <w:rsid w:val="007A445F"/>
    <w:rsid w:val="007A4B5D"/>
    <w:rsid w:val="007A4E2E"/>
    <w:rsid w:val="007A4F50"/>
    <w:rsid w:val="007A5606"/>
    <w:rsid w:val="007A5859"/>
    <w:rsid w:val="007A5894"/>
    <w:rsid w:val="007A589E"/>
    <w:rsid w:val="007A597B"/>
    <w:rsid w:val="007A5E84"/>
    <w:rsid w:val="007A6221"/>
    <w:rsid w:val="007A70BA"/>
    <w:rsid w:val="007A723E"/>
    <w:rsid w:val="007A7413"/>
    <w:rsid w:val="007A7618"/>
    <w:rsid w:val="007A7713"/>
    <w:rsid w:val="007A7CC1"/>
    <w:rsid w:val="007A7D98"/>
    <w:rsid w:val="007B005F"/>
    <w:rsid w:val="007B048D"/>
    <w:rsid w:val="007B0AEF"/>
    <w:rsid w:val="007B0B81"/>
    <w:rsid w:val="007B0D68"/>
    <w:rsid w:val="007B0E33"/>
    <w:rsid w:val="007B0ED7"/>
    <w:rsid w:val="007B0FF2"/>
    <w:rsid w:val="007B13EF"/>
    <w:rsid w:val="007B1B87"/>
    <w:rsid w:val="007B2389"/>
    <w:rsid w:val="007B251D"/>
    <w:rsid w:val="007B28F1"/>
    <w:rsid w:val="007B2E5B"/>
    <w:rsid w:val="007B3533"/>
    <w:rsid w:val="007B39A1"/>
    <w:rsid w:val="007B3B8C"/>
    <w:rsid w:val="007B4255"/>
    <w:rsid w:val="007B4453"/>
    <w:rsid w:val="007B450B"/>
    <w:rsid w:val="007B4A9C"/>
    <w:rsid w:val="007B4ACC"/>
    <w:rsid w:val="007B4F58"/>
    <w:rsid w:val="007B528D"/>
    <w:rsid w:val="007B52BC"/>
    <w:rsid w:val="007B54F0"/>
    <w:rsid w:val="007B5A43"/>
    <w:rsid w:val="007B5AA3"/>
    <w:rsid w:val="007B5C9D"/>
    <w:rsid w:val="007B5F9E"/>
    <w:rsid w:val="007B63CA"/>
    <w:rsid w:val="007B6717"/>
    <w:rsid w:val="007B6843"/>
    <w:rsid w:val="007B6BB6"/>
    <w:rsid w:val="007B6CA7"/>
    <w:rsid w:val="007B6EFE"/>
    <w:rsid w:val="007B77D1"/>
    <w:rsid w:val="007C07C7"/>
    <w:rsid w:val="007C082B"/>
    <w:rsid w:val="007C08FD"/>
    <w:rsid w:val="007C0C75"/>
    <w:rsid w:val="007C1745"/>
    <w:rsid w:val="007C1CD9"/>
    <w:rsid w:val="007C1D6B"/>
    <w:rsid w:val="007C2239"/>
    <w:rsid w:val="007C32EF"/>
    <w:rsid w:val="007C361D"/>
    <w:rsid w:val="007C3975"/>
    <w:rsid w:val="007C3AF9"/>
    <w:rsid w:val="007C4433"/>
    <w:rsid w:val="007C4B84"/>
    <w:rsid w:val="007C55CA"/>
    <w:rsid w:val="007C6523"/>
    <w:rsid w:val="007C6867"/>
    <w:rsid w:val="007C6A1D"/>
    <w:rsid w:val="007C6AA3"/>
    <w:rsid w:val="007C6D55"/>
    <w:rsid w:val="007C6E62"/>
    <w:rsid w:val="007C70FF"/>
    <w:rsid w:val="007C7480"/>
    <w:rsid w:val="007C7C25"/>
    <w:rsid w:val="007D004F"/>
    <w:rsid w:val="007D035F"/>
    <w:rsid w:val="007D06B2"/>
    <w:rsid w:val="007D0B38"/>
    <w:rsid w:val="007D0DDF"/>
    <w:rsid w:val="007D13F6"/>
    <w:rsid w:val="007D19B1"/>
    <w:rsid w:val="007D2B5E"/>
    <w:rsid w:val="007D2BD0"/>
    <w:rsid w:val="007D2D9E"/>
    <w:rsid w:val="007D2DDE"/>
    <w:rsid w:val="007D2FEE"/>
    <w:rsid w:val="007D3716"/>
    <w:rsid w:val="007D4097"/>
    <w:rsid w:val="007D45B1"/>
    <w:rsid w:val="007D4BF7"/>
    <w:rsid w:val="007D513E"/>
    <w:rsid w:val="007D540A"/>
    <w:rsid w:val="007D5440"/>
    <w:rsid w:val="007D6208"/>
    <w:rsid w:val="007D65DC"/>
    <w:rsid w:val="007D6742"/>
    <w:rsid w:val="007D69EB"/>
    <w:rsid w:val="007D6ADF"/>
    <w:rsid w:val="007D78A8"/>
    <w:rsid w:val="007D7C43"/>
    <w:rsid w:val="007E04AC"/>
    <w:rsid w:val="007E0503"/>
    <w:rsid w:val="007E062C"/>
    <w:rsid w:val="007E0801"/>
    <w:rsid w:val="007E0CDF"/>
    <w:rsid w:val="007E128F"/>
    <w:rsid w:val="007E17D3"/>
    <w:rsid w:val="007E1A80"/>
    <w:rsid w:val="007E1DF2"/>
    <w:rsid w:val="007E1DF3"/>
    <w:rsid w:val="007E29B9"/>
    <w:rsid w:val="007E2EA9"/>
    <w:rsid w:val="007E3531"/>
    <w:rsid w:val="007E35F4"/>
    <w:rsid w:val="007E3BF3"/>
    <w:rsid w:val="007E3CB0"/>
    <w:rsid w:val="007E40FA"/>
    <w:rsid w:val="007E498A"/>
    <w:rsid w:val="007E49CE"/>
    <w:rsid w:val="007E4E15"/>
    <w:rsid w:val="007E560F"/>
    <w:rsid w:val="007E56E2"/>
    <w:rsid w:val="007E57C2"/>
    <w:rsid w:val="007E5BB7"/>
    <w:rsid w:val="007E5DAB"/>
    <w:rsid w:val="007E5FF2"/>
    <w:rsid w:val="007E6832"/>
    <w:rsid w:val="007E69D2"/>
    <w:rsid w:val="007E7092"/>
    <w:rsid w:val="007E7E46"/>
    <w:rsid w:val="007E7F69"/>
    <w:rsid w:val="007F0327"/>
    <w:rsid w:val="007F0F70"/>
    <w:rsid w:val="007F1017"/>
    <w:rsid w:val="007F1351"/>
    <w:rsid w:val="007F1635"/>
    <w:rsid w:val="007F18AA"/>
    <w:rsid w:val="007F1A73"/>
    <w:rsid w:val="007F1AA5"/>
    <w:rsid w:val="007F20E3"/>
    <w:rsid w:val="007F215C"/>
    <w:rsid w:val="007F24F9"/>
    <w:rsid w:val="007F2B4B"/>
    <w:rsid w:val="007F32F2"/>
    <w:rsid w:val="007F41DB"/>
    <w:rsid w:val="007F4214"/>
    <w:rsid w:val="007F4A3F"/>
    <w:rsid w:val="007F4A61"/>
    <w:rsid w:val="007F4EF6"/>
    <w:rsid w:val="007F4FA8"/>
    <w:rsid w:val="007F4FC6"/>
    <w:rsid w:val="007F4FCF"/>
    <w:rsid w:val="007F5255"/>
    <w:rsid w:val="007F55D5"/>
    <w:rsid w:val="007F56CC"/>
    <w:rsid w:val="007F5A8B"/>
    <w:rsid w:val="007F604F"/>
    <w:rsid w:val="007F61C2"/>
    <w:rsid w:val="007F641A"/>
    <w:rsid w:val="0080015B"/>
    <w:rsid w:val="008005A2"/>
    <w:rsid w:val="00801010"/>
    <w:rsid w:val="0080169E"/>
    <w:rsid w:val="008016C4"/>
    <w:rsid w:val="008017EC"/>
    <w:rsid w:val="00801B54"/>
    <w:rsid w:val="008025C6"/>
    <w:rsid w:val="00802647"/>
    <w:rsid w:val="00802B29"/>
    <w:rsid w:val="008030B1"/>
    <w:rsid w:val="008031F6"/>
    <w:rsid w:val="008044F7"/>
    <w:rsid w:val="00804A75"/>
    <w:rsid w:val="00804BF2"/>
    <w:rsid w:val="00804FD3"/>
    <w:rsid w:val="00804FDE"/>
    <w:rsid w:val="00805142"/>
    <w:rsid w:val="008054EC"/>
    <w:rsid w:val="00805788"/>
    <w:rsid w:val="00805F4C"/>
    <w:rsid w:val="00805FCE"/>
    <w:rsid w:val="008065A0"/>
    <w:rsid w:val="00806928"/>
    <w:rsid w:val="00806D01"/>
    <w:rsid w:val="00806E07"/>
    <w:rsid w:val="00807A8B"/>
    <w:rsid w:val="00807ADF"/>
    <w:rsid w:val="00810102"/>
    <w:rsid w:val="0081015C"/>
    <w:rsid w:val="00810A7D"/>
    <w:rsid w:val="00811383"/>
    <w:rsid w:val="00811595"/>
    <w:rsid w:val="00811F38"/>
    <w:rsid w:val="00812149"/>
    <w:rsid w:val="00812657"/>
    <w:rsid w:val="0081273D"/>
    <w:rsid w:val="00812A8E"/>
    <w:rsid w:val="00812CAC"/>
    <w:rsid w:val="00812DB3"/>
    <w:rsid w:val="00812E07"/>
    <w:rsid w:val="00813535"/>
    <w:rsid w:val="008138FF"/>
    <w:rsid w:val="0081453F"/>
    <w:rsid w:val="008148CC"/>
    <w:rsid w:val="008149D1"/>
    <w:rsid w:val="0081506D"/>
    <w:rsid w:val="008151BD"/>
    <w:rsid w:val="0081536A"/>
    <w:rsid w:val="00815688"/>
    <w:rsid w:val="00816361"/>
    <w:rsid w:val="008166EF"/>
    <w:rsid w:val="00816CEA"/>
    <w:rsid w:val="00816FEF"/>
    <w:rsid w:val="00817722"/>
    <w:rsid w:val="008177E5"/>
    <w:rsid w:val="00817EE0"/>
    <w:rsid w:val="008200FA"/>
    <w:rsid w:val="008201C3"/>
    <w:rsid w:val="0082033F"/>
    <w:rsid w:val="008205B4"/>
    <w:rsid w:val="00820A8C"/>
    <w:rsid w:val="008215FB"/>
    <w:rsid w:val="00821C51"/>
    <w:rsid w:val="00821D3D"/>
    <w:rsid w:val="008220CC"/>
    <w:rsid w:val="00822E82"/>
    <w:rsid w:val="00823174"/>
    <w:rsid w:val="00823DE9"/>
    <w:rsid w:val="008243DB"/>
    <w:rsid w:val="0082442D"/>
    <w:rsid w:val="0082509D"/>
    <w:rsid w:val="00825751"/>
    <w:rsid w:val="008257A2"/>
    <w:rsid w:val="00825ACB"/>
    <w:rsid w:val="00825D6E"/>
    <w:rsid w:val="00826497"/>
    <w:rsid w:val="008264EB"/>
    <w:rsid w:val="00826568"/>
    <w:rsid w:val="008268CE"/>
    <w:rsid w:val="00826A52"/>
    <w:rsid w:val="00826E2A"/>
    <w:rsid w:val="00827426"/>
    <w:rsid w:val="00827436"/>
    <w:rsid w:val="0082758B"/>
    <w:rsid w:val="00827809"/>
    <w:rsid w:val="008278F4"/>
    <w:rsid w:val="00827A67"/>
    <w:rsid w:val="00827C23"/>
    <w:rsid w:val="00830028"/>
    <w:rsid w:val="008303C0"/>
    <w:rsid w:val="00830591"/>
    <w:rsid w:val="0083059D"/>
    <w:rsid w:val="008309B7"/>
    <w:rsid w:val="00830A31"/>
    <w:rsid w:val="00830A41"/>
    <w:rsid w:val="00830E04"/>
    <w:rsid w:val="008312C9"/>
    <w:rsid w:val="00831C77"/>
    <w:rsid w:val="00831C97"/>
    <w:rsid w:val="00831CFB"/>
    <w:rsid w:val="008320B5"/>
    <w:rsid w:val="00832CF3"/>
    <w:rsid w:val="008333FF"/>
    <w:rsid w:val="008337B3"/>
    <w:rsid w:val="00833B05"/>
    <w:rsid w:val="008342A0"/>
    <w:rsid w:val="008342DB"/>
    <w:rsid w:val="00834D44"/>
    <w:rsid w:val="00834D52"/>
    <w:rsid w:val="00835108"/>
    <w:rsid w:val="008351ED"/>
    <w:rsid w:val="008354E5"/>
    <w:rsid w:val="008355A4"/>
    <w:rsid w:val="008356BB"/>
    <w:rsid w:val="00835939"/>
    <w:rsid w:val="00835BAA"/>
    <w:rsid w:val="0083624E"/>
    <w:rsid w:val="008362B4"/>
    <w:rsid w:val="00836303"/>
    <w:rsid w:val="008366E1"/>
    <w:rsid w:val="0083693B"/>
    <w:rsid w:val="00836984"/>
    <w:rsid w:val="008373F3"/>
    <w:rsid w:val="00837453"/>
    <w:rsid w:val="0084006A"/>
    <w:rsid w:val="0084010C"/>
    <w:rsid w:val="00840783"/>
    <w:rsid w:val="0084097F"/>
    <w:rsid w:val="00840CA2"/>
    <w:rsid w:val="00841459"/>
    <w:rsid w:val="00842654"/>
    <w:rsid w:val="00842ABD"/>
    <w:rsid w:val="00842EDB"/>
    <w:rsid w:val="0084353F"/>
    <w:rsid w:val="0084374F"/>
    <w:rsid w:val="008437B7"/>
    <w:rsid w:val="00843C89"/>
    <w:rsid w:val="008442AC"/>
    <w:rsid w:val="00844A22"/>
    <w:rsid w:val="008458A8"/>
    <w:rsid w:val="0084624B"/>
    <w:rsid w:val="008465CB"/>
    <w:rsid w:val="0084690F"/>
    <w:rsid w:val="00846D5D"/>
    <w:rsid w:val="00846F13"/>
    <w:rsid w:val="008471DC"/>
    <w:rsid w:val="00847703"/>
    <w:rsid w:val="00847CA7"/>
    <w:rsid w:val="00847DF5"/>
    <w:rsid w:val="00850EF1"/>
    <w:rsid w:val="00851014"/>
    <w:rsid w:val="0085309D"/>
    <w:rsid w:val="008530A8"/>
    <w:rsid w:val="00853219"/>
    <w:rsid w:val="008544F2"/>
    <w:rsid w:val="00855790"/>
    <w:rsid w:val="0085622E"/>
    <w:rsid w:val="008563B5"/>
    <w:rsid w:val="00856771"/>
    <w:rsid w:val="00856878"/>
    <w:rsid w:val="00856897"/>
    <w:rsid w:val="00856C27"/>
    <w:rsid w:val="00856E9A"/>
    <w:rsid w:val="008573C5"/>
    <w:rsid w:val="00857F1E"/>
    <w:rsid w:val="00857F5F"/>
    <w:rsid w:val="0086075D"/>
    <w:rsid w:val="00860A44"/>
    <w:rsid w:val="00860E16"/>
    <w:rsid w:val="008613AE"/>
    <w:rsid w:val="00861879"/>
    <w:rsid w:val="00861D63"/>
    <w:rsid w:val="008621A6"/>
    <w:rsid w:val="008624A4"/>
    <w:rsid w:val="00862502"/>
    <w:rsid w:val="00862CC1"/>
    <w:rsid w:val="00862CF3"/>
    <w:rsid w:val="008635E6"/>
    <w:rsid w:val="00863D98"/>
    <w:rsid w:val="00864169"/>
    <w:rsid w:val="008642A7"/>
    <w:rsid w:val="008644E8"/>
    <w:rsid w:val="008645A1"/>
    <w:rsid w:val="00864BA9"/>
    <w:rsid w:val="00864C5F"/>
    <w:rsid w:val="008650A5"/>
    <w:rsid w:val="0086552E"/>
    <w:rsid w:val="008655CD"/>
    <w:rsid w:val="0086561F"/>
    <w:rsid w:val="0086584B"/>
    <w:rsid w:val="00865D6F"/>
    <w:rsid w:val="00865E54"/>
    <w:rsid w:val="00866061"/>
    <w:rsid w:val="008660D4"/>
    <w:rsid w:val="00866D06"/>
    <w:rsid w:val="00866FE9"/>
    <w:rsid w:val="00867B03"/>
    <w:rsid w:val="00867CAD"/>
    <w:rsid w:val="00867ECA"/>
    <w:rsid w:val="008705F3"/>
    <w:rsid w:val="0087109E"/>
    <w:rsid w:val="00871B50"/>
    <w:rsid w:val="00871C44"/>
    <w:rsid w:val="00871FA9"/>
    <w:rsid w:val="008727A3"/>
    <w:rsid w:val="008728E9"/>
    <w:rsid w:val="00872FC5"/>
    <w:rsid w:val="00873505"/>
    <w:rsid w:val="0087411B"/>
    <w:rsid w:val="00874D6A"/>
    <w:rsid w:val="0087533A"/>
    <w:rsid w:val="00875560"/>
    <w:rsid w:val="00875B64"/>
    <w:rsid w:val="00875EB4"/>
    <w:rsid w:val="0087634D"/>
    <w:rsid w:val="008769DB"/>
    <w:rsid w:val="00877E5F"/>
    <w:rsid w:val="00880371"/>
    <w:rsid w:val="00880656"/>
    <w:rsid w:val="00880BF0"/>
    <w:rsid w:val="00880DBD"/>
    <w:rsid w:val="00881652"/>
    <w:rsid w:val="00881740"/>
    <w:rsid w:val="00881B5F"/>
    <w:rsid w:val="008821BB"/>
    <w:rsid w:val="0088220F"/>
    <w:rsid w:val="008824D6"/>
    <w:rsid w:val="00882874"/>
    <w:rsid w:val="00882A11"/>
    <w:rsid w:val="00882E3C"/>
    <w:rsid w:val="0088308A"/>
    <w:rsid w:val="0088322F"/>
    <w:rsid w:val="008833A8"/>
    <w:rsid w:val="0088357B"/>
    <w:rsid w:val="00883787"/>
    <w:rsid w:val="00883B0C"/>
    <w:rsid w:val="008841C7"/>
    <w:rsid w:val="0088513F"/>
    <w:rsid w:val="00885464"/>
    <w:rsid w:val="008854EB"/>
    <w:rsid w:val="008855E4"/>
    <w:rsid w:val="00885D4A"/>
    <w:rsid w:val="00886557"/>
    <w:rsid w:val="008867B0"/>
    <w:rsid w:val="00886C3A"/>
    <w:rsid w:val="00886CD2"/>
    <w:rsid w:val="00886D12"/>
    <w:rsid w:val="00886E11"/>
    <w:rsid w:val="00887733"/>
    <w:rsid w:val="008877B3"/>
    <w:rsid w:val="008878AD"/>
    <w:rsid w:val="00887992"/>
    <w:rsid w:val="00887F9A"/>
    <w:rsid w:val="0089014C"/>
    <w:rsid w:val="00890978"/>
    <w:rsid w:val="00890C58"/>
    <w:rsid w:val="00891426"/>
    <w:rsid w:val="00891510"/>
    <w:rsid w:val="00891884"/>
    <w:rsid w:val="00891E6F"/>
    <w:rsid w:val="00892268"/>
    <w:rsid w:val="0089257E"/>
    <w:rsid w:val="0089275D"/>
    <w:rsid w:val="00892A36"/>
    <w:rsid w:val="00892D11"/>
    <w:rsid w:val="00893239"/>
    <w:rsid w:val="00894403"/>
    <w:rsid w:val="00894489"/>
    <w:rsid w:val="00894630"/>
    <w:rsid w:val="00894CD6"/>
    <w:rsid w:val="00894E87"/>
    <w:rsid w:val="008954CE"/>
    <w:rsid w:val="0089613B"/>
    <w:rsid w:val="008963A5"/>
    <w:rsid w:val="0089644C"/>
    <w:rsid w:val="00896484"/>
    <w:rsid w:val="00896CBD"/>
    <w:rsid w:val="00896D5D"/>
    <w:rsid w:val="008A0D55"/>
    <w:rsid w:val="008A1067"/>
    <w:rsid w:val="008A17F8"/>
    <w:rsid w:val="008A2223"/>
    <w:rsid w:val="008A22F8"/>
    <w:rsid w:val="008A2355"/>
    <w:rsid w:val="008A2E3A"/>
    <w:rsid w:val="008A2F77"/>
    <w:rsid w:val="008A3041"/>
    <w:rsid w:val="008A3158"/>
    <w:rsid w:val="008A3363"/>
    <w:rsid w:val="008A3371"/>
    <w:rsid w:val="008A363A"/>
    <w:rsid w:val="008A391D"/>
    <w:rsid w:val="008A3C3E"/>
    <w:rsid w:val="008A4515"/>
    <w:rsid w:val="008A4A28"/>
    <w:rsid w:val="008A50F0"/>
    <w:rsid w:val="008A6AAE"/>
    <w:rsid w:val="008A6B02"/>
    <w:rsid w:val="008A6B25"/>
    <w:rsid w:val="008A6F14"/>
    <w:rsid w:val="008A6F34"/>
    <w:rsid w:val="008A79DE"/>
    <w:rsid w:val="008A7C41"/>
    <w:rsid w:val="008B0873"/>
    <w:rsid w:val="008B0B57"/>
    <w:rsid w:val="008B0D7D"/>
    <w:rsid w:val="008B10AF"/>
    <w:rsid w:val="008B1757"/>
    <w:rsid w:val="008B1C33"/>
    <w:rsid w:val="008B251E"/>
    <w:rsid w:val="008B2727"/>
    <w:rsid w:val="008B27D7"/>
    <w:rsid w:val="008B288E"/>
    <w:rsid w:val="008B2A0C"/>
    <w:rsid w:val="008B2F07"/>
    <w:rsid w:val="008B2FDB"/>
    <w:rsid w:val="008B30D4"/>
    <w:rsid w:val="008B3787"/>
    <w:rsid w:val="008B3A59"/>
    <w:rsid w:val="008B3FE5"/>
    <w:rsid w:val="008B4188"/>
    <w:rsid w:val="008B41B1"/>
    <w:rsid w:val="008B4689"/>
    <w:rsid w:val="008B4B6F"/>
    <w:rsid w:val="008B4D17"/>
    <w:rsid w:val="008B53BE"/>
    <w:rsid w:val="008B53F3"/>
    <w:rsid w:val="008B57AF"/>
    <w:rsid w:val="008B58EC"/>
    <w:rsid w:val="008B5A72"/>
    <w:rsid w:val="008B5C5E"/>
    <w:rsid w:val="008B60FC"/>
    <w:rsid w:val="008B6749"/>
    <w:rsid w:val="008B6D71"/>
    <w:rsid w:val="008B71CA"/>
    <w:rsid w:val="008B753D"/>
    <w:rsid w:val="008B7992"/>
    <w:rsid w:val="008B7B54"/>
    <w:rsid w:val="008B7D7E"/>
    <w:rsid w:val="008C02D8"/>
    <w:rsid w:val="008C040B"/>
    <w:rsid w:val="008C05AA"/>
    <w:rsid w:val="008C0789"/>
    <w:rsid w:val="008C07B4"/>
    <w:rsid w:val="008C08DF"/>
    <w:rsid w:val="008C0B76"/>
    <w:rsid w:val="008C10DA"/>
    <w:rsid w:val="008C12E5"/>
    <w:rsid w:val="008C1963"/>
    <w:rsid w:val="008C1D0D"/>
    <w:rsid w:val="008C245F"/>
    <w:rsid w:val="008C25A1"/>
    <w:rsid w:val="008C53D4"/>
    <w:rsid w:val="008C553D"/>
    <w:rsid w:val="008C5610"/>
    <w:rsid w:val="008C5739"/>
    <w:rsid w:val="008C6A2F"/>
    <w:rsid w:val="008C6E64"/>
    <w:rsid w:val="008C6EAE"/>
    <w:rsid w:val="008C707A"/>
    <w:rsid w:val="008C7282"/>
    <w:rsid w:val="008C73C9"/>
    <w:rsid w:val="008C765D"/>
    <w:rsid w:val="008C7953"/>
    <w:rsid w:val="008C7A45"/>
    <w:rsid w:val="008C7AFA"/>
    <w:rsid w:val="008C7CE0"/>
    <w:rsid w:val="008C7ECB"/>
    <w:rsid w:val="008D0034"/>
    <w:rsid w:val="008D0173"/>
    <w:rsid w:val="008D09BD"/>
    <w:rsid w:val="008D0EC4"/>
    <w:rsid w:val="008D0F0E"/>
    <w:rsid w:val="008D0F59"/>
    <w:rsid w:val="008D0F64"/>
    <w:rsid w:val="008D134A"/>
    <w:rsid w:val="008D174D"/>
    <w:rsid w:val="008D1B80"/>
    <w:rsid w:val="008D1D22"/>
    <w:rsid w:val="008D210B"/>
    <w:rsid w:val="008D24AD"/>
    <w:rsid w:val="008D28F2"/>
    <w:rsid w:val="008D3068"/>
    <w:rsid w:val="008D388F"/>
    <w:rsid w:val="008D39EE"/>
    <w:rsid w:val="008D3B86"/>
    <w:rsid w:val="008D3BD2"/>
    <w:rsid w:val="008D3DC9"/>
    <w:rsid w:val="008D41D4"/>
    <w:rsid w:val="008D4366"/>
    <w:rsid w:val="008D43FD"/>
    <w:rsid w:val="008D4755"/>
    <w:rsid w:val="008D4C3D"/>
    <w:rsid w:val="008D5CED"/>
    <w:rsid w:val="008D5FFA"/>
    <w:rsid w:val="008D6054"/>
    <w:rsid w:val="008D6EC5"/>
    <w:rsid w:val="008D7068"/>
    <w:rsid w:val="008D7316"/>
    <w:rsid w:val="008D743C"/>
    <w:rsid w:val="008D7720"/>
    <w:rsid w:val="008E052A"/>
    <w:rsid w:val="008E0AF3"/>
    <w:rsid w:val="008E0D3C"/>
    <w:rsid w:val="008E174E"/>
    <w:rsid w:val="008E1B9E"/>
    <w:rsid w:val="008E1CE1"/>
    <w:rsid w:val="008E1ED3"/>
    <w:rsid w:val="008E2646"/>
    <w:rsid w:val="008E26B8"/>
    <w:rsid w:val="008E2CDD"/>
    <w:rsid w:val="008E3170"/>
    <w:rsid w:val="008E31E6"/>
    <w:rsid w:val="008E324B"/>
    <w:rsid w:val="008E41C7"/>
    <w:rsid w:val="008E4441"/>
    <w:rsid w:val="008E456B"/>
    <w:rsid w:val="008E4EB1"/>
    <w:rsid w:val="008E5096"/>
    <w:rsid w:val="008E50F4"/>
    <w:rsid w:val="008E51ED"/>
    <w:rsid w:val="008E54B1"/>
    <w:rsid w:val="008E55AB"/>
    <w:rsid w:val="008E5639"/>
    <w:rsid w:val="008E5678"/>
    <w:rsid w:val="008E5925"/>
    <w:rsid w:val="008E5F47"/>
    <w:rsid w:val="008E6185"/>
    <w:rsid w:val="008E61D6"/>
    <w:rsid w:val="008E6577"/>
    <w:rsid w:val="008E6FD5"/>
    <w:rsid w:val="008E7122"/>
    <w:rsid w:val="008E7536"/>
    <w:rsid w:val="008E79F6"/>
    <w:rsid w:val="008E7C75"/>
    <w:rsid w:val="008F0981"/>
    <w:rsid w:val="008F0D2D"/>
    <w:rsid w:val="008F120A"/>
    <w:rsid w:val="008F12E4"/>
    <w:rsid w:val="008F14B8"/>
    <w:rsid w:val="008F1BDE"/>
    <w:rsid w:val="008F2026"/>
    <w:rsid w:val="008F22F6"/>
    <w:rsid w:val="008F268E"/>
    <w:rsid w:val="008F26D5"/>
    <w:rsid w:val="008F27D4"/>
    <w:rsid w:val="008F27E0"/>
    <w:rsid w:val="008F2972"/>
    <w:rsid w:val="008F2C4E"/>
    <w:rsid w:val="008F2F31"/>
    <w:rsid w:val="008F3285"/>
    <w:rsid w:val="008F45DB"/>
    <w:rsid w:val="008F48EB"/>
    <w:rsid w:val="008F4F0B"/>
    <w:rsid w:val="008F58C3"/>
    <w:rsid w:val="008F5B4A"/>
    <w:rsid w:val="008F5EBA"/>
    <w:rsid w:val="008F6109"/>
    <w:rsid w:val="008F6125"/>
    <w:rsid w:val="008F6129"/>
    <w:rsid w:val="008F645E"/>
    <w:rsid w:val="008F6531"/>
    <w:rsid w:val="008F653E"/>
    <w:rsid w:val="008F6C5B"/>
    <w:rsid w:val="008F7522"/>
    <w:rsid w:val="008F75E8"/>
    <w:rsid w:val="008F7B8B"/>
    <w:rsid w:val="008F7CDE"/>
    <w:rsid w:val="009011FB"/>
    <w:rsid w:val="00901226"/>
    <w:rsid w:val="009016D8"/>
    <w:rsid w:val="0090172E"/>
    <w:rsid w:val="00901B8E"/>
    <w:rsid w:val="00901E42"/>
    <w:rsid w:val="009021F7"/>
    <w:rsid w:val="00903B00"/>
    <w:rsid w:val="00903F50"/>
    <w:rsid w:val="009040FD"/>
    <w:rsid w:val="00904335"/>
    <w:rsid w:val="009046C4"/>
    <w:rsid w:val="0090475A"/>
    <w:rsid w:val="00904794"/>
    <w:rsid w:val="00904E0E"/>
    <w:rsid w:val="00905814"/>
    <w:rsid w:val="009059CC"/>
    <w:rsid w:val="00905CCC"/>
    <w:rsid w:val="009062A5"/>
    <w:rsid w:val="009062C6"/>
    <w:rsid w:val="0090647A"/>
    <w:rsid w:val="00906641"/>
    <w:rsid w:val="00906B68"/>
    <w:rsid w:val="00906C0D"/>
    <w:rsid w:val="00906E16"/>
    <w:rsid w:val="00906FC3"/>
    <w:rsid w:val="009073FF"/>
    <w:rsid w:val="0090748A"/>
    <w:rsid w:val="00907699"/>
    <w:rsid w:val="00907775"/>
    <w:rsid w:val="00907D58"/>
    <w:rsid w:val="00910265"/>
    <w:rsid w:val="0091045D"/>
    <w:rsid w:val="0091071E"/>
    <w:rsid w:val="009109F1"/>
    <w:rsid w:val="00910CFD"/>
    <w:rsid w:val="00910FA7"/>
    <w:rsid w:val="00911272"/>
    <w:rsid w:val="00911339"/>
    <w:rsid w:val="00911A48"/>
    <w:rsid w:val="00911D2B"/>
    <w:rsid w:val="00911EAC"/>
    <w:rsid w:val="00911F4B"/>
    <w:rsid w:val="00912827"/>
    <w:rsid w:val="009134F7"/>
    <w:rsid w:val="009135D6"/>
    <w:rsid w:val="00913A28"/>
    <w:rsid w:val="009143CE"/>
    <w:rsid w:val="00914404"/>
    <w:rsid w:val="00914C77"/>
    <w:rsid w:val="00914DCF"/>
    <w:rsid w:val="00914FFA"/>
    <w:rsid w:val="0091580F"/>
    <w:rsid w:val="00915A56"/>
    <w:rsid w:val="00915ABA"/>
    <w:rsid w:val="00915D7E"/>
    <w:rsid w:val="00915DEE"/>
    <w:rsid w:val="00916137"/>
    <w:rsid w:val="0091697D"/>
    <w:rsid w:val="00917210"/>
    <w:rsid w:val="00917535"/>
    <w:rsid w:val="00917853"/>
    <w:rsid w:val="00917BA2"/>
    <w:rsid w:val="00917D11"/>
    <w:rsid w:val="0092072F"/>
    <w:rsid w:val="00920881"/>
    <w:rsid w:val="009217CB"/>
    <w:rsid w:val="00921ACB"/>
    <w:rsid w:val="00921BB0"/>
    <w:rsid w:val="00922017"/>
    <w:rsid w:val="009221E2"/>
    <w:rsid w:val="00922B37"/>
    <w:rsid w:val="00922CE2"/>
    <w:rsid w:val="00922DAF"/>
    <w:rsid w:val="00922E87"/>
    <w:rsid w:val="00923011"/>
    <w:rsid w:val="0092369B"/>
    <w:rsid w:val="0092384B"/>
    <w:rsid w:val="00924030"/>
    <w:rsid w:val="00924792"/>
    <w:rsid w:val="00924C0D"/>
    <w:rsid w:val="00924C82"/>
    <w:rsid w:val="00925332"/>
    <w:rsid w:val="0092548C"/>
    <w:rsid w:val="00926E4B"/>
    <w:rsid w:val="00926E87"/>
    <w:rsid w:val="00926EE3"/>
    <w:rsid w:val="00927067"/>
    <w:rsid w:val="00927144"/>
    <w:rsid w:val="009271D6"/>
    <w:rsid w:val="0092781A"/>
    <w:rsid w:val="00927DD9"/>
    <w:rsid w:val="0093026C"/>
    <w:rsid w:val="00930400"/>
    <w:rsid w:val="00930866"/>
    <w:rsid w:val="0093118D"/>
    <w:rsid w:val="00931B2E"/>
    <w:rsid w:val="00931E53"/>
    <w:rsid w:val="00931FD1"/>
    <w:rsid w:val="009322DC"/>
    <w:rsid w:val="009323A3"/>
    <w:rsid w:val="00933173"/>
    <w:rsid w:val="009332E7"/>
    <w:rsid w:val="0093330C"/>
    <w:rsid w:val="00933754"/>
    <w:rsid w:val="00933A89"/>
    <w:rsid w:val="00933F62"/>
    <w:rsid w:val="00934029"/>
    <w:rsid w:val="00934416"/>
    <w:rsid w:val="009345E4"/>
    <w:rsid w:val="009346AC"/>
    <w:rsid w:val="009346EC"/>
    <w:rsid w:val="00934988"/>
    <w:rsid w:val="00935678"/>
    <w:rsid w:val="0093572F"/>
    <w:rsid w:val="009359A0"/>
    <w:rsid w:val="009359EC"/>
    <w:rsid w:val="009362D7"/>
    <w:rsid w:val="009367B1"/>
    <w:rsid w:val="00937089"/>
    <w:rsid w:val="009376DE"/>
    <w:rsid w:val="00937B19"/>
    <w:rsid w:val="00937C1C"/>
    <w:rsid w:val="009400D3"/>
    <w:rsid w:val="00940435"/>
    <w:rsid w:val="009409CD"/>
    <w:rsid w:val="00940A36"/>
    <w:rsid w:val="00941986"/>
    <w:rsid w:val="009419BA"/>
    <w:rsid w:val="00942B60"/>
    <w:rsid w:val="009433C0"/>
    <w:rsid w:val="00943522"/>
    <w:rsid w:val="0094359C"/>
    <w:rsid w:val="00943669"/>
    <w:rsid w:val="00944324"/>
    <w:rsid w:val="00944774"/>
    <w:rsid w:val="009449C0"/>
    <w:rsid w:val="00944D08"/>
    <w:rsid w:val="00944F8A"/>
    <w:rsid w:val="00945640"/>
    <w:rsid w:val="009461C7"/>
    <w:rsid w:val="009466C4"/>
    <w:rsid w:val="00946E80"/>
    <w:rsid w:val="0094791B"/>
    <w:rsid w:val="00947923"/>
    <w:rsid w:val="00947C3D"/>
    <w:rsid w:val="00947FF0"/>
    <w:rsid w:val="009510A2"/>
    <w:rsid w:val="00951E5C"/>
    <w:rsid w:val="00951FA7"/>
    <w:rsid w:val="00952309"/>
    <w:rsid w:val="0095261F"/>
    <w:rsid w:val="00952835"/>
    <w:rsid w:val="00952ADF"/>
    <w:rsid w:val="00952AE5"/>
    <w:rsid w:val="00952BC7"/>
    <w:rsid w:val="00953196"/>
    <w:rsid w:val="00953257"/>
    <w:rsid w:val="009538EC"/>
    <w:rsid w:val="00953C21"/>
    <w:rsid w:val="00953D32"/>
    <w:rsid w:val="00953DF1"/>
    <w:rsid w:val="00953E4B"/>
    <w:rsid w:val="009546B5"/>
    <w:rsid w:val="0095474C"/>
    <w:rsid w:val="0095498C"/>
    <w:rsid w:val="009549FE"/>
    <w:rsid w:val="00955420"/>
    <w:rsid w:val="009556FA"/>
    <w:rsid w:val="00956015"/>
    <w:rsid w:val="00956317"/>
    <w:rsid w:val="00956742"/>
    <w:rsid w:val="00956B7C"/>
    <w:rsid w:val="009571DD"/>
    <w:rsid w:val="009577A3"/>
    <w:rsid w:val="00957933"/>
    <w:rsid w:val="00957CCD"/>
    <w:rsid w:val="00957D92"/>
    <w:rsid w:val="009601C6"/>
    <w:rsid w:val="009601FF"/>
    <w:rsid w:val="009605AB"/>
    <w:rsid w:val="00960808"/>
    <w:rsid w:val="00960A04"/>
    <w:rsid w:val="00960DAC"/>
    <w:rsid w:val="00960EDF"/>
    <w:rsid w:val="00961307"/>
    <w:rsid w:val="009618C7"/>
    <w:rsid w:val="009618DC"/>
    <w:rsid w:val="00961A27"/>
    <w:rsid w:val="00961A63"/>
    <w:rsid w:val="00961D41"/>
    <w:rsid w:val="00961F86"/>
    <w:rsid w:val="00962433"/>
    <w:rsid w:val="00962CB9"/>
    <w:rsid w:val="009631B5"/>
    <w:rsid w:val="009632DC"/>
    <w:rsid w:val="009635F0"/>
    <w:rsid w:val="00963781"/>
    <w:rsid w:val="00963831"/>
    <w:rsid w:val="00963B38"/>
    <w:rsid w:val="00964312"/>
    <w:rsid w:val="0096471D"/>
    <w:rsid w:val="009649F3"/>
    <w:rsid w:val="00964AE2"/>
    <w:rsid w:val="00964C51"/>
    <w:rsid w:val="00965B8A"/>
    <w:rsid w:val="00965CE4"/>
    <w:rsid w:val="0096609A"/>
    <w:rsid w:val="00966369"/>
    <w:rsid w:val="00966731"/>
    <w:rsid w:val="00966807"/>
    <w:rsid w:val="00967F88"/>
    <w:rsid w:val="00967FDB"/>
    <w:rsid w:val="009705BF"/>
    <w:rsid w:val="0097071F"/>
    <w:rsid w:val="00970A32"/>
    <w:rsid w:val="00970B7F"/>
    <w:rsid w:val="00970E51"/>
    <w:rsid w:val="009714A2"/>
    <w:rsid w:val="009714E2"/>
    <w:rsid w:val="00971577"/>
    <w:rsid w:val="009717AC"/>
    <w:rsid w:val="00971AFA"/>
    <w:rsid w:val="00972883"/>
    <w:rsid w:val="009728C7"/>
    <w:rsid w:val="009731FE"/>
    <w:rsid w:val="00973313"/>
    <w:rsid w:val="00973765"/>
    <w:rsid w:val="00973BF7"/>
    <w:rsid w:val="0097433A"/>
    <w:rsid w:val="00974A24"/>
    <w:rsid w:val="0097516C"/>
    <w:rsid w:val="009751C1"/>
    <w:rsid w:val="009763D9"/>
    <w:rsid w:val="00976ECC"/>
    <w:rsid w:val="00977880"/>
    <w:rsid w:val="009802AC"/>
    <w:rsid w:val="00980A37"/>
    <w:rsid w:val="009811F1"/>
    <w:rsid w:val="00981919"/>
    <w:rsid w:val="00981A2F"/>
    <w:rsid w:val="00981C0A"/>
    <w:rsid w:val="00983881"/>
    <w:rsid w:val="00983E57"/>
    <w:rsid w:val="00984243"/>
    <w:rsid w:val="00984681"/>
    <w:rsid w:val="009846B8"/>
    <w:rsid w:val="009848D1"/>
    <w:rsid w:val="00984A6A"/>
    <w:rsid w:val="0098508E"/>
    <w:rsid w:val="00985302"/>
    <w:rsid w:val="009855E8"/>
    <w:rsid w:val="0098580C"/>
    <w:rsid w:val="0098594A"/>
    <w:rsid w:val="00985D59"/>
    <w:rsid w:val="00985DE2"/>
    <w:rsid w:val="0098633C"/>
    <w:rsid w:val="0098675D"/>
    <w:rsid w:val="00987072"/>
    <w:rsid w:val="009870A9"/>
    <w:rsid w:val="0098769A"/>
    <w:rsid w:val="009876FC"/>
    <w:rsid w:val="00987928"/>
    <w:rsid w:val="00987BA4"/>
    <w:rsid w:val="00987DFE"/>
    <w:rsid w:val="00990033"/>
    <w:rsid w:val="009903AA"/>
    <w:rsid w:val="00990598"/>
    <w:rsid w:val="00990DDB"/>
    <w:rsid w:val="00991170"/>
    <w:rsid w:val="00991BC1"/>
    <w:rsid w:val="00991CF0"/>
    <w:rsid w:val="00991CF5"/>
    <w:rsid w:val="0099216B"/>
    <w:rsid w:val="009926E0"/>
    <w:rsid w:val="009926FD"/>
    <w:rsid w:val="00992C45"/>
    <w:rsid w:val="0099357F"/>
    <w:rsid w:val="00993595"/>
    <w:rsid w:val="0099378B"/>
    <w:rsid w:val="00993A7D"/>
    <w:rsid w:val="0099451E"/>
    <w:rsid w:val="009945BF"/>
    <w:rsid w:val="009947C8"/>
    <w:rsid w:val="00994E42"/>
    <w:rsid w:val="00994F39"/>
    <w:rsid w:val="009951B7"/>
    <w:rsid w:val="009953F8"/>
    <w:rsid w:val="00996080"/>
    <w:rsid w:val="00996116"/>
    <w:rsid w:val="0099687F"/>
    <w:rsid w:val="00996B1A"/>
    <w:rsid w:val="0099720A"/>
    <w:rsid w:val="00997C0F"/>
    <w:rsid w:val="00997D5E"/>
    <w:rsid w:val="009A18F6"/>
    <w:rsid w:val="009A1C55"/>
    <w:rsid w:val="009A205A"/>
    <w:rsid w:val="009A2AF2"/>
    <w:rsid w:val="009A2CD0"/>
    <w:rsid w:val="009A2DC6"/>
    <w:rsid w:val="009A2DCC"/>
    <w:rsid w:val="009A3337"/>
    <w:rsid w:val="009A33F7"/>
    <w:rsid w:val="009A3AB9"/>
    <w:rsid w:val="009A3D2F"/>
    <w:rsid w:val="009A3D5F"/>
    <w:rsid w:val="009A4458"/>
    <w:rsid w:val="009A52B2"/>
    <w:rsid w:val="009A52DB"/>
    <w:rsid w:val="009A5ABC"/>
    <w:rsid w:val="009A5C93"/>
    <w:rsid w:val="009A6CE5"/>
    <w:rsid w:val="009A6E05"/>
    <w:rsid w:val="009A6FF1"/>
    <w:rsid w:val="009A76E1"/>
    <w:rsid w:val="009A7CDE"/>
    <w:rsid w:val="009A7F10"/>
    <w:rsid w:val="009B023F"/>
    <w:rsid w:val="009B0676"/>
    <w:rsid w:val="009B0C2E"/>
    <w:rsid w:val="009B0F83"/>
    <w:rsid w:val="009B10A6"/>
    <w:rsid w:val="009B11E2"/>
    <w:rsid w:val="009B18AD"/>
    <w:rsid w:val="009B1CD1"/>
    <w:rsid w:val="009B2F17"/>
    <w:rsid w:val="009B3AAA"/>
    <w:rsid w:val="009B3B55"/>
    <w:rsid w:val="009B3E26"/>
    <w:rsid w:val="009B42FB"/>
    <w:rsid w:val="009B4898"/>
    <w:rsid w:val="009B4A55"/>
    <w:rsid w:val="009B52F0"/>
    <w:rsid w:val="009B61DC"/>
    <w:rsid w:val="009B6379"/>
    <w:rsid w:val="009B6628"/>
    <w:rsid w:val="009B7330"/>
    <w:rsid w:val="009B7BF7"/>
    <w:rsid w:val="009C0083"/>
    <w:rsid w:val="009C0C0C"/>
    <w:rsid w:val="009C0C76"/>
    <w:rsid w:val="009C0FD3"/>
    <w:rsid w:val="009C1144"/>
    <w:rsid w:val="009C1271"/>
    <w:rsid w:val="009C17B0"/>
    <w:rsid w:val="009C1AA4"/>
    <w:rsid w:val="009C27DC"/>
    <w:rsid w:val="009C27DD"/>
    <w:rsid w:val="009C2916"/>
    <w:rsid w:val="009C2EFD"/>
    <w:rsid w:val="009C2F6D"/>
    <w:rsid w:val="009C2F84"/>
    <w:rsid w:val="009C3261"/>
    <w:rsid w:val="009C367C"/>
    <w:rsid w:val="009C3706"/>
    <w:rsid w:val="009C39E8"/>
    <w:rsid w:val="009C3A3A"/>
    <w:rsid w:val="009C3D66"/>
    <w:rsid w:val="009C4133"/>
    <w:rsid w:val="009C41C8"/>
    <w:rsid w:val="009C485A"/>
    <w:rsid w:val="009C4BCC"/>
    <w:rsid w:val="009C4FBE"/>
    <w:rsid w:val="009C5130"/>
    <w:rsid w:val="009C55B4"/>
    <w:rsid w:val="009C59C9"/>
    <w:rsid w:val="009C5DC4"/>
    <w:rsid w:val="009C6450"/>
    <w:rsid w:val="009C6CAA"/>
    <w:rsid w:val="009C6CEA"/>
    <w:rsid w:val="009C735D"/>
    <w:rsid w:val="009C7B4C"/>
    <w:rsid w:val="009C7B85"/>
    <w:rsid w:val="009C7CC4"/>
    <w:rsid w:val="009C7F98"/>
    <w:rsid w:val="009D0254"/>
    <w:rsid w:val="009D04A1"/>
    <w:rsid w:val="009D0A68"/>
    <w:rsid w:val="009D0C2F"/>
    <w:rsid w:val="009D187A"/>
    <w:rsid w:val="009D1A64"/>
    <w:rsid w:val="009D2140"/>
    <w:rsid w:val="009D21CF"/>
    <w:rsid w:val="009D227C"/>
    <w:rsid w:val="009D285C"/>
    <w:rsid w:val="009D2B5D"/>
    <w:rsid w:val="009D3417"/>
    <w:rsid w:val="009D344C"/>
    <w:rsid w:val="009D3E44"/>
    <w:rsid w:val="009D4406"/>
    <w:rsid w:val="009D44BE"/>
    <w:rsid w:val="009D45FA"/>
    <w:rsid w:val="009D46A7"/>
    <w:rsid w:val="009D4797"/>
    <w:rsid w:val="009D48A2"/>
    <w:rsid w:val="009D4D7F"/>
    <w:rsid w:val="009D5435"/>
    <w:rsid w:val="009D54B1"/>
    <w:rsid w:val="009D5592"/>
    <w:rsid w:val="009D5B91"/>
    <w:rsid w:val="009D66CC"/>
    <w:rsid w:val="009D71A5"/>
    <w:rsid w:val="009D7238"/>
    <w:rsid w:val="009D7487"/>
    <w:rsid w:val="009D76DE"/>
    <w:rsid w:val="009D792E"/>
    <w:rsid w:val="009D7B3C"/>
    <w:rsid w:val="009D7D2F"/>
    <w:rsid w:val="009E07DC"/>
    <w:rsid w:val="009E0DFE"/>
    <w:rsid w:val="009E1008"/>
    <w:rsid w:val="009E1112"/>
    <w:rsid w:val="009E1BBB"/>
    <w:rsid w:val="009E278F"/>
    <w:rsid w:val="009E2A34"/>
    <w:rsid w:val="009E31F6"/>
    <w:rsid w:val="009E3C31"/>
    <w:rsid w:val="009E3D28"/>
    <w:rsid w:val="009E43F9"/>
    <w:rsid w:val="009E447B"/>
    <w:rsid w:val="009E4C07"/>
    <w:rsid w:val="009E4F7A"/>
    <w:rsid w:val="009E5104"/>
    <w:rsid w:val="009E5210"/>
    <w:rsid w:val="009E55AB"/>
    <w:rsid w:val="009E55ED"/>
    <w:rsid w:val="009E5DD2"/>
    <w:rsid w:val="009E61B9"/>
    <w:rsid w:val="009E671E"/>
    <w:rsid w:val="009E6B5D"/>
    <w:rsid w:val="009E6E36"/>
    <w:rsid w:val="009E730A"/>
    <w:rsid w:val="009E7406"/>
    <w:rsid w:val="009E777F"/>
    <w:rsid w:val="009E7BBC"/>
    <w:rsid w:val="009F018B"/>
    <w:rsid w:val="009F16C6"/>
    <w:rsid w:val="009F2363"/>
    <w:rsid w:val="009F260A"/>
    <w:rsid w:val="009F3140"/>
    <w:rsid w:val="009F3337"/>
    <w:rsid w:val="009F395D"/>
    <w:rsid w:val="009F3DFA"/>
    <w:rsid w:val="009F4320"/>
    <w:rsid w:val="009F43E9"/>
    <w:rsid w:val="009F4822"/>
    <w:rsid w:val="009F4AE9"/>
    <w:rsid w:val="009F557E"/>
    <w:rsid w:val="009F5BDC"/>
    <w:rsid w:val="009F5E0A"/>
    <w:rsid w:val="009F6120"/>
    <w:rsid w:val="009F65EB"/>
    <w:rsid w:val="009F76CF"/>
    <w:rsid w:val="00A00356"/>
    <w:rsid w:val="00A004F0"/>
    <w:rsid w:val="00A00807"/>
    <w:rsid w:val="00A00882"/>
    <w:rsid w:val="00A00D51"/>
    <w:rsid w:val="00A00D76"/>
    <w:rsid w:val="00A01184"/>
    <w:rsid w:val="00A01449"/>
    <w:rsid w:val="00A0168E"/>
    <w:rsid w:val="00A01E49"/>
    <w:rsid w:val="00A025E1"/>
    <w:rsid w:val="00A026C0"/>
    <w:rsid w:val="00A02941"/>
    <w:rsid w:val="00A02C8D"/>
    <w:rsid w:val="00A02DE1"/>
    <w:rsid w:val="00A0336A"/>
    <w:rsid w:val="00A03421"/>
    <w:rsid w:val="00A03426"/>
    <w:rsid w:val="00A037C2"/>
    <w:rsid w:val="00A038CA"/>
    <w:rsid w:val="00A039F2"/>
    <w:rsid w:val="00A03D43"/>
    <w:rsid w:val="00A0409B"/>
    <w:rsid w:val="00A04380"/>
    <w:rsid w:val="00A0452C"/>
    <w:rsid w:val="00A04786"/>
    <w:rsid w:val="00A052CE"/>
    <w:rsid w:val="00A05472"/>
    <w:rsid w:val="00A05694"/>
    <w:rsid w:val="00A05A85"/>
    <w:rsid w:val="00A05C32"/>
    <w:rsid w:val="00A0653F"/>
    <w:rsid w:val="00A0693C"/>
    <w:rsid w:val="00A06C1E"/>
    <w:rsid w:val="00A06D09"/>
    <w:rsid w:val="00A07241"/>
    <w:rsid w:val="00A07402"/>
    <w:rsid w:val="00A074F9"/>
    <w:rsid w:val="00A10499"/>
    <w:rsid w:val="00A10542"/>
    <w:rsid w:val="00A105A6"/>
    <w:rsid w:val="00A105E4"/>
    <w:rsid w:val="00A10CD4"/>
    <w:rsid w:val="00A10FFD"/>
    <w:rsid w:val="00A11080"/>
    <w:rsid w:val="00A11CD0"/>
    <w:rsid w:val="00A122C7"/>
    <w:rsid w:val="00A12C6E"/>
    <w:rsid w:val="00A13948"/>
    <w:rsid w:val="00A13B2F"/>
    <w:rsid w:val="00A140A1"/>
    <w:rsid w:val="00A147F6"/>
    <w:rsid w:val="00A150C7"/>
    <w:rsid w:val="00A154C7"/>
    <w:rsid w:val="00A154D8"/>
    <w:rsid w:val="00A1555B"/>
    <w:rsid w:val="00A155C5"/>
    <w:rsid w:val="00A15A20"/>
    <w:rsid w:val="00A15EBA"/>
    <w:rsid w:val="00A15ECC"/>
    <w:rsid w:val="00A15F64"/>
    <w:rsid w:val="00A16771"/>
    <w:rsid w:val="00A16AD8"/>
    <w:rsid w:val="00A16FD3"/>
    <w:rsid w:val="00A173C7"/>
    <w:rsid w:val="00A17571"/>
    <w:rsid w:val="00A17589"/>
    <w:rsid w:val="00A175F6"/>
    <w:rsid w:val="00A17DEC"/>
    <w:rsid w:val="00A200A5"/>
    <w:rsid w:val="00A2021E"/>
    <w:rsid w:val="00A202D3"/>
    <w:rsid w:val="00A206B1"/>
    <w:rsid w:val="00A20925"/>
    <w:rsid w:val="00A20981"/>
    <w:rsid w:val="00A21AAB"/>
    <w:rsid w:val="00A21C95"/>
    <w:rsid w:val="00A21CF3"/>
    <w:rsid w:val="00A21E7C"/>
    <w:rsid w:val="00A236C6"/>
    <w:rsid w:val="00A2427E"/>
    <w:rsid w:val="00A245BE"/>
    <w:rsid w:val="00A24813"/>
    <w:rsid w:val="00A249B4"/>
    <w:rsid w:val="00A250E2"/>
    <w:rsid w:val="00A25B0D"/>
    <w:rsid w:val="00A25E5B"/>
    <w:rsid w:val="00A2681F"/>
    <w:rsid w:val="00A26B32"/>
    <w:rsid w:val="00A26D45"/>
    <w:rsid w:val="00A26F39"/>
    <w:rsid w:val="00A2710B"/>
    <w:rsid w:val="00A27AEC"/>
    <w:rsid w:val="00A30AEC"/>
    <w:rsid w:val="00A30C22"/>
    <w:rsid w:val="00A30FD7"/>
    <w:rsid w:val="00A316C8"/>
    <w:rsid w:val="00A320DB"/>
    <w:rsid w:val="00A3287D"/>
    <w:rsid w:val="00A32902"/>
    <w:rsid w:val="00A32920"/>
    <w:rsid w:val="00A32E30"/>
    <w:rsid w:val="00A33A5F"/>
    <w:rsid w:val="00A348B8"/>
    <w:rsid w:val="00A34BB5"/>
    <w:rsid w:val="00A34CBE"/>
    <w:rsid w:val="00A34F6E"/>
    <w:rsid w:val="00A35A5B"/>
    <w:rsid w:val="00A35D16"/>
    <w:rsid w:val="00A35F77"/>
    <w:rsid w:val="00A360D1"/>
    <w:rsid w:val="00A36477"/>
    <w:rsid w:val="00A369E1"/>
    <w:rsid w:val="00A36E0F"/>
    <w:rsid w:val="00A36EBF"/>
    <w:rsid w:val="00A36F87"/>
    <w:rsid w:val="00A37BCD"/>
    <w:rsid w:val="00A37E45"/>
    <w:rsid w:val="00A4030A"/>
    <w:rsid w:val="00A40502"/>
    <w:rsid w:val="00A40E07"/>
    <w:rsid w:val="00A41294"/>
    <w:rsid w:val="00A41689"/>
    <w:rsid w:val="00A41A52"/>
    <w:rsid w:val="00A4201F"/>
    <w:rsid w:val="00A42592"/>
    <w:rsid w:val="00A429C9"/>
    <w:rsid w:val="00A42CCC"/>
    <w:rsid w:val="00A43C59"/>
    <w:rsid w:val="00A441C7"/>
    <w:rsid w:val="00A44F65"/>
    <w:rsid w:val="00A4559E"/>
    <w:rsid w:val="00A46C6D"/>
    <w:rsid w:val="00A47353"/>
    <w:rsid w:val="00A4777C"/>
    <w:rsid w:val="00A47BB0"/>
    <w:rsid w:val="00A504D8"/>
    <w:rsid w:val="00A50570"/>
    <w:rsid w:val="00A5092F"/>
    <w:rsid w:val="00A50BCB"/>
    <w:rsid w:val="00A50CB8"/>
    <w:rsid w:val="00A50EC5"/>
    <w:rsid w:val="00A50ECD"/>
    <w:rsid w:val="00A515F3"/>
    <w:rsid w:val="00A516E6"/>
    <w:rsid w:val="00A518F3"/>
    <w:rsid w:val="00A5196E"/>
    <w:rsid w:val="00A5199B"/>
    <w:rsid w:val="00A526DB"/>
    <w:rsid w:val="00A52729"/>
    <w:rsid w:val="00A5313A"/>
    <w:rsid w:val="00A53675"/>
    <w:rsid w:val="00A536F7"/>
    <w:rsid w:val="00A53A0A"/>
    <w:rsid w:val="00A53CDA"/>
    <w:rsid w:val="00A54086"/>
    <w:rsid w:val="00A5416D"/>
    <w:rsid w:val="00A54572"/>
    <w:rsid w:val="00A5469C"/>
    <w:rsid w:val="00A54C84"/>
    <w:rsid w:val="00A54DBD"/>
    <w:rsid w:val="00A54DD2"/>
    <w:rsid w:val="00A5580E"/>
    <w:rsid w:val="00A55B1E"/>
    <w:rsid w:val="00A55D93"/>
    <w:rsid w:val="00A564D7"/>
    <w:rsid w:val="00A56652"/>
    <w:rsid w:val="00A56761"/>
    <w:rsid w:val="00A56B6A"/>
    <w:rsid w:val="00A570D0"/>
    <w:rsid w:val="00A5711F"/>
    <w:rsid w:val="00A578DC"/>
    <w:rsid w:val="00A579E9"/>
    <w:rsid w:val="00A60F54"/>
    <w:rsid w:val="00A61104"/>
    <w:rsid w:val="00A6127F"/>
    <w:rsid w:val="00A614BE"/>
    <w:rsid w:val="00A614F3"/>
    <w:rsid w:val="00A615D7"/>
    <w:rsid w:val="00A61C35"/>
    <w:rsid w:val="00A62107"/>
    <w:rsid w:val="00A6279D"/>
    <w:rsid w:val="00A62941"/>
    <w:rsid w:val="00A62B10"/>
    <w:rsid w:val="00A62B80"/>
    <w:rsid w:val="00A63D55"/>
    <w:rsid w:val="00A640E2"/>
    <w:rsid w:val="00A64ABA"/>
    <w:rsid w:val="00A64D65"/>
    <w:rsid w:val="00A64E4D"/>
    <w:rsid w:val="00A65327"/>
    <w:rsid w:val="00A65396"/>
    <w:rsid w:val="00A655A6"/>
    <w:rsid w:val="00A66968"/>
    <w:rsid w:val="00A66D04"/>
    <w:rsid w:val="00A66E97"/>
    <w:rsid w:val="00A6710A"/>
    <w:rsid w:val="00A6725B"/>
    <w:rsid w:val="00A67EDC"/>
    <w:rsid w:val="00A70036"/>
    <w:rsid w:val="00A70605"/>
    <w:rsid w:val="00A70915"/>
    <w:rsid w:val="00A70B04"/>
    <w:rsid w:val="00A70D7E"/>
    <w:rsid w:val="00A70FDE"/>
    <w:rsid w:val="00A7115F"/>
    <w:rsid w:val="00A71592"/>
    <w:rsid w:val="00A71B06"/>
    <w:rsid w:val="00A71B9F"/>
    <w:rsid w:val="00A72132"/>
    <w:rsid w:val="00A7226E"/>
    <w:rsid w:val="00A7263E"/>
    <w:rsid w:val="00A7280C"/>
    <w:rsid w:val="00A72898"/>
    <w:rsid w:val="00A7312D"/>
    <w:rsid w:val="00A73134"/>
    <w:rsid w:val="00A73463"/>
    <w:rsid w:val="00A7365A"/>
    <w:rsid w:val="00A748B4"/>
    <w:rsid w:val="00A74F48"/>
    <w:rsid w:val="00A75B1B"/>
    <w:rsid w:val="00A75E4B"/>
    <w:rsid w:val="00A76001"/>
    <w:rsid w:val="00A760CF"/>
    <w:rsid w:val="00A76112"/>
    <w:rsid w:val="00A764BF"/>
    <w:rsid w:val="00A76635"/>
    <w:rsid w:val="00A76655"/>
    <w:rsid w:val="00A77041"/>
    <w:rsid w:val="00A777B2"/>
    <w:rsid w:val="00A77DCE"/>
    <w:rsid w:val="00A800FB"/>
    <w:rsid w:val="00A80563"/>
    <w:rsid w:val="00A80700"/>
    <w:rsid w:val="00A80EFA"/>
    <w:rsid w:val="00A81778"/>
    <w:rsid w:val="00A823D3"/>
    <w:rsid w:val="00A825D4"/>
    <w:rsid w:val="00A8283D"/>
    <w:rsid w:val="00A828F6"/>
    <w:rsid w:val="00A82B73"/>
    <w:rsid w:val="00A8308C"/>
    <w:rsid w:val="00A8329D"/>
    <w:rsid w:val="00A83BA0"/>
    <w:rsid w:val="00A84566"/>
    <w:rsid w:val="00A8504A"/>
    <w:rsid w:val="00A85F16"/>
    <w:rsid w:val="00A85F6D"/>
    <w:rsid w:val="00A86A7C"/>
    <w:rsid w:val="00A86E8B"/>
    <w:rsid w:val="00A87164"/>
    <w:rsid w:val="00A871A9"/>
    <w:rsid w:val="00A8753E"/>
    <w:rsid w:val="00A87E23"/>
    <w:rsid w:val="00A90078"/>
    <w:rsid w:val="00A91210"/>
    <w:rsid w:val="00A9246B"/>
    <w:rsid w:val="00A92F4D"/>
    <w:rsid w:val="00A93072"/>
    <w:rsid w:val="00A938BD"/>
    <w:rsid w:val="00A93953"/>
    <w:rsid w:val="00A93DA2"/>
    <w:rsid w:val="00A93E6B"/>
    <w:rsid w:val="00A940D7"/>
    <w:rsid w:val="00A944EE"/>
    <w:rsid w:val="00A94FCA"/>
    <w:rsid w:val="00A9599D"/>
    <w:rsid w:val="00A959D8"/>
    <w:rsid w:val="00A95BB7"/>
    <w:rsid w:val="00A961B0"/>
    <w:rsid w:val="00A96288"/>
    <w:rsid w:val="00A96507"/>
    <w:rsid w:val="00A96598"/>
    <w:rsid w:val="00A96B91"/>
    <w:rsid w:val="00A972A1"/>
    <w:rsid w:val="00AA0035"/>
    <w:rsid w:val="00AA01B8"/>
    <w:rsid w:val="00AA06B9"/>
    <w:rsid w:val="00AA078D"/>
    <w:rsid w:val="00AA10DF"/>
    <w:rsid w:val="00AA1115"/>
    <w:rsid w:val="00AA113D"/>
    <w:rsid w:val="00AA2096"/>
    <w:rsid w:val="00AA26EC"/>
    <w:rsid w:val="00AA2874"/>
    <w:rsid w:val="00AA2A47"/>
    <w:rsid w:val="00AA3127"/>
    <w:rsid w:val="00AA317C"/>
    <w:rsid w:val="00AA336B"/>
    <w:rsid w:val="00AA33F3"/>
    <w:rsid w:val="00AA3732"/>
    <w:rsid w:val="00AA3B15"/>
    <w:rsid w:val="00AA486C"/>
    <w:rsid w:val="00AA4A7D"/>
    <w:rsid w:val="00AA5358"/>
    <w:rsid w:val="00AA6018"/>
    <w:rsid w:val="00AA6120"/>
    <w:rsid w:val="00AA6BD5"/>
    <w:rsid w:val="00AA6BD8"/>
    <w:rsid w:val="00AA6C7D"/>
    <w:rsid w:val="00AA761C"/>
    <w:rsid w:val="00AA762E"/>
    <w:rsid w:val="00AA7891"/>
    <w:rsid w:val="00AA7FD6"/>
    <w:rsid w:val="00AB042A"/>
    <w:rsid w:val="00AB11AD"/>
    <w:rsid w:val="00AB1460"/>
    <w:rsid w:val="00AB19EF"/>
    <w:rsid w:val="00AB2495"/>
    <w:rsid w:val="00AB2996"/>
    <w:rsid w:val="00AB2AD0"/>
    <w:rsid w:val="00AB2D34"/>
    <w:rsid w:val="00AB2F97"/>
    <w:rsid w:val="00AB3287"/>
    <w:rsid w:val="00AB3430"/>
    <w:rsid w:val="00AB3626"/>
    <w:rsid w:val="00AB3772"/>
    <w:rsid w:val="00AB37B9"/>
    <w:rsid w:val="00AB3A91"/>
    <w:rsid w:val="00AB45B9"/>
    <w:rsid w:val="00AB461A"/>
    <w:rsid w:val="00AB4853"/>
    <w:rsid w:val="00AB4A14"/>
    <w:rsid w:val="00AB4AD1"/>
    <w:rsid w:val="00AB4BD0"/>
    <w:rsid w:val="00AB5498"/>
    <w:rsid w:val="00AB59DC"/>
    <w:rsid w:val="00AB5B89"/>
    <w:rsid w:val="00AB5E07"/>
    <w:rsid w:val="00AB5E4C"/>
    <w:rsid w:val="00AB5EC8"/>
    <w:rsid w:val="00AB641D"/>
    <w:rsid w:val="00AB68EF"/>
    <w:rsid w:val="00AB6ABE"/>
    <w:rsid w:val="00AB6E31"/>
    <w:rsid w:val="00AB6E4A"/>
    <w:rsid w:val="00AB6EEC"/>
    <w:rsid w:val="00AB76A0"/>
    <w:rsid w:val="00AB7AF9"/>
    <w:rsid w:val="00AB7CFA"/>
    <w:rsid w:val="00AB7D29"/>
    <w:rsid w:val="00AB7D9D"/>
    <w:rsid w:val="00AC0542"/>
    <w:rsid w:val="00AC083B"/>
    <w:rsid w:val="00AC1691"/>
    <w:rsid w:val="00AC1A9C"/>
    <w:rsid w:val="00AC266F"/>
    <w:rsid w:val="00AC2EC1"/>
    <w:rsid w:val="00AC2F03"/>
    <w:rsid w:val="00AC30C7"/>
    <w:rsid w:val="00AC32D2"/>
    <w:rsid w:val="00AC387D"/>
    <w:rsid w:val="00AC3ED7"/>
    <w:rsid w:val="00AC3FD7"/>
    <w:rsid w:val="00AC4C0C"/>
    <w:rsid w:val="00AC4DE9"/>
    <w:rsid w:val="00AC525D"/>
    <w:rsid w:val="00AC5283"/>
    <w:rsid w:val="00AC5A84"/>
    <w:rsid w:val="00AC5B42"/>
    <w:rsid w:val="00AC5B48"/>
    <w:rsid w:val="00AC648F"/>
    <w:rsid w:val="00AC76B1"/>
    <w:rsid w:val="00AD115A"/>
    <w:rsid w:val="00AD1172"/>
    <w:rsid w:val="00AD132B"/>
    <w:rsid w:val="00AD1450"/>
    <w:rsid w:val="00AD15E8"/>
    <w:rsid w:val="00AD183E"/>
    <w:rsid w:val="00AD1A1E"/>
    <w:rsid w:val="00AD1ADF"/>
    <w:rsid w:val="00AD1DCA"/>
    <w:rsid w:val="00AD24D9"/>
    <w:rsid w:val="00AD2CB8"/>
    <w:rsid w:val="00AD356D"/>
    <w:rsid w:val="00AD3A2E"/>
    <w:rsid w:val="00AD3C89"/>
    <w:rsid w:val="00AD3D7E"/>
    <w:rsid w:val="00AD414B"/>
    <w:rsid w:val="00AD4E89"/>
    <w:rsid w:val="00AD52E2"/>
    <w:rsid w:val="00AD52EA"/>
    <w:rsid w:val="00AD5A28"/>
    <w:rsid w:val="00AD6104"/>
    <w:rsid w:val="00AD6502"/>
    <w:rsid w:val="00AD66C0"/>
    <w:rsid w:val="00AD684B"/>
    <w:rsid w:val="00AD7511"/>
    <w:rsid w:val="00AD755B"/>
    <w:rsid w:val="00AD785C"/>
    <w:rsid w:val="00AE0695"/>
    <w:rsid w:val="00AE0C5B"/>
    <w:rsid w:val="00AE0C8D"/>
    <w:rsid w:val="00AE0F9D"/>
    <w:rsid w:val="00AE0FAB"/>
    <w:rsid w:val="00AE13A8"/>
    <w:rsid w:val="00AE161A"/>
    <w:rsid w:val="00AE1E20"/>
    <w:rsid w:val="00AE2648"/>
    <w:rsid w:val="00AE2F9B"/>
    <w:rsid w:val="00AE3B73"/>
    <w:rsid w:val="00AE3E7E"/>
    <w:rsid w:val="00AE4418"/>
    <w:rsid w:val="00AE460D"/>
    <w:rsid w:val="00AE4F4C"/>
    <w:rsid w:val="00AE50B1"/>
    <w:rsid w:val="00AE541C"/>
    <w:rsid w:val="00AE58C5"/>
    <w:rsid w:val="00AE59B8"/>
    <w:rsid w:val="00AE5D9F"/>
    <w:rsid w:val="00AE6D0C"/>
    <w:rsid w:val="00AE6DB0"/>
    <w:rsid w:val="00AE6ED1"/>
    <w:rsid w:val="00AE75F1"/>
    <w:rsid w:val="00AE76E7"/>
    <w:rsid w:val="00AE7E53"/>
    <w:rsid w:val="00AF084F"/>
    <w:rsid w:val="00AF0C41"/>
    <w:rsid w:val="00AF1315"/>
    <w:rsid w:val="00AF1336"/>
    <w:rsid w:val="00AF19BF"/>
    <w:rsid w:val="00AF23FD"/>
    <w:rsid w:val="00AF2B40"/>
    <w:rsid w:val="00AF2BB2"/>
    <w:rsid w:val="00AF2CAA"/>
    <w:rsid w:val="00AF2CF2"/>
    <w:rsid w:val="00AF2DC3"/>
    <w:rsid w:val="00AF3661"/>
    <w:rsid w:val="00AF3D2A"/>
    <w:rsid w:val="00AF3FD9"/>
    <w:rsid w:val="00AF40CE"/>
    <w:rsid w:val="00AF454B"/>
    <w:rsid w:val="00AF4B5A"/>
    <w:rsid w:val="00AF5136"/>
    <w:rsid w:val="00AF569E"/>
    <w:rsid w:val="00AF5DCF"/>
    <w:rsid w:val="00AF6192"/>
    <w:rsid w:val="00AF7022"/>
    <w:rsid w:val="00AF74B9"/>
    <w:rsid w:val="00B00124"/>
    <w:rsid w:val="00B004AD"/>
    <w:rsid w:val="00B00A32"/>
    <w:rsid w:val="00B00E7D"/>
    <w:rsid w:val="00B00F5A"/>
    <w:rsid w:val="00B011FB"/>
    <w:rsid w:val="00B01247"/>
    <w:rsid w:val="00B01934"/>
    <w:rsid w:val="00B01DAD"/>
    <w:rsid w:val="00B023E4"/>
    <w:rsid w:val="00B02C17"/>
    <w:rsid w:val="00B02DF5"/>
    <w:rsid w:val="00B033E5"/>
    <w:rsid w:val="00B036C4"/>
    <w:rsid w:val="00B03A63"/>
    <w:rsid w:val="00B03E78"/>
    <w:rsid w:val="00B044C6"/>
    <w:rsid w:val="00B048F7"/>
    <w:rsid w:val="00B04AE7"/>
    <w:rsid w:val="00B0518C"/>
    <w:rsid w:val="00B0547C"/>
    <w:rsid w:val="00B057E7"/>
    <w:rsid w:val="00B05C85"/>
    <w:rsid w:val="00B07229"/>
    <w:rsid w:val="00B110D3"/>
    <w:rsid w:val="00B11329"/>
    <w:rsid w:val="00B11D6C"/>
    <w:rsid w:val="00B11FDB"/>
    <w:rsid w:val="00B127D9"/>
    <w:rsid w:val="00B128B5"/>
    <w:rsid w:val="00B129A4"/>
    <w:rsid w:val="00B12DE1"/>
    <w:rsid w:val="00B130D2"/>
    <w:rsid w:val="00B13180"/>
    <w:rsid w:val="00B135AA"/>
    <w:rsid w:val="00B13609"/>
    <w:rsid w:val="00B13A1D"/>
    <w:rsid w:val="00B13E95"/>
    <w:rsid w:val="00B141D5"/>
    <w:rsid w:val="00B14882"/>
    <w:rsid w:val="00B14EEC"/>
    <w:rsid w:val="00B15269"/>
    <w:rsid w:val="00B15AF9"/>
    <w:rsid w:val="00B15D4F"/>
    <w:rsid w:val="00B16958"/>
    <w:rsid w:val="00B170F3"/>
    <w:rsid w:val="00B17656"/>
    <w:rsid w:val="00B179A5"/>
    <w:rsid w:val="00B17B76"/>
    <w:rsid w:val="00B201A4"/>
    <w:rsid w:val="00B201D1"/>
    <w:rsid w:val="00B20B14"/>
    <w:rsid w:val="00B20F9F"/>
    <w:rsid w:val="00B210AA"/>
    <w:rsid w:val="00B213A6"/>
    <w:rsid w:val="00B214BE"/>
    <w:rsid w:val="00B21550"/>
    <w:rsid w:val="00B21664"/>
    <w:rsid w:val="00B21B92"/>
    <w:rsid w:val="00B22970"/>
    <w:rsid w:val="00B2300C"/>
    <w:rsid w:val="00B235B0"/>
    <w:rsid w:val="00B242B9"/>
    <w:rsid w:val="00B247A0"/>
    <w:rsid w:val="00B24D10"/>
    <w:rsid w:val="00B24D83"/>
    <w:rsid w:val="00B24DF6"/>
    <w:rsid w:val="00B2563C"/>
    <w:rsid w:val="00B257C7"/>
    <w:rsid w:val="00B25B3E"/>
    <w:rsid w:val="00B26245"/>
    <w:rsid w:val="00B2695A"/>
    <w:rsid w:val="00B26B67"/>
    <w:rsid w:val="00B26BFB"/>
    <w:rsid w:val="00B27388"/>
    <w:rsid w:val="00B27826"/>
    <w:rsid w:val="00B27A61"/>
    <w:rsid w:val="00B27B04"/>
    <w:rsid w:val="00B27CE0"/>
    <w:rsid w:val="00B30050"/>
    <w:rsid w:val="00B30416"/>
    <w:rsid w:val="00B314B3"/>
    <w:rsid w:val="00B316A7"/>
    <w:rsid w:val="00B31963"/>
    <w:rsid w:val="00B31D47"/>
    <w:rsid w:val="00B3244F"/>
    <w:rsid w:val="00B330AF"/>
    <w:rsid w:val="00B3338E"/>
    <w:rsid w:val="00B33D84"/>
    <w:rsid w:val="00B341AE"/>
    <w:rsid w:val="00B34487"/>
    <w:rsid w:val="00B34C37"/>
    <w:rsid w:val="00B34FE2"/>
    <w:rsid w:val="00B35166"/>
    <w:rsid w:val="00B352F0"/>
    <w:rsid w:val="00B356C8"/>
    <w:rsid w:val="00B357D8"/>
    <w:rsid w:val="00B3580D"/>
    <w:rsid w:val="00B35A40"/>
    <w:rsid w:val="00B35B59"/>
    <w:rsid w:val="00B35B76"/>
    <w:rsid w:val="00B35DB6"/>
    <w:rsid w:val="00B360F4"/>
    <w:rsid w:val="00B3627A"/>
    <w:rsid w:val="00B364C7"/>
    <w:rsid w:val="00B365B2"/>
    <w:rsid w:val="00B369F9"/>
    <w:rsid w:val="00B36A00"/>
    <w:rsid w:val="00B377EE"/>
    <w:rsid w:val="00B3792B"/>
    <w:rsid w:val="00B37A79"/>
    <w:rsid w:val="00B37BFC"/>
    <w:rsid w:val="00B37F46"/>
    <w:rsid w:val="00B40358"/>
    <w:rsid w:val="00B40466"/>
    <w:rsid w:val="00B4098A"/>
    <w:rsid w:val="00B40B90"/>
    <w:rsid w:val="00B41614"/>
    <w:rsid w:val="00B41927"/>
    <w:rsid w:val="00B41BB4"/>
    <w:rsid w:val="00B41BD6"/>
    <w:rsid w:val="00B4208C"/>
    <w:rsid w:val="00B42092"/>
    <w:rsid w:val="00B4213B"/>
    <w:rsid w:val="00B42851"/>
    <w:rsid w:val="00B42F80"/>
    <w:rsid w:val="00B42FEC"/>
    <w:rsid w:val="00B435CB"/>
    <w:rsid w:val="00B439F9"/>
    <w:rsid w:val="00B441F9"/>
    <w:rsid w:val="00B44292"/>
    <w:rsid w:val="00B446D3"/>
    <w:rsid w:val="00B44EF3"/>
    <w:rsid w:val="00B4564E"/>
    <w:rsid w:val="00B4579C"/>
    <w:rsid w:val="00B45A1D"/>
    <w:rsid w:val="00B45B3D"/>
    <w:rsid w:val="00B45CC5"/>
    <w:rsid w:val="00B45D3F"/>
    <w:rsid w:val="00B461B7"/>
    <w:rsid w:val="00B46457"/>
    <w:rsid w:val="00B465EC"/>
    <w:rsid w:val="00B46833"/>
    <w:rsid w:val="00B46B9A"/>
    <w:rsid w:val="00B46BB8"/>
    <w:rsid w:val="00B46CBE"/>
    <w:rsid w:val="00B46DF8"/>
    <w:rsid w:val="00B47B4D"/>
    <w:rsid w:val="00B47E50"/>
    <w:rsid w:val="00B50222"/>
    <w:rsid w:val="00B50470"/>
    <w:rsid w:val="00B50588"/>
    <w:rsid w:val="00B505C8"/>
    <w:rsid w:val="00B506BB"/>
    <w:rsid w:val="00B50DB8"/>
    <w:rsid w:val="00B51124"/>
    <w:rsid w:val="00B5150B"/>
    <w:rsid w:val="00B51A23"/>
    <w:rsid w:val="00B51E1A"/>
    <w:rsid w:val="00B523D9"/>
    <w:rsid w:val="00B52E9B"/>
    <w:rsid w:val="00B52EF4"/>
    <w:rsid w:val="00B53409"/>
    <w:rsid w:val="00B53579"/>
    <w:rsid w:val="00B53654"/>
    <w:rsid w:val="00B5370E"/>
    <w:rsid w:val="00B53905"/>
    <w:rsid w:val="00B53B26"/>
    <w:rsid w:val="00B540BF"/>
    <w:rsid w:val="00B546DB"/>
    <w:rsid w:val="00B54AAB"/>
    <w:rsid w:val="00B54B5B"/>
    <w:rsid w:val="00B54FFB"/>
    <w:rsid w:val="00B5562E"/>
    <w:rsid w:val="00B55862"/>
    <w:rsid w:val="00B55A7C"/>
    <w:rsid w:val="00B55B23"/>
    <w:rsid w:val="00B55C27"/>
    <w:rsid w:val="00B55D65"/>
    <w:rsid w:val="00B56305"/>
    <w:rsid w:val="00B565AB"/>
    <w:rsid w:val="00B57000"/>
    <w:rsid w:val="00B5705F"/>
    <w:rsid w:val="00B578A9"/>
    <w:rsid w:val="00B606F9"/>
    <w:rsid w:val="00B60939"/>
    <w:rsid w:val="00B60AFD"/>
    <w:rsid w:val="00B60CDB"/>
    <w:rsid w:val="00B614B4"/>
    <w:rsid w:val="00B61742"/>
    <w:rsid w:val="00B6211B"/>
    <w:rsid w:val="00B62715"/>
    <w:rsid w:val="00B62C60"/>
    <w:rsid w:val="00B64192"/>
    <w:rsid w:val="00B64C71"/>
    <w:rsid w:val="00B64DFC"/>
    <w:rsid w:val="00B65611"/>
    <w:rsid w:val="00B65DEC"/>
    <w:rsid w:val="00B66811"/>
    <w:rsid w:val="00B66D23"/>
    <w:rsid w:val="00B67907"/>
    <w:rsid w:val="00B700B2"/>
    <w:rsid w:val="00B70426"/>
    <w:rsid w:val="00B704A0"/>
    <w:rsid w:val="00B70BBB"/>
    <w:rsid w:val="00B70E8E"/>
    <w:rsid w:val="00B7149C"/>
    <w:rsid w:val="00B722F9"/>
    <w:rsid w:val="00B7263F"/>
    <w:rsid w:val="00B72658"/>
    <w:rsid w:val="00B729D6"/>
    <w:rsid w:val="00B72BAF"/>
    <w:rsid w:val="00B734F2"/>
    <w:rsid w:val="00B739C7"/>
    <w:rsid w:val="00B73A22"/>
    <w:rsid w:val="00B74672"/>
    <w:rsid w:val="00B74717"/>
    <w:rsid w:val="00B74AFC"/>
    <w:rsid w:val="00B74C71"/>
    <w:rsid w:val="00B74F33"/>
    <w:rsid w:val="00B750E2"/>
    <w:rsid w:val="00B756A2"/>
    <w:rsid w:val="00B75728"/>
    <w:rsid w:val="00B75810"/>
    <w:rsid w:val="00B759ED"/>
    <w:rsid w:val="00B75E18"/>
    <w:rsid w:val="00B764EB"/>
    <w:rsid w:val="00B7693B"/>
    <w:rsid w:val="00B76C92"/>
    <w:rsid w:val="00B76F11"/>
    <w:rsid w:val="00B77B00"/>
    <w:rsid w:val="00B77D31"/>
    <w:rsid w:val="00B77FB2"/>
    <w:rsid w:val="00B80EBD"/>
    <w:rsid w:val="00B80EFD"/>
    <w:rsid w:val="00B810B5"/>
    <w:rsid w:val="00B8110A"/>
    <w:rsid w:val="00B818A4"/>
    <w:rsid w:val="00B81942"/>
    <w:rsid w:val="00B819A6"/>
    <w:rsid w:val="00B82637"/>
    <w:rsid w:val="00B829CF"/>
    <w:rsid w:val="00B82AD7"/>
    <w:rsid w:val="00B82B67"/>
    <w:rsid w:val="00B82E8D"/>
    <w:rsid w:val="00B8353E"/>
    <w:rsid w:val="00B83739"/>
    <w:rsid w:val="00B837BD"/>
    <w:rsid w:val="00B83C16"/>
    <w:rsid w:val="00B84117"/>
    <w:rsid w:val="00B8425C"/>
    <w:rsid w:val="00B84E55"/>
    <w:rsid w:val="00B858B5"/>
    <w:rsid w:val="00B858F0"/>
    <w:rsid w:val="00B85AA2"/>
    <w:rsid w:val="00B85BAB"/>
    <w:rsid w:val="00B8623C"/>
    <w:rsid w:val="00B8649C"/>
    <w:rsid w:val="00B8665F"/>
    <w:rsid w:val="00B8686B"/>
    <w:rsid w:val="00B8693A"/>
    <w:rsid w:val="00B8695D"/>
    <w:rsid w:val="00B86D18"/>
    <w:rsid w:val="00B86D8D"/>
    <w:rsid w:val="00B86DD1"/>
    <w:rsid w:val="00B874AB"/>
    <w:rsid w:val="00B87DAA"/>
    <w:rsid w:val="00B87F0A"/>
    <w:rsid w:val="00B90090"/>
    <w:rsid w:val="00B90CE5"/>
    <w:rsid w:val="00B91014"/>
    <w:rsid w:val="00B91674"/>
    <w:rsid w:val="00B9189E"/>
    <w:rsid w:val="00B9191F"/>
    <w:rsid w:val="00B91A35"/>
    <w:rsid w:val="00B920BA"/>
    <w:rsid w:val="00B9222B"/>
    <w:rsid w:val="00B922A5"/>
    <w:rsid w:val="00B92405"/>
    <w:rsid w:val="00B924A3"/>
    <w:rsid w:val="00B92D0B"/>
    <w:rsid w:val="00B92D49"/>
    <w:rsid w:val="00B92D85"/>
    <w:rsid w:val="00B93BBC"/>
    <w:rsid w:val="00B940ED"/>
    <w:rsid w:val="00B94945"/>
    <w:rsid w:val="00B94DD6"/>
    <w:rsid w:val="00B95159"/>
    <w:rsid w:val="00B95315"/>
    <w:rsid w:val="00B9566E"/>
    <w:rsid w:val="00B95D24"/>
    <w:rsid w:val="00B95DA2"/>
    <w:rsid w:val="00B95DE5"/>
    <w:rsid w:val="00B961FD"/>
    <w:rsid w:val="00B96362"/>
    <w:rsid w:val="00B9656B"/>
    <w:rsid w:val="00B96B10"/>
    <w:rsid w:val="00B97B0A"/>
    <w:rsid w:val="00B97D29"/>
    <w:rsid w:val="00BA015A"/>
    <w:rsid w:val="00BA0EE8"/>
    <w:rsid w:val="00BA0FB7"/>
    <w:rsid w:val="00BA1698"/>
    <w:rsid w:val="00BA1737"/>
    <w:rsid w:val="00BA176A"/>
    <w:rsid w:val="00BA1A3C"/>
    <w:rsid w:val="00BA1A52"/>
    <w:rsid w:val="00BA20FC"/>
    <w:rsid w:val="00BA2A12"/>
    <w:rsid w:val="00BA3106"/>
    <w:rsid w:val="00BA3192"/>
    <w:rsid w:val="00BA322D"/>
    <w:rsid w:val="00BA4BC2"/>
    <w:rsid w:val="00BA4BC6"/>
    <w:rsid w:val="00BA5A09"/>
    <w:rsid w:val="00BA6298"/>
    <w:rsid w:val="00BA63FA"/>
    <w:rsid w:val="00BA6D5F"/>
    <w:rsid w:val="00BA7008"/>
    <w:rsid w:val="00BA704B"/>
    <w:rsid w:val="00BA73B0"/>
    <w:rsid w:val="00BA7546"/>
    <w:rsid w:val="00BA7838"/>
    <w:rsid w:val="00BA7AD9"/>
    <w:rsid w:val="00BA7B54"/>
    <w:rsid w:val="00BB00B3"/>
    <w:rsid w:val="00BB0BDD"/>
    <w:rsid w:val="00BB1261"/>
    <w:rsid w:val="00BB176C"/>
    <w:rsid w:val="00BB1CBC"/>
    <w:rsid w:val="00BB22FE"/>
    <w:rsid w:val="00BB2A73"/>
    <w:rsid w:val="00BB311F"/>
    <w:rsid w:val="00BB3323"/>
    <w:rsid w:val="00BB3385"/>
    <w:rsid w:val="00BB370F"/>
    <w:rsid w:val="00BB3A45"/>
    <w:rsid w:val="00BB424F"/>
    <w:rsid w:val="00BB46A4"/>
    <w:rsid w:val="00BB47B0"/>
    <w:rsid w:val="00BB4982"/>
    <w:rsid w:val="00BB4ACC"/>
    <w:rsid w:val="00BB53FD"/>
    <w:rsid w:val="00BB5AA7"/>
    <w:rsid w:val="00BB5D56"/>
    <w:rsid w:val="00BB63A4"/>
    <w:rsid w:val="00BB6941"/>
    <w:rsid w:val="00BB6E26"/>
    <w:rsid w:val="00BB703E"/>
    <w:rsid w:val="00BB732D"/>
    <w:rsid w:val="00BB7405"/>
    <w:rsid w:val="00BB75BB"/>
    <w:rsid w:val="00BB7677"/>
    <w:rsid w:val="00BC0880"/>
    <w:rsid w:val="00BC09B0"/>
    <w:rsid w:val="00BC0D22"/>
    <w:rsid w:val="00BC15A7"/>
    <w:rsid w:val="00BC17E1"/>
    <w:rsid w:val="00BC17F4"/>
    <w:rsid w:val="00BC1F98"/>
    <w:rsid w:val="00BC20C1"/>
    <w:rsid w:val="00BC2A10"/>
    <w:rsid w:val="00BC306D"/>
    <w:rsid w:val="00BC30DB"/>
    <w:rsid w:val="00BC32CF"/>
    <w:rsid w:val="00BC3625"/>
    <w:rsid w:val="00BC3631"/>
    <w:rsid w:val="00BC3B61"/>
    <w:rsid w:val="00BC3F99"/>
    <w:rsid w:val="00BC408D"/>
    <w:rsid w:val="00BC4136"/>
    <w:rsid w:val="00BC49A6"/>
    <w:rsid w:val="00BC4B66"/>
    <w:rsid w:val="00BC4BC1"/>
    <w:rsid w:val="00BC4DB2"/>
    <w:rsid w:val="00BC5022"/>
    <w:rsid w:val="00BC50A3"/>
    <w:rsid w:val="00BC54D3"/>
    <w:rsid w:val="00BC5737"/>
    <w:rsid w:val="00BC58EA"/>
    <w:rsid w:val="00BC591F"/>
    <w:rsid w:val="00BC5F45"/>
    <w:rsid w:val="00BC6285"/>
    <w:rsid w:val="00BC6315"/>
    <w:rsid w:val="00BC64A1"/>
    <w:rsid w:val="00BC6A8D"/>
    <w:rsid w:val="00BC75DC"/>
    <w:rsid w:val="00BC78E2"/>
    <w:rsid w:val="00BC79C3"/>
    <w:rsid w:val="00BC7A06"/>
    <w:rsid w:val="00BC7D6D"/>
    <w:rsid w:val="00BD0975"/>
    <w:rsid w:val="00BD0BBE"/>
    <w:rsid w:val="00BD1825"/>
    <w:rsid w:val="00BD2108"/>
    <w:rsid w:val="00BD271F"/>
    <w:rsid w:val="00BD2875"/>
    <w:rsid w:val="00BD41E4"/>
    <w:rsid w:val="00BD4296"/>
    <w:rsid w:val="00BD5DA0"/>
    <w:rsid w:val="00BD5EC2"/>
    <w:rsid w:val="00BD5F36"/>
    <w:rsid w:val="00BD67E0"/>
    <w:rsid w:val="00BD683A"/>
    <w:rsid w:val="00BD68A3"/>
    <w:rsid w:val="00BD6938"/>
    <w:rsid w:val="00BD6CF3"/>
    <w:rsid w:val="00BD7328"/>
    <w:rsid w:val="00BD7F72"/>
    <w:rsid w:val="00BE017D"/>
    <w:rsid w:val="00BE05B6"/>
    <w:rsid w:val="00BE0852"/>
    <w:rsid w:val="00BE087A"/>
    <w:rsid w:val="00BE0ECA"/>
    <w:rsid w:val="00BE122A"/>
    <w:rsid w:val="00BE1C96"/>
    <w:rsid w:val="00BE1FA5"/>
    <w:rsid w:val="00BE2180"/>
    <w:rsid w:val="00BE21F2"/>
    <w:rsid w:val="00BE2550"/>
    <w:rsid w:val="00BE25C0"/>
    <w:rsid w:val="00BE299C"/>
    <w:rsid w:val="00BE30C5"/>
    <w:rsid w:val="00BE30FD"/>
    <w:rsid w:val="00BE332A"/>
    <w:rsid w:val="00BE3646"/>
    <w:rsid w:val="00BE3CB6"/>
    <w:rsid w:val="00BE4275"/>
    <w:rsid w:val="00BE466A"/>
    <w:rsid w:val="00BE46A7"/>
    <w:rsid w:val="00BE46C1"/>
    <w:rsid w:val="00BE4D7A"/>
    <w:rsid w:val="00BE5824"/>
    <w:rsid w:val="00BE60BB"/>
    <w:rsid w:val="00BE64C4"/>
    <w:rsid w:val="00BE6852"/>
    <w:rsid w:val="00BE78F5"/>
    <w:rsid w:val="00BF06AE"/>
    <w:rsid w:val="00BF0F95"/>
    <w:rsid w:val="00BF13F6"/>
    <w:rsid w:val="00BF157E"/>
    <w:rsid w:val="00BF15D7"/>
    <w:rsid w:val="00BF1ACD"/>
    <w:rsid w:val="00BF2433"/>
    <w:rsid w:val="00BF2E6E"/>
    <w:rsid w:val="00BF3255"/>
    <w:rsid w:val="00BF3843"/>
    <w:rsid w:val="00BF39C9"/>
    <w:rsid w:val="00BF3B89"/>
    <w:rsid w:val="00BF3E8C"/>
    <w:rsid w:val="00BF4667"/>
    <w:rsid w:val="00BF48D0"/>
    <w:rsid w:val="00BF4C86"/>
    <w:rsid w:val="00BF4E42"/>
    <w:rsid w:val="00BF4F79"/>
    <w:rsid w:val="00BF55BB"/>
    <w:rsid w:val="00BF5B19"/>
    <w:rsid w:val="00BF61C9"/>
    <w:rsid w:val="00BF6450"/>
    <w:rsid w:val="00BF6C94"/>
    <w:rsid w:val="00BF7011"/>
    <w:rsid w:val="00BF721C"/>
    <w:rsid w:val="00BF7716"/>
    <w:rsid w:val="00BF7E5D"/>
    <w:rsid w:val="00BF7F33"/>
    <w:rsid w:val="00C0012C"/>
    <w:rsid w:val="00C00424"/>
    <w:rsid w:val="00C0088C"/>
    <w:rsid w:val="00C00A5D"/>
    <w:rsid w:val="00C00BB0"/>
    <w:rsid w:val="00C017E3"/>
    <w:rsid w:val="00C01E4B"/>
    <w:rsid w:val="00C0235B"/>
    <w:rsid w:val="00C030CB"/>
    <w:rsid w:val="00C03673"/>
    <w:rsid w:val="00C038DE"/>
    <w:rsid w:val="00C03BD1"/>
    <w:rsid w:val="00C03D54"/>
    <w:rsid w:val="00C04139"/>
    <w:rsid w:val="00C042D3"/>
    <w:rsid w:val="00C045A4"/>
    <w:rsid w:val="00C045F9"/>
    <w:rsid w:val="00C0554F"/>
    <w:rsid w:val="00C058BD"/>
    <w:rsid w:val="00C05968"/>
    <w:rsid w:val="00C05BC8"/>
    <w:rsid w:val="00C061C1"/>
    <w:rsid w:val="00C0653C"/>
    <w:rsid w:val="00C07136"/>
    <w:rsid w:val="00C0717A"/>
    <w:rsid w:val="00C07397"/>
    <w:rsid w:val="00C0749C"/>
    <w:rsid w:val="00C07669"/>
    <w:rsid w:val="00C07DB9"/>
    <w:rsid w:val="00C10B24"/>
    <w:rsid w:val="00C10FD3"/>
    <w:rsid w:val="00C11759"/>
    <w:rsid w:val="00C1179F"/>
    <w:rsid w:val="00C11807"/>
    <w:rsid w:val="00C11C93"/>
    <w:rsid w:val="00C11EBB"/>
    <w:rsid w:val="00C120DC"/>
    <w:rsid w:val="00C1219C"/>
    <w:rsid w:val="00C124CA"/>
    <w:rsid w:val="00C127B9"/>
    <w:rsid w:val="00C128FA"/>
    <w:rsid w:val="00C129C2"/>
    <w:rsid w:val="00C12A0E"/>
    <w:rsid w:val="00C12C14"/>
    <w:rsid w:val="00C12D07"/>
    <w:rsid w:val="00C12DFA"/>
    <w:rsid w:val="00C13483"/>
    <w:rsid w:val="00C13602"/>
    <w:rsid w:val="00C137DA"/>
    <w:rsid w:val="00C1390F"/>
    <w:rsid w:val="00C13B02"/>
    <w:rsid w:val="00C13C64"/>
    <w:rsid w:val="00C13ED8"/>
    <w:rsid w:val="00C148C8"/>
    <w:rsid w:val="00C14A29"/>
    <w:rsid w:val="00C15344"/>
    <w:rsid w:val="00C154E5"/>
    <w:rsid w:val="00C1575F"/>
    <w:rsid w:val="00C15D3D"/>
    <w:rsid w:val="00C15F04"/>
    <w:rsid w:val="00C16FD8"/>
    <w:rsid w:val="00C179B3"/>
    <w:rsid w:val="00C17D9C"/>
    <w:rsid w:val="00C17E3F"/>
    <w:rsid w:val="00C200AA"/>
    <w:rsid w:val="00C2077D"/>
    <w:rsid w:val="00C20A65"/>
    <w:rsid w:val="00C21834"/>
    <w:rsid w:val="00C21847"/>
    <w:rsid w:val="00C219F0"/>
    <w:rsid w:val="00C21D1E"/>
    <w:rsid w:val="00C21DF7"/>
    <w:rsid w:val="00C21E83"/>
    <w:rsid w:val="00C2272E"/>
    <w:rsid w:val="00C22B06"/>
    <w:rsid w:val="00C22E34"/>
    <w:rsid w:val="00C237ED"/>
    <w:rsid w:val="00C2388A"/>
    <w:rsid w:val="00C238BF"/>
    <w:rsid w:val="00C2394F"/>
    <w:rsid w:val="00C24535"/>
    <w:rsid w:val="00C24632"/>
    <w:rsid w:val="00C24CFB"/>
    <w:rsid w:val="00C251D2"/>
    <w:rsid w:val="00C25418"/>
    <w:rsid w:val="00C25723"/>
    <w:rsid w:val="00C2595B"/>
    <w:rsid w:val="00C25D9C"/>
    <w:rsid w:val="00C26597"/>
    <w:rsid w:val="00C26814"/>
    <w:rsid w:val="00C26833"/>
    <w:rsid w:val="00C26B08"/>
    <w:rsid w:val="00C26EC8"/>
    <w:rsid w:val="00C275F8"/>
    <w:rsid w:val="00C2778B"/>
    <w:rsid w:val="00C27A31"/>
    <w:rsid w:val="00C27D4C"/>
    <w:rsid w:val="00C30A52"/>
    <w:rsid w:val="00C30A5F"/>
    <w:rsid w:val="00C30F93"/>
    <w:rsid w:val="00C31093"/>
    <w:rsid w:val="00C31649"/>
    <w:rsid w:val="00C317FB"/>
    <w:rsid w:val="00C31ABD"/>
    <w:rsid w:val="00C3250D"/>
    <w:rsid w:val="00C33595"/>
    <w:rsid w:val="00C336E6"/>
    <w:rsid w:val="00C33A05"/>
    <w:rsid w:val="00C3434C"/>
    <w:rsid w:val="00C3462B"/>
    <w:rsid w:val="00C34C50"/>
    <w:rsid w:val="00C36245"/>
    <w:rsid w:val="00C36705"/>
    <w:rsid w:val="00C36C08"/>
    <w:rsid w:val="00C36F7A"/>
    <w:rsid w:val="00C37221"/>
    <w:rsid w:val="00C37497"/>
    <w:rsid w:val="00C37BA3"/>
    <w:rsid w:val="00C37E87"/>
    <w:rsid w:val="00C400AE"/>
    <w:rsid w:val="00C40385"/>
    <w:rsid w:val="00C40432"/>
    <w:rsid w:val="00C4048C"/>
    <w:rsid w:val="00C40705"/>
    <w:rsid w:val="00C41439"/>
    <w:rsid w:val="00C414DA"/>
    <w:rsid w:val="00C41768"/>
    <w:rsid w:val="00C417AF"/>
    <w:rsid w:val="00C42321"/>
    <w:rsid w:val="00C42F88"/>
    <w:rsid w:val="00C4348D"/>
    <w:rsid w:val="00C43EE6"/>
    <w:rsid w:val="00C444F9"/>
    <w:rsid w:val="00C44FD9"/>
    <w:rsid w:val="00C451A8"/>
    <w:rsid w:val="00C452F2"/>
    <w:rsid w:val="00C45493"/>
    <w:rsid w:val="00C45793"/>
    <w:rsid w:val="00C45843"/>
    <w:rsid w:val="00C458A6"/>
    <w:rsid w:val="00C4722B"/>
    <w:rsid w:val="00C475AA"/>
    <w:rsid w:val="00C47713"/>
    <w:rsid w:val="00C47906"/>
    <w:rsid w:val="00C47D37"/>
    <w:rsid w:val="00C47DC9"/>
    <w:rsid w:val="00C510A3"/>
    <w:rsid w:val="00C51221"/>
    <w:rsid w:val="00C51425"/>
    <w:rsid w:val="00C521B1"/>
    <w:rsid w:val="00C5231F"/>
    <w:rsid w:val="00C52728"/>
    <w:rsid w:val="00C527C7"/>
    <w:rsid w:val="00C52A24"/>
    <w:rsid w:val="00C53595"/>
    <w:rsid w:val="00C538CC"/>
    <w:rsid w:val="00C53ACA"/>
    <w:rsid w:val="00C53C98"/>
    <w:rsid w:val="00C5481B"/>
    <w:rsid w:val="00C55844"/>
    <w:rsid w:val="00C55EFD"/>
    <w:rsid w:val="00C561EF"/>
    <w:rsid w:val="00C569A8"/>
    <w:rsid w:val="00C56C58"/>
    <w:rsid w:val="00C56D2F"/>
    <w:rsid w:val="00C56FCF"/>
    <w:rsid w:val="00C57667"/>
    <w:rsid w:val="00C57A7A"/>
    <w:rsid w:val="00C57B6C"/>
    <w:rsid w:val="00C6046C"/>
    <w:rsid w:val="00C60F68"/>
    <w:rsid w:val="00C618D4"/>
    <w:rsid w:val="00C61964"/>
    <w:rsid w:val="00C61A59"/>
    <w:rsid w:val="00C61E80"/>
    <w:rsid w:val="00C62207"/>
    <w:rsid w:val="00C6231F"/>
    <w:rsid w:val="00C6238B"/>
    <w:rsid w:val="00C624CD"/>
    <w:rsid w:val="00C626A6"/>
    <w:rsid w:val="00C62747"/>
    <w:rsid w:val="00C628A6"/>
    <w:rsid w:val="00C62C3C"/>
    <w:rsid w:val="00C62C7C"/>
    <w:rsid w:val="00C63465"/>
    <w:rsid w:val="00C63A4C"/>
    <w:rsid w:val="00C63C59"/>
    <w:rsid w:val="00C63E23"/>
    <w:rsid w:val="00C64344"/>
    <w:rsid w:val="00C643A7"/>
    <w:rsid w:val="00C65108"/>
    <w:rsid w:val="00C65576"/>
    <w:rsid w:val="00C66116"/>
    <w:rsid w:val="00C66165"/>
    <w:rsid w:val="00C6641B"/>
    <w:rsid w:val="00C6651E"/>
    <w:rsid w:val="00C669BC"/>
    <w:rsid w:val="00C67128"/>
    <w:rsid w:val="00C67463"/>
    <w:rsid w:val="00C675E2"/>
    <w:rsid w:val="00C6784E"/>
    <w:rsid w:val="00C678FE"/>
    <w:rsid w:val="00C7022A"/>
    <w:rsid w:val="00C7025B"/>
    <w:rsid w:val="00C7060A"/>
    <w:rsid w:val="00C7109A"/>
    <w:rsid w:val="00C7151A"/>
    <w:rsid w:val="00C717E3"/>
    <w:rsid w:val="00C71B0D"/>
    <w:rsid w:val="00C71F60"/>
    <w:rsid w:val="00C7214B"/>
    <w:rsid w:val="00C72241"/>
    <w:rsid w:val="00C7234C"/>
    <w:rsid w:val="00C72383"/>
    <w:rsid w:val="00C723AE"/>
    <w:rsid w:val="00C73152"/>
    <w:rsid w:val="00C731AF"/>
    <w:rsid w:val="00C732D9"/>
    <w:rsid w:val="00C7349A"/>
    <w:rsid w:val="00C734DD"/>
    <w:rsid w:val="00C73654"/>
    <w:rsid w:val="00C73866"/>
    <w:rsid w:val="00C73D96"/>
    <w:rsid w:val="00C7406C"/>
    <w:rsid w:val="00C74258"/>
    <w:rsid w:val="00C74441"/>
    <w:rsid w:val="00C74570"/>
    <w:rsid w:val="00C74643"/>
    <w:rsid w:val="00C74888"/>
    <w:rsid w:val="00C748DB"/>
    <w:rsid w:val="00C74A0D"/>
    <w:rsid w:val="00C74A6C"/>
    <w:rsid w:val="00C74B01"/>
    <w:rsid w:val="00C750B7"/>
    <w:rsid w:val="00C750C8"/>
    <w:rsid w:val="00C75413"/>
    <w:rsid w:val="00C7560F"/>
    <w:rsid w:val="00C75A77"/>
    <w:rsid w:val="00C75E13"/>
    <w:rsid w:val="00C7637C"/>
    <w:rsid w:val="00C763C8"/>
    <w:rsid w:val="00C76E67"/>
    <w:rsid w:val="00C770F9"/>
    <w:rsid w:val="00C772B9"/>
    <w:rsid w:val="00C77614"/>
    <w:rsid w:val="00C77D42"/>
    <w:rsid w:val="00C804B2"/>
    <w:rsid w:val="00C80A0E"/>
    <w:rsid w:val="00C80D7B"/>
    <w:rsid w:val="00C81198"/>
    <w:rsid w:val="00C81E4D"/>
    <w:rsid w:val="00C81EDD"/>
    <w:rsid w:val="00C8213F"/>
    <w:rsid w:val="00C826B1"/>
    <w:rsid w:val="00C82F7F"/>
    <w:rsid w:val="00C8303F"/>
    <w:rsid w:val="00C83776"/>
    <w:rsid w:val="00C8385A"/>
    <w:rsid w:val="00C83AA4"/>
    <w:rsid w:val="00C841F1"/>
    <w:rsid w:val="00C85154"/>
    <w:rsid w:val="00C85656"/>
    <w:rsid w:val="00C85857"/>
    <w:rsid w:val="00C85A70"/>
    <w:rsid w:val="00C85C0C"/>
    <w:rsid w:val="00C85D6A"/>
    <w:rsid w:val="00C86111"/>
    <w:rsid w:val="00C868A1"/>
    <w:rsid w:val="00C86A13"/>
    <w:rsid w:val="00C86A20"/>
    <w:rsid w:val="00C87359"/>
    <w:rsid w:val="00C87839"/>
    <w:rsid w:val="00C87928"/>
    <w:rsid w:val="00C87974"/>
    <w:rsid w:val="00C8797A"/>
    <w:rsid w:val="00C900B8"/>
    <w:rsid w:val="00C90197"/>
    <w:rsid w:val="00C90C71"/>
    <w:rsid w:val="00C91FD1"/>
    <w:rsid w:val="00C924D5"/>
    <w:rsid w:val="00C92AB1"/>
    <w:rsid w:val="00C92AB6"/>
    <w:rsid w:val="00C92C24"/>
    <w:rsid w:val="00C92DA7"/>
    <w:rsid w:val="00C931CF"/>
    <w:rsid w:val="00C93626"/>
    <w:rsid w:val="00C938CF"/>
    <w:rsid w:val="00C93B6A"/>
    <w:rsid w:val="00C93BCB"/>
    <w:rsid w:val="00C93C6D"/>
    <w:rsid w:val="00C94053"/>
    <w:rsid w:val="00C946C3"/>
    <w:rsid w:val="00C95597"/>
    <w:rsid w:val="00C955CE"/>
    <w:rsid w:val="00C95DF4"/>
    <w:rsid w:val="00C9624D"/>
    <w:rsid w:val="00C96576"/>
    <w:rsid w:val="00C969DA"/>
    <w:rsid w:val="00C96A9C"/>
    <w:rsid w:val="00C971F7"/>
    <w:rsid w:val="00C97D0E"/>
    <w:rsid w:val="00CA1338"/>
    <w:rsid w:val="00CA1A6C"/>
    <w:rsid w:val="00CA2468"/>
    <w:rsid w:val="00CA277D"/>
    <w:rsid w:val="00CA29AE"/>
    <w:rsid w:val="00CA2C77"/>
    <w:rsid w:val="00CA3AC2"/>
    <w:rsid w:val="00CA4234"/>
    <w:rsid w:val="00CA444F"/>
    <w:rsid w:val="00CA4EFB"/>
    <w:rsid w:val="00CA4F44"/>
    <w:rsid w:val="00CA5245"/>
    <w:rsid w:val="00CA5B64"/>
    <w:rsid w:val="00CA64FC"/>
    <w:rsid w:val="00CA7035"/>
    <w:rsid w:val="00CA71C2"/>
    <w:rsid w:val="00CA71F4"/>
    <w:rsid w:val="00CA7499"/>
    <w:rsid w:val="00CA7B09"/>
    <w:rsid w:val="00CA7DFD"/>
    <w:rsid w:val="00CA7F81"/>
    <w:rsid w:val="00CB010B"/>
    <w:rsid w:val="00CB0203"/>
    <w:rsid w:val="00CB07DA"/>
    <w:rsid w:val="00CB08DB"/>
    <w:rsid w:val="00CB09E2"/>
    <w:rsid w:val="00CB12A5"/>
    <w:rsid w:val="00CB168C"/>
    <w:rsid w:val="00CB1CAC"/>
    <w:rsid w:val="00CB2F2A"/>
    <w:rsid w:val="00CB2FB6"/>
    <w:rsid w:val="00CB353E"/>
    <w:rsid w:val="00CB369B"/>
    <w:rsid w:val="00CB4A0F"/>
    <w:rsid w:val="00CB585B"/>
    <w:rsid w:val="00CB5866"/>
    <w:rsid w:val="00CB5895"/>
    <w:rsid w:val="00CB597F"/>
    <w:rsid w:val="00CB5A5E"/>
    <w:rsid w:val="00CB5B1A"/>
    <w:rsid w:val="00CB5BFB"/>
    <w:rsid w:val="00CB6186"/>
    <w:rsid w:val="00CB625F"/>
    <w:rsid w:val="00CB6B22"/>
    <w:rsid w:val="00CB6C72"/>
    <w:rsid w:val="00CB743D"/>
    <w:rsid w:val="00CB770C"/>
    <w:rsid w:val="00CB7AEE"/>
    <w:rsid w:val="00CB7BDA"/>
    <w:rsid w:val="00CB7F5F"/>
    <w:rsid w:val="00CC03E9"/>
    <w:rsid w:val="00CC05EB"/>
    <w:rsid w:val="00CC0DD3"/>
    <w:rsid w:val="00CC161A"/>
    <w:rsid w:val="00CC1658"/>
    <w:rsid w:val="00CC1B39"/>
    <w:rsid w:val="00CC1BFA"/>
    <w:rsid w:val="00CC1D38"/>
    <w:rsid w:val="00CC2CBA"/>
    <w:rsid w:val="00CC2E9F"/>
    <w:rsid w:val="00CC2ECF"/>
    <w:rsid w:val="00CC2ED1"/>
    <w:rsid w:val="00CC304C"/>
    <w:rsid w:val="00CC30FA"/>
    <w:rsid w:val="00CC35EA"/>
    <w:rsid w:val="00CC3848"/>
    <w:rsid w:val="00CC38EE"/>
    <w:rsid w:val="00CC469C"/>
    <w:rsid w:val="00CC4941"/>
    <w:rsid w:val="00CC4B47"/>
    <w:rsid w:val="00CC5219"/>
    <w:rsid w:val="00CC52D1"/>
    <w:rsid w:val="00CC6005"/>
    <w:rsid w:val="00CC6423"/>
    <w:rsid w:val="00CC6A9C"/>
    <w:rsid w:val="00CC6C12"/>
    <w:rsid w:val="00CC6D1B"/>
    <w:rsid w:val="00CC6D5E"/>
    <w:rsid w:val="00CC72CB"/>
    <w:rsid w:val="00CC7784"/>
    <w:rsid w:val="00CC7A62"/>
    <w:rsid w:val="00CC7BD9"/>
    <w:rsid w:val="00CD00EA"/>
    <w:rsid w:val="00CD0200"/>
    <w:rsid w:val="00CD12E6"/>
    <w:rsid w:val="00CD15A8"/>
    <w:rsid w:val="00CD15AD"/>
    <w:rsid w:val="00CD183C"/>
    <w:rsid w:val="00CD2141"/>
    <w:rsid w:val="00CD218D"/>
    <w:rsid w:val="00CD2240"/>
    <w:rsid w:val="00CD22B2"/>
    <w:rsid w:val="00CD2765"/>
    <w:rsid w:val="00CD2885"/>
    <w:rsid w:val="00CD28C3"/>
    <w:rsid w:val="00CD2FFE"/>
    <w:rsid w:val="00CD354D"/>
    <w:rsid w:val="00CD3AA2"/>
    <w:rsid w:val="00CD3DF5"/>
    <w:rsid w:val="00CD3F77"/>
    <w:rsid w:val="00CD431D"/>
    <w:rsid w:val="00CD436A"/>
    <w:rsid w:val="00CD4C06"/>
    <w:rsid w:val="00CD4C27"/>
    <w:rsid w:val="00CD4E56"/>
    <w:rsid w:val="00CD51BD"/>
    <w:rsid w:val="00CD5510"/>
    <w:rsid w:val="00CD5655"/>
    <w:rsid w:val="00CD6269"/>
    <w:rsid w:val="00CD676D"/>
    <w:rsid w:val="00CD6A37"/>
    <w:rsid w:val="00CD6ADC"/>
    <w:rsid w:val="00CD6EEE"/>
    <w:rsid w:val="00CD7193"/>
    <w:rsid w:val="00CD71B0"/>
    <w:rsid w:val="00CD7933"/>
    <w:rsid w:val="00CD7A9A"/>
    <w:rsid w:val="00CD7C1B"/>
    <w:rsid w:val="00CE09F4"/>
    <w:rsid w:val="00CE14E4"/>
    <w:rsid w:val="00CE1596"/>
    <w:rsid w:val="00CE1D2E"/>
    <w:rsid w:val="00CE229E"/>
    <w:rsid w:val="00CE24F3"/>
    <w:rsid w:val="00CE2894"/>
    <w:rsid w:val="00CE2CAA"/>
    <w:rsid w:val="00CE33EB"/>
    <w:rsid w:val="00CE349A"/>
    <w:rsid w:val="00CE38C8"/>
    <w:rsid w:val="00CE3C25"/>
    <w:rsid w:val="00CE49E5"/>
    <w:rsid w:val="00CE4AC5"/>
    <w:rsid w:val="00CE524F"/>
    <w:rsid w:val="00CE5727"/>
    <w:rsid w:val="00CE58CC"/>
    <w:rsid w:val="00CE5B0A"/>
    <w:rsid w:val="00CE5D84"/>
    <w:rsid w:val="00CE6274"/>
    <w:rsid w:val="00CE63E0"/>
    <w:rsid w:val="00CE747F"/>
    <w:rsid w:val="00CE77B6"/>
    <w:rsid w:val="00CE7951"/>
    <w:rsid w:val="00CF10BC"/>
    <w:rsid w:val="00CF1119"/>
    <w:rsid w:val="00CF233D"/>
    <w:rsid w:val="00CF2B8D"/>
    <w:rsid w:val="00CF2EA6"/>
    <w:rsid w:val="00CF35AC"/>
    <w:rsid w:val="00CF3632"/>
    <w:rsid w:val="00CF37B7"/>
    <w:rsid w:val="00CF396A"/>
    <w:rsid w:val="00CF39B9"/>
    <w:rsid w:val="00CF3A1B"/>
    <w:rsid w:val="00CF3CE0"/>
    <w:rsid w:val="00CF4085"/>
    <w:rsid w:val="00CF456B"/>
    <w:rsid w:val="00CF4760"/>
    <w:rsid w:val="00CF4AC5"/>
    <w:rsid w:val="00CF4DB4"/>
    <w:rsid w:val="00CF5A22"/>
    <w:rsid w:val="00CF5C50"/>
    <w:rsid w:val="00CF5F28"/>
    <w:rsid w:val="00CF6A9C"/>
    <w:rsid w:val="00CF6C88"/>
    <w:rsid w:val="00CF7864"/>
    <w:rsid w:val="00CF7884"/>
    <w:rsid w:val="00CF792F"/>
    <w:rsid w:val="00CF7B7B"/>
    <w:rsid w:val="00D002E4"/>
    <w:rsid w:val="00D00B32"/>
    <w:rsid w:val="00D00BE2"/>
    <w:rsid w:val="00D019C7"/>
    <w:rsid w:val="00D01A19"/>
    <w:rsid w:val="00D01A4A"/>
    <w:rsid w:val="00D01D2F"/>
    <w:rsid w:val="00D0257F"/>
    <w:rsid w:val="00D0260B"/>
    <w:rsid w:val="00D0262E"/>
    <w:rsid w:val="00D02773"/>
    <w:rsid w:val="00D02D37"/>
    <w:rsid w:val="00D03069"/>
    <w:rsid w:val="00D0336E"/>
    <w:rsid w:val="00D03679"/>
    <w:rsid w:val="00D0406E"/>
    <w:rsid w:val="00D042EE"/>
    <w:rsid w:val="00D04771"/>
    <w:rsid w:val="00D04B7D"/>
    <w:rsid w:val="00D04F39"/>
    <w:rsid w:val="00D05556"/>
    <w:rsid w:val="00D05786"/>
    <w:rsid w:val="00D0586F"/>
    <w:rsid w:val="00D05AE5"/>
    <w:rsid w:val="00D05D4B"/>
    <w:rsid w:val="00D05E3D"/>
    <w:rsid w:val="00D05FDD"/>
    <w:rsid w:val="00D06139"/>
    <w:rsid w:val="00D070E6"/>
    <w:rsid w:val="00D078BB"/>
    <w:rsid w:val="00D10278"/>
    <w:rsid w:val="00D110BD"/>
    <w:rsid w:val="00D11AEC"/>
    <w:rsid w:val="00D11BCE"/>
    <w:rsid w:val="00D11FE4"/>
    <w:rsid w:val="00D1278A"/>
    <w:rsid w:val="00D12C0D"/>
    <w:rsid w:val="00D12D20"/>
    <w:rsid w:val="00D1335E"/>
    <w:rsid w:val="00D13675"/>
    <w:rsid w:val="00D13AF3"/>
    <w:rsid w:val="00D141E1"/>
    <w:rsid w:val="00D149B8"/>
    <w:rsid w:val="00D15314"/>
    <w:rsid w:val="00D15B48"/>
    <w:rsid w:val="00D17C66"/>
    <w:rsid w:val="00D17D6C"/>
    <w:rsid w:val="00D20AD3"/>
    <w:rsid w:val="00D20B52"/>
    <w:rsid w:val="00D214E0"/>
    <w:rsid w:val="00D2155B"/>
    <w:rsid w:val="00D2169B"/>
    <w:rsid w:val="00D21832"/>
    <w:rsid w:val="00D2184F"/>
    <w:rsid w:val="00D21A24"/>
    <w:rsid w:val="00D21C79"/>
    <w:rsid w:val="00D22890"/>
    <w:rsid w:val="00D2322F"/>
    <w:rsid w:val="00D237C8"/>
    <w:rsid w:val="00D23D11"/>
    <w:rsid w:val="00D23F85"/>
    <w:rsid w:val="00D243FD"/>
    <w:rsid w:val="00D244B6"/>
    <w:rsid w:val="00D247E2"/>
    <w:rsid w:val="00D2488E"/>
    <w:rsid w:val="00D2499E"/>
    <w:rsid w:val="00D249F2"/>
    <w:rsid w:val="00D25393"/>
    <w:rsid w:val="00D2565F"/>
    <w:rsid w:val="00D2566A"/>
    <w:rsid w:val="00D256BC"/>
    <w:rsid w:val="00D26536"/>
    <w:rsid w:val="00D26742"/>
    <w:rsid w:val="00D268D9"/>
    <w:rsid w:val="00D2741B"/>
    <w:rsid w:val="00D2754D"/>
    <w:rsid w:val="00D275B1"/>
    <w:rsid w:val="00D27852"/>
    <w:rsid w:val="00D27B27"/>
    <w:rsid w:val="00D305B5"/>
    <w:rsid w:val="00D30715"/>
    <w:rsid w:val="00D30884"/>
    <w:rsid w:val="00D30C09"/>
    <w:rsid w:val="00D30D5B"/>
    <w:rsid w:val="00D30E7E"/>
    <w:rsid w:val="00D310AE"/>
    <w:rsid w:val="00D31138"/>
    <w:rsid w:val="00D31615"/>
    <w:rsid w:val="00D31D8A"/>
    <w:rsid w:val="00D31FA3"/>
    <w:rsid w:val="00D321EC"/>
    <w:rsid w:val="00D3232A"/>
    <w:rsid w:val="00D32721"/>
    <w:rsid w:val="00D32C4F"/>
    <w:rsid w:val="00D32C65"/>
    <w:rsid w:val="00D33BE9"/>
    <w:rsid w:val="00D33F93"/>
    <w:rsid w:val="00D3425F"/>
    <w:rsid w:val="00D34E82"/>
    <w:rsid w:val="00D35223"/>
    <w:rsid w:val="00D357FF"/>
    <w:rsid w:val="00D35FE9"/>
    <w:rsid w:val="00D36330"/>
    <w:rsid w:val="00D36C5F"/>
    <w:rsid w:val="00D37996"/>
    <w:rsid w:val="00D4099A"/>
    <w:rsid w:val="00D40BA4"/>
    <w:rsid w:val="00D410E4"/>
    <w:rsid w:val="00D4119A"/>
    <w:rsid w:val="00D41431"/>
    <w:rsid w:val="00D4157B"/>
    <w:rsid w:val="00D4179C"/>
    <w:rsid w:val="00D41FD5"/>
    <w:rsid w:val="00D4202B"/>
    <w:rsid w:val="00D4236D"/>
    <w:rsid w:val="00D423B8"/>
    <w:rsid w:val="00D424C7"/>
    <w:rsid w:val="00D4291F"/>
    <w:rsid w:val="00D43B2A"/>
    <w:rsid w:val="00D43CF1"/>
    <w:rsid w:val="00D43D83"/>
    <w:rsid w:val="00D43DAB"/>
    <w:rsid w:val="00D43F6B"/>
    <w:rsid w:val="00D44363"/>
    <w:rsid w:val="00D4498D"/>
    <w:rsid w:val="00D44FE3"/>
    <w:rsid w:val="00D452F4"/>
    <w:rsid w:val="00D46AE8"/>
    <w:rsid w:val="00D4737B"/>
    <w:rsid w:val="00D47575"/>
    <w:rsid w:val="00D4765F"/>
    <w:rsid w:val="00D47A6B"/>
    <w:rsid w:val="00D47F1E"/>
    <w:rsid w:val="00D5023B"/>
    <w:rsid w:val="00D506BF"/>
    <w:rsid w:val="00D51205"/>
    <w:rsid w:val="00D51464"/>
    <w:rsid w:val="00D5159C"/>
    <w:rsid w:val="00D516D5"/>
    <w:rsid w:val="00D517E6"/>
    <w:rsid w:val="00D51934"/>
    <w:rsid w:val="00D51AE5"/>
    <w:rsid w:val="00D51C89"/>
    <w:rsid w:val="00D51CC9"/>
    <w:rsid w:val="00D51D7C"/>
    <w:rsid w:val="00D51E69"/>
    <w:rsid w:val="00D5243B"/>
    <w:rsid w:val="00D52AF0"/>
    <w:rsid w:val="00D533EC"/>
    <w:rsid w:val="00D53868"/>
    <w:rsid w:val="00D53961"/>
    <w:rsid w:val="00D54A2F"/>
    <w:rsid w:val="00D54EDF"/>
    <w:rsid w:val="00D552A9"/>
    <w:rsid w:val="00D55463"/>
    <w:rsid w:val="00D55465"/>
    <w:rsid w:val="00D55AF1"/>
    <w:rsid w:val="00D55D14"/>
    <w:rsid w:val="00D56A95"/>
    <w:rsid w:val="00D56C04"/>
    <w:rsid w:val="00D56D29"/>
    <w:rsid w:val="00D5706E"/>
    <w:rsid w:val="00D57E13"/>
    <w:rsid w:val="00D600BE"/>
    <w:rsid w:val="00D6076E"/>
    <w:rsid w:val="00D60A05"/>
    <w:rsid w:val="00D63020"/>
    <w:rsid w:val="00D631D1"/>
    <w:rsid w:val="00D6326B"/>
    <w:rsid w:val="00D634BD"/>
    <w:rsid w:val="00D63AB7"/>
    <w:rsid w:val="00D6498C"/>
    <w:rsid w:val="00D6525D"/>
    <w:rsid w:val="00D65E0A"/>
    <w:rsid w:val="00D65E25"/>
    <w:rsid w:val="00D65FF7"/>
    <w:rsid w:val="00D6628F"/>
    <w:rsid w:val="00D66C69"/>
    <w:rsid w:val="00D66FF1"/>
    <w:rsid w:val="00D675AC"/>
    <w:rsid w:val="00D67890"/>
    <w:rsid w:val="00D67BB5"/>
    <w:rsid w:val="00D67EE9"/>
    <w:rsid w:val="00D7083E"/>
    <w:rsid w:val="00D708BE"/>
    <w:rsid w:val="00D70902"/>
    <w:rsid w:val="00D70931"/>
    <w:rsid w:val="00D709BA"/>
    <w:rsid w:val="00D70F16"/>
    <w:rsid w:val="00D71240"/>
    <w:rsid w:val="00D715CB"/>
    <w:rsid w:val="00D71860"/>
    <w:rsid w:val="00D72147"/>
    <w:rsid w:val="00D72617"/>
    <w:rsid w:val="00D7270B"/>
    <w:rsid w:val="00D72C16"/>
    <w:rsid w:val="00D72C5D"/>
    <w:rsid w:val="00D72F57"/>
    <w:rsid w:val="00D731A0"/>
    <w:rsid w:val="00D73285"/>
    <w:rsid w:val="00D7396C"/>
    <w:rsid w:val="00D73AE9"/>
    <w:rsid w:val="00D73B84"/>
    <w:rsid w:val="00D74775"/>
    <w:rsid w:val="00D7492F"/>
    <w:rsid w:val="00D74AB6"/>
    <w:rsid w:val="00D74C02"/>
    <w:rsid w:val="00D74ED1"/>
    <w:rsid w:val="00D75533"/>
    <w:rsid w:val="00D756ED"/>
    <w:rsid w:val="00D757FE"/>
    <w:rsid w:val="00D75928"/>
    <w:rsid w:val="00D75930"/>
    <w:rsid w:val="00D75BA5"/>
    <w:rsid w:val="00D75E2C"/>
    <w:rsid w:val="00D75E56"/>
    <w:rsid w:val="00D76028"/>
    <w:rsid w:val="00D76313"/>
    <w:rsid w:val="00D76388"/>
    <w:rsid w:val="00D76594"/>
    <w:rsid w:val="00D76A44"/>
    <w:rsid w:val="00D76AB9"/>
    <w:rsid w:val="00D76DF4"/>
    <w:rsid w:val="00D803E6"/>
    <w:rsid w:val="00D8045F"/>
    <w:rsid w:val="00D8046E"/>
    <w:rsid w:val="00D806F0"/>
    <w:rsid w:val="00D80BD6"/>
    <w:rsid w:val="00D815EF"/>
    <w:rsid w:val="00D8171F"/>
    <w:rsid w:val="00D818F5"/>
    <w:rsid w:val="00D81949"/>
    <w:rsid w:val="00D81F26"/>
    <w:rsid w:val="00D821BD"/>
    <w:rsid w:val="00D822E2"/>
    <w:rsid w:val="00D8242D"/>
    <w:rsid w:val="00D82719"/>
    <w:rsid w:val="00D83207"/>
    <w:rsid w:val="00D843F2"/>
    <w:rsid w:val="00D845CB"/>
    <w:rsid w:val="00D8524E"/>
    <w:rsid w:val="00D85543"/>
    <w:rsid w:val="00D856AB"/>
    <w:rsid w:val="00D858F7"/>
    <w:rsid w:val="00D86231"/>
    <w:rsid w:val="00D8681A"/>
    <w:rsid w:val="00D8690C"/>
    <w:rsid w:val="00D86D8C"/>
    <w:rsid w:val="00D870DE"/>
    <w:rsid w:val="00D870E0"/>
    <w:rsid w:val="00D87DE0"/>
    <w:rsid w:val="00D901CE"/>
    <w:rsid w:val="00D90204"/>
    <w:rsid w:val="00D905A5"/>
    <w:rsid w:val="00D90E3E"/>
    <w:rsid w:val="00D912AB"/>
    <w:rsid w:val="00D91923"/>
    <w:rsid w:val="00D9204D"/>
    <w:rsid w:val="00D922BE"/>
    <w:rsid w:val="00D9265F"/>
    <w:rsid w:val="00D92F7A"/>
    <w:rsid w:val="00D93241"/>
    <w:rsid w:val="00D93753"/>
    <w:rsid w:val="00D938CC"/>
    <w:rsid w:val="00D94020"/>
    <w:rsid w:val="00D94883"/>
    <w:rsid w:val="00D94C16"/>
    <w:rsid w:val="00D94D95"/>
    <w:rsid w:val="00D95E14"/>
    <w:rsid w:val="00D95E9A"/>
    <w:rsid w:val="00D96757"/>
    <w:rsid w:val="00D96841"/>
    <w:rsid w:val="00D96CBC"/>
    <w:rsid w:val="00D96EF9"/>
    <w:rsid w:val="00D9749A"/>
    <w:rsid w:val="00D9773B"/>
    <w:rsid w:val="00D97C49"/>
    <w:rsid w:val="00D97EA1"/>
    <w:rsid w:val="00D97FF8"/>
    <w:rsid w:val="00DA03EA"/>
    <w:rsid w:val="00DA08D5"/>
    <w:rsid w:val="00DA092C"/>
    <w:rsid w:val="00DA0EF2"/>
    <w:rsid w:val="00DA1996"/>
    <w:rsid w:val="00DA1A79"/>
    <w:rsid w:val="00DA2438"/>
    <w:rsid w:val="00DA27FE"/>
    <w:rsid w:val="00DA2A88"/>
    <w:rsid w:val="00DA3167"/>
    <w:rsid w:val="00DA3A88"/>
    <w:rsid w:val="00DA3B5D"/>
    <w:rsid w:val="00DA3D5A"/>
    <w:rsid w:val="00DA3E31"/>
    <w:rsid w:val="00DA4ABC"/>
    <w:rsid w:val="00DA4DC3"/>
    <w:rsid w:val="00DA4F28"/>
    <w:rsid w:val="00DA514A"/>
    <w:rsid w:val="00DA54B2"/>
    <w:rsid w:val="00DA5775"/>
    <w:rsid w:val="00DA5EFB"/>
    <w:rsid w:val="00DA61CC"/>
    <w:rsid w:val="00DA6268"/>
    <w:rsid w:val="00DA6532"/>
    <w:rsid w:val="00DA71C6"/>
    <w:rsid w:val="00DA74F4"/>
    <w:rsid w:val="00DA77A5"/>
    <w:rsid w:val="00DA781A"/>
    <w:rsid w:val="00DA7FB7"/>
    <w:rsid w:val="00DB0020"/>
    <w:rsid w:val="00DB0668"/>
    <w:rsid w:val="00DB081D"/>
    <w:rsid w:val="00DB0E36"/>
    <w:rsid w:val="00DB0F8D"/>
    <w:rsid w:val="00DB1232"/>
    <w:rsid w:val="00DB1CA7"/>
    <w:rsid w:val="00DB286B"/>
    <w:rsid w:val="00DB345A"/>
    <w:rsid w:val="00DB38E5"/>
    <w:rsid w:val="00DB3B0C"/>
    <w:rsid w:val="00DB3C13"/>
    <w:rsid w:val="00DB3DBF"/>
    <w:rsid w:val="00DB3F6E"/>
    <w:rsid w:val="00DB40B4"/>
    <w:rsid w:val="00DB484F"/>
    <w:rsid w:val="00DB4983"/>
    <w:rsid w:val="00DB522C"/>
    <w:rsid w:val="00DB53A1"/>
    <w:rsid w:val="00DB55FD"/>
    <w:rsid w:val="00DB5737"/>
    <w:rsid w:val="00DB57BF"/>
    <w:rsid w:val="00DB5C12"/>
    <w:rsid w:val="00DB65A7"/>
    <w:rsid w:val="00DB6A83"/>
    <w:rsid w:val="00DB6B37"/>
    <w:rsid w:val="00DC04F6"/>
    <w:rsid w:val="00DC0690"/>
    <w:rsid w:val="00DC0773"/>
    <w:rsid w:val="00DC08A9"/>
    <w:rsid w:val="00DC0956"/>
    <w:rsid w:val="00DC0C43"/>
    <w:rsid w:val="00DC0CD9"/>
    <w:rsid w:val="00DC131D"/>
    <w:rsid w:val="00DC193C"/>
    <w:rsid w:val="00DC1D65"/>
    <w:rsid w:val="00DC2299"/>
    <w:rsid w:val="00DC3C57"/>
    <w:rsid w:val="00DC3D76"/>
    <w:rsid w:val="00DC408B"/>
    <w:rsid w:val="00DC4780"/>
    <w:rsid w:val="00DC4E7A"/>
    <w:rsid w:val="00DC5501"/>
    <w:rsid w:val="00DC58D3"/>
    <w:rsid w:val="00DC5A71"/>
    <w:rsid w:val="00DC5CEE"/>
    <w:rsid w:val="00DC5DE4"/>
    <w:rsid w:val="00DC6032"/>
    <w:rsid w:val="00DC6150"/>
    <w:rsid w:val="00DC69F1"/>
    <w:rsid w:val="00DC6BBA"/>
    <w:rsid w:val="00DC7134"/>
    <w:rsid w:val="00DC7154"/>
    <w:rsid w:val="00DC71F2"/>
    <w:rsid w:val="00DC790F"/>
    <w:rsid w:val="00DC7E8A"/>
    <w:rsid w:val="00DD065A"/>
    <w:rsid w:val="00DD0D44"/>
    <w:rsid w:val="00DD0DF3"/>
    <w:rsid w:val="00DD0F78"/>
    <w:rsid w:val="00DD11FC"/>
    <w:rsid w:val="00DD273C"/>
    <w:rsid w:val="00DD2D19"/>
    <w:rsid w:val="00DD30D5"/>
    <w:rsid w:val="00DD30EA"/>
    <w:rsid w:val="00DD31E8"/>
    <w:rsid w:val="00DD365F"/>
    <w:rsid w:val="00DD3858"/>
    <w:rsid w:val="00DD3EFD"/>
    <w:rsid w:val="00DD3F28"/>
    <w:rsid w:val="00DD40C0"/>
    <w:rsid w:val="00DD4446"/>
    <w:rsid w:val="00DD4451"/>
    <w:rsid w:val="00DD4537"/>
    <w:rsid w:val="00DD4799"/>
    <w:rsid w:val="00DD4A25"/>
    <w:rsid w:val="00DD4D69"/>
    <w:rsid w:val="00DD4E15"/>
    <w:rsid w:val="00DD4FB6"/>
    <w:rsid w:val="00DD5020"/>
    <w:rsid w:val="00DD5781"/>
    <w:rsid w:val="00DD57FF"/>
    <w:rsid w:val="00DD7480"/>
    <w:rsid w:val="00DD7B78"/>
    <w:rsid w:val="00DD7E1B"/>
    <w:rsid w:val="00DE08DA"/>
    <w:rsid w:val="00DE1044"/>
    <w:rsid w:val="00DE16E3"/>
    <w:rsid w:val="00DE19E9"/>
    <w:rsid w:val="00DE2304"/>
    <w:rsid w:val="00DE255E"/>
    <w:rsid w:val="00DE25F5"/>
    <w:rsid w:val="00DE30E9"/>
    <w:rsid w:val="00DE311E"/>
    <w:rsid w:val="00DE3138"/>
    <w:rsid w:val="00DE37F8"/>
    <w:rsid w:val="00DE3CF4"/>
    <w:rsid w:val="00DE424E"/>
    <w:rsid w:val="00DE4273"/>
    <w:rsid w:val="00DE42D7"/>
    <w:rsid w:val="00DE4FCB"/>
    <w:rsid w:val="00DE5729"/>
    <w:rsid w:val="00DE5D07"/>
    <w:rsid w:val="00DE70EC"/>
    <w:rsid w:val="00DE72A7"/>
    <w:rsid w:val="00DE755F"/>
    <w:rsid w:val="00DE7832"/>
    <w:rsid w:val="00DE7D72"/>
    <w:rsid w:val="00DF0209"/>
    <w:rsid w:val="00DF02BF"/>
    <w:rsid w:val="00DF0C6C"/>
    <w:rsid w:val="00DF1172"/>
    <w:rsid w:val="00DF11E0"/>
    <w:rsid w:val="00DF18FC"/>
    <w:rsid w:val="00DF1FF2"/>
    <w:rsid w:val="00DF2780"/>
    <w:rsid w:val="00DF3148"/>
    <w:rsid w:val="00DF33EF"/>
    <w:rsid w:val="00DF455E"/>
    <w:rsid w:val="00DF4A75"/>
    <w:rsid w:val="00DF596A"/>
    <w:rsid w:val="00DF59E2"/>
    <w:rsid w:val="00DF5C62"/>
    <w:rsid w:val="00DF5CDE"/>
    <w:rsid w:val="00DF5D2B"/>
    <w:rsid w:val="00DF5D8A"/>
    <w:rsid w:val="00DF6276"/>
    <w:rsid w:val="00DF6341"/>
    <w:rsid w:val="00DF6518"/>
    <w:rsid w:val="00DF781D"/>
    <w:rsid w:val="00DF7E62"/>
    <w:rsid w:val="00DF7F83"/>
    <w:rsid w:val="00E00D19"/>
    <w:rsid w:val="00E00E8E"/>
    <w:rsid w:val="00E01770"/>
    <w:rsid w:val="00E019E1"/>
    <w:rsid w:val="00E01CCD"/>
    <w:rsid w:val="00E01F2F"/>
    <w:rsid w:val="00E02067"/>
    <w:rsid w:val="00E021A1"/>
    <w:rsid w:val="00E023F0"/>
    <w:rsid w:val="00E02534"/>
    <w:rsid w:val="00E02A62"/>
    <w:rsid w:val="00E02FC3"/>
    <w:rsid w:val="00E0379B"/>
    <w:rsid w:val="00E03C14"/>
    <w:rsid w:val="00E04CC5"/>
    <w:rsid w:val="00E053B4"/>
    <w:rsid w:val="00E05431"/>
    <w:rsid w:val="00E05630"/>
    <w:rsid w:val="00E05BA4"/>
    <w:rsid w:val="00E05CB4"/>
    <w:rsid w:val="00E05D9B"/>
    <w:rsid w:val="00E05EAE"/>
    <w:rsid w:val="00E06A1A"/>
    <w:rsid w:val="00E06DBB"/>
    <w:rsid w:val="00E07388"/>
    <w:rsid w:val="00E0792B"/>
    <w:rsid w:val="00E10149"/>
    <w:rsid w:val="00E1018A"/>
    <w:rsid w:val="00E11340"/>
    <w:rsid w:val="00E11405"/>
    <w:rsid w:val="00E11963"/>
    <w:rsid w:val="00E11CF2"/>
    <w:rsid w:val="00E11F49"/>
    <w:rsid w:val="00E122A1"/>
    <w:rsid w:val="00E124F0"/>
    <w:rsid w:val="00E125BF"/>
    <w:rsid w:val="00E12641"/>
    <w:rsid w:val="00E12985"/>
    <w:rsid w:val="00E12C10"/>
    <w:rsid w:val="00E13878"/>
    <w:rsid w:val="00E1416C"/>
    <w:rsid w:val="00E141A4"/>
    <w:rsid w:val="00E14AC3"/>
    <w:rsid w:val="00E14DDE"/>
    <w:rsid w:val="00E15BD5"/>
    <w:rsid w:val="00E15FF1"/>
    <w:rsid w:val="00E162CF"/>
    <w:rsid w:val="00E16372"/>
    <w:rsid w:val="00E1668D"/>
    <w:rsid w:val="00E16AD8"/>
    <w:rsid w:val="00E16D0A"/>
    <w:rsid w:val="00E16F6B"/>
    <w:rsid w:val="00E17FFA"/>
    <w:rsid w:val="00E20905"/>
    <w:rsid w:val="00E20B9D"/>
    <w:rsid w:val="00E20DE1"/>
    <w:rsid w:val="00E20E4D"/>
    <w:rsid w:val="00E20ED6"/>
    <w:rsid w:val="00E21358"/>
    <w:rsid w:val="00E2140E"/>
    <w:rsid w:val="00E21D6D"/>
    <w:rsid w:val="00E2219C"/>
    <w:rsid w:val="00E2249B"/>
    <w:rsid w:val="00E22A0D"/>
    <w:rsid w:val="00E23369"/>
    <w:rsid w:val="00E23540"/>
    <w:rsid w:val="00E2359D"/>
    <w:rsid w:val="00E23B95"/>
    <w:rsid w:val="00E244F6"/>
    <w:rsid w:val="00E24748"/>
    <w:rsid w:val="00E24E30"/>
    <w:rsid w:val="00E24F76"/>
    <w:rsid w:val="00E251B7"/>
    <w:rsid w:val="00E2526E"/>
    <w:rsid w:val="00E2557D"/>
    <w:rsid w:val="00E258DB"/>
    <w:rsid w:val="00E26AFF"/>
    <w:rsid w:val="00E26B26"/>
    <w:rsid w:val="00E2771E"/>
    <w:rsid w:val="00E27D71"/>
    <w:rsid w:val="00E27F3F"/>
    <w:rsid w:val="00E27FC8"/>
    <w:rsid w:val="00E310FC"/>
    <w:rsid w:val="00E311EF"/>
    <w:rsid w:val="00E31473"/>
    <w:rsid w:val="00E319E3"/>
    <w:rsid w:val="00E32180"/>
    <w:rsid w:val="00E32E48"/>
    <w:rsid w:val="00E3362A"/>
    <w:rsid w:val="00E33962"/>
    <w:rsid w:val="00E33999"/>
    <w:rsid w:val="00E33E6E"/>
    <w:rsid w:val="00E343CA"/>
    <w:rsid w:val="00E348A2"/>
    <w:rsid w:val="00E34948"/>
    <w:rsid w:val="00E350BF"/>
    <w:rsid w:val="00E35B44"/>
    <w:rsid w:val="00E35D6B"/>
    <w:rsid w:val="00E36558"/>
    <w:rsid w:val="00E371B6"/>
    <w:rsid w:val="00E371B9"/>
    <w:rsid w:val="00E37224"/>
    <w:rsid w:val="00E37398"/>
    <w:rsid w:val="00E3750F"/>
    <w:rsid w:val="00E37569"/>
    <w:rsid w:val="00E401B2"/>
    <w:rsid w:val="00E4051B"/>
    <w:rsid w:val="00E4068E"/>
    <w:rsid w:val="00E40B2A"/>
    <w:rsid w:val="00E4139E"/>
    <w:rsid w:val="00E41E30"/>
    <w:rsid w:val="00E41FBD"/>
    <w:rsid w:val="00E4231B"/>
    <w:rsid w:val="00E42A96"/>
    <w:rsid w:val="00E42C3B"/>
    <w:rsid w:val="00E42D11"/>
    <w:rsid w:val="00E42F73"/>
    <w:rsid w:val="00E43406"/>
    <w:rsid w:val="00E43D70"/>
    <w:rsid w:val="00E445DB"/>
    <w:rsid w:val="00E44737"/>
    <w:rsid w:val="00E44A3D"/>
    <w:rsid w:val="00E44BD3"/>
    <w:rsid w:val="00E45B0A"/>
    <w:rsid w:val="00E45C23"/>
    <w:rsid w:val="00E45CBF"/>
    <w:rsid w:val="00E466B0"/>
    <w:rsid w:val="00E466F3"/>
    <w:rsid w:val="00E47A3E"/>
    <w:rsid w:val="00E47B2C"/>
    <w:rsid w:val="00E50522"/>
    <w:rsid w:val="00E5077C"/>
    <w:rsid w:val="00E507A4"/>
    <w:rsid w:val="00E50A4A"/>
    <w:rsid w:val="00E51560"/>
    <w:rsid w:val="00E51627"/>
    <w:rsid w:val="00E51723"/>
    <w:rsid w:val="00E51821"/>
    <w:rsid w:val="00E51F52"/>
    <w:rsid w:val="00E524CE"/>
    <w:rsid w:val="00E525E5"/>
    <w:rsid w:val="00E526CD"/>
    <w:rsid w:val="00E52AC3"/>
    <w:rsid w:val="00E52B54"/>
    <w:rsid w:val="00E530CB"/>
    <w:rsid w:val="00E53101"/>
    <w:rsid w:val="00E5313D"/>
    <w:rsid w:val="00E531E2"/>
    <w:rsid w:val="00E534E9"/>
    <w:rsid w:val="00E5370C"/>
    <w:rsid w:val="00E53ABE"/>
    <w:rsid w:val="00E53FC8"/>
    <w:rsid w:val="00E54347"/>
    <w:rsid w:val="00E547EF"/>
    <w:rsid w:val="00E54A53"/>
    <w:rsid w:val="00E54B8D"/>
    <w:rsid w:val="00E54FA5"/>
    <w:rsid w:val="00E55185"/>
    <w:rsid w:val="00E55424"/>
    <w:rsid w:val="00E555C2"/>
    <w:rsid w:val="00E55915"/>
    <w:rsid w:val="00E55BB5"/>
    <w:rsid w:val="00E55D5A"/>
    <w:rsid w:val="00E55F88"/>
    <w:rsid w:val="00E564AC"/>
    <w:rsid w:val="00E56742"/>
    <w:rsid w:val="00E56BF2"/>
    <w:rsid w:val="00E5753E"/>
    <w:rsid w:val="00E57A48"/>
    <w:rsid w:val="00E57F1C"/>
    <w:rsid w:val="00E60AAA"/>
    <w:rsid w:val="00E611DF"/>
    <w:rsid w:val="00E62930"/>
    <w:rsid w:val="00E62EF8"/>
    <w:rsid w:val="00E63090"/>
    <w:rsid w:val="00E63827"/>
    <w:rsid w:val="00E6389A"/>
    <w:rsid w:val="00E63915"/>
    <w:rsid w:val="00E63F8D"/>
    <w:rsid w:val="00E64453"/>
    <w:rsid w:val="00E6453B"/>
    <w:rsid w:val="00E64617"/>
    <w:rsid w:val="00E64811"/>
    <w:rsid w:val="00E64E38"/>
    <w:rsid w:val="00E64F47"/>
    <w:rsid w:val="00E64FF5"/>
    <w:rsid w:val="00E65C98"/>
    <w:rsid w:val="00E65CE8"/>
    <w:rsid w:val="00E65DCC"/>
    <w:rsid w:val="00E65E79"/>
    <w:rsid w:val="00E66101"/>
    <w:rsid w:val="00E66169"/>
    <w:rsid w:val="00E662C4"/>
    <w:rsid w:val="00E66BA2"/>
    <w:rsid w:val="00E67416"/>
    <w:rsid w:val="00E67A33"/>
    <w:rsid w:val="00E67FEF"/>
    <w:rsid w:val="00E67FF4"/>
    <w:rsid w:val="00E70517"/>
    <w:rsid w:val="00E7062D"/>
    <w:rsid w:val="00E7073D"/>
    <w:rsid w:val="00E70972"/>
    <w:rsid w:val="00E7104D"/>
    <w:rsid w:val="00E71328"/>
    <w:rsid w:val="00E715DE"/>
    <w:rsid w:val="00E7162C"/>
    <w:rsid w:val="00E718B0"/>
    <w:rsid w:val="00E718B6"/>
    <w:rsid w:val="00E723BA"/>
    <w:rsid w:val="00E72402"/>
    <w:rsid w:val="00E725ED"/>
    <w:rsid w:val="00E7293F"/>
    <w:rsid w:val="00E729DC"/>
    <w:rsid w:val="00E73581"/>
    <w:rsid w:val="00E73CB5"/>
    <w:rsid w:val="00E73EA4"/>
    <w:rsid w:val="00E740F2"/>
    <w:rsid w:val="00E74731"/>
    <w:rsid w:val="00E74C62"/>
    <w:rsid w:val="00E755E0"/>
    <w:rsid w:val="00E7569D"/>
    <w:rsid w:val="00E75733"/>
    <w:rsid w:val="00E76644"/>
    <w:rsid w:val="00E76C95"/>
    <w:rsid w:val="00E77308"/>
    <w:rsid w:val="00E81723"/>
    <w:rsid w:val="00E81962"/>
    <w:rsid w:val="00E81DEA"/>
    <w:rsid w:val="00E82084"/>
    <w:rsid w:val="00E8213A"/>
    <w:rsid w:val="00E821D3"/>
    <w:rsid w:val="00E82466"/>
    <w:rsid w:val="00E825E3"/>
    <w:rsid w:val="00E8291D"/>
    <w:rsid w:val="00E82C9C"/>
    <w:rsid w:val="00E82F2A"/>
    <w:rsid w:val="00E833F7"/>
    <w:rsid w:val="00E835F4"/>
    <w:rsid w:val="00E83606"/>
    <w:rsid w:val="00E83657"/>
    <w:rsid w:val="00E83B63"/>
    <w:rsid w:val="00E83BDF"/>
    <w:rsid w:val="00E84509"/>
    <w:rsid w:val="00E8460D"/>
    <w:rsid w:val="00E84FA4"/>
    <w:rsid w:val="00E85610"/>
    <w:rsid w:val="00E85709"/>
    <w:rsid w:val="00E85A49"/>
    <w:rsid w:val="00E85DD5"/>
    <w:rsid w:val="00E85ECF"/>
    <w:rsid w:val="00E85EFB"/>
    <w:rsid w:val="00E85F25"/>
    <w:rsid w:val="00E866BB"/>
    <w:rsid w:val="00E8671C"/>
    <w:rsid w:val="00E868D2"/>
    <w:rsid w:val="00E86FCC"/>
    <w:rsid w:val="00E87370"/>
    <w:rsid w:val="00E87A1D"/>
    <w:rsid w:val="00E90399"/>
    <w:rsid w:val="00E908A5"/>
    <w:rsid w:val="00E9094A"/>
    <w:rsid w:val="00E90D6F"/>
    <w:rsid w:val="00E910F8"/>
    <w:rsid w:val="00E91203"/>
    <w:rsid w:val="00E91D35"/>
    <w:rsid w:val="00E91F95"/>
    <w:rsid w:val="00E926A5"/>
    <w:rsid w:val="00E9271F"/>
    <w:rsid w:val="00E92750"/>
    <w:rsid w:val="00E9276A"/>
    <w:rsid w:val="00E92AD1"/>
    <w:rsid w:val="00E92B90"/>
    <w:rsid w:val="00E92EEF"/>
    <w:rsid w:val="00E930E1"/>
    <w:rsid w:val="00E93C60"/>
    <w:rsid w:val="00E94714"/>
    <w:rsid w:val="00E94E13"/>
    <w:rsid w:val="00E94F5A"/>
    <w:rsid w:val="00E950ED"/>
    <w:rsid w:val="00E95512"/>
    <w:rsid w:val="00E957B5"/>
    <w:rsid w:val="00E95F91"/>
    <w:rsid w:val="00E962CC"/>
    <w:rsid w:val="00E96B6E"/>
    <w:rsid w:val="00E97BD8"/>
    <w:rsid w:val="00EA038A"/>
    <w:rsid w:val="00EA0D49"/>
    <w:rsid w:val="00EA122D"/>
    <w:rsid w:val="00EA12C8"/>
    <w:rsid w:val="00EA163B"/>
    <w:rsid w:val="00EA17C3"/>
    <w:rsid w:val="00EA20D8"/>
    <w:rsid w:val="00EA2151"/>
    <w:rsid w:val="00EA251A"/>
    <w:rsid w:val="00EA2816"/>
    <w:rsid w:val="00EA2C2C"/>
    <w:rsid w:val="00EA2CAA"/>
    <w:rsid w:val="00EA3864"/>
    <w:rsid w:val="00EA3A9F"/>
    <w:rsid w:val="00EA456B"/>
    <w:rsid w:val="00EA4A95"/>
    <w:rsid w:val="00EA4D98"/>
    <w:rsid w:val="00EA546B"/>
    <w:rsid w:val="00EA5DD9"/>
    <w:rsid w:val="00EA662F"/>
    <w:rsid w:val="00EA68F0"/>
    <w:rsid w:val="00EA72FA"/>
    <w:rsid w:val="00EA73B8"/>
    <w:rsid w:val="00EA7509"/>
    <w:rsid w:val="00EA76DC"/>
    <w:rsid w:val="00EA7B5E"/>
    <w:rsid w:val="00EA7F1C"/>
    <w:rsid w:val="00EB11B7"/>
    <w:rsid w:val="00EB148C"/>
    <w:rsid w:val="00EB15B6"/>
    <w:rsid w:val="00EB18D5"/>
    <w:rsid w:val="00EB1C30"/>
    <w:rsid w:val="00EB1F1F"/>
    <w:rsid w:val="00EB3D06"/>
    <w:rsid w:val="00EB4055"/>
    <w:rsid w:val="00EB412C"/>
    <w:rsid w:val="00EB48EE"/>
    <w:rsid w:val="00EB4916"/>
    <w:rsid w:val="00EB4950"/>
    <w:rsid w:val="00EB4D7E"/>
    <w:rsid w:val="00EB4E1E"/>
    <w:rsid w:val="00EB552F"/>
    <w:rsid w:val="00EB5586"/>
    <w:rsid w:val="00EB58E3"/>
    <w:rsid w:val="00EB5AF0"/>
    <w:rsid w:val="00EB6848"/>
    <w:rsid w:val="00EB6911"/>
    <w:rsid w:val="00EB6A63"/>
    <w:rsid w:val="00EB7A6C"/>
    <w:rsid w:val="00EB7B63"/>
    <w:rsid w:val="00EB7BEE"/>
    <w:rsid w:val="00EB7DB7"/>
    <w:rsid w:val="00EB7E32"/>
    <w:rsid w:val="00EC00C9"/>
    <w:rsid w:val="00EC02AA"/>
    <w:rsid w:val="00EC0393"/>
    <w:rsid w:val="00EC041F"/>
    <w:rsid w:val="00EC0DD9"/>
    <w:rsid w:val="00EC1092"/>
    <w:rsid w:val="00EC1192"/>
    <w:rsid w:val="00EC19F4"/>
    <w:rsid w:val="00EC1A0F"/>
    <w:rsid w:val="00EC2649"/>
    <w:rsid w:val="00EC292A"/>
    <w:rsid w:val="00EC29BC"/>
    <w:rsid w:val="00EC2E0A"/>
    <w:rsid w:val="00EC31ED"/>
    <w:rsid w:val="00EC3655"/>
    <w:rsid w:val="00EC3707"/>
    <w:rsid w:val="00EC37B6"/>
    <w:rsid w:val="00EC3CB2"/>
    <w:rsid w:val="00EC43DB"/>
    <w:rsid w:val="00EC514A"/>
    <w:rsid w:val="00EC5836"/>
    <w:rsid w:val="00EC59CE"/>
    <w:rsid w:val="00EC64C8"/>
    <w:rsid w:val="00EC64F1"/>
    <w:rsid w:val="00EC688C"/>
    <w:rsid w:val="00EC71D3"/>
    <w:rsid w:val="00EC76C1"/>
    <w:rsid w:val="00EC79BA"/>
    <w:rsid w:val="00EC7D78"/>
    <w:rsid w:val="00EC7EE5"/>
    <w:rsid w:val="00EC7FEF"/>
    <w:rsid w:val="00ED0685"/>
    <w:rsid w:val="00ED1223"/>
    <w:rsid w:val="00ED12E3"/>
    <w:rsid w:val="00ED162E"/>
    <w:rsid w:val="00ED17B1"/>
    <w:rsid w:val="00ED219F"/>
    <w:rsid w:val="00ED2827"/>
    <w:rsid w:val="00ED2BAA"/>
    <w:rsid w:val="00ED340D"/>
    <w:rsid w:val="00ED3460"/>
    <w:rsid w:val="00ED3D9A"/>
    <w:rsid w:val="00ED3E9A"/>
    <w:rsid w:val="00ED410D"/>
    <w:rsid w:val="00ED4B04"/>
    <w:rsid w:val="00ED4B69"/>
    <w:rsid w:val="00ED4E4E"/>
    <w:rsid w:val="00ED503C"/>
    <w:rsid w:val="00ED523A"/>
    <w:rsid w:val="00ED57EA"/>
    <w:rsid w:val="00ED5BD4"/>
    <w:rsid w:val="00ED5BD8"/>
    <w:rsid w:val="00ED5FCB"/>
    <w:rsid w:val="00ED6005"/>
    <w:rsid w:val="00ED620C"/>
    <w:rsid w:val="00ED642E"/>
    <w:rsid w:val="00ED7397"/>
    <w:rsid w:val="00EE07D3"/>
    <w:rsid w:val="00EE0A31"/>
    <w:rsid w:val="00EE1572"/>
    <w:rsid w:val="00EE16DF"/>
    <w:rsid w:val="00EE1996"/>
    <w:rsid w:val="00EE1C01"/>
    <w:rsid w:val="00EE1FE0"/>
    <w:rsid w:val="00EE223E"/>
    <w:rsid w:val="00EE22AF"/>
    <w:rsid w:val="00EE26AC"/>
    <w:rsid w:val="00EE2837"/>
    <w:rsid w:val="00EE2972"/>
    <w:rsid w:val="00EE2EF4"/>
    <w:rsid w:val="00EE3316"/>
    <w:rsid w:val="00EE363F"/>
    <w:rsid w:val="00EE39BC"/>
    <w:rsid w:val="00EE3B92"/>
    <w:rsid w:val="00EE3C16"/>
    <w:rsid w:val="00EE491F"/>
    <w:rsid w:val="00EE5C86"/>
    <w:rsid w:val="00EE5FFB"/>
    <w:rsid w:val="00EE60FA"/>
    <w:rsid w:val="00EE6D32"/>
    <w:rsid w:val="00EE752E"/>
    <w:rsid w:val="00EE7B97"/>
    <w:rsid w:val="00EF0171"/>
    <w:rsid w:val="00EF0490"/>
    <w:rsid w:val="00EF1B25"/>
    <w:rsid w:val="00EF1BB2"/>
    <w:rsid w:val="00EF1D81"/>
    <w:rsid w:val="00EF1DA0"/>
    <w:rsid w:val="00EF1E96"/>
    <w:rsid w:val="00EF1EC5"/>
    <w:rsid w:val="00EF20A7"/>
    <w:rsid w:val="00EF22F1"/>
    <w:rsid w:val="00EF24BF"/>
    <w:rsid w:val="00EF2B18"/>
    <w:rsid w:val="00EF33CD"/>
    <w:rsid w:val="00EF3D1D"/>
    <w:rsid w:val="00EF3D83"/>
    <w:rsid w:val="00EF44AE"/>
    <w:rsid w:val="00EF4747"/>
    <w:rsid w:val="00EF48E7"/>
    <w:rsid w:val="00EF4917"/>
    <w:rsid w:val="00EF4AA8"/>
    <w:rsid w:val="00EF4BF8"/>
    <w:rsid w:val="00EF5919"/>
    <w:rsid w:val="00EF5CD4"/>
    <w:rsid w:val="00EF6CF7"/>
    <w:rsid w:val="00EF7B68"/>
    <w:rsid w:val="00EF7CF4"/>
    <w:rsid w:val="00F00079"/>
    <w:rsid w:val="00F004A2"/>
    <w:rsid w:val="00F00692"/>
    <w:rsid w:val="00F00A73"/>
    <w:rsid w:val="00F00C41"/>
    <w:rsid w:val="00F00EAF"/>
    <w:rsid w:val="00F011BD"/>
    <w:rsid w:val="00F019D0"/>
    <w:rsid w:val="00F019FA"/>
    <w:rsid w:val="00F02253"/>
    <w:rsid w:val="00F0233E"/>
    <w:rsid w:val="00F02884"/>
    <w:rsid w:val="00F028F3"/>
    <w:rsid w:val="00F0293D"/>
    <w:rsid w:val="00F02A8D"/>
    <w:rsid w:val="00F02F68"/>
    <w:rsid w:val="00F032DB"/>
    <w:rsid w:val="00F0360B"/>
    <w:rsid w:val="00F03C2E"/>
    <w:rsid w:val="00F048C2"/>
    <w:rsid w:val="00F04A66"/>
    <w:rsid w:val="00F04B4B"/>
    <w:rsid w:val="00F04BE6"/>
    <w:rsid w:val="00F0516C"/>
    <w:rsid w:val="00F051D7"/>
    <w:rsid w:val="00F0547B"/>
    <w:rsid w:val="00F05719"/>
    <w:rsid w:val="00F0575F"/>
    <w:rsid w:val="00F063C7"/>
    <w:rsid w:val="00F067A2"/>
    <w:rsid w:val="00F06BD8"/>
    <w:rsid w:val="00F06FF5"/>
    <w:rsid w:val="00F071AA"/>
    <w:rsid w:val="00F07784"/>
    <w:rsid w:val="00F07AB5"/>
    <w:rsid w:val="00F07B9E"/>
    <w:rsid w:val="00F07ED9"/>
    <w:rsid w:val="00F10425"/>
    <w:rsid w:val="00F105E3"/>
    <w:rsid w:val="00F10E34"/>
    <w:rsid w:val="00F1116F"/>
    <w:rsid w:val="00F119E4"/>
    <w:rsid w:val="00F11A5B"/>
    <w:rsid w:val="00F11A7A"/>
    <w:rsid w:val="00F11C94"/>
    <w:rsid w:val="00F11F20"/>
    <w:rsid w:val="00F12202"/>
    <w:rsid w:val="00F1263A"/>
    <w:rsid w:val="00F12A3E"/>
    <w:rsid w:val="00F12D15"/>
    <w:rsid w:val="00F1330F"/>
    <w:rsid w:val="00F13353"/>
    <w:rsid w:val="00F1367F"/>
    <w:rsid w:val="00F139C5"/>
    <w:rsid w:val="00F14039"/>
    <w:rsid w:val="00F15B77"/>
    <w:rsid w:val="00F15C81"/>
    <w:rsid w:val="00F16882"/>
    <w:rsid w:val="00F16B8D"/>
    <w:rsid w:val="00F16D93"/>
    <w:rsid w:val="00F16ECF"/>
    <w:rsid w:val="00F17113"/>
    <w:rsid w:val="00F20A3C"/>
    <w:rsid w:val="00F20A4D"/>
    <w:rsid w:val="00F21236"/>
    <w:rsid w:val="00F2143E"/>
    <w:rsid w:val="00F2164B"/>
    <w:rsid w:val="00F21B46"/>
    <w:rsid w:val="00F21B49"/>
    <w:rsid w:val="00F22248"/>
    <w:rsid w:val="00F22D00"/>
    <w:rsid w:val="00F239DF"/>
    <w:rsid w:val="00F24718"/>
    <w:rsid w:val="00F24837"/>
    <w:rsid w:val="00F2573F"/>
    <w:rsid w:val="00F2575F"/>
    <w:rsid w:val="00F25F19"/>
    <w:rsid w:val="00F2619C"/>
    <w:rsid w:val="00F26658"/>
    <w:rsid w:val="00F26EB4"/>
    <w:rsid w:val="00F27565"/>
    <w:rsid w:val="00F30022"/>
    <w:rsid w:val="00F30152"/>
    <w:rsid w:val="00F30482"/>
    <w:rsid w:val="00F310D4"/>
    <w:rsid w:val="00F31BAA"/>
    <w:rsid w:val="00F31CB1"/>
    <w:rsid w:val="00F31D5A"/>
    <w:rsid w:val="00F31D72"/>
    <w:rsid w:val="00F32790"/>
    <w:rsid w:val="00F32D4C"/>
    <w:rsid w:val="00F33344"/>
    <w:rsid w:val="00F33975"/>
    <w:rsid w:val="00F33B99"/>
    <w:rsid w:val="00F33C39"/>
    <w:rsid w:val="00F33CF7"/>
    <w:rsid w:val="00F33D67"/>
    <w:rsid w:val="00F33DE9"/>
    <w:rsid w:val="00F3406F"/>
    <w:rsid w:val="00F3412B"/>
    <w:rsid w:val="00F34DC1"/>
    <w:rsid w:val="00F34F84"/>
    <w:rsid w:val="00F35594"/>
    <w:rsid w:val="00F35B70"/>
    <w:rsid w:val="00F35E6D"/>
    <w:rsid w:val="00F35F89"/>
    <w:rsid w:val="00F360D2"/>
    <w:rsid w:val="00F3619A"/>
    <w:rsid w:val="00F3685B"/>
    <w:rsid w:val="00F36E41"/>
    <w:rsid w:val="00F37102"/>
    <w:rsid w:val="00F37379"/>
    <w:rsid w:val="00F4027F"/>
    <w:rsid w:val="00F404D3"/>
    <w:rsid w:val="00F4085A"/>
    <w:rsid w:val="00F4088C"/>
    <w:rsid w:val="00F40AAA"/>
    <w:rsid w:val="00F40BA7"/>
    <w:rsid w:val="00F40DA2"/>
    <w:rsid w:val="00F40F9D"/>
    <w:rsid w:val="00F41ACD"/>
    <w:rsid w:val="00F41C42"/>
    <w:rsid w:val="00F421AD"/>
    <w:rsid w:val="00F433D1"/>
    <w:rsid w:val="00F4370A"/>
    <w:rsid w:val="00F43E95"/>
    <w:rsid w:val="00F44510"/>
    <w:rsid w:val="00F44A11"/>
    <w:rsid w:val="00F44D48"/>
    <w:rsid w:val="00F44FE0"/>
    <w:rsid w:val="00F455FA"/>
    <w:rsid w:val="00F457BC"/>
    <w:rsid w:val="00F46156"/>
    <w:rsid w:val="00F46808"/>
    <w:rsid w:val="00F46823"/>
    <w:rsid w:val="00F46CB6"/>
    <w:rsid w:val="00F46EBD"/>
    <w:rsid w:val="00F47263"/>
    <w:rsid w:val="00F4756D"/>
    <w:rsid w:val="00F4770B"/>
    <w:rsid w:val="00F47786"/>
    <w:rsid w:val="00F47DA8"/>
    <w:rsid w:val="00F47DE8"/>
    <w:rsid w:val="00F47EAA"/>
    <w:rsid w:val="00F503F1"/>
    <w:rsid w:val="00F50A0C"/>
    <w:rsid w:val="00F5134F"/>
    <w:rsid w:val="00F514A9"/>
    <w:rsid w:val="00F51580"/>
    <w:rsid w:val="00F51DD8"/>
    <w:rsid w:val="00F51E03"/>
    <w:rsid w:val="00F52679"/>
    <w:rsid w:val="00F52EDB"/>
    <w:rsid w:val="00F53047"/>
    <w:rsid w:val="00F5398E"/>
    <w:rsid w:val="00F541AB"/>
    <w:rsid w:val="00F542C1"/>
    <w:rsid w:val="00F544DB"/>
    <w:rsid w:val="00F54E8E"/>
    <w:rsid w:val="00F54EBB"/>
    <w:rsid w:val="00F550E3"/>
    <w:rsid w:val="00F5573E"/>
    <w:rsid w:val="00F55E73"/>
    <w:rsid w:val="00F55EDA"/>
    <w:rsid w:val="00F563FC"/>
    <w:rsid w:val="00F56C80"/>
    <w:rsid w:val="00F56F94"/>
    <w:rsid w:val="00F57679"/>
    <w:rsid w:val="00F57B23"/>
    <w:rsid w:val="00F57EFD"/>
    <w:rsid w:val="00F60092"/>
    <w:rsid w:val="00F619DB"/>
    <w:rsid w:val="00F61C18"/>
    <w:rsid w:val="00F61CC9"/>
    <w:rsid w:val="00F61D28"/>
    <w:rsid w:val="00F62E68"/>
    <w:rsid w:val="00F63ED2"/>
    <w:rsid w:val="00F645F3"/>
    <w:rsid w:val="00F64763"/>
    <w:rsid w:val="00F64BD4"/>
    <w:rsid w:val="00F64D87"/>
    <w:rsid w:val="00F65403"/>
    <w:rsid w:val="00F65618"/>
    <w:rsid w:val="00F6585B"/>
    <w:rsid w:val="00F65F4B"/>
    <w:rsid w:val="00F661C3"/>
    <w:rsid w:val="00F663EE"/>
    <w:rsid w:val="00F665AE"/>
    <w:rsid w:val="00F666FA"/>
    <w:rsid w:val="00F66B21"/>
    <w:rsid w:val="00F66F99"/>
    <w:rsid w:val="00F674DF"/>
    <w:rsid w:val="00F67720"/>
    <w:rsid w:val="00F67A69"/>
    <w:rsid w:val="00F67BD8"/>
    <w:rsid w:val="00F700BF"/>
    <w:rsid w:val="00F70368"/>
    <w:rsid w:val="00F70A37"/>
    <w:rsid w:val="00F70AE3"/>
    <w:rsid w:val="00F70BFF"/>
    <w:rsid w:val="00F70C9D"/>
    <w:rsid w:val="00F714D3"/>
    <w:rsid w:val="00F717E5"/>
    <w:rsid w:val="00F72471"/>
    <w:rsid w:val="00F72831"/>
    <w:rsid w:val="00F72A3D"/>
    <w:rsid w:val="00F73086"/>
    <w:rsid w:val="00F73360"/>
    <w:rsid w:val="00F73414"/>
    <w:rsid w:val="00F7350B"/>
    <w:rsid w:val="00F7356F"/>
    <w:rsid w:val="00F73B75"/>
    <w:rsid w:val="00F73B9E"/>
    <w:rsid w:val="00F73C05"/>
    <w:rsid w:val="00F73E08"/>
    <w:rsid w:val="00F74267"/>
    <w:rsid w:val="00F74BA3"/>
    <w:rsid w:val="00F74CD9"/>
    <w:rsid w:val="00F75649"/>
    <w:rsid w:val="00F75D11"/>
    <w:rsid w:val="00F75E61"/>
    <w:rsid w:val="00F766EA"/>
    <w:rsid w:val="00F77508"/>
    <w:rsid w:val="00F77565"/>
    <w:rsid w:val="00F77587"/>
    <w:rsid w:val="00F775B8"/>
    <w:rsid w:val="00F77767"/>
    <w:rsid w:val="00F77A9E"/>
    <w:rsid w:val="00F77E75"/>
    <w:rsid w:val="00F80191"/>
    <w:rsid w:val="00F80459"/>
    <w:rsid w:val="00F80A7B"/>
    <w:rsid w:val="00F80E5D"/>
    <w:rsid w:val="00F81569"/>
    <w:rsid w:val="00F81B14"/>
    <w:rsid w:val="00F81E78"/>
    <w:rsid w:val="00F82227"/>
    <w:rsid w:val="00F8224E"/>
    <w:rsid w:val="00F8281F"/>
    <w:rsid w:val="00F82860"/>
    <w:rsid w:val="00F82A67"/>
    <w:rsid w:val="00F83008"/>
    <w:rsid w:val="00F835F9"/>
    <w:rsid w:val="00F83916"/>
    <w:rsid w:val="00F84424"/>
    <w:rsid w:val="00F84D89"/>
    <w:rsid w:val="00F84F5B"/>
    <w:rsid w:val="00F851CE"/>
    <w:rsid w:val="00F853CC"/>
    <w:rsid w:val="00F85D78"/>
    <w:rsid w:val="00F86539"/>
    <w:rsid w:val="00F86ED5"/>
    <w:rsid w:val="00F86FF5"/>
    <w:rsid w:val="00F878CE"/>
    <w:rsid w:val="00F901FF"/>
    <w:rsid w:val="00F90650"/>
    <w:rsid w:val="00F90922"/>
    <w:rsid w:val="00F90B7C"/>
    <w:rsid w:val="00F90D93"/>
    <w:rsid w:val="00F91219"/>
    <w:rsid w:val="00F917C1"/>
    <w:rsid w:val="00F91D14"/>
    <w:rsid w:val="00F923AA"/>
    <w:rsid w:val="00F92444"/>
    <w:rsid w:val="00F92496"/>
    <w:rsid w:val="00F92539"/>
    <w:rsid w:val="00F92D35"/>
    <w:rsid w:val="00F93189"/>
    <w:rsid w:val="00F9369E"/>
    <w:rsid w:val="00F9393E"/>
    <w:rsid w:val="00F93B20"/>
    <w:rsid w:val="00F94784"/>
    <w:rsid w:val="00F94AA6"/>
    <w:rsid w:val="00F9538F"/>
    <w:rsid w:val="00F954D2"/>
    <w:rsid w:val="00F9568B"/>
    <w:rsid w:val="00F96266"/>
    <w:rsid w:val="00F96AE1"/>
    <w:rsid w:val="00F96CB4"/>
    <w:rsid w:val="00F96FD0"/>
    <w:rsid w:val="00F971E9"/>
    <w:rsid w:val="00F97685"/>
    <w:rsid w:val="00F97A78"/>
    <w:rsid w:val="00FA0242"/>
    <w:rsid w:val="00FA0401"/>
    <w:rsid w:val="00FA05C3"/>
    <w:rsid w:val="00FA064B"/>
    <w:rsid w:val="00FA0B20"/>
    <w:rsid w:val="00FA0C99"/>
    <w:rsid w:val="00FA0E63"/>
    <w:rsid w:val="00FA14AA"/>
    <w:rsid w:val="00FA2028"/>
    <w:rsid w:val="00FA20B4"/>
    <w:rsid w:val="00FA24E7"/>
    <w:rsid w:val="00FA2A86"/>
    <w:rsid w:val="00FA2BC1"/>
    <w:rsid w:val="00FA2DE2"/>
    <w:rsid w:val="00FA3CE3"/>
    <w:rsid w:val="00FA49E7"/>
    <w:rsid w:val="00FA4AFE"/>
    <w:rsid w:val="00FA4EF2"/>
    <w:rsid w:val="00FA56A7"/>
    <w:rsid w:val="00FA5EE6"/>
    <w:rsid w:val="00FA6998"/>
    <w:rsid w:val="00FA7956"/>
    <w:rsid w:val="00FA7BD2"/>
    <w:rsid w:val="00FB0824"/>
    <w:rsid w:val="00FB12AD"/>
    <w:rsid w:val="00FB1AD6"/>
    <w:rsid w:val="00FB214A"/>
    <w:rsid w:val="00FB2159"/>
    <w:rsid w:val="00FB2298"/>
    <w:rsid w:val="00FB24EE"/>
    <w:rsid w:val="00FB2565"/>
    <w:rsid w:val="00FB2B7C"/>
    <w:rsid w:val="00FB2FCB"/>
    <w:rsid w:val="00FB3168"/>
    <w:rsid w:val="00FB3307"/>
    <w:rsid w:val="00FB36C1"/>
    <w:rsid w:val="00FB3727"/>
    <w:rsid w:val="00FB3CF3"/>
    <w:rsid w:val="00FB3D6D"/>
    <w:rsid w:val="00FB4468"/>
    <w:rsid w:val="00FB4B6F"/>
    <w:rsid w:val="00FB4C9C"/>
    <w:rsid w:val="00FB5024"/>
    <w:rsid w:val="00FB51CB"/>
    <w:rsid w:val="00FB527C"/>
    <w:rsid w:val="00FB5BCE"/>
    <w:rsid w:val="00FB5C0D"/>
    <w:rsid w:val="00FB60E6"/>
    <w:rsid w:val="00FB6153"/>
    <w:rsid w:val="00FB6BD9"/>
    <w:rsid w:val="00FB7049"/>
    <w:rsid w:val="00FB793F"/>
    <w:rsid w:val="00FB7980"/>
    <w:rsid w:val="00FB7C55"/>
    <w:rsid w:val="00FC0636"/>
    <w:rsid w:val="00FC07B6"/>
    <w:rsid w:val="00FC1074"/>
    <w:rsid w:val="00FC10FE"/>
    <w:rsid w:val="00FC184F"/>
    <w:rsid w:val="00FC1884"/>
    <w:rsid w:val="00FC1CDB"/>
    <w:rsid w:val="00FC1FC5"/>
    <w:rsid w:val="00FC230A"/>
    <w:rsid w:val="00FC31F6"/>
    <w:rsid w:val="00FC371D"/>
    <w:rsid w:val="00FC387B"/>
    <w:rsid w:val="00FC3ABA"/>
    <w:rsid w:val="00FC4057"/>
    <w:rsid w:val="00FC4307"/>
    <w:rsid w:val="00FC4376"/>
    <w:rsid w:val="00FC43C5"/>
    <w:rsid w:val="00FC43CA"/>
    <w:rsid w:val="00FC4D4C"/>
    <w:rsid w:val="00FC538F"/>
    <w:rsid w:val="00FC5A6A"/>
    <w:rsid w:val="00FC5C04"/>
    <w:rsid w:val="00FC5F0B"/>
    <w:rsid w:val="00FC5FA7"/>
    <w:rsid w:val="00FC60AA"/>
    <w:rsid w:val="00FC6391"/>
    <w:rsid w:val="00FC673D"/>
    <w:rsid w:val="00FC6CA2"/>
    <w:rsid w:val="00FC6DAB"/>
    <w:rsid w:val="00FC6F1B"/>
    <w:rsid w:val="00FC71D7"/>
    <w:rsid w:val="00FC7293"/>
    <w:rsid w:val="00FC7C9B"/>
    <w:rsid w:val="00FD01E8"/>
    <w:rsid w:val="00FD038C"/>
    <w:rsid w:val="00FD0B3B"/>
    <w:rsid w:val="00FD181C"/>
    <w:rsid w:val="00FD1D7A"/>
    <w:rsid w:val="00FD1DEC"/>
    <w:rsid w:val="00FD2100"/>
    <w:rsid w:val="00FD2C45"/>
    <w:rsid w:val="00FD32B6"/>
    <w:rsid w:val="00FD35A5"/>
    <w:rsid w:val="00FD3CD3"/>
    <w:rsid w:val="00FD4114"/>
    <w:rsid w:val="00FD436C"/>
    <w:rsid w:val="00FD446D"/>
    <w:rsid w:val="00FD45CD"/>
    <w:rsid w:val="00FD4649"/>
    <w:rsid w:val="00FD4B7A"/>
    <w:rsid w:val="00FD4EA6"/>
    <w:rsid w:val="00FD4ED6"/>
    <w:rsid w:val="00FD4F2C"/>
    <w:rsid w:val="00FD6162"/>
    <w:rsid w:val="00FD61F9"/>
    <w:rsid w:val="00FD6394"/>
    <w:rsid w:val="00FD6923"/>
    <w:rsid w:val="00FD69EB"/>
    <w:rsid w:val="00FD6D79"/>
    <w:rsid w:val="00FD6F47"/>
    <w:rsid w:val="00FD71C6"/>
    <w:rsid w:val="00FD760C"/>
    <w:rsid w:val="00FE0D54"/>
    <w:rsid w:val="00FE0E6C"/>
    <w:rsid w:val="00FE12B7"/>
    <w:rsid w:val="00FE1628"/>
    <w:rsid w:val="00FE176A"/>
    <w:rsid w:val="00FE194A"/>
    <w:rsid w:val="00FE1C2E"/>
    <w:rsid w:val="00FE1CDC"/>
    <w:rsid w:val="00FE1D56"/>
    <w:rsid w:val="00FE1E28"/>
    <w:rsid w:val="00FE3516"/>
    <w:rsid w:val="00FE3C34"/>
    <w:rsid w:val="00FE41E7"/>
    <w:rsid w:val="00FE4797"/>
    <w:rsid w:val="00FE4B9F"/>
    <w:rsid w:val="00FE56B7"/>
    <w:rsid w:val="00FE59BB"/>
    <w:rsid w:val="00FE6391"/>
    <w:rsid w:val="00FE6690"/>
    <w:rsid w:val="00FE680C"/>
    <w:rsid w:val="00FE6C9A"/>
    <w:rsid w:val="00FE6F2A"/>
    <w:rsid w:val="00FE70C3"/>
    <w:rsid w:val="00FE7153"/>
    <w:rsid w:val="00FE77F2"/>
    <w:rsid w:val="00FE7C08"/>
    <w:rsid w:val="00FF0722"/>
    <w:rsid w:val="00FF0B7E"/>
    <w:rsid w:val="00FF130D"/>
    <w:rsid w:val="00FF156D"/>
    <w:rsid w:val="00FF1A8B"/>
    <w:rsid w:val="00FF22B6"/>
    <w:rsid w:val="00FF2AD9"/>
    <w:rsid w:val="00FF2C30"/>
    <w:rsid w:val="00FF3438"/>
    <w:rsid w:val="00FF359F"/>
    <w:rsid w:val="00FF35C1"/>
    <w:rsid w:val="00FF389E"/>
    <w:rsid w:val="00FF3B2D"/>
    <w:rsid w:val="00FF3CA4"/>
    <w:rsid w:val="00FF3DCF"/>
    <w:rsid w:val="00FF492C"/>
    <w:rsid w:val="00FF4A21"/>
    <w:rsid w:val="00FF4AA8"/>
    <w:rsid w:val="00FF4F65"/>
    <w:rsid w:val="00FF56AD"/>
    <w:rsid w:val="00FF5991"/>
    <w:rsid w:val="00FF5AA3"/>
    <w:rsid w:val="00FF5AD8"/>
    <w:rsid w:val="00FF617D"/>
    <w:rsid w:val="00FF637B"/>
    <w:rsid w:val="00FF65B4"/>
    <w:rsid w:val="00FF67F6"/>
    <w:rsid w:val="00FF6BEA"/>
    <w:rsid w:val="00FF6F56"/>
    <w:rsid w:val="00FF7504"/>
    <w:rsid w:val="00FF7563"/>
    <w:rsid w:val="00FF766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next w:val="Normal"/>
    <w:link w:val="Heading2Char"/>
    <w:rsid w:val="00D410E4"/>
    <w:pPr>
      <w:outlineLvl w:val="1"/>
    </w:pPr>
    <w:rPr>
      <w:rFonts w:ascii="Calibri" w:hAnsi="Calibri" w:cs="Arial"/>
      <w:b/>
      <w:i/>
      <w:sz w:val="28"/>
      <w:szCs w:val="24"/>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410E4"/>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execsummbulletlist">
    <w:name w:val="COM exec summ bullet list"/>
    <w:basedOn w:val="ListParagraph"/>
    <w:link w:val="COMexecsummbulletlistChar"/>
    <w:qFormat/>
    <w:rsid w:val="00DB0020"/>
    <w:pPr>
      <w:ind w:left="1134"/>
    </w:pPr>
  </w:style>
  <w:style w:type="paragraph" w:customStyle="1" w:styleId="COMexecsummmainissuesbullets">
    <w:name w:val="COM exec summ main issues bullets"/>
    <w:basedOn w:val="ListParagraph"/>
    <w:link w:val="COMexecsummmainissuesbulletsChar"/>
    <w:qFormat/>
    <w:rsid w:val="00023AB6"/>
    <w:pPr>
      <w:numPr>
        <w:numId w:val="7"/>
      </w:numPr>
    </w:pPr>
    <w:rPr>
      <w:color w:val="0066FF"/>
    </w:rPr>
  </w:style>
  <w:style w:type="character" w:customStyle="1" w:styleId="COMexecsummbulletlistChar">
    <w:name w:val="COM exec summ bullet list Char"/>
    <w:basedOn w:val="ListParagraphChar"/>
    <w:link w:val="COMexecsummbulletlist"/>
    <w:rsid w:val="00DB0020"/>
    <w:rPr>
      <w:rFonts w:asciiTheme="minorHAnsi" w:hAnsiTheme="minorHAnsi" w:cs="Arial"/>
      <w:snapToGrid w:val="0"/>
      <w:sz w:val="24"/>
      <w:szCs w:val="24"/>
    </w:rPr>
  </w:style>
  <w:style w:type="paragraph" w:customStyle="1" w:styleId="COMH3">
    <w:name w:val="COM H3"/>
    <w:basedOn w:val="Normal"/>
    <w:next w:val="Normal"/>
    <w:link w:val="COMH3Char"/>
    <w:qFormat/>
    <w:rsid w:val="00910CFD"/>
    <w:pPr>
      <w:keepNext/>
      <w:spacing w:after="240"/>
    </w:pPr>
    <w:rPr>
      <w:b/>
      <w:iCs/>
      <w:sz w:val="28"/>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BULLET,_CC_Bullet,Bullet1,Section 5,L"/>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paragraph" w:styleId="ListBullet">
    <w:name w:val="List Bullet"/>
    <w:aliases w:val="zz List Bullet"/>
    <w:basedOn w:val="Normal"/>
    <w:link w:val="ListBulletChar"/>
    <w:unhideWhenUsed/>
    <w:rsid w:val="00EE1996"/>
    <w:pPr>
      <w:numPr>
        <w:numId w:val="4"/>
      </w:numPr>
      <w:contextualSpacing/>
    </w:p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34"/>
    <w:qFormat/>
    <w:locked/>
    <w:rsid w:val="00BB00B3"/>
    <w:rPr>
      <w:rFonts w:asciiTheme="minorHAnsi" w:hAnsiTheme="minorHAnsi" w:cs="Arial"/>
      <w:snapToGrid w:val="0"/>
      <w:sz w:val="24"/>
      <w:szCs w:val="24"/>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H2-numbered">
    <w:name w:val="COM H2 - numbered"/>
    <w:basedOn w:val="Heading2"/>
    <w:link w:val="COMH2-numberedChar"/>
    <w:qFormat/>
    <w:rsid w:val="00721EA3"/>
    <w:pPr>
      <w:keepNext/>
      <w:spacing w:after="240"/>
    </w:p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customStyle="1" w:styleId="COMexecsummmainissuesbulletsChar">
    <w:name w:val="COM exec summ main issues bullets Char"/>
    <w:basedOn w:val="ListParagraphChar"/>
    <w:link w:val="COMexecsummmainissuesbullets"/>
    <w:rsid w:val="00023AB6"/>
    <w:rPr>
      <w:rFonts w:asciiTheme="minorHAnsi" w:hAnsiTheme="minorHAnsi" w:cs="Arial"/>
      <w:snapToGrid w:val="0"/>
      <w:color w:val="0066FF"/>
      <w:sz w:val="24"/>
      <w:szCs w:val="24"/>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character" w:customStyle="1" w:styleId="COMH2-numberedChar">
    <w:name w:val="COM H2 - numbered Char"/>
    <w:basedOn w:val="Heading2Char"/>
    <w:link w:val="COMH2-numbered"/>
    <w:rsid w:val="00721EA3"/>
    <w:rPr>
      <w:rFonts w:ascii="Calibri" w:hAnsi="Calibri" w:cs="Arial"/>
      <w:b/>
      <w:i/>
      <w:sz w:val="28"/>
      <w:szCs w:val="24"/>
    </w:rPr>
  </w:style>
  <w:style w:type="paragraph" w:customStyle="1" w:styleId="COMH4">
    <w:name w:val="COM H4"/>
    <w:basedOn w:val="Normal"/>
    <w:link w:val="COMH4Char"/>
    <w:qFormat/>
    <w:rsid w:val="00C042D3"/>
    <w:pPr>
      <w:spacing w:after="120"/>
    </w:pPr>
    <w:rPr>
      <w:b/>
      <w:i/>
    </w:rPr>
  </w:style>
  <w:style w:type="character" w:customStyle="1" w:styleId="COMH3Char">
    <w:name w:val="COM H3 Char"/>
    <w:basedOn w:val="DefaultParagraphFont"/>
    <w:link w:val="COMH3"/>
    <w:rsid w:val="00910CFD"/>
    <w:rPr>
      <w:rFonts w:ascii="Calibri" w:hAnsi="Calibri" w:cs="Arial"/>
      <w:b/>
      <w:iCs/>
      <w:sz w:val="28"/>
      <w:szCs w:val="24"/>
    </w:rPr>
  </w:style>
  <w:style w:type="paragraph" w:customStyle="1" w:styleId="COMbodybulletlist">
    <w:name w:val="COM body bullet list"/>
    <w:basedOn w:val="ListBullet"/>
    <w:link w:val="COMbodybulletlistChar"/>
    <w:qFormat/>
    <w:rsid w:val="00894E87"/>
  </w:style>
  <w:style w:type="character" w:customStyle="1" w:styleId="COMH4Char">
    <w:name w:val="COM H4 Char"/>
    <w:basedOn w:val="DefaultParagraphFont"/>
    <w:link w:val="COMH4"/>
    <w:rsid w:val="00C042D3"/>
    <w:rPr>
      <w:rFonts w:ascii="Calibri" w:hAnsi="Calibri" w:cs="Arial"/>
      <w:b/>
      <w:i/>
      <w:sz w:val="24"/>
      <w:szCs w:val="24"/>
    </w:rPr>
  </w:style>
  <w:style w:type="paragraph" w:customStyle="1" w:styleId="zzBulletpoints">
    <w:name w:val="zz Bullet points"/>
    <w:basedOn w:val="ListParagraph"/>
    <w:rsid w:val="00B70E8E"/>
    <w:pPr>
      <w:numPr>
        <w:numId w:val="2"/>
      </w:numPr>
      <w:contextualSpacing/>
    </w:pPr>
  </w:style>
  <w:style w:type="paragraph" w:customStyle="1" w:styleId="COMBody">
    <w:name w:val="COM Body"/>
    <w:basedOn w:val="Normal"/>
    <w:link w:val="COMBodyChar"/>
    <w:qFormat/>
    <w:rsid w:val="00894E87"/>
  </w:style>
  <w:style w:type="character" w:customStyle="1" w:styleId="ListBulletChar">
    <w:name w:val="List Bullet Char"/>
    <w:aliases w:val="zz List Bullet Char"/>
    <w:basedOn w:val="DefaultParagraphFont"/>
    <w:link w:val="ListBullet"/>
    <w:rsid w:val="00894E87"/>
    <w:rPr>
      <w:rFonts w:ascii="Calibri" w:hAnsi="Calibri" w:cs="Arial"/>
      <w:sz w:val="24"/>
      <w:szCs w:val="24"/>
    </w:rPr>
  </w:style>
  <w:style w:type="paragraph" w:styleId="Revision">
    <w:name w:val="Revision"/>
    <w:hidden/>
    <w:uiPriority w:val="99"/>
    <w:semiHidden/>
    <w:rsid w:val="00043C37"/>
    <w:rPr>
      <w:rFonts w:ascii="Arial" w:hAnsi="Arial" w:cs="Arial"/>
      <w:snapToGrid w:val="0"/>
      <w:sz w:val="22"/>
      <w:lang w:eastAsia="en-US"/>
    </w:rPr>
  </w:style>
  <w:style w:type="character" w:customStyle="1" w:styleId="COMbodybulletlistChar">
    <w:name w:val="COM body bullet list Char"/>
    <w:basedOn w:val="ListBulletChar"/>
    <w:link w:val="COMbodybulletlist"/>
    <w:rsid w:val="00894E87"/>
    <w:rPr>
      <w:rFonts w:ascii="Calibri" w:hAnsi="Calibri" w:cs="Arial"/>
      <w:sz w:val="24"/>
      <w:szCs w:val="24"/>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character" w:customStyle="1" w:styleId="COMBodyChar">
    <w:name w:val="COM Body Char"/>
    <w:basedOn w:val="DefaultParagraphFont"/>
    <w:link w:val="COMBody"/>
    <w:rsid w:val="00894E87"/>
    <w:rPr>
      <w:rFonts w:ascii="Calibri" w:hAnsi="Calibri" w:cs="Arial"/>
      <w:sz w:val="24"/>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COMTabletext">
    <w:name w:val="COM Table text"/>
    <w:link w:val="COMTabletextChar"/>
    <w:qFormat/>
    <w:rsid w:val="00EE1996"/>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EE1996"/>
    <w:rPr>
      <w:rFonts w:ascii="Arial Narrow" w:eastAsiaTheme="majorEastAsia" w:hAnsi="Arial Narrow" w:cstheme="majorBidi"/>
      <w:bCs/>
      <w:szCs w:val="24"/>
    </w:rPr>
  </w:style>
  <w:style w:type="paragraph" w:customStyle="1" w:styleId="COMTableheadingrow">
    <w:name w:val="COM Table heading row"/>
    <w:qFormat/>
    <w:rsid w:val="00EE1996"/>
    <w:pPr>
      <w:keepNext/>
    </w:pPr>
    <w:rPr>
      <w:rFonts w:ascii="Arial Narrow" w:eastAsiaTheme="majorEastAsia" w:hAnsi="Arial Narrow"/>
      <w:b/>
      <w:szCs w:val="24"/>
      <w:lang w:val="en-US"/>
    </w:rPr>
  </w:style>
  <w:style w:type="paragraph" w:customStyle="1" w:styleId="COMH1numbered">
    <w:name w:val="COM H1 numbered"/>
    <w:next w:val="Normal"/>
    <w:link w:val="COMH1numberedChar"/>
    <w:qFormat/>
    <w:rsid w:val="00163E81"/>
    <w:pPr>
      <w:keepNext/>
      <w:numPr>
        <w:numId w:val="5"/>
      </w:numPr>
      <w:spacing w:before="240" w:after="120"/>
      <w:outlineLvl w:val="0"/>
    </w:pPr>
    <w:rPr>
      <w:rFonts w:asciiTheme="minorHAnsi" w:hAnsiTheme="minorHAnsi" w:cs="Arial"/>
      <w:b/>
      <w:snapToGrid w:val="0"/>
      <w:sz w:val="32"/>
      <w:szCs w:val="32"/>
    </w:rPr>
  </w:style>
  <w:style w:type="paragraph" w:customStyle="1" w:styleId="COMH1-non-numbered">
    <w:name w:val="COM H1 - non-numbered"/>
    <w:next w:val="Normal"/>
    <w:link w:val="COMH1-non-numberedChar"/>
    <w:qFormat/>
    <w:rsid w:val="00603248"/>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603248"/>
    <w:rPr>
      <w:rFonts w:asciiTheme="minorHAnsi" w:eastAsiaTheme="majorEastAsia" w:hAnsiTheme="minorHAnsi" w:cstheme="majorBidi"/>
      <w:b/>
      <w:spacing w:val="5"/>
      <w:kern w:val="28"/>
      <w:sz w:val="32"/>
      <w:szCs w:val="36"/>
    </w:rPr>
  </w:style>
  <w:style w:type="paragraph" w:customStyle="1" w:styleId="COMtablefigcaption">
    <w:name w:val="COM table/fig caption"/>
    <w:next w:val="COMTableheadingrow"/>
    <w:link w:val="COMtablefigcaptionChar"/>
    <w:qFormat/>
    <w:rsid w:val="005F783B"/>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5F783B"/>
    <w:rPr>
      <w:rFonts w:ascii="Arial Narrow" w:eastAsiaTheme="majorEastAsia" w:hAnsi="Arial Narrow" w:cstheme="majorBidi"/>
      <w:b/>
      <w:bCs/>
      <w:szCs w:val="24"/>
    </w:rPr>
  </w:style>
  <w:style w:type="paragraph" w:customStyle="1" w:styleId="COMexecsumnumberedpara">
    <w:name w:val="COM exec sum numbered para"/>
    <w:basedOn w:val="ListParagraph"/>
    <w:link w:val="COMexecsumnumberedparaChar"/>
    <w:qFormat/>
    <w:rsid w:val="00B5370E"/>
    <w:pPr>
      <w:numPr>
        <w:ilvl w:val="1"/>
        <w:numId w:val="1"/>
      </w:numPr>
      <w:ind w:left="720"/>
    </w:pPr>
  </w:style>
  <w:style w:type="character" w:customStyle="1" w:styleId="COMexecsumnumberedparaChar">
    <w:name w:val="COM exec sum numbered para Char"/>
    <w:basedOn w:val="ListParagraphChar"/>
    <w:link w:val="COMexecsumnumberedpara"/>
    <w:rsid w:val="00B5370E"/>
    <w:rPr>
      <w:rFonts w:asciiTheme="minorHAnsi" w:hAnsiTheme="minorHAnsi" w:cs="Arial"/>
      <w:snapToGrid w:val="0"/>
      <w:sz w:val="24"/>
      <w:szCs w:val="24"/>
    </w:rPr>
  </w:style>
  <w:style w:type="paragraph" w:customStyle="1" w:styleId="COMTablefooter">
    <w:name w:val="COM Table footer"/>
    <w:basedOn w:val="Normal"/>
    <w:next w:val="Normal"/>
    <w:link w:val="COMTablefooterChar"/>
    <w:qFormat/>
    <w:rsid w:val="00EC5836"/>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EC5836"/>
    <w:rPr>
      <w:rFonts w:ascii="Arial Narrow" w:hAnsi="Arial Narrow" w:cs="Arial"/>
      <w:snapToGrid w:val="0"/>
      <w:sz w:val="18"/>
      <w:szCs w:val="22"/>
    </w:rPr>
  </w:style>
  <w:style w:type="paragraph" w:customStyle="1" w:styleId="COMH2-non-numbered">
    <w:name w:val="COM H2 - non-numbered"/>
    <w:basedOn w:val="Heading2"/>
    <w:next w:val="Normal"/>
    <w:link w:val="COMH2-non-numbered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COMH2-non-numberedChar">
    <w:name w:val="COM H2 - non-numbered Char"/>
    <w:basedOn w:val="Heading2Char"/>
    <w:link w:val="COMH2-non-numbered"/>
    <w:rsid w:val="00EE1996"/>
    <w:rPr>
      <w:rFonts w:asciiTheme="minorHAnsi" w:eastAsiaTheme="majorEastAsia" w:hAnsiTheme="minorHAnsi" w:cstheme="majorBidi"/>
      <w:b/>
      <w:i/>
      <w:snapToGrid w:val="0"/>
      <w:spacing w:val="5"/>
      <w:kern w:val="28"/>
      <w:sz w:val="28"/>
      <w:szCs w:val="36"/>
      <w:lang w:eastAsia="en-US"/>
    </w:rPr>
  </w:style>
  <w:style w:type="character" w:customStyle="1" w:styleId="COMH1numberedChar">
    <w:name w:val="COM H1 numbered Char"/>
    <w:basedOn w:val="DefaultParagraphFont"/>
    <w:link w:val="COMH1numbered"/>
    <w:rsid w:val="00163E81"/>
    <w:rPr>
      <w:rFonts w:asciiTheme="minorHAnsi" w:hAnsiTheme="minorHAnsi" w:cs="Arial"/>
      <w:b/>
      <w:snapToGrid w:val="0"/>
      <w:sz w:val="32"/>
      <w:szCs w:val="32"/>
    </w:rPr>
  </w:style>
  <w:style w:type="character" w:styleId="Hyperlink">
    <w:name w:val="Hyperlink"/>
    <w:basedOn w:val="DefaultParagraphFont"/>
    <w:uiPriority w:val="99"/>
    <w:unhideWhenUsed/>
    <w:rsid w:val="00E718B0"/>
    <w:rPr>
      <w:color w:val="0000FF" w:themeColor="hyperlink"/>
      <w:u w:val="single"/>
    </w:rPr>
  </w:style>
  <w:style w:type="paragraph" w:styleId="Header">
    <w:name w:val="header"/>
    <w:basedOn w:val="Normal"/>
    <w:link w:val="HeaderChar"/>
    <w:unhideWhenUsed/>
    <w:qFormat/>
    <w:rsid w:val="00825ACB"/>
    <w:pPr>
      <w:tabs>
        <w:tab w:val="center" w:pos="4513"/>
        <w:tab w:val="right" w:pos="9026"/>
      </w:tabs>
    </w:pPr>
  </w:style>
  <w:style w:type="character" w:customStyle="1" w:styleId="HeaderChar">
    <w:name w:val="Header Char"/>
    <w:basedOn w:val="DefaultParagraphFont"/>
    <w:link w:val="Header"/>
    <w:rsid w:val="00825ACB"/>
    <w:rPr>
      <w:rFonts w:ascii="Calibri" w:hAnsi="Calibri" w:cs="Arial"/>
      <w:sz w:val="24"/>
      <w:szCs w:val="24"/>
    </w:rPr>
  </w:style>
  <w:style w:type="paragraph" w:styleId="Footer">
    <w:name w:val="footer"/>
    <w:basedOn w:val="Normal"/>
    <w:link w:val="FooterChar"/>
    <w:uiPriority w:val="99"/>
    <w:unhideWhenUsed/>
    <w:rsid w:val="00825ACB"/>
    <w:pPr>
      <w:tabs>
        <w:tab w:val="center" w:pos="4513"/>
        <w:tab w:val="right" w:pos="9026"/>
      </w:tabs>
    </w:pPr>
  </w:style>
  <w:style w:type="character" w:customStyle="1" w:styleId="FooterChar">
    <w:name w:val="Footer Char"/>
    <w:basedOn w:val="DefaultParagraphFont"/>
    <w:link w:val="Footer"/>
    <w:uiPriority w:val="99"/>
    <w:rsid w:val="00825ACB"/>
    <w:rPr>
      <w:rFonts w:ascii="Calibri" w:hAnsi="Calibri" w:cs="Arial"/>
      <w:sz w:val="24"/>
      <w:szCs w:val="24"/>
    </w:rPr>
  </w:style>
  <w:style w:type="character" w:styleId="CommentReference">
    <w:name w:val="annotation reference"/>
    <w:basedOn w:val="DefaultParagraphFont"/>
    <w:uiPriority w:val="99"/>
    <w:semiHidden/>
    <w:unhideWhenUsed/>
    <w:rsid w:val="00B05C85"/>
    <w:rPr>
      <w:sz w:val="16"/>
      <w:szCs w:val="16"/>
    </w:rPr>
  </w:style>
  <w:style w:type="paragraph" w:styleId="CommentText">
    <w:name w:val="annotation text"/>
    <w:basedOn w:val="Normal"/>
    <w:link w:val="CommentTextChar"/>
    <w:uiPriority w:val="99"/>
    <w:unhideWhenUsed/>
    <w:rsid w:val="00B05C85"/>
    <w:rPr>
      <w:sz w:val="20"/>
      <w:szCs w:val="20"/>
    </w:rPr>
  </w:style>
  <w:style w:type="character" w:customStyle="1" w:styleId="CommentTextChar">
    <w:name w:val="Comment Text Char"/>
    <w:basedOn w:val="DefaultParagraphFont"/>
    <w:link w:val="CommentText"/>
    <w:uiPriority w:val="99"/>
    <w:rsid w:val="00B05C85"/>
    <w:rPr>
      <w:rFonts w:ascii="Calibri" w:hAnsi="Calibri" w:cs="Arial"/>
    </w:rPr>
  </w:style>
  <w:style w:type="paragraph" w:styleId="CommentSubject">
    <w:name w:val="annotation subject"/>
    <w:basedOn w:val="CommentText"/>
    <w:next w:val="CommentText"/>
    <w:link w:val="CommentSubjectChar"/>
    <w:semiHidden/>
    <w:unhideWhenUsed/>
    <w:rsid w:val="00B05C85"/>
    <w:rPr>
      <w:b/>
      <w:bCs/>
    </w:rPr>
  </w:style>
  <w:style w:type="character" w:customStyle="1" w:styleId="CommentSubjectChar">
    <w:name w:val="Comment Subject Char"/>
    <w:basedOn w:val="CommentTextChar"/>
    <w:link w:val="CommentSubject"/>
    <w:semiHidden/>
    <w:rsid w:val="00B05C85"/>
    <w:rPr>
      <w:rFonts w:ascii="Calibri" w:hAnsi="Calibri" w:cs="Arial"/>
      <w:b/>
      <w:bCs/>
    </w:rPr>
  </w:style>
  <w:style w:type="paragraph" w:customStyle="1" w:styleId="Default">
    <w:name w:val="Default"/>
    <w:rsid w:val="00E83B63"/>
    <w:pPr>
      <w:autoSpaceDE w:val="0"/>
      <w:autoSpaceDN w:val="0"/>
      <w:adjustRightInd w:val="0"/>
    </w:pPr>
    <w:rPr>
      <w:color w:val="000000"/>
      <w:sz w:val="24"/>
      <w:szCs w:val="24"/>
    </w:rPr>
  </w:style>
  <w:style w:type="character" w:customStyle="1" w:styleId="A12">
    <w:name w:val="A12"/>
    <w:uiPriority w:val="99"/>
    <w:rsid w:val="00323F2D"/>
    <w:rPr>
      <w:rFonts w:cs="BNYXB U+ Gotham HTF"/>
      <w:color w:val="3F6B8C"/>
      <w:sz w:val="10"/>
      <w:szCs w:val="10"/>
    </w:rPr>
  </w:style>
  <w:style w:type="paragraph" w:customStyle="1" w:styleId="TableText">
    <w:name w:val="Table Text"/>
    <w:basedOn w:val="Normal"/>
    <w:link w:val="TableTextChar"/>
    <w:qFormat/>
    <w:rsid w:val="00DB3C13"/>
    <w:pPr>
      <w:spacing w:before="40" w:after="40" w:line="276" w:lineRule="auto"/>
      <w:jc w:val="left"/>
    </w:pPr>
    <w:rPr>
      <w:rFonts w:ascii="Arial Narrow" w:eastAsiaTheme="minorHAnsi" w:hAnsi="Arial Narrow" w:cstheme="minorBidi"/>
      <w:sz w:val="20"/>
      <w:szCs w:val="22"/>
      <w:lang w:eastAsia="en-US"/>
    </w:rPr>
  </w:style>
  <w:style w:type="character" w:customStyle="1" w:styleId="TableTextChar">
    <w:name w:val="Table Text Char"/>
    <w:link w:val="TableText"/>
    <w:rsid w:val="00DB3C13"/>
    <w:rPr>
      <w:rFonts w:ascii="Arial Narrow" w:eastAsiaTheme="minorHAnsi" w:hAnsi="Arial Narrow" w:cstheme="minorBidi"/>
      <w:szCs w:val="22"/>
      <w:lang w:eastAsia="en-US"/>
    </w:rPr>
  </w:style>
  <w:style w:type="paragraph" w:customStyle="1" w:styleId="TableHeading">
    <w:name w:val="TableHeading"/>
    <w:basedOn w:val="Normal"/>
    <w:qFormat/>
    <w:rsid w:val="00D11FE4"/>
    <w:pPr>
      <w:spacing w:after="60" w:line="276" w:lineRule="auto"/>
      <w:jc w:val="left"/>
    </w:pPr>
    <w:rPr>
      <w:rFonts w:ascii="Arial Narrow" w:eastAsiaTheme="minorHAnsi" w:hAnsi="Arial Narrow" w:cstheme="minorBidi"/>
      <w:b/>
      <w:sz w:val="20"/>
      <w:szCs w:val="22"/>
      <w:lang w:eastAsia="en-US"/>
    </w:rPr>
  </w:style>
  <w:style w:type="paragraph" w:customStyle="1" w:styleId="TableFigureFooter">
    <w:name w:val="Table/Figure Footer"/>
    <w:basedOn w:val="Normal"/>
    <w:link w:val="TableFigureFooterChar"/>
    <w:qFormat/>
    <w:rsid w:val="00D11FE4"/>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D11FE4"/>
    <w:rPr>
      <w:rFonts w:ascii="Arial Narrow" w:hAnsi="Arial Narrow" w:cs="Arial"/>
      <w:snapToGrid w:val="0"/>
      <w:sz w:val="18"/>
      <w:szCs w:val="22"/>
    </w:rPr>
  </w:style>
  <w:style w:type="paragraph" w:customStyle="1" w:styleId="pf0">
    <w:name w:val="pf0"/>
    <w:basedOn w:val="Normal"/>
    <w:rsid w:val="00D11FE4"/>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D11FE4"/>
    <w:rPr>
      <w:rFonts w:ascii="Segoe UI" w:hAnsi="Segoe UI" w:cs="Segoe UI" w:hint="default"/>
      <w:sz w:val="18"/>
      <w:szCs w:val="18"/>
    </w:rPr>
  </w:style>
  <w:style w:type="character" w:customStyle="1" w:styleId="cf11">
    <w:name w:val="cf11"/>
    <w:basedOn w:val="DefaultParagraphFont"/>
    <w:rsid w:val="00D11FE4"/>
    <w:rPr>
      <w:rFonts w:ascii="Segoe UI" w:hAnsi="Segoe UI" w:cs="Segoe UI" w:hint="default"/>
      <w:i/>
      <w:iCs/>
      <w:sz w:val="18"/>
      <w:szCs w:val="18"/>
    </w:rPr>
  </w:style>
  <w:style w:type="paragraph" w:styleId="NormalWeb">
    <w:name w:val="Normal (Web)"/>
    <w:basedOn w:val="Normal"/>
    <w:uiPriority w:val="99"/>
    <w:semiHidden/>
    <w:unhideWhenUsed/>
    <w:rsid w:val="00D11FE4"/>
    <w:pPr>
      <w:spacing w:before="100" w:beforeAutospacing="1" w:after="100" w:afterAutospacing="1"/>
      <w:jc w:val="left"/>
    </w:pPr>
    <w:rPr>
      <w:rFonts w:ascii="Times New Roman" w:hAnsi="Times New Roman" w:cs="Times New Roman"/>
    </w:rPr>
  </w:style>
  <w:style w:type="paragraph" w:styleId="Caption">
    <w:name w:val="caption"/>
    <w:basedOn w:val="COMtablefigcaption"/>
    <w:next w:val="Normal"/>
    <w:unhideWhenUsed/>
    <w:rsid w:val="00C77D42"/>
  </w:style>
  <w:style w:type="paragraph" w:customStyle="1" w:styleId="In-tableHeading">
    <w:name w:val="In-table Heading"/>
    <w:qFormat/>
    <w:rsid w:val="00D75E56"/>
    <w:pPr>
      <w:keepNext/>
    </w:pPr>
    <w:rPr>
      <w:rFonts w:ascii="Arial Narrow" w:eastAsiaTheme="majorEastAsia" w:hAnsi="Arial Narrow"/>
      <w:b/>
      <w:szCs w:val="24"/>
      <w:lang w:val="en-US"/>
    </w:rPr>
  </w:style>
  <w:style w:type="paragraph" w:customStyle="1" w:styleId="TableHeading0">
    <w:name w:val="Table Heading"/>
    <w:basedOn w:val="Normal"/>
    <w:link w:val="TableHeadingChar"/>
    <w:qFormat/>
    <w:rsid w:val="00D75E56"/>
    <w:pPr>
      <w:keepNext/>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0"/>
    <w:rsid w:val="00D75E56"/>
    <w:rPr>
      <w:rFonts w:ascii="Arial Narrow" w:eastAsiaTheme="minorHAnsi" w:hAnsi="Arial Narrow" w:cstheme="minorBidi"/>
      <w:b/>
      <w:szCs w:val="22"/>
      <w:lang w:eastAsia="en-US"/>
    </w:rPr>
  </w:style>
  <w:style w:type="character" w:customStyle="1" w:styleId="5-SubsectionSubheadingChar">
    <w:name w:val="5-Subsection Subheading Char"/>
    <w:basedOn w:val="DefaultParagraphFont"/>
    <w:link w:val="5-SubsectionSubheading"/>
    <w:locked/>
    <w:rsid w:val="006066B5"/>
    <w:rPr>
      <w:rFonts w:asciiTheme="minorHAnsi" w:eastAsiaTheme="majorEastAsia" w:hAnsiTheme="minorHAnsi" w:cstheme="majorBidi"/>
      <w:b/>
      <w:color w:val="000000" w:themeColor="text1"/>
    </w:rPr>
  </w:style>
  <w:style w:type="paragraph" w:customStyle="1" w:styleId="5-SubsectionSubheading">
    <w:name w:val="5-Subsection Subheading"/>
    <w:basedOn w:val="Heading3"/>
    <w:next w:val="Normal"/>
    <w:link w:val="5-SubsectionSubheadingChar"/>
    <w:qFormat/>
    <w:rsid w:val="006066B5"/>
    <w:pPr>
      <w:keepNext/>
      <w:keepLines/>
      <w:spacing w:before="160" w:after="120"/>
    </w:pPr>
    <w:rPr>
      <w:rFonts w:asciiTheme="minorHAnsi" w:eastAsiaTheme="majorEastAsia" w:hAnsiTheme="minorHAnsi" w:cstheme="majorBidi"/>
      <w:b/>
      <w:color w:val="000000" w:themeColor="text1"/>
      <w:sz w:val="20"/>
      <w:szCs w:val="20"/>
      <w:u w:val="none"/>
    </w:rPr>
  </w:style>
  <w:style w:type="paragraph" w:customStyle="1" w:styleId="Bulletpoints">
    <w:name w:val="Bullet points"/>
    <w:basedOn w:val="Normal"/>
    <w:rsid w:val="000D5FB6"/>
    <w:pPr>
      <w:spacing w:after="120"/>
      <w:ind w:left="720"/>
      <w:contextualSpacing/>
    </w:pPr>
    <w:rPr>
      <w:snapToGrid w:val="0"/>
    </w:rPr>
  </w:style>
  <w:style w:type="paragraph" w:styleId="FootnoteText">
    <w:name w:val="footnote text"/>
    <w:basedOn w:val="Normal"/>
    <w:link w:val="FootnoteTextChar"/>
    <w:semiHidden/>
    <w:unhideWhenUsed/>
    <w:rsid w:val="00AB68EF"/>
    <w:rPr>
      <w:sz w:val="20"/>
      <w:szCs w:val="20"/>
    </w:rPr>
  </w:style>
  <w:style w:type="character" w:customStyle="1" w:styleId="FootnoteTextChar">
    <w:name w:val="Footnote Text Char"/>
    <w:basedOn w:val="DefaultParagraphFont"/>
    <w:link w:val="FootnoteText"/>
    <w:semiHidden/>
    <w:rsid w:val="00AB68EF"/>
    <w:rPr>
      <w:rFonts w:ascii="Calibri" w:hAnsi="Calibri" w:cs="Arial"/>
    </w:rPr>
  </w:style>
  <w:style w:type="character" w:styleId="FootnoteReference">
    <w:name w:val="footnote reference"/>
    <w:basedOn w:val="DefaultParagraphFont"/>
    <w:semiHidden/>
    <w:unhideWhenUsed/>
    <w:rsid w:val="00AB68EF"/>
    <w:rPr>
      <w:vertAlign w:val="superscript"/>
    </w:rPr>
  </w:style>
  <w:style w:type="paragraph" w:customStyle="1" w:styleId="3-SubsectionHeading">
    <w:name w:val="3-Subsection Heading"/>
    <w:basedOn w:val="Heading2"/>
    <w:next w:val="Normal"/>
    <w:link w:val="3-SubsectionHeadingChar"/>
    <w:qFormat/>
    <w:rsid w:val="001A0E96"/>
    <w:pPr>
      <w:keepNext/>
      <w:spacing w:before="120" w:after="120"/>
      <w:jc w:val="both"/>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1A0E96"/>
    <w:rPr>
      <w:rFonts w:asciiTheme="minorHAnsi" w:eastAsiaTheme="majorEastAsia" w:hAnsiTheme="minorHAnsi" w:cstheme="majorBidi"/>
      <w:b/>
      <w:i/>
      <w:spacing w:val="5"/>
      <w:kern w:val="28"/>
      <w:sz w:val="28"/>
      <w:szCs w:val="36"/>
      <w:lang w:eastAsia="en-US"/>
    </w:rPr>
  </w:style>
  <w:style w:type="paragraph" w:styleId="NoSpacing">
    <w:name w:val="No Spacing"/>
    <w:uiPriority w:val="1"/>
    <w:qFormat/>
    <w:rsid w:val="001A0E96"/>
    <w:rPr>
      <w:sz w:val="24"/>
      <w:szCs w:val="24"/>
      <w:lang w:eastAsia="en-US"/>
    </w:rPr>
  </w:style>
  <w:style w:type="paragraph" w:customStyle="1" w:styleId="2-SectionHeading">
    <w:name w:val="2-Section Heading"/>
    <w:qFormat/>
    <w:rsid w:val="001A0E96"/>
    <w:pPr>
      <w:keepNext/>
      <w:spacing w:before="240" w:after="120"/>
      <w:outlineLvl w:val="1"/>
    </w:pPr>
    <w:rPr>
      <w:rFonts w:asciiTheme="minorHAnsi" w:hAnsiTheme="minorHAnsi" w:cs="Arial"/>
      <w:b/>
      <w:snapToGrid w:val="0"/>
      <w:sz w:val="32"/>
      <w:szCs w:val="32"/>
    </w:rPr>
  </w:style>
  <w:style w:type="paragraph" w:customStyle="1" w:styleId="xxmsolistparagraph">
    <w:name w:val="x_xmsolistparagraph"/>
    <w:basedOn w:val="Normal"/>
    <w:rsid w:val="00CD4C27"/>
    <w:pPr>
      <w:ind w:left="720"/>
      <w:jc w:val="left"/>
    </w:pPr>
    <w:rPr>
      <w:rFonts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2954">
      <w:bodyDiv w:val="1"/>
      <w:marLeft w:val="0"/>
      <w:marRight w:val="0"/>
      <w:marTop w:val="0"/>
      <w:marBottom w:val="0"/>
      <w:divBdr>
        <w:top w:val="none" w:sz="0" w:space="0" w:color="auto"/>
        <w:left w:val="none" w:sz="0" w:space="0" w:color="auto"/>
        <w:bottom w:val="none" w:sz="0" w:space="0" w:color="auto"/>
        <w:right w:val="none" w:sz="0" w:space="0" w:color="auto"/>
      </w:divBdr>
      <w:divsChild>
        <w:div w:id="1679693728">
          <w:marLeft w:val="0"/>
          <w:marRight w:val="0"/>
          <w:marTop w:val="0"/>
          <w:marBottom w:val="0"/>
          <w:divBdr>
            <w:top w:val="none" w:sz="0" w:space="0" w:color="auto"/>
            <w:left w:val="none" w:sz="0" w:space="0" w:color="auto"/>
            <w:bottom w:val="none" w:sz="0" w:space="0" w:color="auto"/>
            <w:right w:val="none" w:sz="0" w:space="0" w:color="auto"/>
          </w:divBdr>
        </w:div>
        <w:div w:id="615521268">
          <w:marLeft w:val="0"/>
          <w:marRight w:val="0"/>
          <w:marTop w:val="0"/>
          <w:marBottom w:val="0"/>
          <w:divBdr>
            <w:top w:val="none" w:sz="0" w:space="0" w:color="auto"/>
            <w:left w:val="none" w:sz="0" w:space="0" w:color="auto"/>
            <w:bottom w:val="none" w:sz="0" w:space="0" w:color="auto"/>
            <w:right w:val="none" w:sz="0" w:space="0" w:color="auto"/>
          </w:divBdr>
          <w:divsChild>
            <w:div w:id="178896759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84651026">
      <w:bodyDiv w:val="1"/>
      <w:marLeft w:val="0"/>
      <w:marRight w:val="0"/>
      <w:marTop w:val="0"/>
      <w:marBottom w:val="0"/>
      <w:divBdr>
        <w:top w:val="none" w:sz="0" w:space="0" w:color="auto"/>
        <w:left w:val="none" w:sz="0" w:space="0" w:color="auto"/>
        <w:bottom w:val="none" w:sz="0" w:space="0" w:color="auto"/>
        <w:right w:val="none" w:sz="0" w:space="0" w:color="auto"/>
      </w:divBdr>
    </w:div>
    <w:div w:id="157516636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74285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17082</Words>
  <Characters>97370</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2023-10-31T03:34:00Z</dcterms:created>
  <dcterms:modified xsi:type="dcterms:W3CDTF">2023-11-07T05:49:00Z</dcterms:modified>
</cp:coreProperties>
</file>