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5BA7CB89" w:rsidR="00872E8F" w:rsidRPr="007A5C88" w:rsidRDefault="00174A7B" w:rsidP="00A832EB">
      <w:pPr>
        <w:pStyle w:val="1MainTitle"/>
        <w:ind w:left="993" w:hanging="993"/>
        <w:jc w:val="left"/>
      </w:pPr>
      <w:r>
        <w:t>6.08</w:t>
      </w:r>
      <w:r w:rsidR="00872E8F">
        <w:tab/>
      </w:r>
      <w:bookmarkStart w:id="0" w:name="_Hlk140152945"/>
      <w:r w:rsidR="00854463" w:rsidRPr="00E03E6D">
        <w:t>CALCIPOTRIOL</w:t>
      </w:r>
      <w:r w:rsidR="00854463">
        <w:t xml:space="preserve"> </w:t>
      </w:r>
      <w:r w:rsidR="00E03E6D" w:rsidRPr="00E03E6D">
        <w:t>WITH BETAMETHASONE</w:t>
      </w:r>
      <w:bookmarkEnd w:id="0"/>
      <w:r w:rsidR="70971A32">
        <w:t>,</w:t>
      </w:r>
      <w:r w:rsidR="00A832EB">
        <w:br/>
      </w:r>
      <w:r w:rsidR="00E03E6D" w:rsidRPr="00E03E6D">
        <w:t>Foam containing calcipotriol 50 micrograms with betamethasone 500 micrograms (as dipropionate) per</w:t>
      </w:r>
      <w:r w:rsidR="00CA53C8">
        <w:t> </w:t>
      </w:r>
      <w:r w:rsidR="00E03E6D" w:rsidRPr="00E03E6D">
        <w:t>g, 60 g</w:t>
      </w:r>
      <w:r w:rsidR="005E3847">
        <w:t>,</w:t>
      </w:r>
      <w:r w:rsidR="00872E8F">
        <w:br/>
      </w:r>
      <w:r w:rsidR="00E03E6D" w:rsidRPr="00E03E6D">
        <w:t>Enstilar</w:t>
      </w:r>
      <w:r w:rsidR="70971A32">
        <w:t>®,</w:t>
      </w:r>
      <w:r w:rsidR="00872E8F">
        <w:br/>
      </w:r>
      <w:r w:rsidR="00E03E6D" w:rsidRPr="00E03E6D">
        <w:t>L</w:t>
      </w:r>
      <w:r w:rsidR="00EE557D">
        <w:t>eo</w:t>
      </w:r>
      <w:r w:rsidR="00E03E6D" w:rsidRPr="00E03E6D">
        <w:t xml:space="preserve"> Pharma Pty Ltd</w:t>
      </w:r>
    </w:p>
    <w:p w14:paraId="5F4D54C1" w14:textId="28401841" w:rsidR="00E11F44" w:rsidRPr="004A1B43" w:rsidRDefault="007E490F" w:rsidP="00666134">
      <w:pPr>
        <w:pStyle w:val="2-SectionHeading"/>
        <w:rPr>
          <w:rFonts w:cstheme="minorHAnsi"/>
          <w:color w:val="FF0000"/>
        </w:rPr>
      </w:pPr>
      <w:r w:rsidRPr="0033263D">
        <w:t xml:space="preserve">Purpose of </w:t>
      </w:r>
      <w:r w:rsidR="00FA0B04">
        <w:t>Submission</w:t>
      </w:r>
    </w:p>
    <w:p w14:paraId="2BFDAD71" w14:textId="00411694" w:rsidR="006C6C10" w:rsidRPr="004A1B43" w:rsidRDefault="004A1B43" w:rsidP="00FD532F">
      <w:pPr>
        <w:pStyle w:val="3-BodyText"/>
        <w:rPr>
          <w:snapToGrid w:val="0"/>
        </w:rPr>
      </w:pPr>
      <w:r w:rsidRPr="00E57FAC">
        <w:t xml:space="preserve">The Category 3 submission requested </w:t>
      </w:r>
      <w:r>
        <w:t>increasing the maximum quantity (MQ) under the</w:t>
      </w:r>
      <w:r w:rsidRPr="00E57FAC">
        <w:t xml:space="preserve"> </w:t>
      </w:r>
      <w:r w:rsidRPr="00CA53C8">
        <w:t xml:space="preserve">General Schedule Authority Required (STREAMLINED) </w:t>
      </w:r>
      <w:r>
        <w:t xml:space="preserve">Pharmaceutical Benefits Scheme (PBS) </w:t>
      </w:r>
      <w:r w:rsidRPr="00CA53C8">
        <w:t>listing</w:t>
      </w:r>
      <w:r>
        <w:t xml:space="preserve"> </w:t>
      </w:r>
      <w:r w:rsidRPr="005E107D">
        <w:t xml:space="preserve">for calcipotriol 0.005% </w:t>
      </w:r>
      <w:r>
        <w:t xml:space="preserve">with </w:t>
      </w:r>
      <w:r w:rsidRPr="005E107D">
        <w:t xml:space="preserve">betamethasone (as dipropionate) 0.05% foam, 60 g </w:t>
      </w:r>
      <w:r>
        <w:t>(Enstilar®) from 1 to</w:t>
      </w:r>
      <w:r w:rsidRPr="00CA53C8">
        <w:t xml:space="preserve"> </w:t>
      </w:r>
      <w:r>
        <w:t>2 packs</w:t>
      </w:r>
      <w:r w:rsidR="001C34E7">
        <w:t>.</w:t>
      </w:r>
    </w:p>
    <w:p w14:paraId="3D1D4320" w14:textId="672FB1DD" w:rsidR="007E490F" w:rsidRDefault="007E490F" w:rsidP="00BD5CEB">
      <w:pPr>
        <w:pStyle w:val="2-SectionHeading"/>
        <w:numPr>
          <w:ilvl w:val="0"/>
          <w:numId w:val="2"/>
        </w:numPr>
        <w:jc w:val="both"/>
      </w:pPr>
      <w:r w:rsidRPr="009E2E8E">
        <w:t>Background</w:t>
      </w:r>
    </w:p>
    <w:p w14:paraId="46D1ACC7" w14:textId="77777777" w:rsidR="004A1B43" w:rsidRDefault="00BA15FA" w:rsidP="00F23B57">
      <w:pPr>
        <w:widowControl w:val="0"/>
        <w:numPr>
          <w:ilvl w:val="1"/>
          <w:numId w:val="2"/>
        </w:numPr>
        <w:spacing w:after="120"/>
      </w:pPr>
      <w:r>
        <w:t>Calcipotriol with betamethasone</w:t>
      </w:r>
      <w:r w:rsidR="00360EAA">
        <w:t xml:space="preserve"> foam (CBF)</w:t>
      </w:r>
      <w:r w:rsidR="00C14C6A" w:rsidRPr="00CD1206">
        <w:t xml:space="preserve"> is listed on the PBS as a restricted benefit for the treatment of chronic stable plaque type psoriasis vulgaris with a </w:t>
      </w:r>
      <w:r w:rsidR="00DC4018">
        <w:t>MQ</w:t>
      </w:r>
      <w:r w:rsidR="00C14C6A" w:rsidRPr="00CD1206">
        <w:t xml:space="preserve"> of 1.</w:t>
      </w:r>
      <w:bookmarkStart w:id="1" w:name="_Hlk133573464"/>
    </w:p>
    <w:p w14:paraId="2062677E" w14:textId="77777777" w:rsidR="004A1B43" w:rsidRDefault="00D80E7E" w:rsidP="000D3904">
      <w:pPr>
        <w:widowControl w:val="0"/>
        <w:numPr>
          <w:ilvl w:val="1"/>
          <w:numId w:val="2"/>
        </w:numPr>
        <w:spacing w:after="120"/>
      </w:pPr>
      <w:r>
        <w:t>The submission stated that a single 60 g can</w:t>
      </w:r>
      <w:r w:rsidR="00457A26">
        <w:t xml:space="preserve"> of CBF</w:t>
      </w:r>
      <w:r>
        <w:t xml:space="preserve"> </w:t>
      </w:r>
      <w:r w:rsidRPr="00791593">
        <w:t>is sufficient to provide</w:t>
      </w:r>
      <w:r w:rsidR="00E75AF9">
        <w:t xml:space="preserve"> 1 month of</w:t>
      </w:r>
      <w:r w:rsidRPr="00791593">
        <w:t xml:space="preserve"> treatment f</w:t>
      </w:r>
      <w:r>
        <w:t>or</w:t>
      </w:r>
      <w:r w:rsidRPr="00791593">
        <w:t xml:space="preserve"> a </w:t>
      </w:r>
      <w:r w:rsidR="00E75AF9">
        <w:t>body surface area (BSA) of up to</w:t>
      </w:r>
      <w:r w:rsidRPr="00791593">
        <w:t xml:space="preserve"> 5%</w:t>
      </w:r>
      <w:r w:rsidR="00E75AF9">
        <w:t>.</w:t>
      </w:r>
      <w:r w:rsidR="00CD66D8">
        <w:t xml:space="preserve"> </w:t>
      </w:r>
    </w:p>
    <w:p w14:paraId="15CED002" w14:textId="77777777" w:rsidR="004A1B43" w:rsidRDefault="00D80E7E" w:rsidP="004A1B43">
      <w:pPr>
        <w:widowControl w:val="0"/>
        <w:numPr>
          <w:ilvl w:val="1"/>
          <w:numId w:val="2"/>
        </w:numPr>
        <w:spacing w:after="120"/>
      </w:pPr>
      <w:r>
        <w:t xml:space="preserve">The submission stated that while the current listing of </w:t>
      </w:r>
      <w:r w:rsidR="00360EAA">
        <w:t>CBF</w:t>
      </w:r>
      <w:r>
        <w:t xml:space="preserve"> allows</w:t>
      </w:r>
      <w:r w:rsidR="00F110E3">
        <w:t xml:space="preserve"> prescribers to request a</w:t>
      </w:r>
      <w:r>
        <w:t xml:space="preserve"> larger quantity/dose through the PBS </w:t>
      </w:r>
      <w:r w:rsidR="00347598">
        <w:t>authority’s</w:t>
      </w:r>
      <w:r>
        <w:t xml:space="preserve"> system if required,</w:t>
      </w:r>
      <w:r w:rsidR="00831786">
        <w:t xml:space="preserve"> </w:t>
      </w:r>
      <w:r w:rsidR="003E3ACF">
        <w:t>an analysis of PBS 10% data</w:t>
      </w:r>
      <w:r w:rsidR="00831786">
        <w:t xml:space="preserve"> </w:t>
      </w:r>
      <w:r w:rsidR="00365D17">
        <w:t xml:space="preserve">showed </w:t>
      </w:r>
      <w:r w:rsidR="00831786">
        <w:t xml:space="preserve">that up to 20% of patients </w:t>
      </w:r>
      <w:r w:rsidR="00993FAB">
        <w:t>with prescriptions for 1</w:t>
      </w:r>
      <w:r w:rsidR="00812159">
        <w:t> </w:t>
      </w:r>
      <w:r w:rsidR="00993FAB">
        <w:t xml:space="preserve">can per supply </w:t>
      </w:r>
      <w:r w:rsidR="003E3ACF">
        <w:t>we</w:t>
      </w:r>
      <w:r w:rsidR="00831786">
        <w:t xml:space="preserve">re </w:t>
      </w:r>
      <w:r w:rsidR="00993FAB">
        <w:t>needing more than 1 can in a period of 20 days or less.</w:t>
      </w:r>
      <w:r w:rsidR="00365D17">
        <w:t xml:space="preserve"> The submission claimed that this data was indicative that the prescribed quantity was insufficient for 1 months’ supply. </w:t>
      </w:r>
      <w:r w:rsidR="00993FAB">
        <w:t>Furthermore,</w:t>
      </w:r>
      <w:r>
        <w:t xml:space="preserve"> </w:t>
      </w:r>
      <w:r w:rsidR="00812159">
        <w:t xml:space="preserve">the submission indicated that </w:t>
      </w:r>
      <w:r>
        <w:t xml:space="preserve">prescribers have expressed </w:t>
      </w:r>
      <w:r w:rsidR="00F110E3">
        <w:t>opposition</w:t>
      </w:r>
      <w:r w:rsidR="00993FAB">
        <w:t xml:space="preserve"> to requesting a PBS authority for a larger M</w:t>
      </w:r>
      <w:r w:rsidR="003E3ACF">
        <w:t>Q</w:t>
      </w:r>
      <w:r w:rsidR="00F110E3">
        <w:t xml:space="preserve"> due to the</w:t>
      </w:r>
      <w:r>
        <w:t xml:space="preserve"> </w:t>
      </w:r>
      <w:r w:rsidR="00F110E3">
        <w:t xml:space="preserve">associated </w:t>
      </w:r>
      <w:r>
        <w:t>administrative burden.</w:t>
      </w:r>
    </w:p>
    <w:p w14:paraId="60B33B64" w14:textId="77777777" w:rsidR="004A1B43" w:rsidRDefault="00D80E7E" w:rsidP="004A1B43">
      <w:pPr>
        <w:widowControl w:val="0"/>
        <w:numPr>
          <w:ilvl w:val="1"/>
          <w:numId w:val="2"/>
        </w:numPr>
        <w:spacing w:after="120"/>
      </w:pPr>
      <w:r w:rsidRPr="00365D17">
        <w:t>The submission further stated that patients who requ</w:t>
      </w:r>
      <w:r w:rsidRPr="00651EAF">
        <w:t xml:space="preserve">ire multiple supplies of </w:t>
      </w:r>
      <w:r w:rsidR="00360EAA">
        <w:t>CBF</w:t>
      </w:r>
      <w:r w:rsidR="00E014B0">
        <w:t xml:space="preserve"> in a month</w:t>
      </w:r>
      <w:r w:rsidR="00075943" w:rsidRPr="00651EAF">
        <w:t xml:space="preserve"> </w:t>
      </w:r>
      <w:r w:rsidR="00E014B0">
        <w:t>face</w:t>
      </w:r>
      <w:r w:rsidRPr="00651EAF">
        <w:t xml:space="preserve"> additional financial burden in the form of multiple co-payments</w:t>
      </w:r>
      <w:r w:rsidR="00E014B0">
        <w:t>, and that there are</w:t>
      </w:r>
      <w:r w:rsidRPr="00651EAF">
        <w:t xml:space="preserve"> </w:t>
      </w:r>
      <w:r w:rsidRPr="00365D17">
        <w:t>financial implication</w:t>
      </w:r>
      <w:r w:rsidR="00651EAF">
        <w:t>s</w:t>
      </w:r>
      <w:r w:rsidRPr="00651EAF">
        <w:t xml:space="preserve"> to the Government due to the added pharmacy fees (dispensing fee and administration, </w:t>
      </w:r>
      <w:r w:rsidRPr="004E2CCB">
        <w:t>handling and infrastructure (AHI) fee).</w:t>
      </w:r>
    </w:p>
    <w:p w14:paraId="65116B83" w14:textId="23F715E6" w:rsidR="0003606F" w:rsidRDefault="00360EAA" w:rsidP="004A1B43">
      <w:pPr>
        <w:widowControl w:val="0"/>
        <w:numPr>
          <w:ilvl w:val="1"/>
          <w:numId w:val="2"/>
        </w:numPr>
        <w:spacing w:after="120"/>
      </w:pPr>
      <w:r>
        <w:t>CBF</w:t>
      </w:r>
      <w:r w:rsidR="00FE1703">
        <w:t xml:space="preserve"> </w:t>
      </w:r>
      <w:r w:rsidR="00D801D4">
        <w:t xml:space="preserve">was </w:t>
      </w:r>
      <w:r w:rsidR="005973C5">
        <w:t xml:space="preserve">subject to a Risk Sharing Arrangement (RSA) upon listing, however the arrangements were </w:t>
      </w:r>
      <w:r w:rsidR="00D801D4">
        <w:t xml:space="preserve">terminated </w:t>
      </w:r>
      <w:r w:rsidR="005973C5">
        <w:t xml:space="preserve">from </w:t>
      </w:r>
      <w:r w:rsidR="00D801D4">
        <w:t>1 April 2022</w:t>
      </w:r>
      <w:r w:rsidR="005973C5">
        <w:t>, as Commonwealth expenditure had consistently been below the subsidisation caps</w:t>
      </w:r>
      <w:r w:rsidR="00D801D4">
        <w:t xml:space="preserve">. </w:t>
      </w:r>
    </w:p>
    <w:p w14:paraId="507E9A6D" w14:textId="424FEA2D" w:rsidR="00E34774" w:rsidRPr="00E34774" w:rsidRDefault="0003606F" w:rsidP="0003606F">
      <w:pPr>
        <w:jc w:val="left"/>
      </w:pPr>
      <w:r>
        <w:br w:type="page"/>
      </w:r>
    </w:p>
    <w:bookmarkEnd w:id="1"/>
    <w:p w14:paraId="4C5ABA51" w14:textId="251AC32E" w:rsidR="00562A2B" w:rsidRDefault="00562A2B" w:rsidP="00BD5CEB">
      <w:pPr>
        <w:pStyle w:val="4-SubsectionHeading"/>
      </w:pPr>
      <w:r>
        <w:lastRenderedPageBreak/>
        <w:t>Registration</w:t>
      </w:r>
      <w:r w:rsidRPr="009324A6">
        <w:t xml:space="preserve"> status</w:t>
      </w:r>
    </w:p>
    <w:p w14:paraId="75CFCB0F" w14:textId="77777777" w:rsidR="004A1B43" w:rsidRPr="004A1B43" w:rsidRDefault="00BA15FA" w:rsidP="004A1B43">
      <w:pPr>
        <w:widowControl w:val="0"/>
        <w:numPr>
          <w:ilvl w:val="1"/>
          <w:numId w:val="2"/>
        </w:numPr>
        <w:spacing w:after="120"/>
        <w:rPr>
          <w:rFonts w:cs="Calibri"/>
          <w:bCs/>
          <w:snapToGrid w:val="0"/>
        </w:rPr>
      </w:pPr>
      <w:r w:rsidRPr="004A1B43">
        <w:rPr>
          <w:szCs w:val="18"/>
        </w:rPr>
        <w:t>C</w:t>
      </w:r>
      <w:r w:rsidR="000B019A" w:rsidRPr="004A1B43">
        <w:rPr>
          <w:szCs w:val="18"/>
        </w:rPr>
        <w:t>BF</w:t>
      </w:r>
      <w:r w:rsidR="00075943" w:rsidRPr="004A1B43">
        <w:rPr>
          <w:szCs w:val="18"/>
        </w:rPr>
        <w:t xml:space="preserve"> </w:t>
      </w:r>
      <w:r w:rsidR="00562A2B">
        <w:t xml:space="preserve">was registered in the Australian Register of Therapeutic </w:t>
      </w:r>
      <w:r w:rsidR="00562A2B" w:rsidRPr="006D0F1D">
        <w:t>Goods on 11</w:t>
      </w:r>
      <w:r w:rsidR="00812159">
        <w:t> </w:t>
      </w:r>
      <w:r w:rsidR="00562A2B" w:rsidRPr="006D0F1D">
        <w:t>October</w:t>
      </w:r>
      <w:r w:rsidR="00812159">
        <w:t> </w:t>
      </w:r>
      <w:r w:rsidR="00562A2B" w:rsidRPr="006D0F1D">
        <w:t>2016 for</w:t>
      </w:r>
      <w:r w:rsidR="006F1DD7">
        <w:t xml:space="preserve"> the</w:t>
      </w:r>
      <w:r w:rsidR="00562A2B" w:rsidRPr="006D0F1D" w:rsidDel="009A61CA">
        <w:t xml:space="preserve"> </w:t>
      </w:r>
      <w:r w:rsidR="00562A2B" w:rsidRPr="006D0F1D">
        <w:t>topical treatment of psoriasis vulgaris in adults.</w:t>
      </w:r>
    </w:p>
    <w:p w14:paraId="5D4CCC1E" w14:textId="3231DE50" w:rsidR="00562A2B" w:rsidRPr="004A1B43" w:rsidRDefault="00562A2B" w:rsidP="004A1B43">
      <w:pPr>
        <w:widowControl w:val="0"/>
        <w:numPr>
          <w:ilvl w:val="1"/>
          <w:numId w:val="2"/>
        </w:numPr>
        <w:spacing w:after="120"/>
        <w:rPr>
          <w:rFonts w:cs="Calibri"/>
          <w:bCs/>
          <w:snapToGrid w:val="0"/>
        </w:rPr>
      </w:pPr>
      <w:r w:rsidRPr="0075742F">
        <w:t>The Product Information</w:t>
      </w:r>
      <w:r>
        <w:t xml:space="preserve"> recommends a treatment period of 4 weeks where the total </w:t>
      </w:r>
      <w:r w:rsidR="008A62CD">
        <w:t>BSA</w:t>
      </w:r>
      <w:r>
        <w:t xml:space="preserve"> treated should not exceed 30%.</w:t>
      </w:r>
    </w:p>
    <w:p w14:paraId="0094486E" w14:textId="77777777" w:rsidR="007E490F" w:rsidRDefault="007E490F" w:rsidP="00BD5CEB">
      <w:pPr>
        <w:pStyle w:val="4-SubsectionHeading"/>
      </w:pPr>
      <w:r w:rsidRPr="0012749D">
        <w:t xml:space="preserve">Previous PBAC consideration </w:t>
      </w:r>
    </w:p>
    <w:p w14:paraId="586D9701" w14:textId="60C83DC6" w:rsidR="004A1B43" w:rsidRPr="004A1B43" w:rsidRDefault="00801927" w:rsidP="004A1B43">
      <w:pPr>
        <w:widowControl w:val="0"/>
        <w:numPr>
          <w:ilvl w:val="1"/>
          <w:numId w:val="2"/>
        </w:numPr>
        <w:spacing w:after="120"/>
        <w:rPr>
          <w:rFonts w:cs="Calibri"/>
          <w:bCs/>
          <w:snapToGrid w:val="0"/>
        </w:rPr>
      </w:pPr>
      <w:r>
        <w:t xml:space="preserve">At its November 2016 meeting, where the PBAC </w:t>
      </w:r>
      <w:r w:rsidRPr="00D629D2">
        <w:t xml:space="preserve">recommended the Restricted Benefit listing of </w:t>
      </w:r>
      <w:r w:rsidR="00360EAA">
        <w:t>CBF</w:t>
      </w:r>
      <w:r>
        <w:t>, t</w:t>
      </w:r>
      <w:r w:rsidRPr="00D231E2">
        <w:t xml:space="preserve">he PBAC noted the number of cans of foam spray used by patients and the amount administered during the treatment of each flare up was uncertain, and specifically the proportion of patients </w:t>
      </w:r>
      <w:r w:rsidRPr="00CD1206">
        <w:t xml:space="preserve">who required less than </w:t>
      </w:r>
      <w:r w:rsidR="001C34E7" w:rsidRPr="00CD1206">
        <w:t>120</w:t>
      </w:r>
      <w:r w:rsidR="001C34E7">
        <w:t> </w:t>
      </w:r>
      <w:r w:rsidRPr="00CD1206">
        <w:t>g (</w:t>
      </w:r>
      <w:r w:rsidR="001C34E7" w:rsidRPr="00CD1206">
        <w:t>2</w:t>
      </w:r>
      <w:r w:rsidR="001C34E7">
        <w:t> </w:t>
      </w:r>
      <w:r w:rsidRPr="00CD1206">
        <w:t>cans) versus more than 120</w:t>
      </w:r>
      <w:r w:rsidR="00981267">
        <w:t> </w:t>
      </w:r>
      <w:r w:rsidRPr="00CD1206">
        <w:t>g (</w:t>
      </w:r>
      <w:r w:rsidR="001C34E7" w:rsidRPr="00CD1206">
        <w:t>3</w:t>
      </w:r>
      <w:r w:rsidR="001C34E7">
        <w:t> </w:t>
      </w:r>
      <w:r w:rsidRPr="00CD1206">
        <w:t>cans) was uncertain</w:t>
      </w:r>
      <w:r>
        <w:t xml:space="preserve"> (paragraph 7.6, calcipotriol with betamethasone</w:t>
      </w:r>
      <w:r w:rsidR="00A566CF">
        <w:t>,</w:t>
      </w:r>
      <w:r>
        <w:t xml:space="preserve"> November 2016 Public Summary Document (PSD))</w:t>
      </w:r>
      <w:r w:rsidRPr="00CD1206">
        <w:t>.</w:t>
      </w:r>
    </w:p>
    <w:p w14:paraId="7464A19C" w14:textId="616E1D79" w:rsidR="00732370" w:rsidRPr="004A1B43" w:rsidRDefault="00801927" w:rsidP="004A1B43">
      <w:pPr>
        <w:widowControl w:val="0"/>
        <w:numPr>
          <w:ilvl w:val="1"/>
          <w:numId w:val="2"/>
        </w:numPr>
        <w:spacing w:after="120"/>
        <w:rPr>
          <w:rFonts w:cs="Calibri"/>
          <w:bCs/>
          <w:snapToGrid w:val="0"/>
        </w:rPr>
      </w:pPr>
      <w:r w:rsidRPr="00CD1206">
        <w:t>At the</w:t>
      </w:r>
      <w:r>
        <w:t xml:space="preserve"> same meeting, the </w:t>
      </w:r>
      <w:r w:rsidRPr="00EC1B34">
        <w:t xml:space="preserve">PBAC requested </w:t>
      </w:r>
      <w:r>
        <w:t>a</w:t>
      </w:r>
      <w:r w:rsidRPr="00EC1B34">
        <w:t xml:space="preserve"> </w:t>
      </w:r>
      <w:r w:rsidR="00F74023" w:rsidRPr="00EC1B34">
        <w:t>24</w:t>
      </w:r>
      <w:r w:rsidR="00F74023">
        <w:t>-</w:t>
      </w:r>
      <w:r w:rsidRPr="00EC1B34">
        <w:t>month D</w:t>
      </w:r>
      <w:r w:rsidR="00455F17">
        <w:t xml:space="preserve">rug </w:t>
      </w:r>
      <w:r w:rsidRPr="00EC1B34">
        <w:t>U</w:t>
      </w:r>
      <w:r w:rsidR="00455F17">
        <w:t xml:space="preserve">tilisation </w:t>
      </w:r>
      <w:r w:rsidRPr="00EC1B34">
        <w:t>S</w:t>
      </w:r>
      <w:r w:rsidR="00455F17">
        <w:t xml:space="preserve">ub </w:t>
      </w:r>
      <w:r w:rsidRPr="00EC1B34">
        <w:t>C</w:t>
      </w:r>
      <w:r w:rsidR="00455F17">
        <w:t>ommittee (DUSC)</w:t>
      </w:r>
      <w:r w:rsidRPr="00EC1B34">
        <w:t xml:space="preserve"> utilisation review</w:t>
      </w:r>
      <w:r>
        <w:t xml:space="preserve"> on the usage of</w:t>
      </w:r>
      <w:r w:rsidRPr="00B4291A">
        <w:t xml:space="preserve"> </w:t>
      </w:r>
      <w:r w:rsidR="00360EAA">
        <w:t>CBF</w:t>
      </w:r>
      <w:r>
        <w:t>,</w:t>
      </w:r>
      <w:r w:rsidRPr="00EC1B34">
        <w:t xml:space="preserve"> includ</w:t>
      </w:r>
      <w:r>
        <w:t>ing</w:t>
      </w:r>
      <w:r w:rsidRPr="00EC1B34">
        <w:t xml:space="preserve"> a comparison of the predicted and actual number of packs per service</w:t>
      </w:r>
      <w:r>
        <w:t xml:space="preserve"> (paragraph 7.9, </w:t>
      </w:r>
      <w:r w:rsidR="00A566CF">
        <w:t xml:space="preserve">calcipotriol with betamethasone, </w:t>
      </w:r>
      <w:r>
        <w:t>November 2016 PSD)</w:t>
      </w:r>
      <w:r w:rsidRPr="00EC1B34">
        <w:t>.</w:t>
      </w:r>
    </w:p>
    <w:p w14:paraId="729DC7CD" w14:textId="68CFA3E3" w:rsidR="00747667" w:rsidRPr="00747667" w:rsidRDefault="00747667" w:rsidP="00F10F80">
      <w:pPr>
        <w:widowControl w:val="0"/>
        <w:numPr>
          <w:ilvl w:val="1"/>
          <w:numId w:val="2"/>
        </w:numPr>
        <w:spacing w:after="120"/>
        <w:rPr>
          <w:rFonts w:cs="Calibri"/>
          <w:bCs/>
          <w:snapToGrid w:val="0"/>
        </w:rPr>
      </w:pPr>
      <w:r w:rsidRPr="00747667">
        <w:rPr>
          <w:color w:val="000000"/>
          <w:w w:val="61"/>
          <w:shd w:val="solid" w:color="000000" w:fill="000000"/>
          <w:fitText w:val="475" w:id="-1167916032"/>
          <w14:textFill>
            <w14:solidFill>
              <w14:srgbClr w14:val="000000">
                <w14:alpha w14:val="100000"/>
              </w14:srgbClr>
            </w14:solidFill>
          </w14:textFill>
        </w:rPr>
        <w:t>|||  ||</w:t>
      </w:r>
      <w:r w:rsidRPr="00747667">
        <w:rPr>
          <w:color w:val="000000"/>
          <w:spacing w:val="5"/>
          <w:w w:val="61"/>
          <w:shd w:val="solid" w:color="000000" w:fill="000000"/>
          <w:fitText w:val="475" w:id="-1167916032"/>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31"/>
          <w14:textFill>
            <w14:solidFill>
              <w14:srgbClr w14:val="000000">
                <w14:alpha w14:val="100000"/>
              </w14:srgbClr>
            </w14:solidFill>
          </w14:textFill>
        </w:rPr>
        <w:t>|||  ||</w:t>
      </w:r>
      <w:r w:rsidRPr="00747667">
        <w:rPr>
          <w:color w:val="000000"/>
          <w:spacing w:val="5"/>
          <w:w w:val="61"/>
          <w:shd w:val="solid" w:color="000000" w:fill="000000"/>
          <w:fitText w:val="475" w:id="-1167916031"/>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30"/>
          <w14:textFill>
            <w14:solidFill>
              <w14:srgbClr w14:val="000000">
                <w14:alpha w14:val="100000"/>
              </w14:srgbClr>
            </w14:solidFill>
          </w14:textFill>
        </w:rPr>
        <w:t>|||  ||</w:t>
      </w:r>
      <w:r w:rsidRPr="00747667">
        <w:rPr>
          <w:color w:val="000000"/>
          <w:spacing w:val="5"/>
          <w:w w:val="61"/>
          <w:shd w:val="solid" w:color="000000" w:fill="000000"/>
          <w:fitText w:val="475" w:id="-1167916030"/>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9"/>
          <w14:textFill>
            <w14:solidFill>
              <w14:srgbClr w14:val="000000">
                <w14:alpha w14:val="100000"/>
              </w14:srgbClr>
            </w14:solidFill>
          </w14:textFill>
        </w:rPr>
        <w:t>|||  ||</w:t>
      </w:r>
      <w:r w:rsidRPr="00747667">
        <w:rPr>
          <w:color w:val="000000"/>
          <w:spacing w:val="5"/>
          <w:w w:val="61"/>
          <w:shd w:val="solid" w:color="000000" w:fill="000000"/>
          <w:fitText w:val="475" w:id="-1167916029"/>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8"/>
          <w14:textFill>
            <w14:solidFill>
              <w14:srgbClr w14:val="000000">
                <w14:alpha w14:val="100000"/>
              </w14:srgbClr>
            </w14:solidFill>
          </w14:textFill>
        </w:rPr>
        <w:t>|||  ||</w:t>
      </w:r>
      <w:r w:rsidRPr="00747667">
        <w:rPr>
          <w:color w:val="000000"/>
          <w:spacing w:val="5"/>
          <w:w w:val="61"/>
          <w:shd w:val="solid" w:color="000000" w:fill="000000"/>
          <w:fitText w:val="475" w:id="-1167916028"/>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7"/>
          <w14:textFill>
            <w14:solidFill>
              <w14:srgbClr w14:val="000000">
                <w14:alpha w14:val="100000"/>
              </w14:srgbClr>
            </w14:solidFill>
          </w14:textFill>
        </w:rPr>
        <w:t>|||  ||</w:t>
      </w:r>
      <w:r w:rsidRPr="00747667">
        <w:rPr>
          <w:color w:val="000000"/>
          <w:spacing w:val="5"/>
          <w:w w:val="61"/>
          <w:shd w:val="solid" w:color="000000" w:fill="000000"/>
          <w:fitText w:val="475" w:id="-1167916027"/>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6"/>
          <w14:textFill>
            <w14:solidFill>
              <w14:srgbClr w14:val="000000">
                <w14:alpha w14:val="100000"/>
              </w14:srgbClr>
            </w14:solidFill>
          </w14:textFill>
        </w:rPr>
        <w:t>|||  ||</w:t>
      </w:r>
      <w:r w:rsidRPr="00747667">
        <w:rPr>
          <w:color w:val="000000"/>
          <w:spacing w:val="5"/>
          <w:w w:val="61"/>
          <w:shd w:val="solid" w:color="000000" w:fill="000000"/>
          <w:fitText w:val="475" w:id="-1167916026"/>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5"/>
          <w14:textFill>
            <w14:solidFill>
              <w14:srgbClr w14:val="000000">
                <w14:alpha w14:val="100000"/>
              </w14:srgbClr>
            </w14:solidFill>
          </w14:textFill>
        </w:rPr>
        <w:t>|||  ||</w:t>
      </w:r>
      <w:r w:rsidRPr="00747667">
        <w:rPr>
          <w:color w:val="000000"/>
          <w:spacing w:val="5"/>
          <w:w w:val="61"/>
          <w:shd w:val="solid" w:color="000000" w:fill="000000"/>
          <w:fitText w:val="475" w:id="-1167916025"/>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4"/>
          <w14:textFill>
            <w14:solidFill>
              <w14:srgbClr w14:val="000000">
                <w14:alpha w14:val="100000"/>
              </w14:srgbClr>
            </w14:solidFill>
          </w14:textFill>
        </w:rPr>
        <w:t>|||  ||</w:t>
      </w:r>
      <w:r w:rsidRPr="00747667">
        <w:rPr>
          <w:color w:val="000000"/>
          <w:spacing w:val="5"/>
          <w:w w:val="61"/>
          <w:shd w:val="solid" w:color="000000" w:fill="000000"/>
          <w:fitText w:val="475" w:id="-1167916024"/>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3"/>
          <w14:textFill>
            <w14:solidFill>
              <w14:srgbClr w14:val="000000">
                <w14:alpha w14:val="100000"/>
              </w14:srgbClr>
            </w14:solidFill>
          </w14:textFill>
        </w:rPr>
        <w:t>|||  ||</w:t>
      </w:r>
      <w:r w:rsidRPr="00747667">
        <w:rPr>
          <w:color w:val="000000"/>
          <w:spacing w:val="5"/>
          <w:w w:val="61"/>
          <w:shd w:val="solid" w:color="000000" w:fill="000000"/>
          <w:fitText w:val="475" w:id="-1167916023"/>
          <w14:textFill>
            <w14:solidFill>
              <w14:srgbClr w14:val="000000">
                <w14:alpha w14:val="100000"/>
              </w14:srgbClr>
            </w14:solidFill>
          </w14:textFill>
        </w:rPr>
        <w:t>|</w:t>
      </w:r>
      <w:r w:rsidRPr="00747667">
        <w:t xml:space="preserve"> </w:t>
      </w:r>
      <w:r w:rsidRPr="00747667">
        <w:rPr>
          <w:color w:val="000000"/>
          <w:w w:val="59"/>
          <w:shd w:val="solid" w:color="000000" w:fill="000000"/>
          <w:fitText w:val="460" w:id="-1167916022"/>
          <w14:textFill>
            <w14:solidFill>
              <w14:srgbClr w14:val="000000">
                <w14:alpha w14:val="100000"/>
              </w14:srgbClr>
            </w14:solidFill>
          </w14:textFill>
        </w:rPr>
        <w:t>|||  ||</w:t>
      </w:r>
      <w:r w:rsidRPr="00747667">
        <w:rPr>
          <w:color w:val="000000"/>
          <w:spacing w:val="5"/>
          <w:w w:val="59"/>
          <w:shd w:val="solid" w:color="000000" w:fill="000000"/>
          <w:fitText w:val="460" w:id="-1167916022"/>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1"/>
          <w14:textFill>
            <w14:solidFill>
              <w14:srgbClr w14:val="000000">
                <w14:alpha w14:val="100000"/>
              </w14:srgbClr>
            </w14:solidFill>
          </w14:textFill>
        </w:rPr>
        <w:t>|||  ||</w:t>
      </w:r>
      <w:r w:rsidRPr="00747667">
        <w:rPr>
          <w:color w:val="000000"/>
          <w:spacing w:val="5"/>
          <w:w w:val="61"/>
          <w:shd w:val="solid" w:color="000000" w:fill="000000"/>
          <w:fitText w:val="475" w:id="-1167916021"/>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20"/>
          <w14:textFill>
            <w14:solidFill>
              <w14:srgbClr w14:val="000000">
                <w14:alpha w14:val="100000"/>
              </w14:srgbClr>
            </w14:solidFill>
          </w14:textFill>
        </w:rPr>
        <w:t>|||  ||</w:t>
      </w:r>
      <w:r w:rsidRPr="00747667">
        <w:rPr>
          <w:color w:val="000000"/>
          <w:spacing w:val="5"/>
          <w:w w:val="61"/>
          <w:shd w:val="solid" w:color="000000" w:fill="000000"/>
          <w:fitText w:val="475" w:id="-1167916020"/>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19"/>
          <w14:textFill>
            <w14:solidFill>
              <w14:srgbClr w14:val="000000">
                <w14:alpha w14:val="100000"/>
              </w14:srgbClr>
            </w14:solidFill>
          </w14:textFill>
        </w:rPr>
        <w:t>|||  ||</w:t>
      </w:r>
      <w:r w:rsidRPr="00747667">
        <w:rPr>
          <w:color w:val="000000"/>
          <w:spacing w:val="5"/>
          <w:w w:val="61"/>
          <w:shd w:val="solid" w:color="000000" w:fill="000000"/>
          <w:fitText w:val="475" w:id="-1167916019"/>
          <w14:textFill>
            <w14:solidFill>
              <w14:srgbClr w14:val="000000">
                <w14:alpha w14:val="100000"/>
              </w14:srgbClr>
            </w14:solidFill>
          </w14:textFill>
        </w:rPr>
        <w:t>|</w:t>
      </w:r>
      <w:r w:rsidRPr="00747667">
        <w:t xml:space="preserve"> </w:t>
      </w:r>
      <w:r w:rsidRPr="00747667">
        <w:rPr>
          <w:color w:val="000000"/>
          <w:w w:val="61"/>
          <w:shd w:val="solid" w:color="000000" w:fill="000000"/>
          <w:fitText w:val="475" w:id="-1167916018"/>
          <w14:textFill>
            <w14:solidFill>
              <w14:srgbClr w14:val="000000">
                <w14:alpha w14:val="100000"/>
              </w14:srgbClr>
            </w14:solidFill>
          </w14:textFill>
        </w:rPr>
        <w:t>|||  ||</w:t>
      </w:r>
      <w:r w:rsidRPr="00747667">
        <w:rPr>
          <w:color w:val="000000"/>
          <w:spacing w:val="5"/>
          <w:w w:val="61"/>
          <w:shd w:val="solid" w:color="000000" w:fill="000000"/>
          <w:fitText w:val="475" w:id="-116791601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7"/>
          <w14:textFill>
            <w14:solidFill>
              <w14:srgbClr w14:val="000000">
                <w14:alpha w14:val="100000"/>
              </w14:srgbClr>
            </w14:solidFill>
          </w14:textFill>
        </w:rPr>
        <w:t xml:space="preserve">|  </w:t>
      </w:r>
      <w:r w:rsidRPr="0003606F">
        <w:rPr>
          <w:color w:val="000000"/>
          <w:spacing w:val="-69"/>
          <w:w w:val="15"/>
          <w:shd w:val="solid" w:color="000000" w:fill="000000"/>
          <w:fitText w:val="-20" w:id="-116791601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6"/>
          <w14:textFill>
            <w14:solidFill>
              <w14:srgbClr w14:val="000000">
                <w14:alpha w14:val="100000"/>
              </w14:srgbClr>
            </w14:solidFill>
          </w14:textFill>
        </w:rPr>
        <w:t xml:space="preserve">|  </w:t>
      </w:r>
      <w:r w:rsidRPr="0003606F">
        <w:rPr>
          <w:color w:val="000000"/>
          <w:spacing w:val="-69"/>
          <w:w w:val="15"/>
          <w:shd w:val="solid" w:color="000000" w:fill="000000"/>
          <w:fitText w:val="-20" w:id="-116791601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2"/>
          <w14:textFill>
            <w14:solidFill>
              <w14:srgbClr w14:val="000000">
                <w14:alpha w14:val="100000"/>
              </w14:srgbClr>
            </w14:solidFill>
          </w14:textFill>
        </w:rPr>
        <w:t xml:space="preserve">|  </w:t>
      </w:r>
      <w:r w:rsidRPr="0003606F">
        <w:rPr>
          <w:color w:val="000000"/>
          <w:spacing w:val="-69"/>
          <w:w w:val="15"/>
          <w:shd w:val="solid" w:color="000000" w:fill="000000"/>
          <w:fitText w:val="-20" w:id="-116791603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1"/>
          <w14:textFill>
            <w14:solidFill>
              <w14:srgbClr w14:val="000000">
                <w14:alpha w14:val="100000"/>
              </w14:srgbClr>
            </w14:solidFill>
          </w14:textFill>
        </w:rPr>
        <w:t xml:space="preserve">|  </w:t>
      </w:r>
      <w:r w:rsidRPr="0003606F">
        <w:rPr>
          <w:color w:val="000000"/>
          <w:spacing w:val="-69"/>
          <w:w w:val="15"/>
          <w:shd w:val="solid" w:color="000000" w:fill="000000"/>
          <w:fitText w:val="-20" w:id="-116791603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0"/>
          <w14:textFill>
            <w14:solidFill>
              <w14:srgbClr w14:val="000000">
                <w14:alpha w14:val="100000"/>
              </w14:srgbClr>
            </w14:solidFill>
          </w14:textFill>
        </w:rPr>
        <w:t xml:space="preserve">|  </w:t>
      </w:r>
      <w:r w:rsidRPr="0003606F">
        <w:rPr>
          <w:color w:val="000000"/>
          <w:spacing w:val="-69"/>
          <w:w w:val="15"/>
          <w:shd w:val="solid" w:color="000000" w:fill="000000"/>
          <w:fitText w:val="-20" w:id="-116791603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9"/>
          <w14:textFill>
            <w14:solidFill>
              <w14:srgbClr w14:val="000000">
                <w14:alpha w14:val="100000"/>
              </w14:srgbClr>
            </w14:solidFill>
          </w14:textFill>
        </w:rPr>
        <w:t xml:space="preserve">|  </w:t>
      </w:r>
      <w:r w:rsidRPr="0003606F">
        <w:rPr>
          <w:color w:val="000000"/>
          <w:spacing w:val="-69"/>
          <w:w w:val="15"/>
          <w:shd w:val="solid" w:color="000000" w:fill="000000"/>
          <w:fitText w:val="-20" w:id="-116791602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8"/>
          <w14:textFill>
            <w14:solidFill>
              <w14:srgbClr w14:val="000000">
                <w14:alpha w14:val="100000"/>
              </w14:srgbClr>
            </w14:solidFill>
          </w14:textFill>
        </w:rPr>
        <w:t xml:space="preserve">|  </w:t>
      </w:r>
      <w:r w:rsidRPr="0003606F">
        <w:rPr>
          <w:color w:val="000000"/>
          <w:spacing w:val="-69"/>
          <w:w w:val="15"/>
          <w:shd w:val="solid" w:color="000000" w:fill="000000"/>
          <w:fitText w:val="-20" w:id="-116791602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7"/>
          <w14:textFill>
            <w14:solidFill>
              <w14:srgbClr w14:val="000000">
                <w14:alpha w14:val="100000"/>
              </w14:srgbClr>
            </w14:solidFill>
          </w14:textFill>
        </w:rPr>
        <w:t xml:space="preserve">|  </w:t>
      </w:r>
      <w:r w:rsidRPr="0003606F">
        <w:rPr>
          <w:color w:val="000000"/>
          <w:spacing w:val="-69"/>
          <w:w w:val="15"/>
          <w:shd w:val="solid" w:color="000000" w:fill="000000"/>
          <w:fitText w:val="-20" w:id="-116791602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6"/>
          <w14:textFill>
            <w14:solidFill>
              <w14:srgbClr w14:val="000000">
                <w14:alpha w14:val="100000"/>
              </w14:srgbClr>
            </w14:solidFill>
          </w14:textFill>
        </w:rPr>
        <w:t xml:space="preserve">|  </w:t>
      </w:r>
      <w:r w:rsidRPr="0003606F">
        <w:rPr>
          <w:color w:val="000000"/>
          <w:spacing w:val="-69"/>
          <w:w w:val="15"/>
          <w:shd w:val="solid" w:color="000000" w:fill="000000"/>
          <w:fitText w:val="-20" w:id="-116791602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5"/>
          <w14:textFill>
            <w14:solidFill>
              <w14:srgbClr w14:val="000000">
                <w14:alpha w14:val="100000"/>
              </w14:srgbClr>
            </w14:solidFill>
          </w14:textFill>
        </w:rPr>
        <w:t xml:space="preserve">|  </w:t>
      </w:r>
      <w:r w:rsidRPr="0003606F">
        <w:rPr>
          <w:color w:val="000000"/>
          <w:spacing w:val="-69"/>
          <w:w w:val="15"/>
          <w:shd w:val="solid" w:color="000000" w:fill="000000"/>
          <w:fitText w:val="-20" w:id="-1167916025"/>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4"/>
          <w14:textFill>
            <w14:solidFill>
              <w14:srgbClr w14:val="000000">
                <w14:alpha w14:val="100000"/>
              </w14:srgbClr>
            </w14:solidFill>
          </w14:textFill>
        </w:rPr>
        <w:t xml:space="preserve">|  </w:t>
      </w:r>
      <w:r w:rsidRPr="0003606F">
        <w:rPr>
          <w:color w:val="000000"/>
          <w:spacing w:val="-69"/>
          <w:w w:val="15"/>
          <w:shd w:val="solid" w:color="000000" w:fill="000000"/>
          <w:fitText w:val="-20" w:id="-1167916024"/>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3"/>
          <w14:textFill>
            <w14:solidFill>
              <w14:srgbClr w14:val="000000">
                <w14:alpha w14:val="100000"/>
              </w14:srgbClr>
            </w14:solidFill>
          </w14:textFill>
        </w:rPr>
        <w:t xml:space="preserve">|  </w:t>
      </w:r>
      <w:r w:rsidRPr="0003606F">
        <w:rPr>
          <w:color w:val="000000"/>
          <w:spacing w:val="-69"/>
          <w:w w:val="15"/>
          <w:shd w:val="solid" w:color="000000" w:fill="000000"/>
          <w:fitText w:val="-20" w:id="-1167916023"/>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2"/>
          <w14:textFill>
            <w14:solidFill>
              <w14:srgbClr w14:val="000000">
                <w14:alpha w14:val="100000"/>
              </w14:srgbClr>
            </w14:solidFill>
          </w14:textFill>
        </w:rPr>
        <w:t xml:space="preserve">|  </w:t>
      </w:r>
      <w:r w:rsidRPr="0003606F">
        <w:rPr>
          <w:color w:val="000000"/>
          <w:spacing w:val="-69"/>
          <w:w w:val="15"/>
          <w:shd w:val="solid" w:color="000000" w:fill="000000"/>
          <w:fitText w:val="-20" w:id="-116791602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1"/>
          <w14:textFill>
            <w14:solidFill>
              <w14:srgbClr w14:val="000000">
                <w14:alpha w14:val="100000"/>
              </w14:srgbClr>
            </w14:solidFill>
          </w14:textFill>
        </w:rPr>
        <w:t xml:space="preserve">|  </w:t>
      </w:r>
      <w:r w:rsidRPr="0003606F">
        <w:rPr>
          <w:color w:val="000000"/>
          <w:spacing w:val="-69"/>
          <w:w w:val="15"/>
          <w:shd w:val="solid" w:color="000000" w:fill="000000"/>
          <w:fitText w:val="-20" w:id="-116791602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0"/>
          <w14:textFill>
            <w14:solidFill>
              <w14:srgbClr w14:val="000000">
                <w14:alpha w14:val="100000"/>
              </w14:srgbClr>
            </w14:solidFill>
          </w14:textFill>
        </w:rPr>
        <w:t xml:space="preserve">|  </w:t>
      </w:r>
      <w:r w:rsidRPr="0003606F">
        <w:rPr>
          <w:color w:val="000000"/>
          <w:spacing w:val="-69"/>
          <w:w w:val="15"/>
          <w:shd w:val="solid" w:color="000000" w:fill="000000"/>
          <w:fitText w:val="-20" w:id="-116791602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9"/>
          <w14:textFill>
            <w14:solidFill>
              <w14:srgbClr w14:val="000000">
                <w14:alpha w14:val="100000"/>
              </w14:srgbClr>
            </w14:solidFill>
          </w14:textFill>
        </w:rPr>
        <w:t xml:space="preserve">|  </w:t>
      </w:r>
      <w:r w:rsidRPr="0003606F">
        <w:rPr>
          <w:color w:val="000000"/>
          <w:spacing w:val="-69"/>
          <w:w w:val="15"/>
          <w:shd w:val="solid" w:color="000000" w:fill="000000"/>
          <w:fitText w:val="-20" w:id="-116791601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8"/>
          <w14:textFill>
            <w14:solidFill>
              <w14:srgbClr w14:val="000000">
                <w14:alpha w14:val="100000"/>
              </w14:srgbClr>
            </w14:solidFill>
          </w14:textFill>
        </w:rPr>
        <w:t xml:space="preserve">|  </w:t>
      </w:r>
      <w:r w:rsidRPr="0003606F">
        <w:rPr>
          <w:color w:val="000000"/>
          <w:spacing w:val="-69"/>
          <w:w w:val="15"/>
          <w:shd w:val="solid" w:color="000000" w:fill="000000"/>
          <w:fitText w:val="-20" w:id="-116791601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7"/>
          <w14:textFill>
            <w14:solidFill>
              <w14:srgbClr w14:val="000000">
                <w14:alpha w14:val="100000"/>
              </w14:srgbClr>
            </w14:solidFill>
          </w14:textFill>
        </w:rPr>
        <w:t xml:space="preserve">|  </w:t>
      </w:r>
      <w:r w:rsidRPr="0003606F">
        <w:rPr>
          <w:color w:val="000000"/>
          <w:spacing w:val="-69"/>
          <w:w w:val="15"/>
          <w:shd w:val="solid" w:color="000000" w:fill="000000"/>
          <w:fitText w:val="-20" w:id="-116791601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6"/>
          <w14:textFill>
            <w14:solidFill>
              <w14:srgbClr w14:val="000000">
                <w14:alpha w14:val="100000"/>
              </w14:srgbClr>
            </w14:solidFill>
          </w14:textFill>
        </w:rPr>
        <w:t xml:space="preserve">|  </w:t>
      </w:r>
      <w:r w:rsidRPr="0003606F">
        <w:rPr>
          <w:color w:val="000000"/>
          <w:spacing w:val="-69"/>
          <w:w w:val="15"/>
          <w:shd w:val="solid" w:color="000000" w:fill="000000"/>
          <w:fitText w:val="-20" w:id="-116791601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2"/>
          <w14:textFill>
            <w14:solidFill>
              <w14:srgbClr w14:val="000000">
                <w14:alpha w14:val="100000"/>
              </w14:srgbClr>
            </w14:solidFill>
          </w14:textFill>
        </w:rPr>
        <w:t xml:space="preserve">|  </w:t>
      </w:r>
      <w:r w:rsidRPr="0003606F">
        <w:rPr>
          <w:color w:val="000000"/>
          <w:spacing w:val="-69"/>
          <w:w w:val="15"/>
          <w:shd w:val="solid" w:color="000000" w:fill="000000"/>
          <w:fitText w:val="-20" w:id="-116791603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1"/>
          <w14:textFill>
            <w14:solidFill>
              <w14:srgbClr w14:val="000000">
                <w14:alpha w14:val="100000"/>
              </w14:srgbClr>
            </w14:solidFill>
          </w14:textFill>
        </w:rPr>
        <w:t xml:space="preserve">|  </w:t>
      </w:r>
      <w:r w:rsidRPr="0003606F">
        <w:rPr>
          <w:color w:val="000000"/>
          <w:spacing w:val="-69"/>
          <w:w w:val="15"/>
          <w:shd w:val="solid" w:color="000000" w:fill="000000"/>
          <w:fitText w:val="-20" w:id="-116791603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0"/>
          <w14:textFill>
            <w14:solidFill>
              <w14:srgbClr w14:val="000000">
                <w14:alpha w14:val="100000"/>
              </w14:srgbClr>
            </w14:solidFill>
          </w14:textFill>
        </w:rPr>
        <w:t xml:space="preserve">|  </w:t>
      </w:r>
      <w:r w:rsidRPr="0003606F">
        <w:rPr>
          <w:color w:val="000000"/>
          <w:spacing w:val="-69"/>
          <w:w w:val="15"/>
          <w:shd w:val="solid" w:color="000000" w:fill="000000"/>
          <w:fitText w:val="-20" w:id="-116791603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9"/>
          <w14:textFill>
            <w14:solidFill>
              <w14:srgbClr w14:val="000000">
                <w14:alpha w14:val="100000"/>
              </w14:srgbClr>
            </w14:solidFill>
          </w14:textFill>
        </w:rPr>
        <w:t xml:space="preserve">|  </w:t>
      </w:r>
      <w:r w:rsidRPr="0003606F">
        <w:rPr>
          <w:color w:val="000000"/>
          <w:spacing w:val="-69"/>
          <w:w w:val="15"/>
          <w:shd w:val="solid" w:color="000000" w:fill="000000"/>
          <w:fitText w:val="-20" w:id="-116791602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8"/>
          <w14:textFill>
            <w14:solidFill>
              <w14:srgbClr w14:val="000000">
                <w14:alpha w14:val="100000"/>
              </w14:srgbClr>
            </w14:solidFill>
          </w14:textFill>
        </w:rPr>
        <w:t xml:space="preserve">|  </w:t>
      </w:r>
      <w:r w:rsidRPr="0003606F">
        <w:rPr>
          <w:color w:val="000000"/>
          <w:spacing w:val="-69"/>
          <w:w w:val="15"/>
          <w:shd w:val="solid" w:color="000000" w:fill="000000"/>
          <w:fitText w:val="-20" w:id="-116791602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7"/>
          <w14:textFill>
            <w14:solidFill>
              <w14:srgbClr w14:val="000000">
                <w14:alpha w14:val="100000"/>
              </w14:srgbClr>
            </w14:solidFill>
          </w14:textFill>
        </w:rPr>
        <w:t xml:space="preserve">|  </w:t>
      </w:r>
      <w:r w:rsidRPr="0003606F">
        <w:rPr>
          <w:color w:val="000000"/>
          <w:spacing w:val="-69"/>
          <w:w w:val="15"/>
          <w:shd w:val="solid" w:color="000000" w:fill="000000"/>
          <w:fitText w:val="-20" w:id="-116791602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6"/>
          <w14:textFill>
            <w14:solidFill>
              <w14:srgbClr w14:val="000000">
                <w14:alpha w14:val="100000"/>
              </w14:srgbClr>
            </w14:solidFill>
          </w14:textFill>
        </w:rPr>
        <w:t xml:space="preserve">|  </w:t>
      </w:r>
      <w:r w:rsidRPr="0003606F">
        <w:rPr>
          <w:color w:val="000000"/>
          <w:spacing w:val="-69"/>
          <w:w w:val="15"/>
          <w:shd w:val="solid" w:color="000000" w:fill="000000"/>
          <w:fitText w:val="-20" w:id="-116791602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5"/>
          <w14:textFill>
            <w14:solidFill>
              <w14:srgbClr w14:val="000000">
                <w14:alpha w14:val="100000"/>
              </w14:srgbClr>
            </w14:solidFill>
          </w14:textFill>
        </w:rPr>
        <w:t xml:space="preserve">|  </w:t>
      </w:r>
      <w:r w:rsidRPr="0003606F">
        <w:rPr>
          <w:color w:val="000000"/>
          <w:spacing w:val="-69"/>
          <w:w w:val="15"/>
          <w:shd w:val="solid" w:color="000000" w:fill="000000"/>
          <w:fitText w:val="-20" w:id="-1167916025"/>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4"/>
          <w14:textFill>
            <w14:solidFill>
              <w14:srgbClr w14:val="000000">
                <w14:alpha w14:val="100000"/>
              </w14:srgbClr>
            </w14:solidFill>
          </w14:textFill>
        </w:rPr>
        <w:t xml:space="preserve">|  </w:t>
      </w:r>
      <w:r w:rsidRPr="0003606F">
        <w:rPr>
          <w:color w:val="000000"/>
          <w:spacing w:val="-69"/>
          <w:w w:val="15"/>
          <w:shd w:val="solid" w:color="000000" w:fill="000000"/>
          <w:fitText w:val="-20" w:id="-1167916024"/>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3"/>
          <w14:textFill>
            <w14:solidFill>
              <w14:srgbClr w14:val="000000">
                <w14:alpha w14:val="100000"/>
              </w14:srgbClr>
            </w14:solidFill>
          </w14:textFill>
        </w:rPr>
        <w:t xml:space="preserve">|  </w:t>
      </w:r>
      <w:r w:rsidRPr="0003606F">
        <w:rPr>
          <w:color w:val="000000"/>
          <w:spacing w:val="-69"/>
          <w:w w:val="15"/>
          <w:shd w:val="solid" w:color="000000" w:fill="000000"/>
          <w:fitText w:val="-20" w:id="-1167916023"/>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2"/>
          <w14:textFill>
            <w14:solidFill>
              <w14:srgbClr w14:val="000000">
                <w14:alpha w14:val="100000"/>
              </w14:srgbClr>
            </w14:solidFill>
          </w14:textFill>
        </w:rPr>
        <w:t xml:space="preserve">|  </w:t>
      </w:r>
      <w:r w:rsidRPr="0003606F">
        <w:rPr>
          <w:color w:val="000000"/>
          <w:spacing w:val="-69"/>
          <w:w w:val="15"/>
          <w:shd w:val="solid" w:color="000000" w:fill="000000"/>
          <w:fitText w:val="-20" w:id="-116791602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1"/>
          <w14:textFill>
            <w14:solidFill>
              <w14:srgbClr w14:val="000000">
                <w14:alpha w14:val="100000"/>
              </w14:srgbClr>
            </w14:solidFill>
          </w14:textFill>
        </w:rPr>
        <w:t xml:space="preserve">|  </w:t>
      </w:r>
      <w:r w:rsidRPr="0003606F">
        <w:rPr>
          <w:color w:val="000000"/>
          <w:spacing w:val="-69"/>
          <w:w w:val="15"/>
          <w:shd w:val="solid" w:color="000000" w:fill="000000"/>
          <w:fitText w:val="-20" w:id="-116791602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0"/>
          <w14:textFill>
            <w14:solidFill>
              <w14:srgbClr w14:val="000000">
                <w14:alpha w14:val="100000"/>
              </w14:srgbClr>
            </w14:solidFill>
          </w14:textFill>
        </w:rPr>
        <w:t xml:space="preserve">|  </w:t>
      </w:r>
      <w:r w:rsidRPr="0003606F">
        <w:rPr>
          <w:color w:val="000000"/>
          <w:spacing w:val="-69"/>
          <w:w w:val="15"/>
          <w:shd w:val="solid" w:color="000000" w:fill="000000"/>
          <w:fitText w:val="-20" w:id="-116791602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9"/>
          <w14:textFill>
            <w14:solidFill>
              <w14:srgbClr w14:val="000000">
                <w14:alpha w14:val="100000"/>
              </w14:srgbClr>
            </w14:solidFill>
          </w14:textFill>
        </w:rPr>
        <w:t xml:space="preserve">|  </w:t>
      </w:r>
      <w:r w:rsidRPr="0003606F">
        <w:rPr>
          <w:color w:val="000000"/>
          <w:spacing w:val="-69"/>
          <w:w w:val="15"/>
          <w:shd w:val="solid" w:color="000000" w:fill="000000"/>
          <w:fitText w:val="-20" w:id="-116791601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8"/>
          <w14:textFill>
            <w14:solidFill>
              <w14:srgbClr w14:val="000000">
                <w14:alpha w14:val="100000"/>
              </w14:srgbClr>
            </w14:solidFill>
          </w14:textFill>
        </w:rPr>
        <w:t xml:space="preserve">|  </w:t>
      </w:r>
      <w:r w:rsidRPr="0003606F">
        <w:rPr>
          <w:color w:val="000000"/>
          <w:spacing w:val="-69"/>
          <w:w w:val="15"/>
          <w:shd w:val="solid" w:color="000000" w:fill="000000"/>
          <w:fitText w:val="-20" w:id="-116791601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7"/>
          <w14:textFill>
            <w14:solidFill>
              <w14:srgbClr w14:val="000000">
                <w14:alpha w14:val="100000"/>
              </w14:srgbClr>
            </w14:solidFill>
          </w14:textFill>
        </w:rPr>
        <w:t xml:space="preserve">|  </w:t>
      </w:r>
      <w:r w:rsidRPr="0003606F">
        <w:rPr>
          <w:color w:val="000000"/>
          <w:spacing w:val="-69"/>
          <w:w w:val="15"/>
          <w:shd w:val="solid" w:color="000000" w:fill="000000"/>
          <w:fitText w:val="-20" w:id="-116791601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6"/>
          <w14:textFill>
            <w14:solidFill>
              <w14:srgbClr w14:val="000000">
                <w14:alpha w14:val="100000"/>
              </w14:srgbClr>
            </w14:solidFill>
          </w14:textFill>
        </w:rPr>
        <w:t xml:space="preserve">|  </w:t>
      </w:r>
      <w:r w:rsidRPr="0003606F">
        <w:rPr>
          <w:color w:val="000000"/>
          <w:spacing w:val="-69"/>
          <w:w w:val="15"/>
          <w:shd w:val="solid" w:color="000000" w:fill="000000"/>
          <w:fitText w:val="-20" w:id="-116791601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2"/>
          <w14:textFill>
            <w14:solidFill>
              <w14:srgbClr w14:val="000000">
                <w14:alpha w14:val="100000"/>
              </w14:srgbClr>
            </w14:solidFill>
          </w14:textFill>
        </w:rPr>
        <w:t xml:space="preserve">|  </w:t>
      </w:r>
      <w:r w:rsidRPr="0003606F">
        <w:rPr>
          <w:color w:val="000000"/>
          <w:spacing w:val="-69"/>
          <w:w w:val="15"/>
          <w:shd w:val="solid" w:color="000000" w:fill="000000"/>
          <w:fitText w:val="-20" w:id="-116791603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1"/>
          <w14:textFill>
            <w14:solidFill>
              <w14:srgbClr w14:val="000000">
                <w14:alpha w14:val="100000"/>
              </w14:srgbClr>
            </w14:solidFill>
          </w14:textFill>
        </w:rPr>
        <w:t xml:space="preserve">|  </w:t>
      </w:r>
      <w:r w:rsidRPr="0003606F">
        <w:rPr>
          <w:color w:val="000000"/>
          <w:spacing w:val="-69"/>
          <w:w w:val="15"/>
          <w:shd w:val="solid" w:color="000000" w:fill="000000"/>
          <w:fitText w:val="-20" w:id="-116791603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0"/>
          <w14:textFill>
            <w14:solidFill>
              <w14:srgbClr w14:val="000000">
                <w14:alpha w14:val="100000"/>
              </w14:srgbClr>
            </w14:solidFill>
          </w14:textFill>
        </w:rPr>
        <w:t xml:space="preserve">|  </w:t>
      </w:r>
      <w:r w:rsidRPr="0003606F">
        <w:rPr>
          <w:color w:val="000000"/>
          <w:spacing w:val="-69"/>
          <w:w w:val="15"/>
          <w:shd w:val="solid" w:color="000000" w:fill="000000"/>
          <w:fitText w:val="-20" w:id="-116791603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9"/>
          <w14:textFill>
            <w14:solidFill>
              <w14:srgbClr w14:val="000000">
                <w14:alpha w14:val="100000"/>
              </w14:srgbClr>
            </w14:solidFill>
          </w14:textFill>
        </w:rPr>
        <w:t xml:space="preserve">|  </w:t>
      </w:r>
      <w:r w:rsidRPr="0003606F">
        <w:rPr>
          <w:color w:val="000000"/>
          <w:spacing w:val="-69"/>
          <w:w w:val="15"/>
          <w:shd w:val="solid" w:color="000000" w:fill="000000"/>
          <w:fitText w:val="-20" w:id="-116791602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8"/>
          <w14:textFill>
            <w14:solidFill>
              <w14:srgbClr w14:val="000000">
                <w14:alpha w14:val="100000"/>
              </w14:srgbClr>
            </w14:solidFill>
          </w14:textFill>
        </w:rPr>
        <w:t xml:space="preserve">|  </w:t>
      </w:r>
      <w:r w:rsidRPr="0003606F">
        <w:rPr>
          <w:color w:val="000000"/>
          <w:spacing w:val="-69"/>
          <w:w w:val="15"/>
          <w:shd w:val="solid" w:color="000000" w:fill="000000"/>
          <w:fitText w:val="-20" w:id="-116791602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7"/>
          <w14:textFill>
            <w14:solidFill>
              <w14:srgbClr w14:val="000000">
                <w14:alpha w14:val="100000"/>
              </w14:srgbClr>
            </w14:solidFill>
          </w14:textFill>
        </w:rPr>
        <w:t xml:space="preserve">|  </w:t>
      </w:r>
      <w:r w:rsidRPr="0003606F">
        <w:rPr>
          <w:color w:val="000000"/>
          <w:spacing w:val="-69"/>
          <w:w w:val="15"/>
          <w:shd w:val="solid" w:color="000000" w:fill="000000"/>
          <w:fitText w:val="-20" w:id="-116791602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6"/>
          <w14:textFill>
            <w14:solidFill>
              <w14:srgbClr w14:val="000000">
                <w14:alpha w14:val="100000"/>
              </w14:srgbClr>
            </w14:solidFill>
          </w14:textFill>
        </w:rPr>
        <w:t xml:space="preserve">|  </w:t>
      </w:r>
      <w:r w:rsidRPr="0003606F">
        <w:rPr>
          <w:color w:val="000000"/>
          <w:spacing w:val="-69"/>
          <w:w w:val="15"/>
          <w:shd w:val="solid" w:color="000000" w:fill="000000"/>
          <w:fitText w:val="-20" w:id="-116791602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5"/>
          <w14:textFill>
            <w14:solidFill>
              <w14:srgbClr w14:val="000000">
                <w14:alpha w14:val="100000"/>
              </w14:srgbClr>
            </w14:solidFill>
          </w14:textFill>
        </w:rPr>
        <w:t xml:space="preserve">|  </w:t>
      </w:r>
      <w:r w:rsidRPr="0003606F">
        <w:rPr>
          <w:color w:val="000000"/>
          <w:spacing w:val="-69"/>
          <w:w w:val="15"/>
          <w:shd w:val="solid" w:color="000000" w:fill="000000"/>
          <w:fitText w:val="-20" w:id="-1167916025"/>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4"/>
          <w14:textFill>
            <w14:solidFill>
              <w14:srgbClr w14:val="000000">
                <w14:alpha w14:val="100000"/>
              </w14:srgbClr>
            </w14:solidFill>
          </w14:textFill>
        </w:rPr>
        <w:t xml:space="preserve">|  </w:t>
      </w:r>
      <w:r w:rsidRPr="0003606F">
        <w:rPr>
          <w:color w:val="000000"/>
          <w:spacing w:val="-69"/>
          <w:w w:val="15"/>
          <w:shd w:val="solid" w:color="000000" w:fill="000000"/>
          <w:fitText w:val="-20" w:id="-1167916024"/>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3"/>
          <w14:textFill>
            <w14:solidFill>
              <w14:srgbClr w14:val="000000">
                <w14:alpha w14:val="100000"/>
              </w14:srgbClr>
            </w14:solidFill>
          </w14:textFill>
        </w:rPr>
        <w:t xml:space="preserve">|  </w:t>
      </w:r>
      <w:r w:rsidRPr="0003606F">
        <w:rPr>
          <w:color w:val="000000"/>
          <w:spacing w:val="-69"/>
          <w:w w:val="15"/>
          <w:shd w:val="solid" w:color="000000" w:fill="000000"/>
          <w:fitText w:val="-20" w:id="-1167916023"/>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2"/>
          <w14:textFill>
            <w14:solidFill>
              <w14:srgbClr w14:val="000000">
                <w14:alpha w14:val="100000"/>
              </w14:srgbClr>
            </w14:solidFill>
          </w14:textFill>
        </w:rPr>
        <w:t xml:space="preserve">|  </w:t>
      </w:r>
      <w:r w:rsidRPr="0003606F">
        <w:rPr>
          <w:color w:val="000000"/>
          <w:spacing w:val="-69"/>
          <w:w w:val="15"/>
          <w:shd w:val="solid" w:color="000000" w:fill="000000"/>
          <w:fitText w:val="-20" w:id="-1167916022"/>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1"/>
          <w14:textFill>
            <w14:solidFill>
              <w14:srgbClr w14:val="000000">
                <w14:alpha w14:val="100000"/>
              </w14:srgbClr>
            </w14:solidFill>
          </w14:textFill>
        </w:rPr>
        <w:t xml:space="preserve">|  </w:t>
      </w:r>
      <w:r w:rsidRPr="0003606F">
        <w:rPr>
          <w:color w:val="000000"/>
          <w:spacing w:val="-69"/>
          <w:w w:val="15"/>
          <w:shd w:val="solid" w:color="000000" w:fill="000000"/>
          <w:fitText w:val="-20" w:id="-1167916021"/>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20"/>
          <w14:textFill>
            <w14:solidFill>
              <w14:srgbClr w14:val="000000">
                <w14:alpha w14:val="100000"/>
              </w14:srgbClr>
            </w14:solidFill>
          </w14:textFill>
        </w:rPr>
        <w:t xml:space="preserve">|  </w:t>
      </w:r>
      <w:r w:rsidRPr="0003606F">
        <w:rPr>
          <w:color w:val="000000"/>
          <w:spacing w:val="-69"/>
          <w:w w:val="15"/>
          <w:shd w:val="solid" w:color="000000" w:fill="000000"/>
          <w:fitText w:val="-20" w:id="-1167916020"/>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9"/>
          <w14:textFill>
            <w14:solidFill>
              <w14:srgbClr w14:val="000000">
                <w14:alpha w14:val="100000"/>
              </w14:srgbClr>
            </w14:solidFill>
          </w14:textFill>
        </w:rPr>
        <w:t xml:space="preserve">|  </w:t>
      </w:r>
      <w:r w:rsidRPr="0003606F">
        <w:rPr>
          <w:color w:val="000000"/>
          <w:spacing w:val="-69"/>
          <w:w w:val="15"/>
          <w:shd w:val="solid" w:color="000000" w:fill="000000"/>
          <w:fitText w:val="-20" w:id="-1167916019"/>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8"/>
          <w14:textFill>
            <w14:solidFill>
              <w14:srgbClr w14:val="000000">
                <w14:alpha w14:val="100000"/>
              </w14:srgbClr>
            </w14:solidFill>
          </w14:textFill>
        </w:rPr>
        <w:t xml:space="preserve">|  </w:t>
      </w:r>
      <w:r w:rsidRPr="0003606F">
        <w:rPr>
          <w:color w:val="000000"/>
          <w:spacing w:val="-69"/>
          <w:w w:val="15"/>
          <w:shd w:val="solid" w:color="000000" w:fill="000000"/>
          <w:fitText w:val="-20" w:id="-1167916018"/>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7"/>
          <w14:textFill>
            <w14:solidFill>
              <w14:srgbClr w14:val="000000">
                <w14:alpha w14:val="100000"/>
              </w14:srgbClr>
            </w14:solidFill>
          </w14:textFill>
        </w:rPr>
        <w:t xml:space="preserve">|  </w:t>
      </w:r>
      <w:r w:rsidRPr="0003606F">
        <w:rPr>
          <w:color w:val="000000"/>
          <w:spacing w:val="-69"/>
          <w:w w:val="15"/>
          <w:shd w:val="solid" w:color="000000" w:fill="000000"/>
          <w:fitText w:val="-20" w:id="-1167916017"/>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16"/>
          <w14:textFill>
            <w14:solidFill>
              <w14:srgbClr w14:val="000000">
                <w14:alpha w14:val="100000"/>
              </w14:srgbClr>
            </w14:solidFill>
          </w14:textFill>
        </w:rPr>
        <w:t xml:space="preserve">|  </w:t>
      </w:r>
      <w:r w:rsidRPr="0003606F">
        <w:rPr>
          <w:color w:val="000000"/>
          <w:spacing w:val="-69"/>
          <w:w w:val="15"/>
          <w:shd w:val="solid" w:color="000000" w:fill="000000"/>
          <w:fitText w:val="-20" w:id="-1167916016"/>
          <w14:textFill>
            <w14:solidFill>
              <w14:srgbClr w14:val="000000">
                <w14:alpha w14:val="100000"/>
              </w14:srgbClr>
            </w14:solidFill>
          </w14:textFill>
        </w:rPr>
        <w:t>|</w:t>
      </w:r>
      <w:r w:rsidRPr="00747667">
        <w:t xml:space="preserve"> </w:t>
      </w:r>
      <w:r w:rsidRPr="0003606F">
        <w:rPr>
          <w:color w:val="000000"/>
          <w:w w:val="15"/>
          <w:shd w:val="solid" w:color="000000" w:fill="000000"/>
          <w:fitText w:val="-20" w:id="-1167916032"/>
          <w14:textFill>
            <w14:solidFill>
              <w14:srgbClr w14:val="000000">
                <w14:alpha w14:val="100000"/>
              </w14:srgbClr>
            </w14:solidFill>
          </w14:textFill>
        </w:rPr>
        <w:t xml:space="preserve">|  </w:t>
      </w:r>
      <w:r w:rsidRPr="0003606F">
        <w:rPr>
          <w:color w:val="000000"/>
          <w:spacing w:val="-69"/>
          <w:w w:val="15"/>
          <w:shd w:val="solid" w:color="000000" w:fill="000000"/>
          <w:fitText w:val="-20" w:id="-1167916032"/>
          <w14:textFill>
            <w14:solidFill>
              <w14:srgbClr w14:val="000000">
                <w14:alpha w14:val="100000"/>
              </w14:srgbClr>
            </w14:solidFill>
          </w14:textFill>
        </w:rPr>
        <w:t>|</w:t>
      </w:r>
    </w:p>
    <w:p w14:paraId="19E1325A" w14:textId="77C24353" w:rsidR="004A1B43" w:rsidRPr="004A1B43" w:rsidRDefault="0097349B" w:rsidP="004A1B43">
      <w:pPr>
        <w:widowControl w:val="0"/>
        <w:numPr>
          <w:ilvl w:val="1"/>
          <w:numId w:val="2"/>
        </w:numPr>
        <w:spacing w:after="120"/>
        <w:rPr>
          <w:rFonts w:cs="Calibri"/>
          <w:bCs/>
          <w:snapToGrid w:val="0"/>
        </w:rPr>
      </w:pPr>
      <w:r w:rsidRPr="00562A2B">
        <w:t xml:space="preserve">Calcipotriol </w:t>
      </w:r>
      <w:r w:rsidR="00E34774">
        <w:t>with</w:t>
      </w:r>
      <w:r w:rsidRPr="00562A2B">
        <w:t xml:space="preserve"> betamethasone gel </w:t>
      </w:r>
      <w:r w:rsidR="00562A2B" w:rsidRPr="004A1B43">
        <w:rPr>
          <w:szCs w:val="18"/>
        </w:rPr>
        <w:t>(</w:t>
      </w:r>
      <w:r w:rsidR="00363D36" w:rsidRPr="004A1B43">
        <w:rPr>
          <w:szCs w:val="18"/>
        </w:rPr>
        <w:t xml:space="preserve">CBG, </w:t>
      </w:r>
      <w:r w:rsidR="00562A2B" w:rsidRPr="004A1B43">
        <w:rPr>
          <w:szCs w:val="18"/>
        </w:rPr>
        <w:t xml:space="preserve">Daivobet®) </w:t>
      </w:r>
      <w:r w:rsidRPr="00562A2B">
        <w:t xml:space="preserve">was considered by </w:t>
      </w:r>
      <w:r w:rsidRPr="004A1B43">
        <w:rPr>
          <w:szCs w:val="18"/>
        </w:rPr>
        <w:t xml:space="preserve">the PBAC </w:t>
      </w:r>
      <w:r w:rsidRPr="00562A2B">
        <w:t xml:space="preserve">at its March 2018 meeting to allow access to increased quantities based on the proportion of </w:t>
      </w:r>
      <w:r>
        <w:t>BSA affected by psoriasis</w:t>
      </w:r>
      <w:r w:rsidRPr="0031759B">
        <w:t>.</w:t>
      </w:r>
      <w:r w:rsidR="00515149">
        <w:t xml:space="preserve"> </w:t>
      </w:r>
      <w:r w:rsidR="00562A2B" w:rsidRPr="0031759B">
        <w:t>The</w:t>
      </w:r>
      <w:r w:rsidR="00562A2B" w:rsidRPr="004A1B43">
        <w:rPr>
          <w:szCs w:val="18"/>
        </w:rPr>
        <w:t xml:space="preserve"> PBAC did not recommend amending the listings of </w:t>
      </w:r>
      <w:r w:rsidR="00363D36" w:rsidRPr="004A1B43">
        <w:rPr>
          <w:szCs w:val="18"/>
        </w:rPr>
        <w:t>CBG</w:t>
      </w:r>
      <w:r w:rsidR="00562A2B" w:rsidRPr="004A1B43">
        <w:rPr>
          <w:szCs w:val="18"/>
        </w:rPr>
        <w:t xml:space="preserve"> to facilitate access to increased quantities based on the proportion </w:t>
      </w:r>
      <w:r w:rsidR="00562A2B" w:rsidRPr="0031759B">
        <w:t>of BSA affected by psoriasis</w:t>
      </w:r>
      <w:r w:rsidR="009C5C45">
        <w:t>.</w:t>
      </w:r>
      <w:r w:rsidR="00562A2B" w:rsidRPr="0031759B">
        <w:t xml:space="preserve"> The PBAC</w:t>
      </w:r>
      <w:r w:rsidR="00562A2B" w:rsidRPr="004A1B43">
        <w:rPr>
          <w:szCs w:val="18"/>
        </w:rPr>
        <w:t xml:space="preserve"> considered that there was limited clinical need for the amendment as the utilisation data provided by the DUSC Secretariat indicated the majority of patients </w:t>
      </w:r>
      <w:r w:rsidR="00562A2B" w:rsidRPr="0031759B">
        <w:t>were covered by existing arrangements</w:t>
      </w:r>
      <w:r w:rsidR="009C5C45">
        <w:t xml:space="preserve">. </w:t>
      </w:r>
      <w:r w:rsidR="00562A2B" w:rsidRPr="0031759B">
        <w:t>Th</w:t>
      </w:r>
      <w:r w:rsidR="00562A2B" w:rsidRPr="004A1B43">
        <w:rPr>
          <w:szCs w:val="18"/>
        </w:rPr>
        <w:t xml:space="preserve">e PBAC further noted that, where there is a clinical need, access to increased quantities of </w:t>
      </w:r>
      <w:r w:rsidR="00363D36" w:rsidRPr="004A1B43">
        <w:rPr>
          <w:szCs w:val="18"/>
        </w:rPr>
        <w:t>CBG</w:t>
      </w:r>
      <w:r w:rsidR="009112E5" w:rsidRPr="004A1B43">
        <w:rPr>
          <w:szCs w:val="18"/>
        </w:rPr>
        <w:t xml:space="preserve"> </w:t>
      </w:r>
      <w:r w:rsidR="00562A2B" w:rsidRPr="004A1B43">
        <w:rPr>
          <w:szCs w:val="18"/>
        </w:rPr>
        <w:t>is available via an Authority PBS prescription for patients who require more than 60</w:t>
      </w:r>
      <w:r w:rsidR="00981267">
        <w:rPr>
          <w:szCs w:val="18"/>
        </w:rPr>
        <w:t> </w:t>
      </w:r>
      <w:r w:rsidR="00562A2B" w:rsidRPr="004A1B43">
        <w:rPr>
          <w:szCs w:val="18"/>
        </w:rPr>
        <w:t>g per prescription</w:t>
      </w:r>
      <w:r w:rsidR="009C5C45">
        <w:t xml:space="preserve">. </w:t>
      </w:r>
      <w:r w:rsidR="00562A2B" w:rsidRPr="0031759B">
        <w:t>The</w:t>
      </w:r>
      <w:r w:rsidR="00562A2B" w:rsidRPr="004A1B43">
        <w:rPr>
          <w:szCs w:val="18"/>
        </w:rPr>
        <w:t xml:space="preserve"> PBAC considered that BSA measurement may not always be undertaken accurately and hence broader access to larger quantities of </w:t>
      </w:r>
      <w:r w:rsidR="00363D36" w:rsidRPr="004A1B43">
        <w:rPr>
          <w:szCs w:val="18"/>
        </w:rPr>
        <w:t>CBG</w:t>
      </w:r>
      <w:r w:rsidR="00562A2B" w:rsidRPr="004A1B43">
        <w:rPr>
          <w:szCs w:val="18"/>
        </w:rPr>
        <w:t xml:space="preserve"> may potentially increase the risk of toxicity associated with calcipotriol (paragraph</w:t>
      </w:r>
      <w:r w:rsidR="009C5C45" w:rsidRPr="004A1B43">
        <w:rPr>
          <w:szCs w:val="18"/>
        </w:rPr>
        <w:t>s</w:t>
      </w:r>
      <w:r w:rsidR="00562A2B" w:rsidRPr="004A1B43">
        <w:rPr>
          <w:szCs w:val="18"/>
        </w:rPr>
        <w:t xml:space="preserve"> </w:t>
      </w:r>
      <w:r w:rsidR="009C5C45" w:rsidRPr="004A1B43">
        <w:rPr>
          <w:szCs w:val="18"/>
        </w:rPr>
        <w:t>5.1-</w:t>
      </w:r>
      <w:r w:rsidR="00562A2B" w:rsidRPr="004A1B43">
        <w:rPr>
          <w:szCs w:val="18"/>
        </w:rPr>
        <w:t xml:space="preserve">5.4, </w:t>
      </w:r>
      <w:r w:rsidR="00A566CF" w:rsidRPr="00A566CF">
        <w:t>calcipotriol with betamethasone dipropionate</w:t>
      </w:r>
      <w:r w:rsidR="00A566CF">
        <w:t xml:space="preserve">, </w:t>
      </w:r>
      <w:r w:rsidR="00562A2B" w:rsidRPr="004A1B43">
        <w:rPr>
          <w:szCs w:val="18"/>
        </w:rPr>
        <w:t>March 2018 PSD).</w:t>
      </w:r>
    </w:p>
    <w:p w14:paraId="5CB0A0B7" w14:textId="72F7721A" w:rsidR="00E34774" w:rsidRPr="004A1B43" w:rsidRDefault="00812159" w:rsidP="004A1B43">
      <w:pPr>
        <w:widowControl w:val="0"/>
        <w:numPr>
          <w:ilvl w:val="1"/>
          <w:numId w:val="2"/>
        </w:numPr>
        <w:spacing w:after="120"/>
        <w:rPr>
          <w:rFonts w:cs="Calibri"/>
          <w:bCs/>
          <w:snapToGrid w:val="0"/>
        </w:rPr>
      </w:pPr>
      <w:r>
        <w:t>A request for</w:t>
      </w:r>
      <w:r w:rsidR="00CD5606">
        <w:t xml:space="preserve"> an</w:t>
      </w:r>
      <w:r>
        <w:t xml:space="preserve"> </w:t>
      </w:r>
      <w:r w:rsidR="00CD5606">
        <w:t xml:space="preserve">increase in the </w:t>
      </w:r>
      <w:r>
        <w:t xml:space="preserve">MQ of </w:t>
      </w:r>
      <w:r w:rsidR="00BA15FA">
        <w:t>C</w:t>
      </w:r>
      <w:r w:rsidR="009C5C45">
        <w:t>BF</w:t>
      </w:r>
      <w:r w:rsidR="00075943" w:rsidRPr="00CD1206">
        <w:t xml:space="preserve"> </w:t>
      </w:r>
      <w:r w:rsidR="00E34774" w:rsidRPr="00562A2B">
        <w:t>has not been considered previously by the PBAC.</w:t>
      </w:r>
    </w:p>
    <w:p w14:paraId="67AC3DF1" w14:textId="386169F3" w:rsidR="004A1B43" w:rsidRPr="004C7EBD" w:rsidRDefault="00562A2B" w:rsidP="004A1B43">
      <w:pPr>
        <w:widowControl w:val="0"/>
        <w:numPr>
          <w:ilvl w:val="1"/>
          <w:numId w:val="2"/>
        </w:numPr>
        <w:spacing w:after="120"/>
        <w:rPr>
          <w:rFonts w:cs="Calibri"/>
          <w:bCs/>
          <w:snapToGrid w:val="0"/>
        </w:rPr>
      </w:pPr>
      <w:r w:rsidRPr="001A1C47">
        <w:t xml:space="preserve">At its </w:t>
      </w:r>
      <w:r w:rsidR="00152636" w:rsidRPr="001A1C47">
        <w:t>January 2023 meeting</w:t>
      </w:r>
      <w:r w:rsidRPr="001A1C47">
        <w:t>, the</w:t>
      </w:r>
      <w:r w:rsidRPr="001A1C47">
        <w:rPr>
          <w:szCs w:val="18"/>
        </w:rPr>
        <w:t xml:space="preserve"> PBAC Executive </w:t>
      </w:r>
      <w:r w:rsidRPr="001A1C47">
        <w:rPr>
          <w:rStyle w:val="eop"/>
        </w:rPr>
        <w:t xml:space="preserve">considered correspondence from a dermatologist </w:t>
      </w:r>
      <w:r w:rsidR="005C5AAD" w:rsidRPr="001A1C47">
        <w:rPr>
          <w:rStyle w:val="eop"/>
        </w:rPr>
        <w:t>making a similar request to this submission and raising</w:t>
      </w:r>
      <w:r w:rsidRPr="001A1C47">
        <w:rPr>
          <w:shd w:val="clear" w:color="auto" w:fill="FFFFFF"/>
        </w:rPr>
        <w:t xml:space="preserve"> concerns regarding the lack of awareness of prescribers’ ability to request increased maximum quantities above what is listed on the PBS </w:t>
      </w:r>
      <w:r w:rsidRPr="001A1C47">
        <w:t>website through authority prescription.</w:t>
      </w:r>
    </w:p>
    <w:p w14:paraId="7EBA3E40" w14:textId="066F4DD5" w:rsidR="004A1B43" w:rsidRPr="004C7EBD" w:rsidRDefault="00152636" w:rsidP="004A1B43">
      <w:pPr>
        <w:widowControl w:val="0"/>
        <w:numPr>
          <w:ilvl w:val="1"/>
          <w:numId w:val="2"/>
        </w:numPr>
        <w:spacing w:after="120"/>
        <w:rPr>
          <w:rFonts w:cs="Calibri"/>
          <w:bCs/>
          <w:snapToGrid w:val="0"/>
        </w:rPr>
      </w:pPr>
      <w:r w:rsidRPr="001A1C47">
        <w:t>T</w:t>
      </w:r>
      <w:r w:rsidR="00562A2B" w:rsidRPr="001A1C47">
        <w:t xml:space="preserve">he </w:t>
      </w:r>
      <w:r w:rsidR="005C5AAD" w:rsidRPr="001A1C47">
        <w:t xml:space="preserve">PBAC </w:t>
      </w:r>
      <w:r w:rsidR="00562A2B" w:rsidRPr="001A1C47">
        <w:t xml:space="preserve">Executive recalled </w:t>
      </w:r>
      <w:r w:rsidR="00D80E7E" w:rsidRPr="001A1C47">
        <w:t xml:space="preserve">the </w:t>
      </w:r>
      <w:r w:rsidR="00562A2B" w:rsidRPr="001A1C47">
        <w:t>PBAC’s consideration</w:t>
      </w:r>
      <w:r w:rsidR="00A56B74" w:rsidRPr="001A1C47">
        <w:t xml:space="preserve"> of CBG</w:t>
      </w:r>
      <w:r w:rsidR="00562A2B" w:rsidRPr="001A1C47">
        <w:t xml:space="preserve"> at its </w:t>
      </w:r>
      <w:r w:rsidR="001C34E7" w:rsidRPr="001A1C47">
        <w:t>March</w:t>
      </w:r>
      <w:r w:rsidR="001C34E7">
        <w:t> </w:t>
      </w:r>
      <w:r w:rsidR="00562A2B" w:rsidRPr="001A1C47">
        <w:t xml:space="preserve">2018 </w:t>
      </w:r>
      <w:r w:rsidR="00562A2B" w:rsidRPr="001A1C47">
        <w:lastRenderedPageBreak/>
        <w:t>meeting and reiterated</w:t>
      </w:r>
      <w:r w:rsidR="00A56B74" w:rsidRPr="001A1C47">
        <w:t xml:space="preserve"> its concerns about </w:t>
      </w:r>
      <w:r w:rsidR="00562A2B" w:rsidRPr="001A1C47">
        <w:t>the increased potential of calcipotriol associated toxicity due to access to increased quantities and further expressed that the safety issues with utilisation remain a concern</w:t>
      </w:r>
      <w:r w:rsidR="005C5AAD" w:rsidRPr="001A1C47">
        <w:t>. The PBAC Executive considered that these concerns, as well as an estimate of the financial impact of the requested changes would need to be addressed through consideration of a formal submission</w:t>
      </w:r>
      <w:r w:rsidR="00562A2B" w:rsidRPr="001A1C47">
        <w:t>.</w:t>
      </w:r>
    </w:p>
    <w:p w14:paraId="1B8790B6" w14:textId="6C8AF2BB" w:rsidR="00964A9F" w:rsidRDefault="00964A9F" w:rsidP="00BD5CEB">
      <w:pPr>
        <w:pStyle w:val="2-SectionHeading"/>
        <w:jc w:val="both"/>
      </w:pPr>
      <w:r w:rsidRPr="009D507A">
        <w:t xml:space="preserve">Requested listing </w:t>
      </w:r>
    </w:p>
    <w:p w14:paraId="5FA4539F" w14:textId="77777777" w:rsidR="004A1B43" w:rsidRPr="004A1B43" w:rsidRDefault="00AC2EE5" w:rsidP="004A1B43">
      <w:pPr>
        <w:pStyle w:val="3-BodyText"/>
        <w:rPr>
          <w:snapToGrid w:val="0"/>
        </w:rPr>
      </w:pPr>
      <w:r w:rsidRPr="00E0207E">
        <w:t>The submission requested</w:t>
      </w:r>
      <w:r>
        <w:t xml:space="preserve"> a new Authority Required (STREAMLINED) listing with restriction criteria limiting use to patients with</w:t>
      </w:r>
      <w:r w:rsidR="000B30BA">
        <w:t xml:space="preserve"> an affected BSA of</w:t>
      </w:r>
      <w:r>
        <w:t xml:space="preserve"> at least 5% and less than 30%.</w:t>
      </w:r>
      <w:r w:rsidR="00CF25AE">
        <w:t xml:space="preserve"> The submission proposed no changes to the existing listing (item number 11091R).</w:t>
      </w:r>
    </w:p>
    <w:p w14:paraId="75BBCC2D" w14:textId="538CE7C5" w:rsidR="00AC2EE5" w:rsidRPr="004A1B43" w:rsidRDefault="00AC2EE5" w:rsidP="004A1B43">
      <w:pPr>
        <w:pStyle w:val="3-BodyText"/>
        <w:rPr>
          <w:snapToGrid w:val="0"/>
        </w:rPr>
      </w:pPr>
      <w:r w:rsidRPr="00120A12">
        <w:t xml:space="preserve">Suggested additions are in </w:t>
      </w:r>
      <w:r w:rsidRPr="004A1B43">
        <w:rPr>
          <w:iCs/>
        </w:rPr>
        <w:t>italics</w:t>
      </w:r>
      <w:r w:rsidRPr="00120A12">
        <w:t xml:space="preserve"> and deletions are in </w:t>
      </w:r>
      <w:r w:rsidRPr="009D507A">
        <w:t>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27"/>
        <w:gridCol w:w="915"/>
        <w:gridCol w:w="993"/>
        <w:gridCol w:w="708"/>
        <w:gridCol w:w="1644"/>
        <w:gridCol w:w="6"/>
      </w:tblGrid>
      <w:tr w:rsidR="00F23DC9" w:rsidRPr="008507E4" w14:paraId="33B4B820" w14:textId="77777777" w:rsidTr="00D124A8">
        <w:trPr>
          <w:cantSplit/>
          <w:trHeight w:val="20"/>
        </w:trPr>
        <w:tc>
          <w:tcPr>
            <w:tcW w:w="3823" w:type="dxa"/>
            <w:vAlign w:val="center"/>
          </w:tcPr>
          <w:p w14:paraId="61527EC0" w14:textId="77777777" w:rsidR="00F23DC9" w:rsidRPr="001C34E7" w:rsidRDefault="00F23DC9" w:rsidP="0078412C">
            <w:pPr>
              <w:keepLines/>
              <w:rPr>
                <w:rFonts w:ascii="Arial Narrow" w:hAnsi="Arial Narrow" w:cs="Arial"/>
                <w:b/>
                <w:bCs/>
                <w:sz w:val="20"/>
                <w:szCs w:val="20"/>
              </w:rPr>
            </w:pPr>
            <w:r w:rsidRPr="001C34E7">
              <w:rPr>
                <w:rFonts w:ascii="Arial Narrow" w:hAnsi="Arial Narrow" w:cs="Arial"/>
                <w:b/>
                <w:bCs/>
                <w:sz w:val="20"/>
                <w:szCs w:val="20"/>
              </w:rPr>
              <w:t>MEDICINAL PRODUCT</w:t>
            </w:r>
          </w:p>
          <w:p w14:paraId="34D5769A"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bCs/>
                <w:sz w:val="20"/>
                <w:szCs w:val="20"/>
              </w:rPr>
              <w:t>medicinal product pack</w:t>
            </w:r>
          </w:p>
        </w:tc>
        <w:tc>
          <w:tcPr>
            <w:tcW w:w="927" w:type="dxa"/>
            <w:vAlign w:val="center"/>
          </w:tcPr>
          <w:p w14:paraId="7C33BD2C"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sz w:val="20"/>
                <w:szCs w:val="20"/>
              </w:rPr>
              <w:t>PBS item code</w:t>
            </w:r>
          </w:p>
        </w:tc>
        <w:tc>
          <w:tcPr>
            <w:tcW w:w="915" w:type="dxa"/>
            <w:vAlign w:val="center"/>
          </w:tcPr>
          <w:p w14:paraId="67ED28E8"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sz w:val="20"/>
                <w:szCs w:val="20"/>
              </w:rPr>
              <w:t>Max. qty packs</w:t>
            </w:r>
          </w:p>
        </w:tc>
        <w:tc>
          <w:tcPr>
            <w:tcW w:w="993" w:type="dxa"/>
            <w:vAlign w:val="center"/>
          </w:tcPr>
          <w:p w14:paraId="10474A17"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sz w:val="20"/>
                <w:szCs w:val="20"/>
              </w:rPr>
              <w:t>Max. qty units</w:t>
            </w:r>
          </w:p>
        </w:tc>
        <w:tc>
          <w:tcPr>
            <w:tcW w:w="708" w:type="dxa"/>
            <w:vAlign w:val="center"/>
          </w:tcPr>
          <w:p w14:paraId="19F206DC"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sz w:val="20"/>
                <w:szCs w:val="20"/>
              </w:rPr>
              <w:t>№.of</w:t>
            </w:r>
          </w:p>
          <w:p w14:paraId="74FDE9BB" w14:textId="77777777" w:rsidR="00F23DC9" w:rsidRPr="001C34E7" w:rsidRDefault="00F23DC9" w:rsidP="0078412C">
            <w:pPr>
              <w:keepLines/>
              <w:rPr>
                <w:rFonts w:ascii="Arial Narrow" w:hAnsi="Arial Narrow" w:cs="Arial"/>
                <w:b/>
                <w:sz w:val="20"/>
                <w:szCs w:val="20"/>
              </w:rPr>
            </w:pPr>
            <w:r w:rsidRPr="001C34E7">
              <w:rPr>
                <w:rFonts w:ascii="Arial Narrow" w:hAnsi="Arial Narrow" w:cs="Arial"/>
                <w:b/>
                <w:sz w:val="20"/>
                <w:szCs w:val="20"/>
              </w:rPr>
              <w:t>Rpts</w:t>
            </w:r>
          </w:p>
        </w:tc>
        <w:tc>
          <w:tcPr>
            <w:tcW w:w="1650" w:type="dxa"/>
            <w:gridSpan w:val="2"/>
            <w:vAlign w:val="center"/>
          </w:tcPr>
          <w:p w14:paraId="4BFC9388" w14:textId="77777777" w:rsidR="00F23DC9" w:rsidRPr="001C34E7" w:rsidRDefault="00F23DC9" w:rsidP="0078412C">
            <w:pPr>
              <w:keepLines/>
              <w:rPr>
                <w:rFonts w:ascii="Arial Narrow" w:hAnsi="Arial Narrow" w:cs="Arial"/>
                <w:b/>
                <w:sz w:val="20"/>
                <w:szCs w:val="20"/>
                <w:lang w:val="fr-FR"/>
              </w:rPr>
            </w:pPr>
            <w:r w:rsidRPr="001C34E7">
              <w:rPr>
                <w:rFonts w:ascii="Arial Narrow" w:hAnsi="Arial Narrow" w:cs="Arial"/>
                <w:b/>
                <w:sz w:val="20"/>
                <w:szCs w:val="20"/>
              </w:rPr>
              <w:t>Available brands</w:t>
            </w:r>
          </w:p>
        </w:tc>
      </w:tr>
      <w:tr w:rsidR="00EB6C56" w:rsidRPr="008507E4" w14:paraId="69CD6F5B" w14:textId="77777777" w:rsidTr="00D124A8">
        <w:trPr>
          <w:cantSplit/>
          <w:trHeight w:val="20"/>
        </w:trPr>
        <w:tc>
          <w:tcPr>
            <w:tcW w:w="3823" w:type="dxa"/>
            <w:vAlign w:val="center"/>
          </w:tcPr>
          <w:p w14:paraId="7DD5D55F" w14:textId="15B39793" w:rsidR="00EB6C56" w:rsidRPr="001C34E7" w:rsidRDefault="00EB6C56" w:rsidP="00E80446">
            <w:pPr>
              <w:keepLines/>
              <w:jc w:val="left"/>
              <w:rPr>
                <w:rFonts w:ascii="Arial Narrow" w:hAnsi="Arial Narrow" w:cs="Arial"/>
                <w:i/>
                <w:iCs/>
                <w:sz w:val="20"/>
                <w:szCs w:val="20"/>
              </w:rPr>
            </w:pPr>
            <w:r w:rsidRPr="001C34E7">
              <w:rPr>
                <w:rFonts w:ascii="Arial Narrow" w:hAnsi="Arial Narrow" w:cs="Arial"/>
                <w:i/>
                <w:iCs/>
                <w:sz w:val="20"/>
                <w:szCs w:val="20"/>
              </w:rPr>
              <w:t>CALCIPOTRIOL + BETAMETHASONE DIPROPIONATE</w:t>
            </w:r>
          </w:p>
        </w:tc>
        <w:tc>
          <w:tcPr>
            <w:tcW w:w="927" w:type="dxa"/>
            <w:vMerge w:val="restart"/>
            <w:vAlign w:val="center"/>
          </w:tcPr>
          <w:p w14:paraId="0F67A9C8" w14:textId="4A1DB8D4" w:rsidR="00EB6C56" w:rsidRPr="001C34E7" w:rsidRDefault="00EB6C56" w:rsidP="00E80446">
            <w:pPr>
              <w:keepLines/>
              <w:jc w:val="center"/>
              <w:rPr>
                <w:rFonts w:ascii="Arial Narrow" w:hAnsi="Arial Narrow" w:cs="Arial"/>
                <w:i/>
                <w:iCs/>
                <w:sz w:val="20"/>
                <w:szCs w:val="20"/>
              </w:rPr>
            </w:pPr>
            <w:r w:rsidRPr="001C34E7">
              <w:rPr>
                <w:rFonts w:ascii="Arial Narrow" w:hAnsi="Arial Narrow" w:cs="Arial"/>
                <w:i/>
                <w:iCs/>
                <w:sz w:val="20"/>
                <w:szCs w:val="20"/>
              </w:rPr>
              <w:t>NEW</w:t>
            </w:r>
          </w:p>
        </w:tc>
        <w:tc>
          <w:tcPr>
            <w:tcW w:w="915" w:type="dxa"/>
            <w:vMerge w:val="restart"/>
            <w:vAlign w:val="center"/>
          </w:tcPr>
          <w:p w14:paraId="16E91255" w14:textId="0F1304BF" w:rsidR="00EB6C56" w:rsidRPr="001C34E7" w:rsidRDefault="00EB6C56" w:rsidP="00E80446">
            <w:pPr>
              <w:keepLines/>
              <w:jc w:val="center"/>
              <w:rPr>
                <w:rFonts w:ascii="Arial Narrow" w:hAnsi="Arial Narrow" w:cs="Arial"/>
                <w:i/>
                <w:iCs/>
                <w:sz w:val="20"/>
                <w:szCs w:val="20"/>
              </w:rPr>
            </w:pPr>
            <w:r w:rsidRPr="001C34E7">
              <w:rPr>
                <w:rFonts w:ascii="Arial Narrow" w:hAnsi="Arial Narrow" w:cs="Arial"/>
                <w:i/>
                <w:iCs/>
                <w:sz w:val="20"/>
                <w:szCs w:val="20"/>
              </w:rPr>
              <w:t>2</w:t>
            </w:r>
          </w:p>
        </w:tc>
        <w:tc>
          <w:tcPr>
            <w:tcW w:w="993" w:type="dxa"/>
            <w:vMerge w:val="restart"/>
            <w:vAlign w:val="center"/>
          </w:tcPr>
          <w:p w14:paraId="067114F5" w14:textId="19BEC55D" w:rsidR="00EB6C56" w:rsidRPr="001C34E7" w:rsidRDefault="00EB6C56" w:rsidP="00E80446">
            <w:pPr>
              <w:keepLines/>
              <w:jc w:val="center"/>
              <w:rPr>
                <w:rFonts w:ascii="Arial Narrow" w:hAnsi="Arial Narrow" w:cs="Arial"/>
                <w:i/>
                <w:iCs/>
                <w:sz w:val="20"/>
                <w:szCs w:val="20"/>
              </w:rPr>
            </w:pPr>
            <w:r w:rsidRPr="001C34E7">
              <w:rPr>
                <w:rFonts w:ascii="Arial Narrow" w:hAnsi="Arial Narrow" w:cs="Arial"/>
                <w:i/>
                <w:iCs/>
                <w:sz w:val="20"/>
                <w:szCs w:val="20"/>
              </w:rPr>
              <w:t>2</w:t>
            </w:r>
          </w:p>
        </w:tc>
        <w:tc>
          <w:tcPr>
            <w:tcW w:w="708" w:type="dxa"/>
            <w:vMerge w:val="restart"/>
            <w:vAlign w:val="center"/>
          </w:tcPr>
          <w:p w14:paraId="3B3DB8D2" w14:textId="44E58D25" w:rsidR="00EB6C56" w:rsidRPr="001C34E7" w:rsidRDefault="00EB6C56" w:rsidP="00E80446">
            <w:pPr>
              <w:keepLines/>
              <w:jc w:val="center"/>
              <w:rPr>
                <w:rFonts w:ascii="Arial Narrow" w:hAnsi="Arial Narrow" w:cs="Arial"/>
                <w:i/>
                <w:iCs/>
                <w:sz w:val="20"/>
                <w:szCs w:val="20"/>
              </w:rPr>
            </w:pPr>
            <w:r w:rsidRPr="001C34E7">
              <w:rPr>
                <w:rFonts w:ascii="Arial Narrow" w:hAnsi="Arial Narrow" w:cs="Arial"/>
                <w:i/>
                <w:iCs/>
                <w:sz w:val="20"/>
                <w:szCs w:val="20"/>
              </w:rPr>
              <w:t>1</w:t>
            </w:r>
          </w:p>
        </w:tc>
        <w:tc>
          <w:tcPr>
            <w:tcW w:w="1650" w:type="dxa"/>
            <w:gridSpan w:val="2"/>
            <w:vMerge w:val="restart"/>
            <w:vAlign w:val="center"/>
          </w:tcPr>
          <w:p w14:paraId="49E82482" w14:textId="7FFE80B0" w:rsidR="00EB6C56" w:rsidRPr="001C34E7" w:rsidRDefault="00EB6C56" w:rsidP="00E80446">
            <w:pPr>
              <w:keepLines/>
              <w:jc w:val="center"/>
              <w:rPr>
                <w:rFonts w:ascii="Arial Narrow" w:hAnsi="Arial Narrow" w:cs="Arial"/>
                <w:i/>
                <w:iCs/>
                <w:sz w:val="20"/>
                <w:szCs w:val="20"/>
              </w:rPr>
            </w:pPr>
            <w:r w:rsidRPr="001C34E7">
              <w:rPr>
                <w:rFonts w:ascii="Arial Narrow" w:hAnsi="Arial Narrow" w:cs="Arial"/>
                <w:i/>
                <w:iCs/>
                <w:sz w:val="20"/>
                <w:szCs w:val="20"/>
              </w:rPr>
              <w:t>Enstilar</w:t>
            </w:r>
          </w:p>
        </w:tc>
      </w:tr>
      <w:tr w:rsidR="00EB6C56" w:rsidRPr="008507E4" w14:paraId="4747B4AA" w14:textId="77777777" w:rsidTr="00D124A8">
        <w:trPr>
          <w:cantSplit/>
          <w:trHeight w:val="20"/>
        </w:trPr>
        <w:tc>
          <w:tcPr>
            <w:tcW w:w="3823" w:type="dxa"/>
            <w:vAlign w:val="center"/>
          </w:tcPr>
          <w:p w14:paraId="1A4C4C2C" w14:textId="77777777" w:rsidR="00EB6C56" w:rsidRPr="001C34E7" w:rsidRDefault="00EB6C56" w:rsidP="00E80446">
            <w:pPr>
              <w:keepLines/>
              <w:jc w:val="left"/>
              <w:rPr>
                <w:rFonts w:ascii="Arial Narrow" w:hAnsi="Arial Narrow" w:cs="Arial"/>
                <w:i/>
                <w:iCs/>
                <w:sz w:val="20"/>
                <w:szCs w:val="20"/>
              </w:rPr>
            </w:pPr>
            <w:r w:rsidRPr="001C34E7">
              <w:rPr>
                <w:rFonts w:ascii="Arial Narrow" w:hAnsi="Arial Narrow" w:cs="Arial"/>
                <w:i/>
                <w:iCs/>
                <w:sz w:val="20"/>
                <w:szCs w:val="20"/>
              </w:rPr>
              <w:t>calcipotriol 0.005% + betamethasone (as dipropionate) 0.05% foam, 60 g</w:t>
            </w:r>
          </w:p>
        </w:tc>
        <w:tc>
          <w:tcPr>
            <w:tcW w:w="927" w:type="dxa"/>
            <w:vMerge/>
            <w:vAlign w:val="center"/>
          </w:tcPr>
          <w:p w14:paraId="7C12EE33" w14:textId="1EA564EE" w:rsidR="00EB6C56" w:rsidRPr="001C34E7" w:rsidRDefault="00EB6C56" w:rsidP="00BD5CEB">
            <w:pPr>
              <w:keepLines/>
              <w:rPr>
                <w:rFonts w:ascii="Arial Narrow" w:hAnsi="Arial Narrow" w:cs="Arial"/>
                <w:i/>
                <w:iCs/>
                <w:sz w:val="20"/>
                <w:szCs w:val="20"/>
              </w:rPr>
            </w:pPr>
          </w:p>
        </w:tc>
        <w:tc>
          <w:tcPr>
            <w:tcW w:w="915" w:type="dxa"/>
            <w:vMerge/>
            <w:vAlign w:val="center"/>
          </w:tcPr>
          <w:p w14:paraId="7D491FE5" w14:textId="008BD264" w:rsidR="00EB6C56" w:rsidRPr="001C34E7" w:rsidRDefault="00EB6C56" w:rsidP="00BD5CEB">
            <w:pPr>
              <w:keepLines/>
              <w:rPr>
                <w:rFonts w:ascii="Arial Narrow" w:hAnsi="Arial Narrow" w:cs="Arial"/>
                <w:i/>
                <w:iCs/>
                <w:sz w:val="20"/>
                <w:szCs w:val="20"/>
              </w:rPr>
            </w:pPr>
          </w:p>
        </w:tc>
        <w:tc>
          <w:tcPr>
            <w:tcW w:w="993" w:type="dxa"/>
            <w:vMerge/>
            <w:vAlign w:val="center"/>
          </w:tcPr>
          <w:p w14:paraId="7959A0AE" w14:textId="18C0064F" w:rsidR="00EB6C56" w:rsidRPr="001C34E7" w:rsidRDefault="00EB6C56" w:rsidP="00BD5CEB">
            <w:pPr>
              <w:keepLines/>
              <w:rPr>
                <w:rFonts w:ascii="Arial Narrow" w:hAnsi="Arial Narrow" w:cs="Arial"/>
                <w:i/>
                <w:iCs/>
                <w:sz w:val="20"/>
                <w:szCs w:val="20"/>
              </w:rPr>
            </w:pPr>
          </w:p>
        </w:tc>
        <w:tc>
          <w:tcPr>
            <w:tcW w:w="708" w:type="dxa"/>
            <w:vMerge/>
            <w:vAlign w:val="center"/>
          </w:tcPr>
          <w:p w14:paraId="7E76233A" w14:textId="37B20E90" w:rsidR="00EB6C56" w:rsidRPr="001C34E7" w:rsidRDefault="00EB6C56" w:rsidP="00BD5CEB">
            <w:pPr>
              <w:keepLines/>
              <w:rPr>
                <w:rFonts w:ascii="Arial Narrow" w:hAnsi="Arial Narrow" w:cs="Arial"/>
                <w:i/>
                <w:iCs/>
                <w:sz w:val="20"/>
                <w:szCs w:val="20"/>
              </w:rPr>
            </w:pPr>
          </w:p>
        </w:tc>
        <w:tc>
          <w:tcPr>
            <w:tcW w:w="1650" w:type="dxa"/>
            <w:gridSpan w:val="2"/>
            <w:vMerge/>
            <w:vAlign w:val="center"/>
          </w:tcPr>
          <w:p w14:paraId="15325731" w14:textId="56651C60" w:rsidR="00EB6C56" w:rsidRPr="001C34E7" w:rsidRDefault="00EB6C56" w:rsidP="00BD5CEB">
            <w:pPr>
              <w:keepLines/>
              <w:rPr>
                <w:rFonts w:ascii="Arial Narrow" w:hAnsi="Arial Narrow" w:cs="Arial"/>
                <w:i/>
                <w:iCs/>
                <w:sz w:val="20"/>
                <w:szCs w:val="20"/>
              </w:rPr>
            </w:pPr>
          </w:p>
        </w:tc>
      </w:tr>
      <w:tr w:rsidR="00FC034B" w:rsidRPr="008507E4" w14:paraId="59A0F0A0" w14:textId="77777777" w:rsidTr="00294C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4EAAAA3" w14:textId="77777777" w:rsidR="00FC034B" w:rsidRPr="001C34E7" w:rsidRDefault="00FC034B" w:rsidP="00BD5CEB">
            <w:pPr>
              <w:rPr>
                <w:rFonts w:ascii="Arial Narrow" w:hAnsi="Arial Narrow" w:cs="Arial"/>
                <w:i/>
                <w:iCs/>
                <w:sz w:val="20"/>
                <w:szCs w:val="20"/>
              </w:rPr>
            </w:pPr>
          </w:p>
        </w:tc>
      </w:tr>
      <w:tr w:rsidR="00FC034B" w:rsidRPr="008507E4" w14:paraId="32BB2683" w14:textId="77777777" w:rsidTr="00294C7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E3C19EC" w14:textId="247A260D" w:rsidR="00FC034B" w:rsidRPr="001C34E7" w:rsidRDefault="00FC034B" w:rsidP="00BD5CEB">
            <w:pPr>
              <w:keepLines/>
              <w:rPr>
                <w:rFonts w:ascii="Arial Narrow" w:hAnsi="Arial Narrow" w:cs="Arial"/>
                <w:b/>
                <w:i/>
                <w:iCs/>
                <w:sz w:val="20"/>
                <w:szCs w:val="20"/>
              </w:rPr>
            </w:pPr>
            <w:r w:rsidRPr="001C34E7">
              <w:rPr>
                <w:rFonts w:ascii="Arial Narrow" w:hAnsi="Arial Narrow"/>
                <w:b/>
                <w:i/>
                <w:iCs/>
                <w:sz w:val="20"/>
                <w:szCs w:val="20"/>
              </w:rPr>
              <w:t xml:space="preserve">Restriction Summary / ToC: </w:t>
            </w:r>
          </w:p>
        </w:tc>
      </w:tr>
      <w:tr w:rsidR="0026673B" w:rsidRPr="008507E4" w14:paraId="1D626B78" w14:textId="77777777" w:rsidTr="00E80446">
        <w:tblPrEx>
          <w:tblCellMar>
            <w:top w:w="15" w:type="dxa"/>
            <w:bottom w:w="15" w:type="dxa"/>
          </w:tblCellMar>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F5F12D6" w14:textId="77777777" w:rsidR="0026673B" w:rsidRPr="001C34E7" w:rsidRDefault="0026673B" w:rsidP="00BD5CEB">
            <w:pPr>
              <w:keepLines/>
              <w:rPr>
                <w:rFonts w:ascii="Arial Narrow" w:hAnsi="Arial Narrow" w:cs="Arial"/>
                <w:sz w:val="20"/>
                <w:szCs w:val="20"/>
              </w:rPr>
            </w:pPr>
            <w:r w:rsidRPr="001C34E7">
              <w:rPr>
                <w:rFonts w:ascii="Arial Narrow" w:hAnsi="Arial Narrow" w:cs="Arial"/>
                <w:b/>
                <w:sz w:val="20"/>
                <w:szCs w:val="20"/>
              </w:rPr>
              <w:t xml:space="preserve">Category / Program: </w:t>
            </w:r>
            <w:r w:rsidRPr="001C34E7">
              <w:rPr>
                <w:rFonts w:ascii="Arial Narrow" w:hAnsi="Arial Narrow" w:cs="Arial"/>
                <w:sz w:val="20"/>
                <w:szCs w:val="20"/>
              </w:rPr>
              <w:t>GENERAL – General Schedule (Code GE)</w:t>
            </w:r>
          </w:p>
        </w:tc>
      </w:tr>
      <w:tr w:rsidR="0026673B" w:rsidRPr="008507E4" w14:paraId="7D86A422" w14:textId="77777777" w:rsidTr="00E80446">
        <w:tblPrEx>
          <w:tblCellMar>
            <w:top w:w="15" w:type="dxa"/>
            <w:bottom w:w="15" w:type="dxa"/>
          </w:tblCellMar>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4FB08A0" w14:textId="77777777" w:rsidR="0026673B" w:rsidRPr="001C34E7" w:rsidRDefault="0026673B" w:rsidP="00BD5CEB">
            <w:pPr>
              <w:keepLines/>
              <w:rPr>
                <w:rFonts w:ascii="Arial Narrow" w:hAnsi="Arial Narrow" w:cs="Arial"/>
                <w:b/>
                <w:sz w:val="20"/>
                <w:szCs w:val="20"/>
              </w:rPr>
            </w:pPr>
            <w:r w:rsidRPr="001C34E7">
              <w:rPr>
                <w:rFonts w:ascii="Arial Narrow" w:hAnsi="Arial Narrow" w:cs="Arial"/>
                <w:b/>
                <w:sz w:val="20"/>
                <w:szCs w:val="20"/>
              </w:rPr>
              <w:t xml:space="preserve">Prescriber type: </w:t>
            </w:r>
            <w:r w:rsidRPr="001C34E7">
              <w:rPr>
                <w:rFonts w:ascii="Arial Narrow" w:hAnsi="Arial Narrow" w:cs="Arial"/>
                <w:sz w:val="20"/>
                <w:szCs w:val="20"/>
              </w:rPr>
              <w:fldChar w:fldCharType="begin">
                <w:ffData>
                  <w:name w:val=""/>
                  <w:enabled/>
                  <w:calcOnExit w:val="0"/>
                  <w:checkBox>
                    <w:sizeAuto/>
                    <w:default w:val="1"/>
                  </w:checkBox>
                </w:ffData>
              </w:fldChar>
            </w:r>
            <w:r w:rsidRPr="001C34E7">
              <w:rPr>
                <w:rFonts w:ascii="Arial Narrow" w:hAnsi="Arial Narrow" w:cs="Arial"/>
                <w:sz w:val="20"/>
                <w:szCs w:val="20"/>
              </w:rPr>
              <w:instrText xml:space="preserve"> FORMCHECKBOX </w:instrText>
            </w:r>
            <w:r w:rsidR="0003606F">
              <w:rPr>
                <w:rFonts w:ascii="Arial Narrow" w:hAnsi="Arial Narrow" w:cs="Arial"/>
                <w:sz w:val="20"/>
                <w:szCs w:val="20"/>
              </w:rPr>
            </w:r>
            <w:r w:rsidR="0003606F">
              <w:rPr>
                <w:rFonts w:ascii="Arial Narrow" w:hAnsi="Arial Narrow" w:cs="Arial"/>
                <w:sz w:val="20"/>
                <w:szCs w:val="20"/>
              </w:rPr>
              <w:fldChar w:fldCharType="separate"/>
            </w:r>
            <w:r w:rsidRPr="001C34E7">
              <w:rPr>
                <w:rFonts w:ascii="Arial Narrow" w:hAnsi="Arial Narrow" w:cs="Arial"/>
                <w:sz w:val="20"/>
                <w:szCs w:val="20"/>
              </w:rPr>
              <w:fldChar w:fldCharType="end"/>
            </w:r>
            <w:r w:rsidRPr="001C34E7">
              <w:rPr>
                <w:rFonts w:ascii="Arial Narrow" w:hAnsi="Arial Narrow" w:cs="Arial"/>
                <w:sz w:val="20"/>
                <w:szCs w:val="20"/>
              </w:rPr>
              <w:t xml:space="preserve">Medical Practitioners </w:t>
            </w:r>
            <w:r w:rsidRPr="001C34E7">
              <w:rPr>
                <w:rFonts w:ascii="Arial Narrow" w:hAnsi="Arial Narrow" w:cs="Arial"/>
                <w:sz w:val="20"/>
                <w:szCs w:val="20"/>
              </w:rPr>
              <w:fldChar w:fldCharType="begin">
                <w:ffData>
                  <w:name w:val="Check3"/>
                  <w:enabled/>
                  <w:calcOnExit w:val="0"/>
                  <w:checkBox>
                    <w:sizeAuto/>
                    <w:default w:val="1"/>
                  </w:checkBox>
                </w:ffData>
              </w:fldChar>
            </w:r>
            <w:r w:rsidRPr="001C34E7">
              <w:rPr>
                <w:rFonts w:ascii="Arial Narrow" w:hAnsi="Arial Narrow" w:cs="Arial"/>
                <w:sz w:val="20"/>
                <w:szCs w:val="20"/>
              </w:rPr>
              <w:instrText xml:space="preserve"> FORMCHECKBOX </w:instrText>
            </w:r>
            <w:r w:rsidR="0003606F">
              <w:rPr>
                <w:rFonts w:ascii="Arial Narrow" w:hAnsi="Arial Narrow" w:cs="Arial"/>
                <w:sz w:val="20"/>
                <w:szCs w:val="20"/>
              </w:rPr>
            </w:r>
            <w:r w:rsidR="0003606F">
              <w:rPr>
                <w:rFonts w:ascii="Arial Narrow" w:hAnsi="Arial Narrow" w:cs="Arial"/>
                <w:sz w:val="20"/>
                <w:szCs w:val="20"/>
              </w:rPr>
              <w:fldChar w:fldCharType="separate"/>
            </w:r>
            <w:r w:rsidRPr="001C34E7">
              <w:rPr>
                <w:rFonts w:ascii="Arial Narrow" w:hAnsi="Arial Narrow" w:cs="Arial"/>
                <w:sz w:val="20"/>
                <w:szCs w:val="20"/>
              </w:rPr>
              <w:fldChar w:fldCharType="end"/>
            </w:r>
            <w:r w:rsidRPr="001C34E7">
              <w:rPr>
                <w:rFonts w:ascii="Arial Narrow" w:hAnsi="Arial Narrow" w:cs="Arial"/>
                <w:sz w:val="20"/>
                <w:szCs w:val="20"/>
              </w:rPr>
              <w:t xml:space="preserve">Nurse practitioners </w:t>
            </w:r>
          </w:p>
        </w:tc>
      </w:tr>
      <w:tr w:rsidR="0026673B" w:rsidRPr="008507E4" w14:paraId="74713EF1" w14:textId="77777777" w:rsidTr="00E80446">
        <w:tblPrEx>
          <w:tblCellMar>
            <w:top w:w="15" w:type="dxa"/>
            <w:bottom w:w="15" w:type="dxa"/>
          </w:tblCellMar>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234F393" w14:textId="1B5A5772" w:rsidR="0026673B" w:rsidRPr="001C34E7" w:rsidRDefault="0026673B" w:rsidP="00BD5CEB">
            <w:pPr>
              <w:keepLines/>
              <w:rPr>
                <w:rFonts w:ascii="Arial Narrow" w:eastAsia="Calibri" w:hAnsi="Arial Narrow" w:cs="Arial"/>
                <w:sz w:val="20"/>
                <w:szCs w:val="20"/>
              </w:rPr>
            </w:pPr>
            <w:r w:rsidRPr="001C34E7">
              <w:rPr>
                <w:rFonts w:ascii="Arial Narrow" w:hAnsi="Arial Narrow" w:cs="Arial"/>
                <w:b/>
                <w:sz w:val="20"/>
                <w:szCs w:val="20"/>
              </w:rPr>
              <w:t xml:space="preserve">Restriction type: </w:t>
            </w:r>
            <w:r w:rsidRPr="001C34E7">
              <w:rPr>
                <w:rFonts w:ascii="Arial Narrow" w:eastAsia="Calibri" w:hAnsi="Arial Narrow" w:cs="Arial"/>
                <w:sz w:val="20"/>
                <w:szCs w:val="20"/>
              </w:rPr>
              <w:fldChar w:fldCharType="begin">
                <w:ffData>
                  <w:name w:val="Check1"/>
                  <w:enabled/>
                  <w:calcOnExit w:val="0"/>
                  <w:checkBox>
                    <w:sizeAuto/>
                    <w:default w:val="1"/>
                  </w:checkBox>
                </w:ffData>
              </w:fldChar>
            </w:r>
            <w:r w:rsidRPr="001C34E7">
              <w:rPr>
                <w:rFonts w:ascii="Arial Narrow" w:eastAsia="Calibri" w:hAnsi="Arial Narrow" w:cs="Arial"/>
                <w:sz w:val="20"/>
                <w:szCs w:val="20"/>
              </w:rPr>
              <w:instrText xml:space="preserve"> FORMCHECKBOX </w:instrText>
            </w:r>
            <w:r w:rsidR="0003606F">
              <w:rPr>
                <w:rFonts w:ascii="Arial Narrow" w:eastAsia="Calibri" w:hAnsi="Arial Narrow" w:cs="Arial"/>
                <w:sz w:val="20"/>
                <w:szCs w:val="20"/>
              </w:rPr>
            </w:r>
            <w:r w:rsidR="0003606F">
              <w:rPr>
                <w:rFonts w:ascii="Arial Narrow" w:eastAsia="Calibri" w:hAnsi="Arial Narrow" w:cs="Arial"/>
                <w:sz w:val="20"/>
                <w:szCs w:val="20"/>
              </w:rPr>
              <w:fldChar w:fldCharType="separate"/>
            </w:r>
            <w:r w:rsidRPr="001C34E7">
              <w:rPr>
                <w:rFonts w:ascii="Arial Narrow" w:eastAsia="Calibri" w:hAnsi="Arial Narrow" w:cs="Arial"/>
                <w:sz w:val="20"/>
                <w:szCs w:val="20"/>
              </w:rPr>
              <w:fldChar w:fldCharType="end"/>
            </w:r>
            <w:r w:rsidRPr="001C34E7">
              <w:rPr>
                <w:rFonts w:ascii="Arial Narrow" w:eastAsia="Calibri" w:hAnsi="Arial Narrow" w:cs="Arial"/>
                <w:sz w:val="20"/>
                <w:szCs w:val="20"/>
              </w:rPr>
              <w:t>Authority Required (STREAMLINED)</w:t>
            </w:r>
          </w:p>
        </w:tc>
      </w:tr>
      <w:tr w:rsidR="0026673B" w:rsidRPr="008507E4" w14:paraId="5AD015E6" w14:textId="77777777" w:rsidTr="00E80446">
        <w:tblPrEx>
          <w:tblCellMar>
            <w:top w:w="15" w:type="dxa"/>
            <w:bottom w:w="15" w:type="dxa"/>
          </w:tblCellMar>
        </w:tblPrEx>
        <w:trPr>
          <w:gridAfter w:val="1"/>
          <w:wAfter w:w="6" w:type="dxa"/>
          <w:cantSplit/>
          <w:trHeight w:val="20"/>
        </w:trPr>
        <w:tc>
          <w:tcPr>
            <w:tcW w:w="9010" w:type="dxa"/>
            <w:gridSpan w:val="6"/>
            <w:vAlign w:val="center"/>
            <w:hideMark/>
          </w:tcPr>
          <w:p w14:paraId="0F02003E" w14:textId="77777777" w:rsidR="0026673B" w:rsidRPr="001C34E7" w:rsidRDefault="0026673B" w:rsidP="00BD5CEB">
            <w:pPr>
              <w:keepLines/>
              <w:rPr>
                <w:rFonts w:ascii="Arial Narrow" w:hAnsi="Arial Narrow"/>
                <w:sz w:val="20"/>
                <w:szCs w:val="20"/>
              </w:rPr>
            </w:pPr>
            <w:r w:rsidRPr="001C34E7">
              <w:rPr>
                <w:rFonts w:ascii="Arial Narrow" w:hAnsi="Arial Narrow"/>
                <w:b/>
                <w:bCs/>
                <w:sz w:val="20"/>
                <w:szCs w:val="20"/>
              </w:rPr>
              <w:t>Indication:</w:t>
            </w:r>
            <w:r w:rsidRPr="001C34E7">
              <w:rPr>
                <w:rFonts w:ascii="Arial Narrow" w:hAnsi="Arial Narrow"/>
                <w:sz w:val="20"/>
                <w:szCs w:val="20"/>
              </w:rPr>
              <w:t xml:space="preserve"> Chronic stable plaque type psoriasis vulgaris</w:t>
            </w:r>
          </w:p>
        </w:tc>
      </w:tr>
      <w:tr w:rsidR="0026673B" w:rsidRPr="008507E4" w14:paraId="7310DE8A"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17715D31" w14:textId="7E88CA80" w:rsidR="0026673B" w:rsidRPr="001C34E7" w:rsidRDefault="0026673B" w:rsidP="00BD5CEB">
            <w:pPr>
              <w:keepLines/>
              <w:rPr>
                <w:rFonts w:ascii="Arial Narrow" w:hAnsi="Arial Narrow"/>
                <w:b/>
                <w:bCs/>
                <w:sz w:val="20"/>
                <w:szCs w:val="20"/>
              </w:rPr>
            </w:pPr>
          </w:p>
        </w:tc>
      </w:tr>
      <w:tr w:rsidR="0026673B" w:rsidRPr="008507E4" w14:paraId="10C52249" w14:textId="77777777" w:rsidTr="00E80446">
        <w:tblPrEx>
          <w:tblCellMar>
            <w:top w:w="15" w:type="dxa"/>
            <w:bottom w:w="15" w:type="dxa"/>
          </w:tblCellMar>
        </w:tblPrEx>
        <w:trPr>
          <w:gridAfter w:val="1"/>
          <w:wAfter w:w="6" w:type="dxa"/>
          <w:cantSplit/>
          <w:trHeight w:val="20"/>
        </w:trPr>
        <w:tc>
          <w:tcPr>
            <w:tcW w:w="9010" w:type="dxa"/>
            <w:gridSpan w:val="6"/>
            <w:vAlign w:val="center"/>
            <w:hideMark/>
          </w:tcPr>
          <w:p w14:paraId="1D66EDFF" w14:textId="77777777" w:rsidR="0026673B" w:rsidRPr="001C34E7" w:rsidRDefault="0026673B" w:rsidP="00BD5CEB">
            <w:pPr>
              <w:rPr>
                <w:rFonts w:ascii="Arial Narrow" w:hAnsi="Arial Narrow"/>
                <w:sz w:val="20"/>
                <w:szCs w:val="20"/>
              </w:rPr>
            </w:pPr>
            <w:r w:rsidRPr="001C34E7">
              <w:rPr>
                <w:rFonts w:ascii="Arial Narrow" w:hAnsi="Arial Narrow"/>
                <w:b/>
                <w:bCs/>
                <w:sz w:val="20"/>
                <w:szCs w:val="20"/>
              </w:rPr>
              <w:t>Clinical criteria:</w:t>
            </w:r>
          </w:p>
        </w:tc>
      </w:tr>
      <w:tr w:rsidR="0026673B" w:rsidRPr="008507E4" w14:paraId="5D5E4797" w14:textId="77777777" w:rsidTr="00E80446">
        <w:tblPrEx>
          <w:tblCellMar>
            <w:top w:w="15" w:type="dxa"/>
            <w:bottom w:w="15" w:type="dxa"/>
          </w:tblCellMar>
        </w:tblPrEx>
        <w:trPr>
          <w:gridAfter w:val="1"/>
          <w:wAfter w:w="6" w:type="dxa"/>
          <w:cantSplit/>
          <w:trHeight w:val="20"/>
        </w:trPr>
        <w:tc>
          <w:tcPr>
            <w:tcW w:w="9010" w:type="dxa"/>
            <w:gridSpan w:val="6"/>
            <w:vAlign w:val="center"/>
            <w:hideMark/>
          </w:tcPr>
          <w:p w14:paraId="09DF7A2A" w14:textId="77777777" w:rsidR="0026673B" w:rsidRPr="001C34E7" w:rsidRDefault="0026673B" w:rsidP="00BD5CEB">
            <w:pPr>
              <w:rPr>
                <w:rFonts w:ascii="Arial Narrow" w:hAnsi="Arial Narrow"/>
                <w:sz w:val="20"/>
                <w:szCs w:val="20"/>
              </w:rPr>
            </w:pPr>
            <w:r w:rsidRPr="001C34E7">
              <w:rPr>
                <w:rFonts w:ascii="Arial Narrow" w:hAnsi="Arial Narrow"/>
                <w:sz w:val="20"/>
                <w:szCs w:val="20"/>
              </w:rPr>
              <w:t>The condition must be inadequately controlled by potent topical corticosteroid monotherapy</w:t>
            </w:r>
          </w:p>
        </w:tc>
      </w:tr>
      <w:tr w:rsidR="0026673B" w:rsidRPr="008507E4" w14:paraId="138A919F"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7AA47E34" w14:textId="6FB279ED" w:rsidR="0026673B" w:rsidRPr="001C34E7" w:rsidRDefault="0026673B" w:rsidP="00BD5CEB">
            <w:pPr>
              <w:rPr>
                <w:rFonts w:ascii="Arial Narrow" w:hAnsi="Arial Narrow"/>
                <w:b/>
                <w:bCs/>
                <w:sz w:val="20"/>
                <w:szCs w:val="20"/>
              </w:rPr>
            </w:pPr>
            <w:r w:rsidRPr="001C34E7">
              <w:rPr>
                <w:rFonts w:ascii="Arial Narrow" w:hAnsi="Arial Narrow"/>
                <w:b/>
                <w:bCs/>
                <w:sz w:val="20"/>
                <w:szCs w:val="20"/>
              </w:rPr>
              <w:t>AND</w:t>
            </w:r>
          </w:p>
        </w:tc>
      </w:tr>
      <w:tr w:rsidR="0026673B" w:rsidRPr="008507E4" w14:paraId="56E680FA"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73A9DF40" w14:textId="7BE0C4D0" w:rsidR="0026673B" w:rsidRPr="001C34E7" w:rsidRDefault="0026673B" w:rsidP="00BD5CEB">
            <w:pPr>
              <w:rPr>
                <w:rFonts w:ascii="Arial Narrow" w:hAnsi="Arial Narrow"/>
                <w:b/>
                <w:bCs/>
                <w:sz w:val="20"/>
                <w:szCs w:val="20"/>
              </w:rPr>
            </w:pPr>
            <w:r w:rsidRPr="001C34E7">
              <w:rPr>
                <w:rFonts w:ascii="Arial Narrow" w:hAnsi="Arial Narrow"/>
                <w:b/>
                <w:bCs/>
                <w:sz w:val="20"/>
                <w:szCs w:val="20"/>
              </w:rPr>
              <w:t>Clinical criteria:</w:t>
            </w:r>
          </w:p>
        </w:tc>
      </w:tr>
      <w:tr w:rsidR="0026673B" w:rsidRPr="008507E4" w14:paraId="758F6B4E"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78D3EF47" w14:textId="49963A7E" w:rsidR="0026673B" w:rsidRPr="001C34E7" w:rsidRDefault="0026673B" w:rsidP="00BD5CEB">
            <w:pPr>
              <w:rPr>
                <w:rFonts w:ascii="Arial Narrow" w:hAnsi="Arial Narrow"/>
                <w:sz w:val="20"/>
                <w:szCs w:val="20"/>
              </w:rPr>
            </w:pPr>
            <w:r w:rsidRPr="001C34E7">
              <w:rPr>
                <w:rFonts w:ascii="Arial Narrow" w:hAnsi="Arial Narrow"/>
                <w:sz w:val="20"/>
                <w:szCs w:val="20"/>
              </w:rPr>
              <w:t>The condition must be affecting an area greater than 5% and less than 30% of the patient’s body surface area</w:t>
            </w:r>
            <w:r w:rsidRPr="001C34E7">
              <w:rPr>
                <w:rFonts w:ascii="Arial Narrow" w:hAnsi="Arial Narrow"/>
                <w:strike/>
                <w:sz w:val="20"/>
                <w:szCs w:val="20"/>
              </w:rPr>
              <w:t xml:space="preserve"> (BSA)</w:t>
            </w:r>
          </w:p>
        </w:tc>
      </w:tr>
      <w:tr w:rsidR="0026673B" w:rsidRPr="008507E4" w14:paraId="216A5A5F"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0D877A45" w14:textId="00798C70" w:rsidR="0026673B" w:rsidRPr="001C34E7" w:rsidRDefault="0026673B" w:rsidP="00BD5CEB">
            <w:pPr>
              <w:rPr>
                <w:rFonts w:ascii="Arial Narrow" w:hAnsi="Arial Narrow"/>
                <w:b/>
                <w:bCs/>
                <w:sz w:val="20"/>
                <w:szCs w:val="20"/>
              </w:rPr>
            </w:pPr>
            <w:r w:rsidRPr="001C34E7">
              <w:rPr>
                <w:rFonts w:ascii="Arial Narrow" w:hAnsi="Arial Narrow"/>
                <w:b/>
                <w:bCs/>
                <w:sz w:val="20"/>
                <w:szCs w:val="20"/>
              </w:rPr>
              <w:t>AND</w:t>
            </w:r>
          </w:p>
        </w:tc>
      </w:tr>
      <w:tr w:rsidR="0026673B" w:rsidRPr="008507E4" w14:paraId="6F3882C3"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06F48FAD" w14:textId="54AAD275" w:rsidR="0026673B" w:rsidRPr="001C34E7" w:rsidRDefault="0026673B" w:rsidP="00BD5CEB">
            <w:pPr>
              <w:rPr>
                <w:rFonts w:ascii="Arial Narrow" w:hAnsi="Arial Narrow"/>
                <w:b/>
                <w:bCs/>
                <w:sz w:val="20"/>
                <w:szCs w:val="20"/>
              </w:rPr>
            </w:pPr>
            <w:r w:rsidRPr="001C34E7">
              <w:rPr>
                <w:rFonts w:ascii="Arial Narrow" w:hAnsi="Arial Narrow"/>
                <w:b/>
                <w:bCs/>
                <w:sz w:val="20"/>
                <w:szCs w:val="20"/>
              </w:rPr>
              <w:t>Clinical criteria:</w:t>
            </w:r>
          </w:p>
        </w:tc>
      </w:tr>
      <w:tr w:rsidR="0026673B" w:rsidRPr="008507E4" w14:paraId="777531C5"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3FE2B637" w14:textId="756699E9" w:rsidR="0026673B" w:rsidRPr="001C34E7" w:rsidRDefault="0026673B" w:rsidP="00BD5CEB">
            <w:pPr>
              <w:rPr>
                <w:rFonts w:ascii="Arial Narrow" w:hAnsi="Arial Narrow"/>
                <w:i/>
                <w:iCs/>
                <w:sz w:val="20"/>
                <w:szCs w:val="20"/>
              </w:rPr>
            </w:pPr>
            <w:r w:rsidRPr="001C34E7">
              <w:rPr>
                <w:rFonts w:ascii="Arial Narrow" w:hAnsi="Arial Narrow"/>
                <w:sz w:val="20"/>
                <w:szCs w:val="20"/>
              </w:rPr>
              <w:t>The treatment must require a dosing frequency</w:t>
            </w:r>
            <w:r w:rsidRPr="001C34E7">
              <w:rPr>
                <w:rFonts w:ascii="Arial Narrow" w:hAnsi="Arial Narrow"/>
                <w:i/>
                <w:iCs/>
                <w:sz w:val="20"/>
                <w:szCs w:val="20"/>
              </w:rPr>
              <w:t xml:space="preserve"> </w:t>
            </w:r>
            <w:r w:rsidRPr="001C34E7">
              <w:rPr>
                <w:rFonts w:ascii="Arial Narrow" w:hAnsi="Arial Narrow"/>
                <w:strike/>
                <w:sz w:val="20"/>
                <w:szCs w:val="20"/>
              </w:rPr>
              <w:t xml:space="preserve">that would render </w:t>
            </w:r>
            <w:r w:rsidRPr="001C34E7">
              <w:rPr>
                <w:rFonts w:ascii="Arial Narrow" w:hAnsi="Arial Narrow"/>
                <w:i/>
                <w:iCs/>
                <w:sz w:val="20"/>
                <w:szCs w:val="20"/>
              </w:rPr>
              <w:t xml:space="preserve">where </w:t>
            </w:r>
            <w:r w:rsidRPr="001C34E7">
              <w:rPr>
                <w:rFonts w:ascii="Arial Narrow" w:hAnsi="Arial Narrow"/>
                <w:sz w:val="20"/>
                <w:szCs w:val="20"/>
              </w:rPr>
              <w:t>a single</w:t>
            </w:r>
            <w:r w:rsidRPr="001C34E7">
              <w:rPr>
                <w:rFonts w:ascii="Arial Narrow" w:hAnsi="Arial Narrow"/>
                <w:i/>
                <w:iCs/>
                <w:sz w:val="20"/>
                <w:szCs w:val="20"/>
              </w:rPr>
              <w:t xml:space="preserve"> foam </w:t>
            </w:r>
            <w:r w:rsidRPr="001C34E7">
              <w:rPr>
                <w:rFonts w:ascii="Arial Narrow" w:hAnsi="Arial Narrow"/>
                <w:sz w:val="20"/>
                <w:szCs w:val="20"/>
              </w:rPr>
              <w:t>can</w:t>
            </w:r>
            <w:r w:rsidRPr="001C34E7">
              <w:rPr>
                <w:rFonts w:ascii="Arial Narrow" w:hAnsi="Arial Narrow"/>
                <w:i/>
                <w:iCs/>
                <w:sz w:val="20"/>
                <w:szCs w:val="20"/>
              </w:rPr>
              <w:t xml:space="preserve"> is </w:t>
            </w:r>
            <w:r w:rsidRPr="001C34E7">
              <w:rPr>
                <w:rFonts w:ascii="Arial Narrow" w:hAnsi="Arial Narrow"/>
                <w:sz w:val="20"/>
                <w:szCs w:val="20"/>
              </w:rPr>
              <w:t>insufficient to provide a full month’s treatment</w:t>
            </w:r>
          </w:p>
        </w:tc>
      </w:tr>
      <w:tr w:rsidR="0026673B" w:rsidRPr="008507E4" w14:paraId="298EE379"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3CFF4F38" w14:textId="02DD1128" w:rsidR="0026673B" w:rsidRPr="001C34E7" w:rsidRDefault="0026673B" w:rsidP="00BD5CEB">
            <w:pPr>
              <w:rPr>
                <w:rFonts w:ascii="Arial Narrow" w:hAnsi="Arial Narrow"/>
                <w:i/>
                <w:iCs/>
                <w:sz w:val="20"/>
                <w:szCs w:val="20"/>
              </w:rPr>
            </w:pPr>
          </w:p>
        </w:tc>
      </w:tr>
      <w:tr w:rsidR="0026673B" w:rsidRPr="008507E4" w14:paraId="6BA7EDA3"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185E503D" w14:textId="77777777" w:rsidR="0026673B" w:rsidRPr="001C34E7" w:rsidRDefault="0026673B" w:rsidP="00BD5CEB">
            <w:pPr>
              <w:rPr>
                <w:rFonts w:ascii="Arial Narrow" w:hAnsi="Arial Narrow"/>
                <w:b/>
                <w:bCs/>
                <w:strike/>
                <w:sz w:val="20"/>
                <w:szCs w:val="20"/>
              </w:rPr>
            </w:pPr>
            <w:r w:rsidRPr="001C34E7">
              <w:rPr>
                <w:rFonts w:ascii="Arial Narrow" w:hAnsi="Arial Narrow"/>
                <w:b/>
                <w:bCs/>
                <w:strike/>
                <w:sz w:val="20"/>
                <w:szCs w:val="20"/>
              </w:rPr>
              <w:t>Prescribing Instructions:</w:t>
            </w:r>
          </w:p>
          <w:p w14:paraId="79772A8A" w14:textId="78025188" w:rsidR="0026673B" w:rsidRPr="001C34E7" w:rsidRDefault="0026673B" w:rsidP="00BD5CEB">
            <w:pPr>
              <w:rPr>
                <w:rFonts w:ascii="Arial Narrow" w:hAnsi="Arial Narrow"/>
                <w:sz w:val="20"/>
                <w:szCs w:val="20"/>
              </w:rPr>
            </w:pPr>
            <w:r w:rsidRPr="001C34E7">
              <w:rPr>
                <w:rFonts w:ascii="Arial Narrow" w:hAnsi="Arial Narrow"/>
                <w:strike/>
                <w:sz w:val="20"/>
                <w:szCs w:val="20"/>
              </w:rPr>
              <w:t>Prescribers may use the patient’s palm surface area (PSA) as a proxy for the affected percentage of body surface area (BSA). An affected area of 10 or more PSAs relate to a percentage of BSA of 5% or greater</w:t>
            </w:r>
            <w:r w:rsidRPr="001C34E7">
              <w:rPr>
                <w:rFonts w:ascii="Arial Narrow" w:hAnsi="Arial Narrow"/>
                <w:sz w:val="20"/>
                <w:szCs w:val="20"/>
              </w:rPr>
              <w:t>.</w:t>
            </w:r>
          </w:p>
        </w:tc>
      </w:tr>
      <w:tr w:rsidR="0026673B" w:rsidRPr="008507E4" w14:paraId="2C02E078"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213245D3" w14:textId="77777777" w:rsidR="0026673B" w:rsidRPr="001C34E7" w:rsidRDefault="0026673B" w:rsidP="00BD5CEB">
            <w:pPr>
              <w:rPr>
                <w:rFonts w:ascii="Arial Narrow" w:hAnsi="Arial Narrow"/>
                <w:sz w:val="20"/>
                <w:szCs w:val="20"/>
              </w:rPr>
            </w:pPr>
            <w:r w:rsidRPr="001C34E7">
              <w:rPr>
                <w:rFonts w:ascii="Arial Narrow" w:hAnsi="Arial Narrow"/>
                <w:b/>
                <w:bCs/>
                <w:sz w:val="20"/>
                <w:szCs w:val="20"/>
              </w:rPr>
              <w:t>Administrative Advice:</w:t>
            </w:r>
          </w:p>
          <w:p w14:paraId="20AD7689" w14:textId="77777777" w:rsidR="0026673B" w:rsidRPr="001C34E7" w:rsidRDefault="0026673B" w:rsidP="00BD5CEB">
            <w:pPr>
              <w:rPr>
                <w:rFonts w:ascii="Arial Narrow" w:hAnsi="Arial Narrow"/>
                <w:sz w:val="20"/>
                <w:szCs w:val="20"/>
              </w:rPr>
            </w:pPr>
            <w:r w:rsidRPr="001C34E7">
              <w:rPr>
                <w:rFonts w:ascii="Arial Narrow" w:hAnsi="Arial Narrow"/>
                <w:sz w:val="20"/>
                <w:szCs w:val="20"/>
              </w:rPr>
              <w:t>Continuing Therapy Only:</w:t>
            </w:r>
          </w:p>
          <w:p w14:paraId="39A9392A" w14:textId="77777777" w:rsidR="0026673B" w:rsidRPr="001C34E7" w:rsidRDefault="0026673B" w:rsidP="00BD5CEB">
            <w:pPr>
              <w:rPr>
                <w:rFonts w:ascii="Arial Narrow" w:hAnsi="Arial Narrow"/>
                <w:sz w:val="20"/>
                <w:szCs w:val="20"/>
              </w:rPr>
            </w:pPr>
            <w:r w:rsidRPr="001C34E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6673B" w:rsidRPr="008507E4" w14:paraId="7BB85D8D" w14:textId="77777777" w:rsidTr="00E80446">
        <w:tblPrEx>
          <w:tblCellMar>
            <w:top w:w="15" w:type="dxa"/>
            <w:bottom w:w="15" w:type="dxa"/>
          </w:tblCellMar>
        </w:tblPrEx>
        <w:trPr>
          <w:gridAfter w:val="1"/>
          <w:wAfter w:w="6" w:type="dxa"/>
          <w:cantSplit/>
          <w:trHeight w:val="20"/>
        </w:trPr>
        <w:tc>
          <w:tcPr>
            <w:tcW w:w="9010" w:type="dxa"/>
            <w:gridSpan w:val="6"/>
            <w:vAlign w:val="center"/>
          </w:tcPr>
          <w:p w14:paraId="607F512A" w14:textId="77777777" w:rsidR="0026673B" w:rsidRPr="001C34E7" w:rsidRDefault="0026673B" w:rsidP="00BD5CEB">
            <w:pPr>
              <w:rPr>
                <w:rFonts w:ascii="Arial Narrow" w:hAnsi="Arial Narrow"/>
                <w:b/>
                <w:bCs/>
                <w:i/>
                <w:iCs/>
                <w:sz w:val="20"/>
                <w:szCs w:val="20"/>
              </w:rPr>
            </w:pPr>
            <w:r w:rsidRPr="001C34E7">
              <w:rPr>
                <w:rFonts w:ascii="Arial Narrow" w:hAnsi="Arial Narrow"/>
                <w:b/>
                <w:bCs/>
                <w:i/>
                <w:iCs/>
                <w:sz w:val="20"/>
                <w:szCs w:val="20"/>
              </w:rPr>
              <w:t>Administrative Advice:</w:t>
            </w:r>
          </w:p>
          <w:p w14:paraId="2F5219E6" w14:textId="52E28EC3" w:rsidR="0026673B" w:rsidRPr="001C34E7" w:rsidRDefault="0026673B" w:rsidP="00BD5CEB">
            <w:pPr>
              <w:rPr>
                <w:rFonts w:ascii="Arial Narrow" w:hAnsi="Arial Narrow"/>
                <w:sz w:val="20"/>
                <w:szCs w:val="20"/>
              </w:rPr>
            </w:pPr>
            <w:r w:rsidRPr="001C34E7">
              <w:rPr>
                <w:rFonts w:ascii="Arial Narrow" w:hAnsi="Arial Narrow"/>
                <w:i/>
                <w:iCs/>
                <w:sz w:val="20"/>
                <w:szCs w:val="20"/>
              </w:rPr>
              <w:t>Prescribers may request an increase to the maximum quantity of this listing (for affected areas of up to 30% of the patient’s body surface area).</w:t>
            </w:r>
          </w:p>
        </w:tc>
      </w:tr>
    </w:tbl>
    <w:p w14:paraId="01662CE5" w14:textId="77777777" w:rsidR="004A1B43" w:rsidRPr="00D124A8" w:rsidRDefault="004A1B43" w:rsidP="00D124A8">
      <w:pPr>
        <w:pStyle w:val="TableFigureFooter"/>
        <w:spacing w:after="0"/>
        <w:rPr>
          <w:sz w:val="12"/>
          <w:szCs w:val="16"/>
        </w:rPr>
      </w:pPr>
    </w:p>
    <w:p w14:paraId="67F9EE31" w14:textId="6FBB5985" w:rsidR="00017D2C" w:rsidRPr="004A1B43" w:rsidRDefault="00AF369A" w:rsidP="004A1B43">
      <w:pPr>
        <w:widowControl w:val="0"/>
        <w:numPr>
          <w:ilvl w:val="1"/>
          <w:numId w:val="2"/>
        </w:numPr>
        <w:spacing w:after="120"/>
        <w:rPr>
          <w:rFonts w:cs="Calibri"/>
          <w:bCs/>
          <w:snapToGrid w:val="0"/>
        </w:rPr>
      </w:pPr>
      <w:r>
        <w:t xml:space="preserve">The submission stated that the proposed listing would not result in unwarranted prescriptions, as it </w:t>
      </w:r>
      <w:r w:rsidR="00564A94">
        <w:t xml:space="preserve">would </w:t>
      </w:r>
      <w:r w:rsidR="00B61157">
        <w:t xml:space="preserve">be </w:t>
      </w:r>
      <w:r>
        <w:t>restricted to patients based on the</w:t>
      </w:r>
      <w:r w:rsidR="00B61157">
        <w:t xml:space="preserve"> percentage of their </w:t>
      </w:r>
      <w:r>
        <w:t>affected BSA</w:t>
      </w:r>
      <w:r w:rsidR="00017D2C">
        <w:t>.</w:t>
      </w:r>
    </w:p>
    <w:p w14:paraId="4C3D014B" w14:textId="77777777" w:rsidR="004A1B43" w:rsidRDefault="00FB42EE" w:rsidP="00981267">
      <w:pPr>
        <w:pStyle w:val="3-BodyText"/>
      </w:pPr>
      <w:r>
        <w:t xml:space="preserve">Prescribers are currently able to seek an increased quantity or increased number of repeats via the </w:t>
      </w:r>
      <w:r w:rsidRPr="003D01BF">
        <w:t>Health Professional Online Service (HPOS) system</w:t>
      </w:r>
      <w:r>
        <w:t xml:space="preserve"> or via telephone authority</w:t>
      </w:r>
      <w:r w:rsidRPr="001D0477">
        <w:t>.</w:t>
      </w:r>
    </w:p>
    <w:p w14:paraId="7ACBD54C" w14:textId="77777777" w:rsidR="004A1B43" w:rsidRPr="004A1B43" w:rsidRDefault="00B605B1" w:rsidP="00981267">
      <w:pPr>
        <w:pStyle w:val="3-BodyText"/>
        <w:rPr>
          <w:szCs w:val="18"/>
        </w:rPr>
      </w:pPr>
      <w:r>
        <w:t>T</w:t>
      </w:r>
      <w:r w:rsidR="00FB42EE" w:rsidRPr="004A7FF9">
        <w:t xml:space="preserve">he current listings </w:t>
      </w:r>
      <w:r>
        <w:t xml:space="preserve">of CBF allow for the </w:t>
      </w:r>
      <w:r w:rsidR="00FB42EE" w:rsidRPr="00FB42EE">
        <w:t>approv</w:t>
      </w:r>
      <w:r>
        <w:t>al of</w:t>
      </w:r>
      <w:r w:rsidR="00FB42EE" w:rsidRPr="00FB42EE">
        <w:t xml:space="preserve"> a </w:t>
      </w:r>
      <w:r w:rsidR="00DC4018">
        <w:t>MQ</w:t>
      </w:r>
      <w:r w:rsidR="00FB42EE" w:rsidRPr="00FB42EE">
        <w:t xml:space="preserve"> </w:t>
      </w:r>
      <w:r>
        <w:t xml:space="preserve">of </w:t>
      </w:r>
      <w:r w:rsidR="00FB42EE" w:rsidRPr="00FB42EE">
        <w:t xml:space="preserve">up to 6 </w:t>
      </w:r>
      <w:r>
        <w:t>foam cans</w:t>
      </w:r>
      <w:r w:rsidR="00FB42EE">
        <w:t>, and up to</w:t>
      </w:r>
      <w:r w:rsidR="00FB42EE" w:rsidRPr="00FB42EE">
        <w:t xml:space="preserve"> 5 repeats through </w:t>
      </w:r>
      <w:r>
        <w:t xml:space="preserve">the </w:t>
      </w:r>
      <w:r w:rsidR="00FB42EE" w:rsidRPr="00FB42EE">
        <w:t>HPOS</w:t>
      </w:r>
      <w:r w:rsidR="00FB42EE">
        <w:t xml:space="preserve">. </w:t>
      </w:r>
    </w:p>
    <w:p w14:paraId="13821193" w14:textId="77777777" w:rsidR="004A1B43" w:rsidRPr="004A1B43" w:rsidRDefault="00FB42EE" w:rsidP="00981267">
      <w:pPr>
        <w:pStyle w:val="3-BodyText"/>
        <w:rPr>
          <w:szCs w:val="18"/>
        </w:rPr>
      </w:pPr>
      <w:r w:rsidRPr="00812159">
        <w:t>Following feedback from clinicians, the submission stated that an Authority Required (S</w:t>
      </w:r>
      <w:r w:rsidR="002362A1" w:rsidRPr="00812159">
        <w:t>TREAMLINED</w:t>
      </w:r>
      <w:r w:rsidRPr="00812159">
        <w:t>) listing was requested over an Authority Required (</w:t>
      </w:r>
      <w:r w:rsidR="002362A1" w:rsidRPr="00812159">
        <w:t>T</w:t>
      </w:r>
      <w:r w:rsidRPr="00812159">
        <w:t>elephone/</w:t>
      </w:r>
      <w:r w:rsidR="002362A1" w:rsidRPr="00812159">
        <w:t>O</w:t>
      </w:r>
      <w:r w:rsidRPr="00812159">
        <w:t>nline) because the latter w</w:t>
      </w:r>
      <w:r w:rsidR="00AC2EA7" w:rsidRPr="00812159">
        <w:t>ould</w:t>
      </w:r>
      <w:r w:rsidRPr="005E266F">
        <w:t xml:space="preserve"> be no different from the current listing which requires a phone call for the prescriptio</w:t>
      </w:r>
      <w:r w:rsidRPr="00812159">
        <w:t xml:space="preserve">n of increased quantities and </w:t>
      </w:r>
      <w:r w:rsidR="00AC2EA7" w:rsidRPr="00812159">
        <w:t xml:space="preserve">would </w:t>
      </w:r>
      <w:r w:rsidRPr="00812159">
        <w:t>therefore remain an administrative burden to prescribers.</w:t>
      </w:r>
    </w:p>
    <w:p w14:paraId="6B370E9B" w14:textId="32C03A1C" w:rsidR="00596C5C" w:rsidRPr="004A1B43" w:rsidRDefault="00596C5C" w:rsidP="00981267">
      <w:pPr>
        <w:pStyle w:val="3-BodyText"/>
        <w:rPr>
          <w:szCs w:val="18"/>
        </w:rPr>
      </w:pPr>
      <w:r>
        <w:t xml:space="preserve">The submission proposed prescribing instructions about the use of palm surface area </w:t>
      </w:r>
      <w:r w:rsidR="00511875">
        <w:t xml:space="preserve">(PSA) </w:t>
      </w:r>
      <w:r>
        <w:t xml:space="preserve">as a measure of BSA for the purposes of this restriction. Mainstream clinical practice </w:t>
      </w:r>
      <w:r w:rsidR="00511875">
        <w:t>uses the Dubois and Dubois</w:t>
      </w:r>
      <w:r w:rsidR="00A071E2">
        <w:rPr>
          <w:rStyle w:val="FootnoteReference"/>
        </w:rPr>
        <w:footnoteReference w:id="2"/>
      </w:r>
      <w:r w:rsidR="00511875">
        <w:t xml:space="preserve"> formula or the Mosteller</w:t>
      </w:r>
      <w:r w:rsidR="00A071E2">
        <w:rPr>
          <w:rStyle w:val="FootnoteReference"/>
        </w:rPr>
        <w:footnoteReference w:id="3"/>
      </w:r>
      <w:r w:rsidR="00511875">
        <w:t xml:space="preserve"> formula to calculate BSA. More information on the PSA method is in the Quality Use of medicines section below.</w:t>
      </w:r>
    </w:p>
    <w:p w14:paraId="302A5F50" w14:textId="4B7405CB" w:rsidR="00271A82" w:rsidRDefault="00271A82" w:rsidP="00271A82">
      <w:pPr>
        <w:pStyle w:val="2-SectionHeading"/>
      </w:pPr>
      <w:r>
        <w:t>Cons</w:t>
      </w:r>
      <w:r w:rsidR="00350D27">
        <w:t>i</w:t>
      </w:r>
      <w:r>
        <w:t>deration of the evidence</w:t>
      </w:r>
    </w:p>
    <w:p w14:paraId="6B1A3045" w14:textId="77777777" w:rsidR="003A642E" w:rsidRPr="006E1229" w:rsidRDefault="003A642E" w:rsidP="003A642E">
      <w:pPr>
        <w:pStyle w:val="4-SubsectionHeading"/>
        <w:keepNext w:val="0"/>
        <w:rPr>
          <w:lang w:eastAsia="en-US"/>
        </w:rPr>
      </w:pPr>
      <w:r w:rsidRPr="00255127">
        <w:rPr>
          <w:lang w:eastAsia="en-US"/>
        </w:rPr>
        <w:t>Sponsor hearing</w:t>
      </w:r>
    </w:p>
    <w:p w14:paraId="2E92BBB9" w14:textId="362F382B" w:rsidR="003A642E" w:rsidRPr="00F91542" w:rsidRDefault="003A642E" w:rsidP="003A642E">
      <w:pPr>
        <w:widowControl w:val="0"/>
        <w:numPr>
          <w:ilvl w:val="1"/>
          <w:numId w:val="2"/>
        </w:numPr>
        <w:spacing w:after="120"/>
        <w:rPr>
          <w:rFonts w:cs="Calibri"/>
          <w:bCs/>
          <w:snapToGrid w:val="0"/>
        </w:rPr>
      </w:pPr>
      <w:r w:rsidRPr="00F91542">
        <w:rPr>
          <w:rFonts w:cs="Calibri"/>
          <w:bCs/>
          <w:snapToGrid w:val="0"/>
        </w:rPr>
        <w:t>There was no hearing for this item.</w:t>
      </w:r>
    </w:p>
    <w:p w14:paraId="4E387502" w14:textId="03C5F58C" w:rsidR="003A642E" w:rsidRDefault="003A642E" w:rsidP="003A642E">
      <w:pPr>
        <w:pStyle w:val="4-SubsectionHeading"/>
        <w:keepNext w:val="0"/>
        <w:rPr>
          <w:lang w:eastAsia="en-US"/>
        </w:rPr>
      </w:pPr>
      <w:r w:rsidRPr="00853F1D">
        <w:rPr>
          <w:lang w:eastAsia="en-US"/>
        </w:rPr>
        <w:t>Consumer comments</w:t>
      </w:r>
      <w:r>
        <w:rPr>
          <w:lang w:eastAsia="en-US"/>
        </w:rPr>
        <w:t xml:space="preserve"> </w:t>
      </w:r>
    </w:p>
    <w:p w14:paraId="6D4D189B" w14:textId="6BEBE9B2" w:rsidR="0051641F" w:rsidRPr="004A1B43" w:rsidRDefault="003A642E" w:rsidP="004A1B43">
      <w:pPr>
        <w:widowControl w:val="0"/>
        <w:numPr>
          <w:ilvl w:val="1"/>
          <w:numId w:val="2"/>
        </w:numPr>
        <w:spacing w:after="120"/>
        <w:rPr>
          <w:rFonts w:cs="Calibri"/>
          <w:bCs/>
          <w:snapToGrid w:val="0"/>
        </w:rPr>
      </w:pPr>
      <w:bookmarkStart w:id="2" w:name="_Hlk76382618"/>
      <w:r w:rsidRPr="004A1B43">
        <w:rPr>
          <w:snapToGrid w:val="0"/>
        </w:rPr>
        <w:t>The PBAC noted and welcomed the input from health care professionals (</w:t>
      </w:r>
      <w:r w:rsidR="00FC3DA9" w:rsidRPr="004A1B43">
        <w:rPr>
          <w:snapToGrid w:val="0"/>
        </w:rPr>
        <w:t>9</w:t>
      </w:r>
      <w:r w:rsidRPr="004A1B43">
        <w:rPr>
          <w:snapToGrid w:val="0"/>
        </w:rPr>
        <w:t>)</w:t>
      </w:r>
      <w:r w:rsidR="00FC3DA9" w:rsidRPr="004A1B43">
        <w:rPr>
          <w:snapToGrid w:val="0"/>
        </w:rPr>
        <w:t>,</w:t>
      </w:r>
      <w:r w:rsidR="001D168C" w:rsidRPr="004A1B43">
        <w:rPr>
          <w:snapToGrid w:val="0"/>
        </w:rPr>
        <w:t xml:space="preserve"> a</w:t>
      </w:r>
      <w:r w:rsidR="00FC3DA9" w:rsidRPr="004A1B43">
        <w:rPr>
          <w:snapToGrid w:val="0"/>
        </w:rPr>
        <w:t xml:space="preserve"> medical organisation (1)</w:t>
      </w:r>
      <w:r w:rsidRPr="004A1B43">
        <w:rPr>
          <w:snapToGrid w:val="0"/>
        </w:rPr>
        <w:t xml:space="preserve"> and</w:t>
      </w:r>
      <w:r w:rsidR="001D168C" w:rsidRPr="004A1B43">
        <w:rPr>
          <w:snapToGrid w:val="0"/>
        </w:rPr>
        <w:t xml:space="preserve"> a</w:t>
      </w:r>
      <w:r w:rsidRPr="004A1B43">
        <w:rPr>
          <w:snapToGrid w:val="0"/>
        </w:rPr>
        <w:t xml:space="preserve"> </w:t>
      </w:r>
      <w:r w:rsidR="00FC3DA9" w:rsidRPr="004A1B43">
        <w:rPr>
          <w:snapToGrid w:val="0"/>
        </w:rPr>
        <w:t>consumer group/</w:t>
      </w:r>
      <w:r w:rsidRPr="004A1B43">
        <w:rPr>
          <w:snapToGrid w:val="0"/>
        </w:rPr>
        <w:t>organisations (1) via the Consumer Comments facility on the PBS website. The comments</w:t>
      </w:r>
      <w:r w:rsidR="00CF5F75" w:rsidRPr="004A1B43">
        <w:rPr>
          <w:snapToGrid w:val="0"/>
        </w:rPr>
        <w:t xml:space="preserve"> from the health care professionals </w:t>
      </w:r>
      <w:r w:rsidRPr="004A1B43">
        <w:rPr>
          <w:snapToGrid w:val="0"/>
        </w:rPr>
        <w:t xml:space="preserve"> </w:t>
      </w:r>
      <w:r w:rsidR="001D168C" w:rsidRPr="004A1B43">
        <w:rPr>
          <w:snapToGrid w:val="0"/>
        </w:rPr>
        <w:t xml:space="preserve">highlighted </w:t>
      </w:r>
      <w:r w:rsidR="006339D8" w:rsidRPr="004A1B43">
        <w:rPr>
          <w:snapToGrid w:val="0"/>
        </w:rPr>
        <w:t xml:space="preserve">CBF’s </w:t>
      </w:r>
      <w:r w:rsidR="00CF5F75" w:rsidRPr="004A1B43">
        <w:rPr>
          <w:snapToGrid w:val="0"/>
        </w:rPr>
        <w:t xml:space="preserve">effectiveness </w:t>
      </w:r>
      <w:r w:rsidR="00CF1E78" w:rsidRPr="004A1B43">
        <w:rPr>
          <w:snapToGrid w:val="0"/>
        </w:rPr>
        <w:t>in</w:t>
      </w:r>
      <w:r w:rsidR="00CF5F75" w:rsidRPr="004A1B43">
        <w:rPr>
          <w:snapToGrid w:val="0"/>
        </w:rPr>
        <w:t xml:space="preserve"> treat</w:t>
      </w:r>
      <w:r w:rsidR="00CF1E78" w:rsidRPr="004A1B43">
        <w:rPr>
          <w:snapToGrid w:val="0"/>
        </w:rPr>
        <w:t>ing</w:t>
      </w:r>
      <w:r w:rsidR="00CF5F75" w:rsidRPr="004A1B43">
        <w:rPr>
          <w:snapToGrid w:val="0"/>
        </w:rPr>
        <w:t xml:space="preserve"> psoriasis vulgaris </w:t>
      </w:r>
      <w:r w:rsidR="00CF1E78" w:rsidRPr="004A1B43">
        <w:rPr>
          <w:snapToGrid w:val="0"/>
        </w:rPr>
        <w:t xml:space="preserve">for </w:t>
      </w:r>
      <w:r w:rsidR="0051641F" w:rsidRPr="004A1B43">
        <w:rPr>
          <w:snapToGrid w:val="0"/>
        </w:rPr>
        <w:t xml:space="preserve">up to 30% </w:t>
      </w:r>
      <w:r w:rsidR="00CF1E78" w:rsidRPr="004A1B43">
        <w:rPr>
          <w:snapToGrid w:val="0"/>
        </w:rPr>
        <w:t xml:space="preserve">of </w:t>
      </w:r>
      <w:r w:rsidR="001D168C" w:rsidRPr="004A1B43">
        <w:rPr>
          <w:snapToGrid w:val="0"/>
        </w:rPr>
        <w:t xml:space="preserve">BSA </w:t>
      </w:r>
      <w:r w:rsidR="0051641F" w:rsidRPr="004A1B43">
        <w:rPr>
          <w:snapToGrid w:val="0"/>
        </w:rPr>
        <w:t xml:space="preserve">and emphasised </w:t>
      </w:r>
      <w:r w:rsidR="00CF1E78" w:rsidRPr="004A1B43">
        <w:rPr>
          <w:snapToGrid w:val="0"/>
        </w:rPr>
        <w:t>that</w:t>
      </w:r>
      <w:r w:rsidR="0051641F" w:rsidRPr="004A1B43">
        <w:rPr>
          <w:snapToGrid w:val="0"/>
        </w:rPr>
        <w:t xml:space="preserve"> sufficient treatment quantity </w:t>
      </w:r>
      <w:r w:rsidR="00CF1E78" w:rsidRPr="004A1B43">
        <w:rPr>
          <w:snapToGrid w:val="0"/>
        </w:rPr>
        <w:t xml:space="preserve">is crucial </w:t>
      </w:r>
      <w:r w:rsidR="0051641F" w:rsidRPr="004A1B43">
        <w:rPr>
          <w:snapToGrid w:val="0"/>
        </w:rPr>
        <w:t>to achiev</w:t>
      </w:r>
      <w:r w:rsidR="00CF1E78" w:rsidRPr="004A1B43">
        <w:rPr>
          <w:snapToGrid w:val="0"/>
        </w:rPr>
        <w:t>ing</w:t>
      </w:r>
      <w:r w:rsidR="0051641F" w:rsidRPr="004A1B43">
        <w:rPr>
          <w:snapToGrid w:val="0"/>
        </w:rPr>
        <w:t xml:space="preserve"> therapeutic results.</w:t>
      </w:r>
      <w:r w:rsidR="005F7612" w:rsidRPr="004A1B43">
        <w:rPr>
          <w:snapToGrid w:val="0"/>
        </w:rPr>
        <w:t xml:space="preserve"> The comments further outlined </w:t>
      </w:r>
      <w:r w:rsidR="00D91BC2" w:rsidRPr="004A1B43">
        <w:rPr>
          <w:snapToGrid w:val="0"/>
        </w:rPr>
        <w:t>that CBF is well tolerated</w:t>
      </w:r>
      <w:r w:rsidR="005F7612" w:rsidRPr="004A1B43">
        <w:rPr>
          <w:snapToGrid w:val="0"/>
        </w:rPr>
        <w:t xml:space="preserve"> systemic</w:t>
      </w:r>
      <w:r w:rsidR="00D91BC2" w:rsidRPr="004A1B43">
        <w:rPr>
          <w:snapToGrid w:val="0"/>
        </w:rPr>
        <w:t>ally</w:t>
      </w:r>
      <w:r w:rsidR="005F7612" w:rsidRPr="004A1B43">
        <w:rPr>
          <w:snapToGrid w:val="0"/>
        </w:rPr>
        <w:t xml:space="preserve"> and that increasing the maximum quantity </w:t>
      </w:r>
      <w:r w:rsidR="009639DE" w:rsidRPr="004A1B43">
        <w:rPr>
          <w:snapToGrid w:val="0"/>
        </w:rPr>
        <w:t xml:space="preserve">would improve </w:t>
      </w:r>
      <w:r w:rsidR="00CF1E78" w:rsidRPr="004A1B43">
        <w:rPr>
          <w:snapToGrid w:val="0"/>
        </w:rPr>
        <w:t>patient</w:t>
      </w:r>
      <w:r w:rsidR="009639DE" w:rsidRPr="004A1B43">
        <w:rPr>
          <w:snapToGrid w:val="0"/>
        </w:rPr>
        <w:t xml:space="preserve"> quality of life.</w:t>
      </w:r>
    </w:p>
    <w:p w14:paraId="63D6261B" w14:textId="45A053C5" w:rsidR="00012C26" w:rsidRPr="00853F1D" w:rsidRDefault="00020977" w:rsidP="00853F1D">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 xml:space="preserve">The PBAC noted </w:t>
      </w:r>
      <w:r w:rsidR="00600631">
        <w:rPr>
          <w:rFonts w:asciiTheme="minorHAnsi" w:hAnsiTheme="minorHAnsi" w:cs="Arial"/>
          <w:bCs/>
          <w:snapToGrid w:val="0"/>
        </w:rPr>
        <w:t>input received from</w:t>
      </w:r>
      <w:r w:rsidR="00600631" w:rsidRPr="00600631">
        <w:t xml:space="preserve"> </w:t>
      </w:r>
      <w:r w:rsidR="00D77DFB">
        <w:t>t</w:t>
      </w:r>
      <w:r w:rsidR="00600631" w:rsidRPr="00600631">
        <w:rPr>
          <w:rFonts w:asciiTheme="minorHAnsi" w:hAnsiTheme="minorHAnsi" w:cs="Arial"/>
          <w:bCs/>
          <w:snapToGrid w:val="0"/>
        </w:rPr>
        <w:t>he Australasian College of Dermatologists</w:t>
      </w:r>
      <w:r w:rsidR="00795CB5">
        <w:rPr>
          <w:rFonts w:asciiTheme="minorHAnsi" w:hAnsiTheme="minorHAnsi" w:cs="Arial"/>
          <w:bCs/>
          <w:snapToGrid w:val="0"/>
        </w:rPr>
        <w:t xml:space="preserve"> </w:t>
      </w:r>
      <w:r w:rsidR="00D77DFB">
        <w:rPr>
          <w:rFonts w:asciiTheme="minorHAnsi" w:hAnsiTheme="minorHAnsi" w:cs="Arial"/>
          <w:bCs/>
          <w:snapToGrid w:val="0"/>
        </w:rPr>
        <w:t>which support</w:t>
      </w:r>
      <w:r w:rsidR="00D975B4">
        <w:rPr>
          <w:rFonts w:asciiTheme="minorHAnsi" w:hAnsiTheme="minorHAnsi" w:cs="Arial"/>
          <w:bCs/>
          <w:snapToGrid w:val="0"/>
        </w:rPr>
        <w:t>s</w:t>
      </w:r>
      <w:r w:rsidR="00D77DFB">
        <w:rPr>
          <w:rFonts w:asciiTheme="minorHAnsi" w:hAnsiTheme="minorHAnsi" w:cs="Arial"/>
          <w:bCs/>
          <w:snapToGrid w:val="0"/>
        </w:rPr>
        <w:t xml:space="preserve"> the</w:t>
      </w:r>
      <w:r w:rsidR="00795CB5">
        <w:rPr>
          <w:rFonts w:asciiTheme="minorHAnsi" w:hAnsiTheme="minorHAnsi" w:cs="Arial"/>
          <w:bCs/>
          <w:snapToGrid w:val="0"/>
        </w:rPr>
        <w:t xml:space="preserve"> CBF submission</w:t>
      </w:r>
      <w:r w:rsidR="00D77DFB">
        <w:rPr>
          <w:rFonts w:asciiTheme="minorHAnsi" w:hAnsiTheme="minorHAnsi" w:cs="Arial"/>
          <w:bCs/>
          <w:snapToGrid w:val="0"/>
        </w:rPr>
        <w:t xml:space="preserve"> and also </w:t>
      </w:r>
      <w:r w:rsidR="00D77DFB" w:rsidRPr="00444DDA">
        <w:rPr>
          <w:rFonts w:asciiTheme="minorHAnsi" w:hAnsiTheme="minorHAnsi" w:cs="Arial"/>
          <w:bCs/>
          <w:snapToGrid w:val="0"/>
        </w:rPr>
        <w:t>highlighted</w:t>
      </w:r>
      <w:r w:rsidR="0057756B" w:rsidRPr="00444DDA">
        <w:rPr>
          <w:rFonts w:asciiTheme="minorHAnsi" w:hAnsiTheme="minorHAnsi" w:cs="Arial"/>
          <w:bCs/>
          <w:snapToGrid w:val="0"/>
        </w:rPr>
        <w:t xml:space="preserve"> </w:t>
      </w:r>
      <w:r w:rsidR="00D77DFB" w:rsidRPr="00444DDA">
        <w:rPr>
          <w:rFonts w:asciiTheme="minorHAnsi" w:hAnsiTheme="minorHAnsi" w:cs="Arial"/>
          <w:bCs/>
          <w:snapToGrid w:val="0"/>
        </w:rPr>
        <w:t xml:space="preserve">CBF </w:t>
      </w:r>
      <w:r w:rsidR="0057756B" w:rsidRPr="00444DDA">
        <w:rPr>
          <w:rFonts w:asciiTheme="minorHAnsi" w:hAnsiTheme="minorHAnsi" w:cs="Arial"/>
          <w:bCs/>
          <w:snapToGrid w:val="0"/>
        </w:rPr>
        <w:t>as an</w:t>
      </w:r>
      <w:r w:rsidR="00D77DFB" w:rsidRPr="00444DDA">
        <w:rPr>
          <w:rFonts w:asciiTheme="minorHAnsi" w:hAnsiTheme="minorHAnsi" w:cs="Arial"/>
          <w:bCs/>
          <w:snapToGrid w:val="0"/>
        </w:rPr>
        <w:t xml:space="preserve"> effective and well </w:t>
      </w:r>
      <w:r w:rsidR="00D975B4" w:rsidRPr="00444DDA">
        <w:rPr>
          <w:rFonts w:asciiTheme="minorHAnsi" w:hAnsiTheme="minorHAnsi" w:cs="Arial"/>
          <w:bCs/>
          <w:snapToGrid w:val="0"/>
        </w:rPr>
        <w:lastRenderedPageBreak/>
        <w:t>tolerated therapy for chronic stable plaque type psoriasis</w:t>
      </w:r>
      <w:r w:rsidR="00D975B4" w:rsidRPr="00D975B4">
        <w:rPr>
          <w:rFonts w:asciiTheme="minorHAnsi" w:hAnsiTheme="minorHAnsi" w:cs="Arial"/>
          <w:bCs/>
          <w:snapToGrid w:val="0"/>
        </w:rPr>
        <w:t xml:space="preserve"> vulgaris.</w:t>
      </w:r>
    </w:p>
    <w:p w14:paraId="2F663995" w14:textId="7BD00D9E" w:rsidR="00012C26" w:rsidRDefault="0057756B" w:rsidP="00E8644E">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 PBAC also noted input received</w:t>
      </w:r>
      <w:r w:rsidR="00954720">
        <w:rPr>
          <w:rFonts w:asciiTheme="minorHAnsi" w:hAnsiTheme="minorHAnsi" w:cs="Arial"/>
          <w:bCs/>
          <w:snapToGrid w:val="0"/>
        </w:rPr>
        <w:t xml:space="preserve"> from </w:t>
      </w:r>
      <w:r w:rsidR="00954720" w:rsidRPr="00954720">
        <w:rPr>
          <w:rFonts w:asciiTheme="minorHAnsi" w:hAnsiTheme="minorHAnsi" w:cs="Arial"/>
          <w:bCs/>
          <w:snapToGrid w:val="0"/>
        </w:rPr>
        <w:t>Psoriasis Australia</w:t>
      </w:r>
      <w:r w:rsidR="00954720">
        <w:rPr>
          <w:rFonts w:asciiTheme="minorHAnsi" w:hAnsiTheme="minorHAnsi" w:cs="Arial"/>
          <w:bCs/>
          <w:snapToGrid w:val="0"/>
        </w:rPr>
        <w:t xml:space="preserve"> in support of </w:t>
      </w:r>
      <w:r w:rsidR="00093AC9">
        <w:rPr>
          <w:rFonts w:asciiTheme="minorHAnsi" w:hAnsiTheme="minorHAnsi" w:cs="Arial"/>
          <w:bCs/>
          <w:snapToGrid w:val="0"/>
        </w:rPr>
        <w:t xml:space="preserve">the </w:t>
      </w:r>
      <w:r w:rsidR="00954720">
        <w:rPr>
          <w:rFonts w:asciiTheme="minorHAnsi" w:hAnsiTheme="minorHAnsi" w:cs="Arial"/>
          <w:bCs/>
          <w:snapToGrid w:val="0"/>
        </w:rPr>
        <w:t xml:space="preserve">submission. The input emphasised the significance of CBF </w:t>
      </w:r>
      <w:r w:rsidR="00444DDA">
        <w:rPr>
          <w:rFonts w:asciiTheme="minorHAnsi" w:hAnsiTheme="minorHAnsi" w:cs="Arial"/>
          <w:bCs/>
          <w:snapToGrid w:val="0"/>
        </w:rPr>
        <w:t>in manag</w:t>
      </w:r>
      <w:r w:rsidR="00E52691">
        <w:rPr>
          <w:rFonts w:asciiTheme="minorHAnsi" w:hAnsiTheme="minorHAnsi" w:cs="Arial"/>
          <w:bCs/>
          <w:snapToGrid w:val="0"/>
        </w:rPr>
        <w:t>ing</w:t>
      </w:r>
      <w:r w:rsidR="00954720">
        <w:rPr>
          <w:rFonts w:asciiTheme="minorHAnsi" w:hAnsiTheme="minorHAnsi" w:cs="Arial"/>
          <w:bCs/>
          <w:snapToGrid w:val="0"/>
        </w:rPr>
        <w:t xml:space="preserve"> </w:t>
      </w:r>
      <w:r w:rsidR="00444DDA">
        <w:rPr>
          <w:rFonts w:asciiTheme="minorHAnsi" w:hAnsiTheme="minorHAnsi" w:cs="Arial"/>
          <w:bCs/>
          <w:snapToGrid w:val="0"/>
        </w:rPr>
        <w:t xml:space="preserve">moderate </w:t>
      </w:r>
      <w:r w:rsidR="00444DDA" w:rsidRPr="00444DDA">
        <w:rPr>
          <w:rFonts w:asciiTheme="minorHAnsi" w:hAnsiTheme="minorHAnsi" w:cs="Arial"/>
          <w:bCs/>
          <w:snapToGrid w:val="0"/>
        </w:rPr>
        <w:t>psoriasis</w:t>
      </w:r>
      <w:r w:rsidR="00093AC9">
        <w:rPr>
          <w:rFonts w:asciiTheme="minorHAnsi" w:hAnsiTheme="minorHAnsi" w:cs="Arial"/>
          <w:bCs/>
          <w:snapToGrid w:val="0"/>
        </w:rPr>
        <w:t>,</w:t>
      </w:r>
      <w:r w:rsidR="00444DDA">
        <w:rPr>
          <w:rFonts w:asciiTheme="minorHAnsi" w:hAnsiTheme="minorHAnsi" w:cs="Arial"/>
          <w:bCs/>
          <w:snapToGrid w:val="0"/>
        </w:rPr>
        <w:t xml:space="preserve"> particularly for patients who </w:t>
      </w:r>
      <w:r w:rsidR="00E52691">
        <w:rPr>
          <w:rFonts w:asciiTheme="minorHAnsi" w:hAnsiTheme="minorHAnsi" w:cs="Arial"/>
          <w:bCs/>
          <w:snapToGrid w:val="0"/>
        </w:rPr>
        <w:t xml:space="preserve">are </w:t>
      </w:r>
      <w:r w:rsidR="00012C26">
        <w:rPr>
          <w:rFonts w:asciiTheme="minorHAnsi" w:hAnsiTheme="minorHAnsi" w:cs="Arial"/>
          <w:bCs/>
          <w:snapToGrid w:val="0"/>
        </w:rPr>
        <w:t>in</w:t>
      </w:r>
      <w:r w:rsidR="00E52691">
        <w:rPr>
          <w:rFonts w:asciiTheme="minorHAnsi" w:hAnsiTheme="minorHAnsi" w:cs="Arial"/>
          <w:bCs/>
          <w:snapToGrid w:val="0"/>
        </w:rPr>
        <w:t>eligible</w:t>
      </w:r>
      <w:r w:rsidR="00444DDA">
        <w:rPr>
          <w:rFonts w:asciiTheme="minorHAnsi" w:hAnsiTheme="minorHAnsi" w:cs="Arial"/>
          <w:bCs/>
          <w:snapToGrid w:val="0"/>
        </w:rPr>
        <w:t xml:space="preserve"> for biologics</w:t>
      </w:r>
      <w:r w:rsidR="00012C26">
        <w:rPr>
          <w:rFonts w:asciiTheme="minorHAnsi" w:hAnsiTheme="minorHAnsi" w:cs="Arial"/>
          <w:bCs/>
          <w:snapToGrid w:val="0"/>
        </w:rPr>
        <w:t xml:space="preserve">. It </w:t>
      </w:r>
      <w:r w:rsidR="00444DDA">
        <w:rPr>
          <w:rFonts w:asciiTheme="minorHAnsi" w:hAnsiTheme="minorHAnsi" w:cs="Arial"/>
          <w:bCs/>
          <w:snapToGrid w:val="0"/>
        </w:rPr>
        <w:t>advocated for the increase in maximum quantity of CBF</w:t>
      </w:r>
      <w:r w:rsidR="00541C25">
        <w:rPr>
          <w:rFonts w:asciiTheme="minorHAnsi" w:hAnsiTheme="minorHAnsi" w:cs="Arial"/>
          <w:bCs/>
          <w:snapToGrid w:val="0"/>
        </w:rPr>
        <w:t xml:space="preserve"> as </w:t>
      </w:r>
      <w:r w:rsidR="00534972">
        <w:rPr>
          <w:rFonts w:asciiTheme="minorHAnsi" w:hAnsiTheme="minorHAnsi" w:cs="Arial"/>
          <w:bCs/>
          <w:snapToGrid w:val="0"/>
        </w:rPr>
        <w:t xml:space="preserve">most patients </w:t>
      </w:r>
      <w:r w:rsidR="00012C26">
        <w:rPr>
          <w:rFonts w:asciiTheme="minorHAnsi" w:hAnsiTheme="minorHAnsi" w:cs="Arial"/>
          <w:bCs/>
          <w:snapToGrid w:val="0"/>
        </w:rPr>
        <w:t xml:space="preserve">who </w:t>
      </w:r>
      <w:r w:rsidR="00534972">
        <w:rPr>
          <w:rFonts w:asciiTheme="minorHAnsi" w:hAnsiTheme="minorHAnsi" w:cs="Arial"/>
          <w:bCs/>
          <w:snapToGrid w:val="0"/>
        </w:rPr>
        <w:t>exhaust their supply</w:t>
      </w:r>
      <w:r w:rsidR="00012C26">
        <w:rPr>
          <w:rFonts w:asciiTheme="minorHAnsi" w:hAnsiTheme="minorHAnsi" w:cs="Arial"/>
          <w:bCs/>
          <w:snapToGrid w:val="0"/>
        </w:rPr>
        <w:t xml:space="preserve"> before their next refill often face either a treatment</w:t>
      </w:r>
      <w:r w:rsidR="00853F1D">
        <w:rPr>
          <w:rFonts w:asciiTheme="minorHAnsi" w:hAnsiTheme="minorHAnsi" w:cs="Arial"/>
          <w:bCs/>
          <w:snapToGrid w:val="0"/>
        </w:rPr>
        <w:t xml:space="preserve"> gap</w:t>
      </w:r>
      <w:r w:rsidR="00012C26">
        <w:rPr>
          <w:rFonts w:asciiTheme="minorHAnsi" w:hAnsiTheme="minorHAnsi" w:cs="Arial"/>
          <w:bCs/>
          <w:snapToGrid w:val="0"/>
        </w:rPr>
        <w:t xml:space="preserve"> or insufficient application leading to</w:t>
      </w:r>
      <w:r w:rsidR="00534972">
        <w:rPr>
          <w:rFonts w:asciiTheme="minorHAnsi" w:hAnsiTheme="minorHAnsi" w:cs="Arial"/>
          <w:bCs/>
          <w:snapToGrid w:val="0"/>
        </w:rPr>
        <w:t xml:space="preserve"> </w:t>
      </w:r>
      <w:r w:rsidR="00012C26">
        <w:rPr>
          <w:rFonts w:asciiTheme="minorHAnsi" w:hAnsiTheme="minorHAnsi" w:cs="Arial"/>
          <w:bCs/>
          <w:snapToGrid w:val="0"/>
        </w:rPr>
        <w:t>inadequate management of their condition.</w:t>
      </w:r>
    </w:p>
    <w:p w14:paraId="7ECAA89D" w14:textId="77A75B82" w:rsidR="004A0932" w:rsidRPr="00DC4225" w:rsidRDefault="00E17C89" w:rsidP="00E80446">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 PBAC noted that all the consumer comments were supportive of the submission’s request</w:t>
      </w:r>
      <w:r w:rsidR="00DC4225">
        <w:rPr>
          <w:rFonts w:asciiTheme="minorHAnsi" w:hAnsiTheme="minorHAnsi" w:cs="Arial"/>
          <w:bCs/>
          <w:snapToGrid w:val="0"/>
        </w:rPr>
        <w:t xml:space="preserve"> and were centred around patients having sufficient supply for the adequate management of their condition.</w:t>
      </w:r>
    </w:p>
    <w:bookmarkEnd w:id="2"/>
    <w:p w14:paraId="016F2C22" w14:textId="77777777" w:rsidR="003A642E" w:rsidRPr="00937958" w:rsidRDefault="003A642E" w:rsidP="003A642E">
      <w:pPr>
        <w:pStyle w:val="4-SubsectionHeading"/>
        <w:keepNext w:val="0"/>
        <w:rPr>
          <w:lang w:eastAsia="en-US"/>
        </w:rPr>
      </w:pPr>
      <w:r w:rsidRPr="003C2FB5">
        <w:rPr>
          <w:lang w:eastAsia="en-US"/>
        </w:rPr>
        <w:t>Clinical trials</w:t>
      </w:r>
      <w:r>
        <w:rPr>
          <w:lang w:eastAsia="en-US"/>
        </w:rPr>
        <w:t xml:space="preserve"> </w:t>
      </w:r>
    </w:p>
    <w:p w14:paraId="20FCCF2C" w14:textId="5F5E4DA6" w:rsidR="003A642E" w:rsidRPr="004A1B43" w:rsidRDefault="003A642E" w:rsidP="004A1B43">
      <w:pPr>
        <w:widowControl w:val="0"/>
        <w:numPr>
          <w:ilvl w:val="1"/>
          <w:numId w:val="2"/>
        </w:numPr>
        <w:spacing w:after="120"/>
        <w:rPr>
          <w:rFonts w:cs="Calibri"/>
          <w:bCs/>
          <w:snapToGrid w:val="0"/>
        </w:rPr>
      </w:pPr>
      <w:r w:rsidRPr="00680151">
        <w:t xml:space="preserve">The submission presented no new clinical </w:t>
      </w:r>
      <w:r>
        <w:t>evidence.</w:t>
      </w:r>
    </w:p>
    <w:p w14:paraId="64975B9F" w14:textId="70155EE5" w:rsidR="00271A82" w:rsidRPr="00EF4580" w:rsidRDefault="00271A82" w:rsidP="00271A82">
      <w:pPr>
        <w:pStyle w:val="4-SubsectionHeading"/>
      </w:pPr>
      <w:r>
        <w:t>Basis for the request</w:t>
      </w:r>
    </w:p>
    <w:p w14:paraId="3EF8FE42" w14:textId="201BC2E5" w:rsidR="00DE493C" w:rsidRDefault="009D7096" w:rsidP="00753260">
      <w:pPr>
        <w:pStyle w:val="3-BodyText"/>
      </w:pPr>
      <w:r>
        <w:t>Following analysis of the PBS 10% data sample, the submission</w:t>
      </w:r>
      <w:r w:rsidR="004103D5">
        <w:t xml:space="preserve"> </w:t>
      </w:r>
      <w:r w:rsidR="00080965">
        <w:t xml:space="preserve">claimed </w:t>
      </w:r>
      <w:r w:rsidR="004103D5">
        <w:t>that</w:t>
      </w:r>
      <w:r w:rsidR="00AA1076">
        <w:t xml:space="preserve"> the</w:t>
      </w:r>
      <w:r>
        <w:t xml:space="preserve"> </w:t>
      </w:r>
      <w:r w:rsidR="00DE493C">
        <w:t xml:space="preserve">prescribed </w:t>
      </w:r>
      <w:r w:rsidR="00553B1B">
        <w:t xml:space="preserve">quantities of </w:t>
      </w:r>
      <w:r w:rsidR="00360EAA">
        <w:t>CBF</w:t>
      </w:r>
      <w:r w:rsidR="00DE493C">
        <w:t xml:space="preserve"> </w:t>
      </w:r>
      <w:r w:rsidR="00553B1B">
        <w:t xml:space="preserve">are </w:t>
      </w:r>
      <w:r w:rsidR="00DE493C">
        <w:t>insufficient</w:t>
      </w:r>
      <w:r w:rsidR="00553B1B">
        <w:t xml:space="preserve"> for </w:t>
      </w:r>
      <w:r w:rsidR="007423BE">
        <w:t>a portion of</w:t>
      </w:r>
      <w:r w:rsidR="00553B1B">
        <w:t xml:space="preserve"> patients</w:t>
      </w:r>
      <w:r w:rsidR="00DE493C">
        <w:t>.</w:t>
      </w:r>
    </w:p>
    <w:p w14:paraId="22F8F93C" w14:textId="0C4A670B" w:rsidR="00D70C91" w:rsidRDefault="00080965" w:rsidP="00753260">
      <w:pPr>
        <w:pStyle w:val="3-BodyText"/>
      </w:pPr>
      <w:r>
        <w:t>The submission stated there was a</w:t>
      </w:r>
      <w:r w:rsidR="009D7096">
        <w:t xml:space="preserve"> consistent pattern of early dispensing of</w:t>
      </w:r>
      <w:r w:rsidR="00DE493C">
        <w:t xml:space="preserve"> </w:t>
      </w:r>
      <w:r w:rsidR="00360EAA">
        <w:t>CBF</w:t>
      </w:r>
      <w:r w:rsidR="005E2BF1">
        <w:t>,</w:t>
      </w:r>
      <w:r w:rsidR="00DE493C">
        <w:t xml:space="preserve"> where </w:t>
      </w:r>
      <w:r w:rsidR="005E2BF1">
        <w:t xml:space="preserve">between 2017 and 2022, 24.20% of PBS </w:t>
      </w:r>
      <w:r w:rsidR="0093313D">
        <w:t>pre</w:t>
      </w:r>
      <w:r w:rsidR="005E2BF1">
        <w:t>script</w:t>
      </w:r>
      <w:r w:rsidR="0093313D">
        <w:t>ion</w:t>
      </w:r>
      <w:r w:rsidR="005E2BF1">
        <w:t>s were dispensed at 24</w:t>
      </w:r>
      <w:r w:rsidR="0037093A">
        <w:t> </w:t>
      </w:r>
      <w:r w:rsidR="005E2BF1">
        <w:t>days or less from the previous supply and 13.52% were dispensed within 14 days or less from the previous supply</w:t>
      </w:r>
      <w:r w:rsidR="004C677F">
        <w:t>.</w:t>
      </w:r>
    </w:p>
    <w:p w14:paraId="745DBBE5" w14:textId="1D5FBD0E" w:rsidR="008F3622" w:rsidRDefault="00EB6B8A" w:rsidP="00753260">
      <w:pPr>
        <w:pStyle w:val="3-BodyText"/>
      </w:pPr>
      <w:r>
        <w:t xml:space="preserve">The submission </w:t>
      </w:r>
      <w:r w:rsidR="006F61E7">
        <w:t xml:space="preserve">interpreted </w:t>
      </w:r>
      <w:r w:rsidR="0037093A">
        <w:t xml:space="preserve">these </w:t>
      </w:r>
      <w:r>
        <w:t>data</w:t>
      </w:r>
      <w:r w:rsidR="006F61E7">
        <w:t xml:space="preserve"> to</w:t>
      </w:r>
      <w:r>
        <w:t xml:space="preserve"> indicate</w:t>
      </w:r>
      <w:r w:rsidR="000B5766">
        <w:t xml:space="preserve"> that</w:t>
      </w:r>
      <w:r w:rsidR="008F3622">
        <w:t>:</w:t>
      </w:r>
    </w:p>
    <w:p w14:paraId="1A85BA3F" w14:textId="1E8731DC" w:rsidR="008F3622" w:rsidRPr="00981267" w:rsidRDefault="00EB6B8A" w:rsidP="00981267">
      <w:pPr>
        <w:pStyle w:val="ListParagraph"/>
      </w:pPr>
      <w:r w:rsidRPr="00981267">
        <w:t>a consumption rate of at least double is required to last 30 days</w:t>
      </w:r>
      <w:r w:rsidR="000A2806" w:rsidRPr="00981267">
        <w:t xml:space="preserve"> for a portion of patients</w:t>
      </w:r>
      <w:r w:rsidRPr="00981267">
        <w:t>.</w:t>
      </w:r>
    </w:p>
    <w:p w14:paraId="0C2CB58C" w14:textId="641091EC" w:rsidR="008F3622" w:rsidRPr="00981267" w:rsidRDefault="000A6705" w:rsidP="00981267">
      <w:pPr>
        <w:pStyle w:val="ListParagraph"/>
      </w:pPr>
      <w:r w:rsidRPr="00981267">
        <w:t>p</w:t>
      </w:r>
      <w:r w:rsidR="008F3622" w:rsidRPr="00981267">
        <w:t>harmacist</w:t>
      </w:r>
      <w:r w:rsidR="00811AFB" w:rsidRPr="00981267">
        <w:t>s</w:t>
      </w:r>
      <w:r w:rsidR="008F3622" w:rsidRPr="00981267">
        <w:t xml:space="preserve"> were unaware </w:t>
      </w:r>
      <w:r w:rsidR="00811AFB" w:rsidRPr="00981267">
        <w:t xml:space="preserve">that the listed </w:t>
      </w:r>
      <w:r w:rsidR="00DC4018" w:rsidRPr="00981267">
        <w:t>MQ</w:t>
      </w:r>
      <w:r w:rsidR="00811AFB" w:rsidRPr="00981267">
        <w:t xml:space="preserve"> was </w:t>
      </w:r>
      <w:r w:rsidR="00286062" w:rsidRPr="00981267">
        <w:t xml:space="preserve">not </w:t>
      </w:r>
      <w:r w:rsidR="00811AFB" w:rsidRPr="00981267">
        <w:t xml:space="preserve">sufficient for a </w:t>
      </w:r>
      <w:r w:rsidR="000B5766" w:rsidRPr="00981267">
        <w:t>30-day</w:t>
      </w:r>
      <w:r w:rsidR="00811AFB" w:rsidRPr="00981267">
        <w:t xml:space="preserve"> treatment regime</w:t>
      </w:r>
      <w:r w:rsidR="006F61E7" w:rsidRPr="00981267">
        <w:t xml:space="preserve"> at the time of dispensing</w:t>
      </w:r>
      <w:r w:rsidR="000B5766" w:rsidRPr="00981267">
        <w:t xml:space="preserve">, or </w:t>
      </w:r>
      <w:r w:rsidRPr="00981267">
        <w:t xml:space="preserve">pharmacists </w:t>
      </w:r>
      <w:r w:rsidR="000A2806" w:rsidRPr="00981267">
        <w:t xml:space="preserve">were </w:t>
      </w:r>
      <w:r w:rsidR="002D6420" w:rsidRPr="00981267">
        <w:t>aware of the</w:t>
      </w:r>
      <w:r w:rsidR="00075F80" w:rsidRPr="00981267">
        <w:t xml:space="preserve"> </w:t>
      </w:r>
      <w:r w:rsidR="00286062" w:rsidRPr="00981267">
        <w:t xml:space="preserve">MQ </w:t>
      </w:r>
      <w:r w:rsidR="00075F80" w:rsidRPr="00981267">
        <w:t>issue</w:t>
      </w:r>
      <w:r w:rsidR="000B5766" w:rsidRPr="00981267">
        <w:t xml:space="preserve"> and </w:t>
      </w:r>
      <w:r w:rsidR="000A2806" w:rsidRPr="00981267">
        <w:t xml:space="preserve">had </w:t>
      </w:r>
      <w:r w:rsidR="00075F80" w:rsidRPr="00981267">
        <w:t>space</w:t>
      </w:r>
      <w:r w:rsidR="000B5766" w:rsidRPr="00981267">
        <w:t>d</w:t>
      </w:r>
      <w:r w:rsidR="00075F80" w:rsidRPr="00981267">
        <w:t xml:space="preserve"> out</w:t>
      </w:r>
      <w:r w:rsidR="00D300B5" w:rsidRPr="00981267">
        <w:t xml:space="preserve"> the</w:t>
      </w:r>
      <w:r w:rsidR="00075F80" w:rsidRPr="00981267">
        <w:t xml:space="preserve"> supply of </w:t>
      </w:r>
      <w:r w:rsidR="00360EAA" w:rsidRPr="00981267">
        <w:t>CBF</w:t>
      </w:r>
      <w:r w:rsidR="00075F80" w:rsidRPr="00981267">
        <w:t xml:space="preserve"> </w:t>
      </w:r>
      <w:r w:rsidR="000B5766" w:rsidRPr="00981267">
        <w:t xml:space="preserve">or </w:t>
      </w:r>
      <w:r w:rsidR="000A2806" w:rsidRPr="00981267">
        <w:t xml:space="preserve">had </w:t>
      </w:r>
      <w:r w:rsidR="00EC31BA" w:rsidRPr="00981267">
        <w:t xml:space="preserve">dispensed multiple cans on the same day to </w:t>
      </w:r>
      <w:r w:rsidR="00075F80" w:rsidRPr="00981267">
        <w:t>minimise patient inconvenience</w:t>
      </w:r>
      <w:r w:rsidR="00EC31BA" w:rsidRPr="00981267">
        <w:t>.</w:t>
      </w:r>
    </w:p>
    <w:p w14:paraId="6CAC2CFC" w14:textId="6802D10D" w:rsidR="000A6705" w:rsidRPr="00981267" w:rsidRDefault="000B5766" w:rsidP="00981267">
      <w:pPr>
        <w:pStyle w:val="ListParagraph"/>
      </w:pPr>
      <w:r w:rsidRPr="00981267">
        <w:t>p</w:t>
      </w:r>
      <w:r w:rsidR="00016BF2" w:rsidRPr="00981267">
        <w:t>rescribers do not utili</w:t>
      </w:r>
      <w:r w:rsidRPr="00981267">
        <w:t>s</w:t>
      </w:r>
      <w:r w:rsidR="00016BF2" w:rsidRPr="00981267">
        <w:t xml:space="preserve">e the Authority system to prescribe increased quantities in practice and this </w:t>
      </w:r>
      <w:r w:rsidR="007423BE" w:rsidRPr="00981267">
        <w:t xml:space="preserve">has </w:t>
      </w:r>
      <w:r w:rsidR="00016BF2" w:rsidRPr="00981267">
        <w:t xml:space="preserve">resulted in </w:t>
      </w:r>
      <w:r w:rsidRPr="00981267">
        <w:t xml:space="preserve">an </w:t>
      </w:r>
      <w:r w:rsidR="00016BF2" w:rsidRPr="00981267">
        <w:t>additional cost for patients.</w:t>
      </w:r>
    </w:p>
    <w:p w14:paraId="1CE721B4" w14:textId="4762E1AA" w:rsidR="007F68D7" w:rsidRPr="007F68D7" w:rsidRDefault="007F68D7" w:rsidP="00BD5CEB">
      <w:pPr>
        <w:keepNext/>
        <w:rPr>
          <w:rFonts w:ascii="Arial Narrow" w:hAnsi="Arial Narrow" w:cs="Calibri"/>
          <w:b/>
          <w:bCs/>
          <w:sz w:val="20"/>
          <w:szCs w:val="20"/>
        </w:rPr>
      </w:pPr>
      <w:r w:rsidRPr="007F68D7">
        <w:rPr>
          <w:rFonts w:ascii="Arial Narrow" w:hAnsi="Arial Narrow" w:cs="Calibri"/>
          <w:b/>
          <w:bCs/>
          <w:sz w:val="20"/>
          <w:szCs w:val="20"/>
        </w:rPr>
        <w:lastRenderedPageBreak/>
        <w:t>Table 1</w:t>
      </w:r>
      <w:r w:rsidR="00BC5144">
        <w:rPr>
          <w:rFonts w:ascii="Arial Narrow" w:hAnsi="Arial Narrow" w:cs="Calibri"/>
          <w:b/>
          <w:bCs/>
          <w:sz w:val="20"/>
          <w:szCs w:val="20"/>
        </w:rPr>
        <w:t>:</w:t>
      </w:r>
      <w:r w:rsidRPr="007F68D7">
        <w:rPr>
          <w:rFonts w:ascii="Arial Narrow" w:hAnsi="Arial Narrow" w:cs="Calibri"/>
          <w:b/>
          <w:bCs/>
          <w:sz w:val="20"/>
          <w:szCs w:val="20"/>
        </w:rPr>
        <w:t xml:space="preserve"> Time between PBS supplies for </w:t>
      </w:r>
      <w:r w:rsidR="00360EAA">
        <w:rPr>
          <w:rFonts w:ascii="Arial Narrow" w:hAnsi="Arial Narrow" w:cs="Calibri"/>
          <w:b/>
          <w:bCs/>
          <w:sz w:val="20"/>
          <w:szCs w:val="20"/>
        </w:rPr>
        <w:t>CBF</w:t>
      </w:r>
      <w:r w:rsidRPr="007F68D7">
        <w:rPr>
          <w:rFonts w:ascii="Arial Narrow" w:hAnsi="Arial Narrow" w:cs="Calibri"/>
          <w:b/>
          <w:bCs/>
          <w:sz w:val="20"/>
          <w:szCs w:val="20"/>
        </w:rPr>
        <w:t xml:space="preserve"> (January 2017 to October 2022)</w:t>
      </w:r>
    </w:p>
    <w:tbl>
      <w:tblPr>
        <w:tblStyle w:val="TableGrid"/>
        <w:tblW w:w="0" w:type="auto"/>
        <w:tblLook w:val="04A0" w:firstRow="1" w:lastRow="0" w:firstColumn="1" w:lastColumn="0" w:noHBand="0" w:noVBand="1"/>
      </w:tblPr>
      <w:tblGrid>
        <w:gridCol w:w="2254"/>
        <w:gridCol w:w="2254"/>
        <w:gridCol w:w="2254"/>
        <w:gridCol w:w="2254"/>
      </w:tblGrid>
      <w:tr w:rsidR="007F68D7" w:rsidRPr="007F68D7" w14:paraId="136AEDA3" w14:textId="77777777" w:rsidTr="00EF3F61">
        <w:tc>
          <w:tcPr>
            <w:tcW w:w="2254" w:type="dxa"/>
          </w:tcPr>
          <w:p w14:paraId="2E244425" w14:textId="77777777" w:rsidR="007F68D7" w:rsidRPr="007F68D7" w:rsidRDefault="007F68D7" w:rsidP="00BD5CEB">
            <w:pPr>
              <w:keepNext/>
              <w:autoSpaceDE w:val="0"/>
              <w:autoSpaceDN w:val="0"/>
              <w:adjustRightInd w:val="0"/>
              <w:rPr>
                <w:rFonts w:ascii="Arial Narrow" w:hAnsi="Arial Narrow" w:cs="CIDFont+F4"/>
                <w:b/>
                <w:bCs/>
                <w:sz w:val="20"/>
                <w:szCs w:val="20"/>
              </w:rPr>
            </w:pPr>
            <w:r w:rsidRPr="007F68D7">
              <w:rPr>
                <w:rFonts w:ascii="Arial Narrow" w:hAnsi="Arial Narrow" w:cs="CIDFont+F4"/>
                <w:b/>
                <w:bCs/>
                <w:sz w:val="20"/>
                <w:szCs w:val="20"/>
              </w:rPr>
              <w:t>Number of days between</w:t>
            </w:r>
          </w:p>
          <w:p w14:paraId="405706D9" w14:textId="77777777" w:rsidR="007F68D7" w:rsidRPr="007F68D7" w:rsidRDefault="007F68D7" w:rsidP="00BD5CEB">
            <w:pPr>
              <w:keepNext/>
              <w:rPr>
                <w:rFonts w:ascii="Arial Narrow" w:hAnsi="Arial Narrow"/>
                <w:b/>
                <w:bCs/>
                <w:sz w:val="20"/>
                <w:szCs w:val="20"/>
              </w:rPr>
            </w:pPr>
            <w:r w:rsidRPr="007F68D7">
              <w:rPr>
                <w:rFonts w:ascii="Arial Narrow" w:hAnsi="Arial Narrow" w:cs="CIDFont+F4"/>
                <w:b/>
                <w:bCs/>
                <w:sz w:val="20"/>
                <w:szCs w:val="20"/>
              </w:rPr>
              <w:t>PBS supplies</w:t>
            </w:r>
          </w:p>
        </w:tc>
        <w:tc>
          <w:tcPr>
            <w:tcW w:w="2254" w:type="dxa"/>
          </w:tcPr>
          <w:p w14:paraId="65AE90A4" w14:textId="77777777" w:rsidR="007F68D7" w:rsidRPr="007F68D7" w:rsidRDefault="007F68D7" w:rsidP="00BD5CEB">
            <w:pPr>
              <w:keepNext/>
              <w:autoSpaceDE w:val="0"/>
              <w:autoSpaceDN w:val="0"/>
              <w:adjustRightInd w:val="0"/>
              <w:rPr>
                <w:rFonts w:ascii="Arial Narrow" w:hAnsi="Arial Narrow" w:cs="CIDFont+F4"/>
                <w:b/>
                <w:bCs/>
                <w:sz w:val="20"/>
                <w:szCs w:val="20"/>
              </w:rPr>
            </w:pPr>
            <w:r w:rsidRPr="007F68D7">
              <w:rPr>
                <w:rFonts w:ascii="Arial Narrow" w:hAnsi="Arial Narrow" w:cs="CIDFont+F4"/>
                <w:b/>
                <w:bCs/>
                <w:sz w:val="20"/>
                <w:szCs w:val="20"/>
              </w:rPr>
              <w:t>Number of PBS</w:t>
            </w:r>
          </w:p>
          <w:p w14:paraId="74EFCD4D" w14:textId="77777777" w:rsidR="007F68D7" w:rsidRPr="007F68D7" w:rsidRDefault="007F68D7" w:rsidP="00BD5CEB">
            <w:pPr>
              <w:keepNext/>
              <w:rPr>
                <w:rFonts w:ascii="Arial Narrow" w:hAnsi="Arial Narrow"/>
                <w:b/>
                <w:bCs/>
                <w:sz w:val="20"/>
                <w:szCs w:val="20"/>
              </w:rPr>
            </w:pPr>
            <w:r w:rsidRPr="007F68D7">
              <w:rPr>
                <w:rFonts w:ascii="Arial Narrow" w:hAnsi="Arial Narrow" w:cs="CIDFont+F4"/>
                <w:b/>
                <w:bCs/>
                <w:sz w:val="20"/>
                <w:szCs w:val="20"/>
              </w:rPr>
              <w:t>supplies</w:t>
            </w:r>
          </w:p>
        </w:tc>
        <w:tc>
          <w:tcPr>
            <w:tcW w:w="2254" w:type="dxa"/>
          </w:tcPr>
          <w:p w14:paraId="2EA3E821" w14:textId="77777777" w:rsidR="007F68D7" w:rsidRPr="007F68D7" w:rsidRDefault="007F68D7" w:rsidP="00BD5CEB">
            <w:pPr>
              <w:keepNext/>
              <w:autoSpaceDE w:val="0"/>
              <w:autoSpaceDN w:val="0"/>
              <w:adjustRightInd w:val="0"/>
              <w:rPr>
                <w:rFonts w:ascii="Arial Narrow" w:hAnsi="Arial Narrow" w:cs="CIDFont+F4"/>
                <w:b/>
                <w:bCs/>
                <w:sz w:val="20"/>
                <w:szCs w:val="20"/>
              </w:rPr>
            </w:pPr>
            <w:r w:rsidRPr="007F68D7">
              <w:rPr>
                <w:rFonts w:ascii="Arial Narrow" w:hAnsi="Arial Narrow" w:cs="CIDFont+F4"/>
                <w:b/>
                <w:bCs/>
                <w:sz w:val="20"/>
                <w:szCs w:val="20"/>
              </w:rPr>
              <w:t>Percentage of total PBS</w:t>
            </w:r>
          </w:p>
          <w:p w14:paraId="610CF5DB" w14:textId="77777777" w:rsidR="007F68D7" w:rsidRPr="007F68D7" w:rsidRDefault="007F68D7" w:rsidP="00BD5CEB">
            <w:pPr>
              <w:keepNext/>
              <w:rPr>
                <w:rFonts w:ascii="Arial Narrow" w:hAnsi="Arial Narrow"/>
                <w:b/>
                <w:bCs/>
                <w:sz w:val="20"/>
                <w:szCs w:val="20"/>
              </w:rPr>
            </w:pPr>
            <w:r w:rsidRPr="007F68D7">
              <w:rPr>
                <w:rFonts w:ascii="Arial Narrow" w:hAnsi="Arial Narrow" w:cs="CIDFont+F4"/>
                <w:b/>
                <w:bCs/>
                <w:sz w:val="20"/>
                <w:szCs w:val="20"/>
              </w:rPr>
              <w:t>supplies</w:t>
            </w:r>
          </w:p>
        </w:tc>
        <w:tc>
          <w:tcPr>
            <w:tcW w:w="2254" w:type="dxa"/>
          </w:tcPr>
          <w:p w14:paraId="4940B16B" w14:textId="77777777" w:rsidR="007F68D7" w:rsidRPr="007F68D7" w:rsidRDefault="007F68D7" w:rsidP="00BD5CEB">
            <w:pPr>
              <w:keepNext/>
              <w:autoSpaceDE w:val="0"/>
              <w:autoSpaceDN w:val="0"/>
              <w:adjustRightInd w:val="0"/>
              <w:rPr>
                <w:rFonts w:ascii="Arial Narrow" w:hAnsi="Arial Narrow" w:cs="CIDFont+F4"/>
                <w:b/>
                <w:bCs/>
                <w:sz w:val="20"/>
                <w:szCs w:val="20"/>
              </w:rPr>
            </w:pPr>
            <w:r w:rsidRPr="007F68D7">
              <w:rPr>
                <w:rFonts w:ascii="Arial Narrow" w:hAnsi="Arial Narrow" w:cs="CIDFont+F4"/>
                <w:b/>
                <w:bCs/>
                <w:sz w:val="20"/>
                <w:szCs w:val="20"/>
              </w:rPr>
              <w:t>Cumulative percentage of</w:t>
            </w:r>
          </w:p>
          <w:p w14:paraId="51E32E10" w14:textId="77777777" w:rsidR="007F68D7" w:rsidRPr="007F68D7" w:rsidRDefault="007F68D7" w:rsidP="00BD5CEB">
            <w:pPr>
              <w:keepNext/>
              <w:rPr>
                <w:rFonts w:ascii="Arial Narrow" w:hAnsi="Arial Narrow"/>
                <w:b/>
                <w:bCs/>
                <w:sz w:val="20"/>
                <w:szCs w:val="20"/>
              </w:rPr>
            </w:pPr>
            <w:r w:rsidRPr="007F68D7">
              <w:rPr>
                <w:rFonts w:ascii="Arial Narrow" w:hAnsi="Arial Narrow" w:cs="CIDFont+F4"/>
                <w:b/>
                <w:bCs/>
                <w:sz w:val="20"/>
                <w:szCs w:val="20"/>
              </w:rPr>
              <w:t>total PBS supplies</w:t>
            </w:r>
          </w:p>
        </w:tc>
      </w:tr>
      <w:tr w:rsidR="007F68D7" w:rsidRPr="007F68D7" w14:paraId="7F8EED7D" w14:textId="77777777" w:rsidTr="00EF3F61">
        <w:tc>
          <w:tcPr>
            <w:tcW w:w="2254" w:type="dxa"/>
          </w:tcPr>
          <w:p w14:paraId="082B472E" w14:textId="3964EB10"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0 </w:t>
            </w:r>
          </w:p>
        </w:tc>
        <w:tc>
          <w:tcPr>
            <w:tcW w:w="2254" w:type="dxa"/>
          </w:tcPr>
          <w:p w14:paraId="7F5675B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 xml:space="preserve">11630 </w:t>
            </w:r>
          </w:p>
        </w:tc>
        <w:tc>
          <w:tcPr>
            <w:tcW w:w="2254" w:type="dxa"/>
          </w:tcPr>
          <w:p w14:paraId="32EDFA2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 xml:space="preserve">3.87% </w:t>
            </w:r>
          </w:p>
        </w:tc>
        <w:tc>
          <w:tcPr>
            <w:tcW w:w="2254" w:type="dxa"/>
          </w:tcPr>
          <w:p w14:paraId="6EA308A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3.87%</w:t>
            </w:r>
          </w:p>
        </w:tc>
      </w:tr>
      <w:tr w:rsidR="007F68D7" w:rsidRPr="007F68D7" w14:paraId="32C26E09" w14:textId="77777777" w:rsidTr="00EF3F61">
        <w:tc>
          <w:tcPr>
            <w:tcW w:w="2254" w:type="dxa"/>
          </w:tcPr>
          <w:p w14:paraId="2939CEEB" w14:textId="6F9AA7CA"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1-4 </w:t>
            </w:r>
          </w:p>
        </w:tc>
        <w:tc>
          <w:tcPr>
            <w:tcW w:w="2254" w:type="dxa"/>
          </w:tcPr>
          <w:p w14:paraId="29C3E69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3460</w:t>
            </w:r>
          </w:p>
        </w:tc>
        <w:tc>
          <w:tcPr>
            <w:tcW w:w="2254" w:type="dxa"/>
          </w:tcPr>
          <w:p w14:paraId="5B72D55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1.15%</w:t>
            </w:r>
          </w:p>
        </w:tc>
        <w:tc>
          <w:tcPr>
            <w:tcW w:w="2254" w:type="dxa"/>
          </w:tcPr>
          <w:p w14:paraId="5F6EA52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5.02%</w:t>
            </w:r>
          </w:p>
        </w:tc>
      </w:tr>
      <w:tr w:rsidR="007F68D7" w:rsidRPr="007F68D7" w14:paraId="26366EE0" w14:textId="77777777" w:rsidTr="00EF3F61">
        <w:tc>
          <w:tcPr>
            <w:tcW w:w="2254" w:type="dxa"/>
          </w:tcPr>
          <w:p w14:paraId="680410D4" w14:textId="1B23EE91" w:rsidR="007F68D7" w:rsidRPr="007F68D7" w:rsidRDefault="00271A82" w:rsidP="00BD5CEB">
            <w:pPr>
              <w:keepNext/>
              <w:autoSpaceDE w:val="0"/>
              <w:autoSpaceDN w:val="0"/>
              <w:adjustRightInd w:val="0"/>
              <w:rPr>
                <w:rFonts w:ascii="Arial Narrow" w:hAnsi="Arial Narrow" w:cs="CIDFont+F1"/>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5-9 </w:t>
            </w:r>
          </w:p>
        </w:tc>
        <w:tc>
          <w:tcPr>
            <w:tcW w:w="2254" w:type="dxa"/>
          </w:tcPr>
          <w:p w14:paraId="7F0692BE"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11300</w:t>
            </w:r>
          </w:p>
        </w:tc>
        <w:tc>
          <w:tcPr>
            <w:tcW w:w="2254" w:type="dxa"/>
          </w:tcPr>
          <w:p w14:paraId="3A387B4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3.76%</w:t>
            </w:r>
          </w:p>
        </w:tc>
        <w:tc>
          <w:tcPr>
            <w:tcW w:w="2254" w:type="dxa"/>
          </w:tcPr>
          <w:p w14:paraId="23DE6787"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8.78%</w:t>
            </w:r>
          </w:p>
        </w:tc>
      </w:tr>
      <w:tr w:rsidR="007F68D7" w:rsidRPr="007F68D7" w14:paraId="5EA8FD78" w14:textId="77777777" w:rsidTr="00EF3F61">
        <w:tc>
          <w:tcPr>
            <w:tcW w:w="2254" w:type="dxa"/>
          </w:tcPr>
          <w:p w14:paraId="11485022" w14:textId="4C83DFA8"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10-14 </w:t>
            </w:r>
          </w:p>
        </w:tc>
        <w:tc>
          <w:tcPr>
            <w:tcW w:w="2254" w:type="dxa"/>
          </w:tcPr>
          <w:p w14:paraId="1E36EA24"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14250</w:t>
            </w:r>
          </w:p>
        </w:tc>
        <w:tc>
          <w:tcPr>
            <w:tcW w:w="2254" w:type="dxa"/>
          </w:tcPr>
          <w:p w14:paraId="3BC12CF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4.74%</w:t>
            </w:r>
          </w:p>
        </w:tc>
        <w:tc>
          <w:tcPr>
            <w:tcW w:w="2254" w:type="dxa"/>
          </w:tcPr>
          <w:p w14:paraId="7CE7AB7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13.52%</w:t>
            </w:r>
          </w:p>
        </w:tc>
      </w:tr>
      <w:tr w:rsidR="007F68D7" w:rsidRPr="007F68D7" w14:paraId="04AA2F83" w14:textId="77777777" w:rsidTr="00EF3F61">
        <w:tc>
          <w:tcPr>
            <w:tcW w:w="2254" w:type="dxa"/>
          </w:tcPr>
          <w:p w14:paraId="1410C255" w14:textId="7A280599" w:rsidR="007F68D7" w:rsidRPr="007F68D7" w:rsidRDefault="00271A82" w:rsidP="00BD5CEB">
            <w:pPr>
              <w:keepNext/>
              <w:autoSpaceDE w:val="0"/>
              <w:autoSpaceDN w:val="0"/>
              <w:adjustRightInd w:val="0"/>
              <w:rPr>
                <w:rFonts w:ascii="Arial Narrow" w:hAnsi="Arial Narrow" w:cs="CIDFont+F1"/>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15-19 </w:t>
            </w:r>
          </w:p>
        </w:tc>
        <w:tc>
          <w:tcPr>
            <w:tcW w:w="2254" w:type="dxa"/>
          </w:tcPr>
          <w:p w14:paraId="61FBF34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13590</w:t>
            </w:r>
          </w:p>
        </w:tc>
        <w:tc>
          <w:tcPr>
            <w:tcW w:w="2254" w:type="dxa"/>
          </w:tcPr>
          <w:p w14:paraId="19B0875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4.52%</w:t>
            </w:r>
          </w:p>
        </w:tc>
        <w:tc>
          <w:tcPr>
            <w:tcW w:w="2254" w:type="dxa"/>
          </w:tcPr>
          <w:p w14:paraId="2444F65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18.04%</w:t>
            </w:r>
          </w:p>
        </w:tc>
      </w:tr>
      <w:tr w:rsidR="007F68D7" w:rsidRPr="007F68D7" w14:paraId="6D07C198" w14:textId="77777777" w:rsidTr="00EF3F61">
        <w:tc>
          <w:tcPr>
            <w:tcW w:w="2254" w:type="dxa"/>
          </w:tcPr>
          <w:p w14:paraId="0FED5CE8" w14:textId="6C6BA90E"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20-24 </w:t>
            </w:r>
          </w:p>
        </w:tc>
        <w:tc>
          <w:tcPr>
            <w:tcW w:w="2254" w:type="dxa"/>
          </w:tcPr>
          <w:p w14:paraId="2011D91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18520</w:t>
            </w:r>
          </w:p>
        </w:tc>
        <w:tc>
          <w:tcPr>
            <w:tcW w:w="2254" w:type="dxa"/>
          </w:tcPr>
          <w:p w14:paraId="67C32D8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6.16%</w:t>
            </w:r>
          </w:p>
        </w:tc>
        <w:tc>
          <w:tcPr>
            <w:tcW w:w="2254" w:type="dxa"/>
          </w:tcPr>
          <w:p w14:paraId="45B5DDB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24.20%</w:t>
            </w:r>
          </w:p>
        </w:tc>
      </w:tr>
      <w:tr w:rsidR="007F68D7" w:rsidRPr="007F68D7" w14:paraId="5DAD8A6B" w14:textId="77777777" w:rsidTr="00EF3F61">
        <w:tc>
          <w:tcPr>
            <w:tcW w:w="2254" w:type="dxa"/>
          </w:tcPr>
          <w:p w14:paraId="5D9AD7AF" w14:textId="79415C45"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25-29 </w:t>
            </w:r>
          </w:p>
        </w:tc>
        <w:tc>
          <w:tcPr>
            <w:tcW w:w="2254" w:type="dxa"/>
          </w:tcPr>
          <w:p w14:paraId="18512AF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18290</w:t>
            </w:r>
          </w:p>
        </w:tc>
        <w:tc>
          <w:tcPr>
            <w:tcW w:w="2254" w:type="dxa"/>
          </w:tcPr>
          <w:p w14:paraId="7CEA302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6.08%</w:t>
            </w:r>
          </w:p>
        </w:tc>
        <w:tc>
          <w:tcPr>
            <w:tcW w:w="2254" w:type="dxa"/>
          </w:tcPr>
          <w:p w14:paraId="3F45392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30.28%</w:t>
            </w:r>
          </w:p>
        </w:tc>
      </w:tr>
      <w:tr w:rsidR="007F68D7" w:rsidRPr="007F68D7" w14:paraId="18D15D5F" w14:textId="77777777" w:rsidTr="00EF3F61">
        <w:tc>
          <w:tcPr>
            <w:tcW w:w="2254" w:type="dxa"/>
          </w:tcPr>
          <w:p w14:paraId="65A40622" w14:textId="5B7DA958" w:rsidR="007F68D7" w:rsidRPr="007F68D7" w:rsidRDefault="00271A82" w:rsidP="00BD5CEB">
            <w:pPr>
              <w:keepNext/>
              <w:autoSpaceDE w:val="0"/>
              <w:autoSpaceDN w:val="0"/>
              <w:adjustRightInd w:val="0"/>
              <w:rPr>
                <w:rFonts w:ascii="Arial Narrow" w:hAnsi="Arial Narrow" w:cs="CIDFont+F1"/>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30-34 </w:t>
            </w:r>
          </w:p>
        </w:tc>
        <w:tc>
          <w:tcPr>
            <w:tcW w:w="2254" w:type="dxa"/>
          </w:tcPr>
          <w:p w14:paraId="608C295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14200</w:t>
            </w:r>
          </w:p>
        </w:tc>
        <w:tc>
          <w:tcPr>
            <w:tcW w:w="2254" w:type="dxa"/>
          </w:tcPr>
          <w:p w14:paraId="7C1A79B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4.72%</w:t>
            </w:r>
          </w:p>
        </w:tc>
        <w:tc>
          <w:tcPr>
            <w:tcW w:w="2254" w:type="dxa"/>
          </w:tcPr>
          <w:p w14:paraId="1EBB770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35.00%</w:t>
            </w:r>
          </w:p>
        </w:tc>
      </w:tr>
      <w:tr w:rsidR="007F68D7" w:rsidRPr="007F68D7" w14:paraId="6609217B" w14:textId="77777777" w:rsidTr="00EF3F61">
        <w:tc>
          <w:tcPr>
            <w:tcW w:w="2254" w:type="dxa"/>
          </w:tcPr>
          <w:p w14:paraId="32F7D097" w14:textId="7ED66C8E"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35-39 </w:t>
            </w:r>
          </w:p>
        </w:tc>
        <w:tc>
          <w:tcPr>
            <w:tcW w:w="2254" w:type="dxa"/>
          </w:tcPr>
          <w:p w14:paraId="680A0AD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12580</w:t>
            </w:r>
          </w:p>
        </w:tc>
        <w:tc>
          <w:tcPr>
            <w:tcW w:w="2254" w:type="dxa"/>
          </w:tcPr>
          <w:p w14:paraId="644EE01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4.18%</w:t>
            </w:r>
          </w:p>
        </w:tc>
        <w:tc>
          <w:tcPr>
            <w:tcW w:w="2254" w:type="dxa"/>
          </w:tcPr>
          <w:p w14:paraId="40F7306A"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39.18%</w:t>
            </w:r>
          </w:p>
        </w:tc>
      </w:tr>
      <w:tr w:rsidR="007F68D7" w:rsidRPr="007F68D7" w14:paraId="4BFD79F7" w14:textId="77777777" w:rsidTr="00EF3F61">
        <w:tc>
          <w:tcPr>
            <w:tcW w:w="2254" w:type="dxa"/>
          </w:tcPr>
          <w:p w14:paraId="075656C3" w14:textId="030F90C1"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40-44 </w:t>
            </w:r>
          </w:p>
        </w:tc>
        <w:tc>
          <w:tcPr>
            <w:tcW w:w="2254" w:type="dxa"/>
          </w:tcPr>
          <w:p w14:paraId="164B199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12620</w:t>
            </w:r>
          </w:p>
        </w:tc>
        <w:tc>
          <w:tcPr>
            <w:tcW w:w="2254" w:type="dxa"/>
          </w:tcPr>
          <w:p w14:paraId="5A2233F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4.20%</w:t>
            </w:r>
          </w:p>
        </w:tc>
        <w:tc>
          <w:tcPr>
            <w:tcW w:w="2254" w:type="dxa"/>
          </w:tcPr>
          <w:p w14:paraId="6D2F55DA"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43.38%</w:t>
            </w:r>
          </w:p>
        </w:tc>
      </w:tr>
      <w:tr w:rsidR="007F68D7" w:rsidRPr="007F68D7" w14:paraId="31E543B1" w14:textId="77777777" w:rsidTr="00EF3F61">
        <w:tc>
          <w:tcPr>
            <w:tcW w:w="2254" w:type="dxa"/>
          </w:tcPr>
          <w:p w14:paraId="563CD69D" w14:textId="0730F7AF"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45-49 </w:t>
            </w:r>
          </w:p>
        </w:tc>
        <w:tc>
          <w:tcPr>
            <w:tcW w:w="2254" w:type="dxa"/>
          </w:tcPr>
          <w:p w14:paraId="770235B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10920</w:t>
            </w:r>
          </w:p>
        </w:tc>
        <w:tc>
          <w:tcPr>
            <w:tcW w:w="2254" w:type="dxa"/>
          </w:tcPr>
          <w:p w14:paraId="2AD4019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3.63%</w:t>
            </w:r>
          </w:p>
        </w:tc>
        <w:tc>
          <w:tcPr>
            <w:tcW w:w="2254" w:type="dxa"/>
          </w:tcPr>
          <w:p w14:paraId="224E537A"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47.01%</w:t>
            </w:r>
          </w:p>
        </w:tc>
      </w:tr>
      <w:tr w:rsidR="007F68D7" w:rsidRPr="007F68D7" w14:paraId="6E0FB7CA" w14:textId="77777777" w:rsidTr="00EF3F61">
        <w:tc>
          <w:tcPr>
            <w:tcW w:w="2254" w:type="dxa"/>
          </w:tcPr>
          <w:p w14:paraId="4362A502" w14:textId="7C9AB78F"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50-54 </w:t>
            </w:r>
          </w:p>
        </w:tc>
        <w:tc>
          <w:tcPr>
            <w:tcW w:w="2254" w:type="dxa"/>
          </w:tcPr>
          <w:p w14:paraId="3A61110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8940</w:t>
            </w:r>
          </w:p>
        </w:tc>
        <w:tc>
          <w:tcPr>
            <w:tcW w:w="2254" w:type="dxa"/>
          </w:tcPr>
          <w:p w14:paraId="38D7D29A"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2.97%</w:t>
            </w:r>
          </w:p>
        </w:tc>
        <w:tc>
          <w:tcPr>
            <w:tcW w:w="2254" w:type="dxa"/>
          </w:tcPr>
          <w:p w14:paraId="4AB71E3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49.98%</w:t>
            </w:r>
          </w:p>
        </w:tc>
      </w:tr>
      <w:tr w:rsidR="007F68D7" w:rsidRPr="007F68D7" w14:paraId="781D1FF6" w14:textId="77777777" w:rsidTr="00EF3F61">
        <w:tc>
          <w:tcPr>
            <w:tcW w:w="2254" w:type="dxa"/>
          </w:tcPr>
          <w:p w14:paraId="6C0AB1F9" w14:textId="5680E89E"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55-59 </w:t>
            </w:r>
          </w:p>
        </w:tc>
        <w:tc>
          <w:tcPr>
            <w:tcW w:w="2254" w:type="dxa"/>
          </w:tcPr>
          <w:p w14:paraId="715A856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9090</w:t>
            </w:r>
          </w:p>
        </w:tc>
        <w:tc>
          <w:tcPr>
            <w:tcW w:w="2254" w:type="dxa"/>
          </w:tcPr>
          <w:p w14:paraId="38BBD80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3.02%</w:t>
            </w:r>
          </w:p>
        </w:tc>
        <w:tc>
          <w:tcPr>
            <w:tcW w:w="2254" w:type="dxa"/>
          </w:tcPr>
          <w:p w14:paraId="195BF6F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53.00%</w:t>
            </w:r>
          </w:p>
        </w:tc>
      </w:tr>
      <w:tr w:rsidR="007F68D7" w:rsidRPr="007F68D7" w14:paraId="67AD6A91" w14:textId="77777777" w:rsidTr="00EF3F61">
        <w:tc>
          <w:tcPr>
            <w:tcW w:w="2254" w:type="dxa"/>
          </w:tcPr>
          <w:p w14:paraId="10602B36" w14:textId="2A68D3E2"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60-64 </w:t>
            </w:r>
          </w:p>
        </w:tc>
        <w:tc>
          <w:tcPr>
            <w:tcW w:w="2254" w:type="dxa"/>
          </w:tcPr>
          <w:p w14:paraId="5466806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9390</w:t>
            </w:r>
          </w:p>
        </w:tc>
        <w:tc>
          <w:tcPr>
            <w:tcW w:w="2254" w:type="dxa"/>
          </w:tcPr>
          <w:p w14:paraId="7B5985D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3.12%</w:t>
            </w:r>
          </w:p>
        </w:tc>
        <w:tc>
          <w:tcPr>
            <w:tcW w:w="2254" w:type="dxa"/>
          </w:tcPr>
          <w:p w14:paraId="3470D52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56.12%</w:t>
            </w:r>
          </w:p>
        </w:tc>
      </w:tr>
      <w:tr w:rsidR="007F68D7" w:rsidRPr="007F68D7" w14:paraId="5E4BF879" w14:textId="77777777" w:rsidTr="00EF3F61">
        <w:tc>
          <w:tcPr>
            <w:tcW w:w="2254" w:type="dxa"/>
          </w:tcPr>
          <w:p w14:paraId="02DE2821" w14:textId="129560D1"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65-69 </w:t>
            </w:r>
          </w:p>
        </w:tc>
        <w:tc>
          <w:tcPr>
            <w:tcW w:w="2254" w:type="dxa"/>
          </w:tcPr>
          <w:p w14:paraId="1FB6193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6890</w:t>
            </w:r>
          </w:p>
        </w:tc>
        <w:tc>
          <w:tcPr>
            <w:tcW w:w="2254" w:type="dxa"/>
          </w:tcPr>
          <w:p w14:paraId="27F2E2D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2.29%</w:t>
            </w:r>
          </w:p>
        </w:tc>
        <w:tc>
          <w:tcPr>
            <w:tcW w:w="2254" w:type="dxa"/>
          </w:tcPr>
          <w:p w14:paraId="2BF482D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58.41%</w:t>
            </w:r>
          </w:p>
        </w:tc>
      </w:tr>
      <w:tr w:rsidR="007F68D7" w:rsidRPr="007F68D7" w14:paraId="3540D645" w14:textId="77777777" w:rsidTr="00EF3F61">
        <w:tc>
          <w:tcPr>
            <w:tcW w:w="2254" w:type="dxa"/>
          </w:tcPr>
          <w:p w14:paraId="238824A8" w14:textId="07AFF1FE"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70-74 </w:t>
            </w:r>
          </w:p>
        </w:tc>
        <w:tc>
          <w:tcPr>
            <w:tcW w:w="2254" w:type="dxa"/>
          </w:tcPr>
          <w:p w14:paraId="38F30DA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7140</w:t>
            </w:r>
          </w:p>
        </w:tc>
        <w:tc>
          <w:tcPr>
            <w:tcW w:w="2254" w:type="dxa"/>
          </w:tcPr>
          <w:p w14:paraId="5F60C57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2.37%</w:t>
            </w:r>
          </w:p>
        </w:tc>
        <w:tc>
          <w:tcPr>
            <w:tcW w:w="2254" w:type="dxa"/>
          </w:tcPr>
          <w:p w14:paraId="1E837C36"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60.78%</w:t>
            </w:r>
          </w:p>
        </w:tc>
      </w:tr>
      <w:tr w:rsidR="007F68D7" w:rsidRPr="007F68D7" w14:paraId="7643D640" w14:textId="77777777" w:rsidTr="00EF3F61">
        <w:tc>
          <w:tcPr>
            <w:tcW w:w="2254" w:type="dxa"/>
          </w:tcPr>
          <w:p w14:paraId="1368E6D1" w14:textId="03E35C5E"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75-79 </w:t>
            </w:r>
          </w:p>
        </w:tc>
        <w:tc>
          <w:tcPr>
            <w:tcW w:w="2254" w:type="dxa"/>
          </w:tcPr>
          <w:p w14:paraId="3A6B99E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5910</w:t>
            </w:r>
          </w:p>
        </w:tc>
        <w:tc>
          <w:tcPr>
            <w:tcW w:w="2254" w:type="dxa"/>
          </w:tcPr>
          <w:p w14:paraId="4CFCBCD7"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1.97%</w:t>
            </w:r>
          </w:p>
        </w:tc>
        <w:tc>
          <w:tcPr>
            <w:tcW w:w="2254" w:type="dxa"/>
          </w:tcPr>
          <w:p w14:paraId="16E5503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62.75%</w:t>
            </w:r>
          </w:p>
        </w:tc>
      </w:tr>
      <w:tr w:rsidR="007F68D7" w:rsidRPr="007F68D7" w14:paraId="760B1904" w14:textId="77777777" w:rsidTr="00EF3F61">
        <w:tc>
          <w:tcPr>
            <w:tcW w:w="2254" w:type="dxa"/>
          </w:tcPr>
          <w:p w14:paraId="237F47E4" w14:textId="445B3360"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80-84 </w:t>
            </w:r>
          </w:p>
        </w:tc>
        <w:tc>
          <w:tcPr>
            <w:tcW w:w="2254" w:type="dxa"/>
          </w:tcPr>
          <w:p w14:paraId="64F5CC5E"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6450</w:t>
            </w:r>
          </w:p>
        </w:tc>
        <w:tc>
          <w:tcPr>
            <w:tcW w:w="2254" w:type="dxa"/>
          </w:tcPr>
          <w:p w14:paraId="44AE2A7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2.14%</w:t>
            </w:r>
          </w:p>
        </w:tc>
        <w:tc>
          <w:tcPr>
            <w:tcW w:w="2254" w:type="dxa"/>
          </w:tcPr>
          <w:p w14:paraId="68A0A5F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64.89%</w:t>
            </w:r>
          </w:p>
        </w:tc>
      </w:tr>
      <w:tr w:rsidR="007F68D7" w:rsidRPr="007F68D7" w14:paraId="0EA837CF" w14:textId="77777777" w:rsidTr="00EF3F61">
        <w:tc>
          <w:tcPr>
            <w:tcW w:w="2254" w:type="dxa"/>
          </w:tcPr>
          <w:p w14:paraId="22CBA212" w14:textId="79CED0AC"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85-89 </w:t>
            </w:r>
          </w:p>
        </w:tc>
        <w:tc>
          <w:tcPr>
            <w:tcW w:w="2254" w:type="dxa"/>
          </w:tcPr>
          <w:p w14:paraId="79154A8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5250</w:t>
            </w:r>
          </w:p>
        </w:tc>
        <w:tc>
          <w:tcPr>
            <w:tcW w:w="2254" w:type="dxa"/>
          </w:tcPr>
          <w:p w14:paraId="40D8190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1.75%</w:t>
            </w:r>
          </w:p>
        </w:tc>
        <w:tc>
          <w:tcPr>
            <w:tcW w:w="2254" w:type="dxa"/>
          </w:tcPr>
          <w:p w14:paraId="3D44ACD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66.64%</w:t>
            </w:r>
          </w:p>
        </w:tc>
      </w:tr>
      <w:tr w:rsidR="007F68D7" w:rsidRPr="007F68D7" w14:paraId="08C692F3" w14:textId="77777777" w:rsidTr="00EF3F61">
        <w:tc>
          <w:tcPr>
            <w:tcW w:w="2254" w:type="dxa"/>
          </w:tcPr>
          <w:p w14:paraId="6671C967" w14:textId="0E285EC8"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90-94 </w:t>
            </w:r>
          </w:p>
        </w:tc>
        <w:tc>
          <w:tcPr>
            <w:tcW w:w="2254" w:type="dxa"/>
          </w:tcPr>
          <w:p w14:paraId="36486004"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5140</w:t>
            </w:r>
          </w:p>
        </w:tc>
        <w:tc>
          <w:tcPr>
            <w:tcW w:w="2254" w:type="dxa"/>
          </w:tcPr>
          <w:p w14:paraId="11984D0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1.71%</w:t>
            </w:r>
          </w:p>
        </w:tc>
        <w:tc>
          <w:tcPr>
            <w:tcW w:w="2254" w:type="dxa"/>
          </w:tcPr>
          <w:p w14:paraId="1ACEC0C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68.35%</w:t>
            </w:r>
          </w:p>
        </w:tc>
      </w:tr>
      <w:tr w:rsidR="007F68D7" w:rsidRPr="007F68D7" w14:paraId="547E6A17" w14:textId="77777777" w:rsidTr="00EF3F61">
        <w:tc>
          <w:tcPr>
            <w:tcW w:w="2254" w:type="dxa"/>
          </w:tcPr>
          <w:p w14:paraId="45002308" w14:textId="3DC8E1B8"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95-99 </w:t>
            </w:r>
          </w:p>
        </w:tc>
        <w:tc>
          <w:tcPr>
            <w:tcW w:w="2254" w:type="dxa"/>
          </w:tcPr>
          <w:p w14:paraId="314CD0E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4520</w:t>
            </w:r>
          </w:p>
        </w:tc>
        <w:tc>
          <w:tcPr>
            <w:tcW w:w="2254" w:type="dxa"/>
          </w:tcPr>
          <w:p w14:paraId="6AF8314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1.50%</w:t>
            </w:r>
          </w:p>
        </w:tc>
        <w:tc>
          <w:tcPr>
            <w:tcW w:w="2254" w:type="dxa"/>
          </w:tcPr>
          <w:p w14:paraId="4E880D9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69.85%</w:t>
            </w:r>
          </w:p>
        </w:tc>
      </w:tr>
      <w:tr w:rsidR="007F68D7" w:rsidRPr="007F68D7" w14:paraId="6B2646DE" w14:textId="77777777" w:rsidTr="00EF3F61">
        <w:tc>
          <w:tcPr>
            <w:tcW w:w="2254" w:type="dxa"/>
          </w:tcPr>
          <w:p w14:paraId="10B8E773" w14:textId="5E88191F"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100-104 </w:t>
            </w:r>
          </w:p>
        </w:tc>
        <w:tc>
          <w:tcPr>
            <w:tcW w:w="2254" w:type="dxa"/>
          </w:tcPr>
          <w:p w14:paraId="2093DA4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4310</w:t>
            </w:r>
          </w:p>
        </w:tc>
        <w:tc>
          <w:tcPr>
            <w:tcW w:w="2254" w:type="dxa"/>
          </w:tcPr>
          <w:p w14:paraId="6328C14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1.43%</w:t>
            </w:r>
          </w:p>
        </w:tc>
        <w:tc>
          <w:tcPr>
            <w:tcW w:w="2254" w:type="dxa"/>
          </w:tcPr>
          <w:p w14:paraId="2D8BE6E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71.28%</w:t>
            </w:r>
          </w:p>
        </w:tc>
      </w:tr>
      <w:tr w:rsidR="007F68D7" w:rsidRPr="007F68D7" w14:paraId="6E18EF3F" w14:textId="77777777" w:rsidTr="00EF3F61">
        <w:tc>
          <w:tcPr>
            <w:tcW w:w="2254" w:type="dxa"/>
          </w:tcPr>
          <w:p w14:paraId="3679A4C4" w14:textId="2638ACD4"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105-109 </w:t>
            </w:r>
          </w:p>
        </w:tc>
        <w:tc>
          <w:tcPr>
            <w:tcW w:w="2254" w:type="dxa"/>
          </w:tcPr>
          <w:p w14:paraId="73B2BF4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4050</w:t>
            </w:r>
          </w:p>
        </w:tc>
        <w:tc>
          <w:tcPr>
            <w:tcW w:w="2254" w:type="dxa"/>
          </w:tcPr>
          <w:p w14:paraId="2B600877"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1.35%</w:t>
            </w:r>
          </w:p>
        </w:tc>
        <w:tc>
          <w:tcPr>
            <w:tcW w:w="2254" w:type="dxa"/>
          </w:tcPr>
          <w:p w14:paraId="1E318DC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72.63%</w:t>
            </w:r>
          </w:p>
        </w:tc>
      </w:tr>
      <w:tr w:rsidR="007F68D7" w:rsidRPr="007F68D7" w14:paraId="2302A60E" w14:textId="77777777" w:rsidTr="00EF3F61">
        <w:tc>
          <w:tcPr>
            <w:tcW w:w="2254" w:type="dxa"/>
          </w:tcPr>
          <w:p w14:paraId="4D9F2990" w14:textId="674B1070"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110-114 </w:t>
            </w:r>
          </w:p>
        </w:tc>
        <w:tc>
          <w:tcPr>
            <w:tcW w:w="2254" w:type="dxa"/>
          </w:tcPr>
          <w:p w14:paraId="6E0A65E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4000</w:t>
            </w:r>
          </w:p>
        </w:tc>
        <w:tc>
          <w:tcPr>
            <w:tcW w:w="2254" w:type="dxa"/>
          </w:tcPr>
          <w:p w14:paraId="1FF3708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1.33%</w:t>
            </w:r>
          </w:p>
        </w:tc>
        <w:tc>
          <w:tcPr>
            <w:tcW w:w="2254" w:type="dxa"/>
          </w:tcPr>
          <w:p w14:paraId="59300A29"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73.96%</w:t>
            </w:r>
          </w:p>
        </w:tc>
      </w:tr>
      <w:tr w:rsidR="007F68D7" w:rsidRPr="007F68D7" w14:paraId="44FC4148" w14:textId="77777777" w:rsidTr="00EF3F61">
        <w:tc>
          <w:tcPr>
            <w:tcW w:w="2254" w:type="dxa"/>
          </w:tcPr>
          <w:p w14:paraId="37A934CA" w14:textId="45C28735"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115-119 </w:t>
            </w:r>
          </w:p>
        </w:tc>
        <w:tc>
          <w:tcPr>
            <w:tcW w:w="2254" w:type="dxa"/>
          </w:tcPr>
          <w:p w14:paraId="715AEAB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3550</w:t>
            </w:r>
          </w:p>
        </w:tc>
        <w:tc>
          <w:tcPr>
            <w:tcW w:w="2254" w:type="dxa"/>
          </w:tcPr>
          <w:p w14:paraId="47EB7DA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1.18%</w:t>
            </w:r>
          </w:p>
        </w:tc>
        <w:tc>
          <w:tcPr>
            <w:tcW w:w="2254" w:type="dxa"/>
          </w:tcPr>
          <w:p w14:paraId="3040E775"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75.14%</w:t>
            </w:r>
          </w:p>
        </w:tc>
      </w:tr>
      <w:tr w:rsidR="007F68D7" w:rsidRPr="007F68D7" w14:paraId="653C1B89" w14:textId="77777777" w:rsidTr="00EF3F61">
        <w:tc>
          <w:tcPr>
            <w:tcW w:w="2254" w:type="dxa"/>
          </w:tcPr>
          <w:p w14:paraId="1C612F77" w14:textId="52C9D305"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120-124 </w:t>
            </w:r>
          </w:p>
        </w:tc>
        <w:tc>
          <w:tcPr>
            <w:tcW w:w="2254" w:type="dxa"/>
          </w:tcPr>
          <w:p w14:paraId="5766A69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3550</w:t>
            </w:r>
          </w:p>
        </w:tc>
        <w:tc>
          <w:tcPr>
            <w:tcW w:w="2254" w:type="dxa"/>
          </w:tcPr>
          <w:p w14:paraId="18110DA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1.18%</w:t>
            </w:r>
          </w:p>
        </w:tc>
        <w:tc>
          <w:tcPr>
            <w:tcW w:w="2254" w:type="dxa"/>
          </w:tcPr>
          <w:p w14:paraId="6146692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76.32%</w:t>
            </w:r>
          </w:p>
        </w:tc>
      </w:tr>
      <w:tr w:rsidR="007F68D7" w:rsidRPr="007F68D7" w14:paraId="528451C2" w14:textId="77777777" w:rsidTr="00EF3F61">
        <w:tc>
          <w:tcPr>
            <w:tcW w:w="2254" w:type="dxa"/>
          </w:tcPr>
          <w:p w14:paraId="4DF93CF9" w14:textId="23B14DB2"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125-129 </w:t>
            </w:r>
          </w:p>
        </w:tc>
        <w:tc>
          <w:tcPr>
            <w:tcW w:w="2254" w:type="dxa"/>
          </w:tcPr>
          <w:p w14:paraId="6DA4ED0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3050</w:t>
            </w:r>
          </w:p>
        </w:tc>
        <w:tc>
          <w:tcPr>
            <w:tcW w:w="2254" w:type="dxa"/>
          </w:tcPr>
          <w:p w14:paraId="6B25235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1.01%</w:t>
            </w:r>
          </w:p>
        </w:tc>
        <w:tc>
          <w:tcPr>
            <w:tcW w:w="2254" w:type="dxa"/>
          </w:tcPr>
          <w:p w14:paraId="0AC8C04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77.33%</w:t>
            </w:r>
          </w:p>
        </w:tc>
      </w:tr>
      <w:tr w:rsidR="007F68D7" w:rsidRPr="007F68D7" w14:paraId="58963E81" w14:textId="77777777" w:rsidTr="00EF3F61">
        <w:tc>
          <w:tcPr>
            <w:tcW w:w="2254" w:type="dxa"/>
          </w:tcPr>
          <w:p w14:paraId="394158A4" w14:textId="63FE6833"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130-134 </w:t>
            </w:r>
          </w:p>
        </w:tc>
        <w:tc>
          <w:tcPr>
            <w:tcW w:w="2254" w:type="dxa"/>
          </w:tcPr>
          <w:p w14:paraId="1AF26B44"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2900</w:t>
            </w:r>
          </w:p>
        </w:tc>
        <w:tc>
          <w:tcPr>
            <w:tcW w:w="2254" w:type="dxa"/>
          </w:tcPr>
          <w:p w14:paraId="6109C174"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0.96%</w:t>
            </w:r>
          </w:p>
        </w:tc>
        <w:tc>
          <w:tcPr>
            <w:tcW w:w="2254" w:type="dxa"/>
          </w:tcPr>
          <w:p w14:paraId="4E4F705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78.29%</w:t>
            </w:r>
          </w:p>
        </w:tc>
      </w:tr>
      <w:tr w:rsidR="007F68D7" w:rsidRPr="007F68D7" w14:paraId="0992B8D2" w14:textId="77777777" w:rsidTr="00EF3F61">
        <w:tc>
          <w:tcPr>
            <w:tcW w:w="2254" w:type="dxa"/>
          </w:tcPr>
          <w:p w14:paraId="16E8C6D6" w14:textId="31F051C2"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135-139 </w:t>
            </w:r>
          </w:p>
        </w:tc>
        <w:tc>
          <w:tcPr>
            <w:tcW w:w="2254" w:type="dxa"/>
          </w:tcPr>
          <w:p w14:paraId="7B20CFC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2880</w:t>
            </w:r>
          </w:p>
        </w:tc>
        <w:tc>
          <w:tcPr>
            <w:tcW w:w="2254" w:type="dxa"/>
          </w:tcPr>
          <w:p w14:paraId="34CF6BBE"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0.96%</w:t>
            </w:r>
          </w:p>
        </w:tc>
        <w:tc>
          <w:tcPr>
            <w:tcW w:w="2254" w:type="dxa"/>
          </w:tcPr>
          <w:p w14:paraId="1465344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79.25%</w:t>
            </w:r>
          </w:p>
        </w:tc>
      </w:tr>
      <w:tr w:rsidR="007F68D7" w:rsidRPr="007F68D7" w14:paraId="48A17BC5" w14:textId="77777777" w:rsidTr="00EF3F61">
        <w:tc>
          <w:tcPr>
            <w:tcW w:w="2254" w:type="dxa"/>
          </w:tcPr>
          <w:p w14:paraId="5CC918E5" w14:textId="6B7D4229"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140-144 </w:t>
            </w:r>
          </w:p>
        </w:tc>
        <w:tc>
          <w:tcPr>
            <w:tcW w:w="2254" w:type="dxa"/>
          </w:tcPr>
          <w:p w14:paraId="29CCE36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2450</w:t>
            </w:r>
          </w:p>
        </w:tc>
        <w:tc>
          <w:tcPr>
            <w:tcW w:w="2254" w:type="dxa"/>
          </w:tcPr>
          <w:p w14:paraId="343CDAE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0.81%</w:t>
            </w:r>
          </w:p>
        </w:tc>
        <w:tc>
          <w:tcPr>
            <w:tcW w:w="2254" w:type="dxa"/>
          </w:tcPr>
          <w:p w14:paraId="1DA7C79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80.06%</w:t>
            </w:r>
          </w:p>
        </w:tc>
      </w:tr>
      <w:tr w:rsidR="007F68D7" w:rsidRPr="007F68D7" w14:paraId="6553337C" w14:textId="77777777" w:rsidTr="00EF3F61">
        <w:tc>
          <w:tcPr>
            <w:tcW w:w="2254" w:type="dxa"/>
          </w:tcPr>
          <w:p w14:paraId="76161512" w14:textId="3F60120F"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145-149 </w:t>
            </w:r>
          </w:p>
        </w:tc>
        <w:tc>
          <w:tcPr>
            <w:tcW w:w="2254" w:type="dxa"/>
          </w:tcPr>
          <w:p w14:paraId="483351F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2350</w:t>
            </w:r>
          </w:p>
        </w:tc>
        <w:tc>
          <w:tcPr>
            <w:tcW w:w="2254" w:type="dxa"/>
          </w:tcPr>
          <w:p w14:paraId="73DB74D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0.78%</w:t>
            </w:r>
          </w:p>
        </w:tc>
        <w:tc>
          <w:tcPr>
            <w:tcW w:w="2254" w:type="dxa"/>
          </w:tcPr>
          <w:p w14:paraId="451F858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80.84%</w:t>
            </w:r>
          </w:p>
        </w:tc>
      </w:tr>
      <w:tr w:rsidR="007F68D7" w:rsidRPr="007F68D7" w14:paraId="572F6681" w14:textId="77777777" w:rsidTr="00EF3F61">
        <w:tc>
          <w:tcPr>
            <w:tcW w:w="2254" w:type="dxa"/>
          </w:tcPr>
          <w:p w14:paraId="43EAFDE7" w14:textId="63A1AA54"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150-154 </w:t>
            </w:r>
          </w:p>
        </w:tc>
        <w:tc>
          <w:tcPr>
            <w:tcW w:w="2254" w:type="dxa"/>
          </w:tcPr>
          <w:p w14:paraId="291B694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2600</w:t>
            </w:r>
          </w:p>
        </w:tc>
        <w:tc>
          <w:tcPr>
            <w:tcW w:w="2254" w:type="dxa"/>
          </w:tcPr>
          <w:p w14:paraId="1BA3756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0.86%</w:t>
            </w:r>
          </w:p>
        </w:tc>
        <w:tc>
          <w:tcPr>
            <w:tcW w:w="2254" w:type="dxa"/>
          </w:tcPr>
          <w:p w14:paraId="68DBE6BA"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81.70%</w:t>
            </w:r>
          </w:p>
        </w:tc>
      </w:tr>
      <w:tr w:rsidR="007F68D7" w:rsidRPr="007F68D7" w14:paraId="5CB6A362" w14:textId="77777777" w:rsidTr="00EF3F61">
        <w:tc>
          <w:tcPr>
            <w:tcW w:w="2254" w:type="dxa"/>
          </w:tcPr>
          <w:p w14:paraId="507C4325" w14:textId="4C105366"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155-159 </w:t>
            </w:r>
          </w:p>
        </w:tc>
        <w:tc>
          <w:tcPr>
            <w:tcW w:w="2254" w:type="dxa"/>
          </w:tcPr>
          <w:p w14:paraId="4A28CBF1"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2040</w:t>
            </w:r>
          </w:p>
        </w:tc>
        <w:tc>
          <w:tcPr>
            <w:tcW w:w="2254" w:type="dxa"/>
          </w:tcPr>
          <w:p w14:paraId="1A24ACC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0.68%</w:t>
            </w:r>
          </w:p>
        </w:tc>
        <w:tc>
          <w:tcPr>
            <w:tcW w:w="2254" w:type="dxa"/>
          </w:tcPr>
          <w:p w14:paraId="0C05FC8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82.38%</w:t>
            </w:r>
          </w:p>
        </w:tc>
      </w:tr>
      <w:tr w:rsidR="007F68D7" w:rsidRPr="007F68D7" w14:paraId="01658975" w14:textId="77777777" w:rsidTr="00EF3F61">
        <w:tc>
          <w:tcPr>
            <w:tcW w:w="2254" w:type="dxa"/>
          </w:tcPr>
          <w:p w14:paraId="65A6D199" w14:textId="295C45B3"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160-164 </w:t>
            </w:r>
          </w:p>
        </w:tc>
        <w:tc>
          <w:tcPr>
            <w:tcW w:w="2254" w:type="dxa"/>
          </w:tcPr>
          <w:p w14:paraId="4BC3C31B"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2020</w:t>
            </w:r>
          </w:p>
        </w:tc>
        <w:tc>
          <w:tcPr>
            <w:tcW w:w="2254" w:type="dxa"/>
          </w:tcPr>
          <w:p w14:paraId="3020CB8F"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0.67%</w:t>
            </w:r>
          </w:p>
        </w:tc>
        <w:tc>
          <w:tcPr>
            <w:tcW w:w="2254" w:type="dxa"/>
          </w:tcPr>
          <w:p w14:paraId="752E043D"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83.05%</w:t>
            </w:r>
          </w:p>
        </w:tc>
      </w:tr>
      <w:tr w:rsidR="007F68D7" w:rsidRPr="007F68D7" w14:paraId="48403ADF" w14:textId="77777777" w:rsidTr="00EF3F61">
        <w:tc>
          <w:tcPr>
            <w:tcW w:w="2254" w:type="dxa"/>
          </w:tcPr>
          <w:p w14:paraId="2F56F332" w14:textId="53EAAF1B"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165-169 </w:t>
            </w:r>
          </w:p>
        </w:tc>
        <w:tc>
          <w:tcPr>
            <w:tcW w:w="2254" w:type="dxa"/>
          </w:tcPr>
          <w:p w14:paraId="35BC86A7"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2450</w:t>
            </w:r>
          </w:p>
        </w:tc>
        <w:tc>
          <w:tcPr>
            <w:tcW w:w="2254" w:type="dxa"/>
          </w:tcPr>
          <w:p w14:paraId="1C869092"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0.81%</w:t>
            </w:r>
          </w:p>
        </w:tc>
        <w:tc>
          <w:tcPr>
            <w:tcW w:w="2254" w:type="dxa"/>
          </w:tcPr>
          <w:p w14:paraId="7164EF6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83.86%</w:t>
            </w:r>
          </w:p>
        </w:tc>
      </w:tr>
      <w:tr w:rsidR="007F68D7" w:rsidRPr="007F68D7" w14:paraId="5E4E46E6" w14:textId="77777777" w:rsidTr="00EF3F61">
        <w:tc>
          <w:tcPr>
            <w:tcW w:w="2254" w:type="dxa"/>
          </w:tcPr>
          <w:p w14:paraId="631F66BC" w14:textId="6D4C78CC"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170-174 </w:t>
            </w:r>
          </w:p>
        </w:tc>
        <w:tc>
          <w:tcPr>
            <w:tcW w:w="2254" w:type="dxa"/>
          </w:tcPr>
          <w:p w14:paraId="46B51F73"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1950</w:t>
            </w:r>
          </w:p>
        </w:tc>
        <w:tc>
          <w:tcPr>
            <w:tcW w:w="2254" w:type="dxa"/>
          </w:tcPr>
          <w:p w14:paraId="2D8460DC"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0.65%</w:t>
            </w:r>
          </w:p>
        </w:tc>
        <w:tc>
          <w:tcPr>
            <w:tcW w:w="2254" w:type="dxa"/>
          </w:tcPr>
          <w:p w14:paraId="4A84A8D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84.51%</w:t>
            </w:r>
          </w:p>
        </w:tc>
      </w:tr>
      <w:tr w:rsidR="007F68D7" w:rsidRPr="007F68D7" w14:paraId="3926EBCD" w14:textId="77777777" w:rsidTr="00EF3F61">
        <w:tc>
          <w:tcPr>
            <w:tcW w:w="2254" w:type="dxa"/>
          </w:tcPr>
          <w:p w14:paraId="7C02DCFD" w14:textId="29C309B8" w:rsidR="007F68D7" w:rsidRPr="007F68D7" w:rsidRDefault="00271A82" w:rsidP="00BD5CEB">
            <w:pPr>
              <w:keepNext/>
              <w:rPr>
                <w:rFonts w:ascii="Arial Narrow" w:hAnsi="Arial Narrow"/>
                <w:sz w:val="20"/>
                <w:szCs w:val="20"/>
              </w:rPr>
            </w:pPr>
            <w:r>
              <w:rPr>
                <w:rFonts w:ascii="Arial Narrow" w:hAnsi="Arial Narrow" w:cs="CIDFont+F1"/>
                <w:sz w:val="20"/>
                <w:szCs w:val="20"/>
              </w:rPr>
              <w:t>‘</w:t>
            </w:r>
            <w:r w:rsidR="007F68D7" w:rsidRPr="007F68D7">
              <w:rPr>
                <w:rFonts w:ascii="Arial Narrow" w:hAnsi="Arial Narrow" w:cs="CIDFont+F1"/>
                <w:sz w:val="20"/>
                <w:szCs w:val="20"/>
              </w:rPr>
              <w:t xml:space="preserve">175-179 </w:t>
            </w:r>
          </w:p>
        </w:tc>
        <w:tc>
          <w:tcPr>
            <w:tcW w:w="2254" w:type="dxa"/>
          </w:tcPr>
          <w:p w14:paraId="14E4C44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1860</w:t>
            </w:r>
          </w:p>
        </w:tc>
        <w:tc>
          <w:tcPr>
            <w:tcW w:w="2254" w:type="dxa"/>
          </w:tcPr>
          <w:p w14:paraId="274AC710"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0.62%</w:t>
            </w:r>
          </w:p>
        </w:tc>
        <w:tc>
          <w:tcPr>
            <w:tcW w:w="2254" w:type="dxa"/>
          </w:tcPr>
          <w:p w14:paraId="7AC38088" w14:textId="77777777" w:rsidR="007F68D7" w:rsidRPr="007F68D7" w:rsidRDefault="007F68D7" w:rsidP="00BD5CEB">
            <w:pPr>
              <w:keepNext/>
              <w:rPr>
                <w:rFonts w:ascii="Arial Narrow" w:hAnsi="Arial Narrow"/>
                <w:sz w:val="20"/>
                <w:szCs w:val="20"/>
              </w:rPr>
            </w:pPr>
            <w:r w:rsidRPr="007F68D7">
              <w:rPr>
                <w:rFonts w:ascii="Arial Narrow" w:hAnsi="Arial Narrow" w:cs="CIDFont+F1"/>
                <w:sz w:val="20"/>
                <w:szCs w:val="20"/>
              </w:rPr>
              <w:t>85.13%</w:t>
            </w:r>
          </w:p>
        </w:tc>
      </w:tr>
    </w:tbl>
    <w:p w14:paraId="3E5CD6FC" w14:textId="0C276E7D" w:rsidR="007F68D7" w:rsidRDefault="00BC5144" w:rsidP="00BD5CEB">
      <w:pPr>
        <w:keepNext/>
        <w:rPr>
          <w:rFonts w:ascii="Arial Narrow" w:hAnsi="Arial Narrow" w:cs="Arial"/>
          <w:sz w:val="18"/>
          <w:szCs w:val="18"/>
        </w:rPr>
      </w:pPr>
      <w:r>
        <w:rPr>
          <w:rFonts w:ascii="Arial Narrow" w:hAnsi="Arial Narrow" w:cs="Calibri"/>
          <w:sz w:val="18"/>
          <w:szCs w:val="18"/>
        </w:rPr>
        <w:t xml:space="preserve">Source: </w:t>
      </w:r>
      <w:r w:rsidR="007F68D7" w:rsidRPr="00A95EFD">
        <w:rPr>
          <w:rFonts w:ascii="Arial Narrow" w:hAnsi="Arial Narrow" w:cs="Calibri"/>
          <w:sz w:val="18"/>
          <w:szCs w:val="18"/>
        </w:rPr>
        <w:t>Table</w:t>
      </w:r>
      <w:r>
        <w:rPr>
          <w:rFonts w:ascii="Arial Narrow" w:hAnsi="Arial Narrow" w:cs="Calibri"/>
          <w:sz w:val="18"/>
          <w:szCs w:val="18"/>
        </w:rPr>
        <w:t xml:space="preserve"> </w:t>
      </w:r>
      <w:r w:rsidR="007E29A0">
        <w:rPr>
          <w:rFonts w:ascii="Arial Narrow" w:hAnsi="Arial Narrow" w:cs="Calibri"/>
          <w:sz w:val="18"/>
          <w:szCs w:val="18"/>
        </w:rPr>
        <w:t>1</w:t>
      </w:r>
      <w:r w:rsidR="007F68D7" w:rsidRPr="00A95EFD">
        <w:rPr>
          <w:rFonts w:ascii="Arial Narrow" w:hAnsi="Arial Narrow" w:cs="Calibri"/>
          <w:sz w:val="18"/>
          <w:szCs w:val="18"/>
        </w:rPr>
        <w:t xml:space="preserve"> </w:t>
      </w:r>
      <w:r w:rsidR="007F68D7" w:rsidRPr="00A95EFD">
        <w:rPr>
          <w:rFonts w:ascii="Arial Narrow" w:hAnsi="Arial Narrow" w:cs="Arial"/>
          <w:sz w:val="18"/>
          <w:szCs w:val="18"/>
        </w:rPr>
        <w:t>provided in the submission</w:t>
      </w:r>
      <w:r w:rsidR="007E29A0">
        <w:rPr>
          <w:rFonts w:ascii="Arial Narrow" w:hAnsi="Arial Narrow" w:cs="Arial"/>
          <w:sz w:val="18"/>
          <w:szCs w:val="18"/>
        </w:rPr>
        <w:t xml:space="preserve"> main body</w:t>
      </w:r>
      <w:r w:rsidR="007F68D7" w:rsidRPr="00A95EFD">
        <w:rPr>
          <w:rFonts w:ascii="Arial Narrow" w:hAnsi="Arial Narrow" w:cs="Arial"/>
          <w:sz w:val="18"/>
          <w:szCs w:val="18"/>
        </w:rPr>
        <w:t>.</w:t>
      </w:r>
    </w:p>
    <w:p w14:paraId="630CDC6F" w14:textId="5FC65FA4" w:rsidR="009566DC" w:rsidRDefault="009566DC" w:rsidP="00BD5CEB">
      <w:pPr>
        <w:spacing w:after="120"/>
        <w:rPr>
          <w:rFonts w:ascii="Arial Narrow" w:hAnsi="Arial Narrow" w:cs="Arial"/>
          <w:sz w:val="18"/>
          <w:szCs w:val="18"/>
        </w:rPr>
      </w:pPr>
      <w:r>
        <w:rPr>
          <w:rFonts w:ascii="Arial Narrow" w:hAnsi="Arial Narrow" w:cs="Arial"/>
          <w:sz w:val="18"/>
          <w:szCs w:val="18"/>
        </w:rPr>
        <w:t>Abbreviations: PBS – Pharmaceutical Benefit Scheme</w:t>
      </w:r>
    </w:p>
    <w:p w14:paraId="5DCA2D88" w14:textId="0EA73585" w:rsidR="00B15EDE" w:rsidRDefault="000A2806" w:rsidP="00753260">
      <w:pPr>
        <w:pStyle w:val="3-BodyText"/>
      </w:pPr>
      <w:r>
        <w:t>T</w:t>
      </w:r>
      <w:r w:rsidR="00B15EDE">
        <w:t>he data provided by the submission in Table 1</w:t>
      </w:r>
      <w:r>
        <w:t xml:space="preserve"> </w:t>
      </w:r>
      <w:r w:rsidR="007423BE">
        <w:t xml:space="preserve">showed </w:t>
      </w:r>
      <w:r w:rsidR="00B15EDE">
        <w:t xml:space="preserve">that 69.69% of patients </w:t>
      </w:r>
      <w:r>
        <w:t>we</w:t>
      </w:r>
      <w:r w:rsidR="00B15EDE">
        <w:t>re dispensed a second supply 30+ days after the primary dispensing, with 24.83% o</w:t>
      </w:r>
      <w:r w:rsidR="00511DC3">
        <w:t>f</w:t>
      </w:r>
      <w:r w:rsidR="00B15EDE">
        <w:t xml:space="preserve"> patients receiving a second supply 120+ days after primary </w:t>
      </w:r>
      <w:r w:rsidR="00B15EDE" w:rsidRPr="006F2C05">
        <w:t>dispensing.</w:t>
      </w:r>
      <w:r w:rsidR="006A7D3C">
        <w:t xml:space="preserve"> That is, the </w:t>
      </w:r>
      <w:r w:rsidR="00622A73">
        <w:t xml:space="preserve">claimed </w:t>
      </w:r>
      <w:r w:rsidR="00AD440B">
        <w:t>under prescribing</w:t>
      </w:r>
      <w:r w:rsidR="006A7D3C">
        <w:t xml:space="preserve"> of CBF is occurring in less than 30% of patients.</w:t>
      </w:r>
    </w:p>
    <w:p w14:paraId="7051AA4A" w14:textId="77777777" w:rsidR="004A1B43" w:rsidRDefault="00E95369" w:rsidP="004A1B43">
      <w:pPr>
        <w:pStyle w:val="3-BodyText"/>
      </w:pPr>
      <w:r>
        <w:t xml:space="preserve">The Department performed two analyses of PBS data </w:t>
      </w:r>
      <w:r w:rsidR="007423BE">
        <w:t xml:space="preserve">during the evaluation of </w:t>
      </w:r>
      <w:r>
        <w:t>this submission to determine the distribution of quantity (i.e. cans) per prescription and the distribution of time between prescription (i.e. time to resupply).</w:t>
      </w:r>
    </w:p>
    <w:p w14:paraId="0558B576" w14:textId="702593E9" w:rsidR="00835CEC" w:rsidRDefault="00456952" w:rsidP="004A1B43">
      <w:pPr>
        <w:pStyle w:val="3-BodyText"/>
      </w:pPr>
      <w:r>
        <w:lastRenderedPageBreak/>
        <w:t xml:space="preserve">Figure </w:t>
      </w:r>
      <w:r w:rsidR="003A5D4A">
        <w:t>1</w:t>
      </w:r>
      <w:r>
        <w:t xml:space="preserve"> shows</w:t>
      </w:r>
      <w:r w:rsidR="00296EAB" w:rsidRPr="00EC7A10">
        <w:t xml:space="preserve"> the </w:t>
      </w:r>
      <w:r>
        <w:t>d</w:t>
      </w:r>
      <w:r w:rsidRPr="00456952">
        <w:t xml:space="preserve">istribution of days between </w:t>
      </w:r>
      <w:r w:rsidR="0024397F">
        <w:t xml:space="preserve">the </w:t>
      </w:r>
      <w:r w:rsidRPr="00456952">
        <w:t>supply</w:t>
      </w:r>
      <w:r>
        <w:t xml:space="preserve"> of </w:t>
      </w:r>
      <w:r w:rsidR="00360EAA">
        <w:t>CBF</w:t>
      </w:r>
      <w:r>
        <w:t xml:space="preserve">. </w:t>
      </w:r>
      <w:r w:rsidR="00835CEC" w:rsidRPr="00835CEC">
        <w:t>The data re</w:t>
      </w:r>
      <w:r w:rsidR="00342FBF">
        <w:t xml:space="preserve">ports </w:t>
      </w:r>
      <w:r w:rsidR="00835CEC" w:rsidRPr="00835CEC">
        <w:t xml:space="preserve">that 7.3%, 16.1% and 25.1% of prescriptions were resupplied on the same day, 14 days or less from </w:t>
      </w:r>
      <w:r w:rsidR="00C63C90">
        <w:t xml:space="preserve">the </w:t>
      </w:r>
      <w:r w:rsidR="00835CEC" w:rsidRPr="00835CEC">
        <w:t>previous supply</w:t>
      </w:r>
      <w:r w:rsidR="00A233DD">
        <w:t>,</w:t>
      </w:r>
      <w:r w:rsidR="00835CEC" w:rsidRPr="00835CEC">
        <w:t xml:space="preserve"> and 24 days or less from </w:t>
      </w:r>
      <w:r w:rsidR="00C63C90">
        <w:t xml:space="preserve">the </w:t>
      </w:r>
      <w:r w:rsidR="00835CEC" w:rsidRPr="00835CEC">
        <w:t>previous supply respectively</w:t>
      </w:r>
      <w:r w:rsidR="00835CEC">
        <w:t>.</w:t>
      </w:r>
    </w:p>
    <w:p w14:paraId="6977ACB0" w14:textId="1860811C" w:rsidR="00332602" w:rsidRDefault="00332602" w:rsidP="00981267">
      <w:pPr>
        <w:keepNext/>
      </w:pPr>
      <w:r w:rsidRPr="009E5BDA">
        <w:rPr>
          <w:rFonts w:ascii="Arial Narrow" w:hAnsi="Arial Narrow" w:cs="CIDFont+F3"/>
          <w:b/>
          <w:bCs/>
          <w:sz w:val="20"/>
          <w:szCs w:val="20"/>
        </w:rPr>
        <w:t xml:space="preserve">Figure </w:t>
      </w:r>
      <w:r w:rsidR="003A5D4A">
        <w:rPr>
          <w:rFonts w:ascii="Arial Narrow" w:hAnsi="Arial Narrow" w:cs="CIDFont+F3"/>
          <w:b/>
          <w:bCs/>
          <w:sz w:val="20"/>
          <w:szCs w:val="20"/>
        </w:rPr>
        <w:t>1</w:t>
      </w:r>
      <w:r>
        <w:rPr>
          <w:rFonts w:ascii="Arial Narrow" w:hAnsi="Arial Narrow" w:cs="CIDFont+F3"/>
          <w:b/>
          <w:bCs/>
          <w:sz w:val="20"/>
          <w:szCs w:val="20"/>
        </w:rPr>
        <w:t xml:space="preserve">: </w:t>
      </w:r>
      <w:r w:rsidRPr="008361EB">
        <w:rPr>
          <w:rFonts w:ascii="Arial Narrow" w:hAnsi="Arial Narrow" w:cs="CIDFont+F3"/>
          <w:b/>
          <w:bCs/>
          <w:sz w:val="20"/>
          <w:szCs w:val="20"/>
        </w:rPr>
        <w:t>Distribution of days between supply</w:t>
      </w:r>
    </w:p>
    <w:p w14:paraId="662D97AB" w14:textId="70494275" w:rsidR="008361EB" w:rsidRDefault="00456952" w:rsidP="00981267">
      <w:pPr>
        <w:pStyle w:val="3-BodyText"/>
        <w:numPr>
          <w:ilvl w:val="0"/>
          <w:numId w:val="0"/>
        </w:numPr>
        <w:spacing w:after="0"/>
      </w:pPr>
      <w:r>
        <w:rPr>
          <w:noProof/>
        </w:rPr>
        <w:drawing>
          <wp:inline distT="0" distB="0" distL="0" distR="0" wp14:anchorId="530D3A22" wp14:editId="0FB8D2D0">
            <wp:extent cx="6324600" cy="41278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24600" cy="4127877"/>
                    </a:xfrm>
                    <a:prstGeom prst="rect">
                      <a:avLst/>
                    </a:prstGeom>
                    <a:noFill/>
                    <a:ln>
                      <a:noFill/>
                    </a:ln>
                  </pic:spPr>
                </pic:pic>
              </a:graphicData>
            </a:graphic>
          </wp:inline>
        </w:drawing>
      </w:r>
    </w:p>
    <w:p w14:paraId="5B700E46" w14:textId="60B5C2C5" w:rsidR="00332602" w:rsidRPr="00332602" w:rsidRDefault="00332602" w:rsidP="00377E21">
      <w:pPr>
        <w:pStyle w:val="TableFigureFooter"/>
      </w:pPr>
      <w:r w:rsidRPr="00332602">
        <w:t xml:space="preserve">Source: </w:t>
      </w:r>
      <w:r>
        <w:t>DUSC Secretariat analysis</w:t>
      </w:r>
    </w:p>
    <w:p w14:paraId="0489DD77" w14:textId="112B17AA" w:rsidR="00AF7513" w:rsidRDefault="00AF7513" w:rsidP="00753260">
      <w:pPr>
        <w:pStyle w:val="3-BodyText"/>
      </w:pPr>
      <w:r>
        <w:t xml:space="preserve">While the data in </w:t>
      </w:r>
      <w:r w:rsidR="00812159">
        <w:t>F</w:t>
      </w:r>
      <w:r>
        <w:t xml:space="preserve">igure </w:t>
      </w:r>
      <w:r w:rsidR="003A5D4A">
        <w:t>1</w:t>
      </w:r>
      <w:r>
        <w:t xml:space="preserve"> was comparable to that reported in the submission, further analysis of the data by quantity per </w:t>
      </w:r>
      <w:r w:rsidR="0034027D">
        <w:t>prescription</w:t>
      </w:r>
      <w:r>
        <w:t xml:space="preserve"> revealed </w:t>
      </w:r>
      <w:r w:rsidRPr="00342FBF">
        <w:t>that the distributions of days between supply var</w:t>
      </w:r>
      <w:r>
        <w:t>ied</w:t>
      </w:r>
      <w:r w:rsidRPr="00342FBF">
        <w:t xml:space="preserve"> between</w:t>
      </w:r>
      <w:r>
        <w:t xml:space="preserve"> a repeat of</w:t>
      </w:r>
      <w:r w:rsidRPr="00342FBF">
        <w:t xml:space="preserve"> 1</w:t>
      </w:r>
      <w:r>
        <w:t> </w:t>
      </w:r>
      <w:r w:rsidRPr="00342FBF">
        <w:t xml:space="preserve">can per </w:t>
      </w:r>
      <w:r w:rsidR="0093313D">
        <w:t>pre</w:t>
      </w:r>
      <w:r w:rsidRPr="00342FBF">
        <w:t>script</w:t>
      </w:r>
      <w:r w:rsidR="00B93A00">
        <w:t>ion</w:t>
      </w:r>
      <w:r w:rsidRPr="00342FBF">
        <w:t xml:space="preserve"> </w:t>
      </w:r>
      <w:r>
        <w:t>to</w:t>
      </w:r>
      <w:r w:rsidRPr="00342FBF">
        <w:t xml:space="preserve"> more than </w:t>
      </w:r>
      <w:r>
        <w:t>2 </w:t>
      </w:r>
      <w:r w:rsidRPr="00342FBF">
        <w:t>can</w:t>
      </w:r>
      <w:r>
        <w:t>s</w:t>
      </w:r>
      <w:r w:rsidRPr="00342FBF">
        <w:t xml:space="preserve"> per </w:t>
      </w:r>
      <w:r w:rsidR="00B93A00">
        <w:t>pre</w:t>
      </w:r>
      <w:r w:rsidRPr="00342FBF">
        <w:t>script</w:t>
      </w:r>
      <w:r w:rsidR="00B93A00">
        <w:t>ion</w:t>
      </w:r>
      <w:r>
        <w:t xml:space="preserve"> (</w:t>
      </w:r>
      <w:r w:rsidR="00812159">
        <w:t>F</w:t>
      </w:r>
      <w:r>
        <w:t xml:space="preserve">igure </w:t>
      </w:r>
      <w:r w:rsidR="00395BD7">
        <w:t>2</w:t>
      </w:r>
      <w:r>
        <w:t>)</w:t>
      </w:r>
      <w:r w:rsidRPr="00342FBF">
        <w:t>.</w:t>
      </w:r>
    </w:p>
    <w:p w14:paraId="6287A06A" w14:textId="3D3794F9" w:rsidR="00704AD9" w:rsidRDefault="00704AD9" w:rsidP="009A3C85">
      <w:pPr>
        <w:pStyle w:val="TableFigureHeading"/>
      </w:pPr>
      <w:r w:rsidRPr="009E5BDA">
        <w:lastRenderedPageBreak/>
        <w:t xml:space="preserve">Figure </w:t>
      </w:r>
      <w:r w:rsidR="00395BD7">
        <w:t>2</w:t>
      </w:r>
      <w:r>
        <w:t xml:space="preserve">: </w:t>
      </w:r>
      <w:r w:rsidRPr="008361EB">
        <w:t xml:space="preserve">Distribution of days between supply by quantity (i.e. cans) per </w:t>
      </w:r>
      <w:r w:rsidR="00B93A00">
        <w:t>pre</w:t>
      </w:r>
      <w:r w:rsidRPr="008361EB">
        <w:t>script</w:t>
      </w:r>
      <w:r w:rsidR="00B93A00">
        <w:t>ion</w:t>
      </w:r>
    </w:p>
    <w:p w14:paraId="1582834B" w14:textId="5F63F136" w:rsidR="008361EB" w:rsidRDefault="00C175AF" w:rsidP="00981267">
      <w:pPr>
        <w:pStyle w:val="3-BodyText"/>
        <w:numPr>
          <w:ilvl w:val="0"/>
          <w:numId w:val="0"/>
        </w:numPr>
        <w:spacing w:after="0"/>
      </w:pPr>
      <w:r>
        <w:rPr>
          <w:noProof/>
        </w:rPr>
        <w:drawing>
          <wp:inline distT="0" distB="0" distL="0" distR="0" wp14:anchorId="27A61066" wp14:editId="31238497">
            <wp:extent cx="6381750" cy="413337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5222" cy="4142103"/>
                    </a:xfrm>
                    <a:prstGeom prst="rect">
                      <a:avLst/>
                    </a:prstGeom>
                    <a:noFill/>
                  </pic:spPr>
                </pic:pic>
              </a:graphicData>
            </a:graphic>
          </wp:inline>
        </w:drawing>
      </w:r>
    </w:p>
    <w:p w14:paraId="5D4E7843" w14:textId="11B5BF48" w:rsidR="00704AD9" w:rsidRPr="00704AD9" w:rsidRDefault="00704AD9" w:rsidP="00377E21">
      <w:pPr>
        <w:pStyle w:val="TableFigureFooter"/>
      </w:pPr>
      <w:r w:rsidRPr="00332602">
        <w:t xml:space="preserve">Source: </w:t>
      </w:r>
      <w:r>
        <w:t>DUSC Secretariat analysis</w:t>
      </w:r>
    </w:p>
    <w:p w14:paraId="50B164CD" w14:textId="221192A1" w:rsidR="004A1B43" w:rsidRDefault="00E95369" w:rsidP="004A1B43">
      <w:pPr>
        <w:pStyle w:val="3-BodyText"/>
      </w:pPr>
      <w:r>
        <w:t>It was shown that pres</w:t>
      </w:r>
      <w:r w:rsidRPr="00342FBF">
        <w:t>cript</w:t>
      </w:r>
      <w:r>
        <w:t>ion</w:t>
      </w:r>
      <w:r w:rsidRPr="00342FBF">
        <w:t>s suppl</w:t>
      </w:r>
      <w:r>
        <w:t>y</w:t>
      </w:r>
      <w:r w:rsidRPr="00342FBF">
        <w:t>ing 1</w:t>
      </w:r>
      <w:r>
        <w:t> </w:t>
      </w:r>
      <w:r w:rsidRPr="00342FBF">
        <w:t xml:space="preserve">can </w:t>
      </w:r>
      <w:r>
        <w:t>w</w:t>
      </w:r>
      <w:r w:rsidRPr="00342FBF">
        <w:t>e</w:t>
      </w:r>
      <w:r>
        <w:t>re</w:t>
      </w:r>
      <w:r w:rsidRPr="00342FBF">
        <w:t xml:space="preserve"> more likely to be re</w:t>
      </w:r>
      <w:r>
        <w:noBreakHyphen/>
      </w:r>
      <w:r w:rsidRPr="00342FBF">
        <w:t>supplied between day</w:t>
      </w:r>
      <w:r>
        <w:t> </w:t>
      </w:r>
      <w:r w:rsidRPr="00342FBF">
        <w:t xml:space="preserve">1 and 14 </w:t>
      </w:r>
      <w:r>
        <w:t>compared to pre</w:t>
      </w:r>
      <w:r w:rsidRPr="00342FBF">
        <w:t>script</w:t>
      </w:r>
      <w:r>
        <w:t>ion</w:t>
      </w:r>
      <w:r w:rsidRPr="00342FBF">
        <w:t>s suppl</w:t>
      </w:r>
      <w:r>
        <w:t>y</w:t>
      </w:r>
      <w:r w:rsidRPr="00342FBF">
        <w:t xml:space="preserve">ing </w:t>
      </w:r>
      <w:r>
        <w:t>greater</w:t>
      </w:r>
      <w:r w:rsidRPr="00342FBF">
        <w:t xml:space="preserve"> than 1 can.</w:t>
      </w:r>
      <w:r>
        <w:t xml:space="preserve"> </w:t>
      </w:r>
      <w:r w:rsidR="00226B8E">
        <w:t xml:space="preserve">While the submission referred to cumulative percentages of prescriptions, the DUSC Secretariat analyses in Figures 1 and 2 demonstrated that a median analysis of </w:t>
      </w:r>
      <w:r w:rsidR="00226B8E" w:rsidRPr="00456952">
        <w:t xml:space="preserve">time </w:t>
      </w:r>
      <w:r w:rsidR="00226B8E">
        <w:t>between</w:t>
      </w:r>
      <w:r w:rsidR="00226B8E" w:rsidRPr="00456952">
        <w:t xml:space="preserve"> PBS supplies</w:t>
      </w:r>
      <w:r w:rsidR="00226B8E">
        <w:t xml:space="preserve"> for CBF was not a reliable measure to determine days between supplies.</w:t>
      </w:r>
      <w:r w:rsidR="00966658">
        <w:t xml:space="preserve"> </w:t>
      </w:r>
      <w:r w:rsidR="00966658" w:rsidRPr="00E80446">
        <w:t xml:space="preserve">On balance, the results of Figure 2 may support </w:t>
      </w:r>
      <w:r w:rsidR="00DD1FDE">
        <w:t xml:space="preserve">the contention </w:t>
      </w:r>
      <w:r w:rsidR="00966658" w:rsidRPr="00E80446">
        <w:t xml:space="preserve">that patients with prescriptions </w:t>
      </w:r>
      <w:r w:rsidRPr="00E80446">
        <w:t>supplying</w:t>
      </w:r>
      <w:r w:rsidR="00966658" w:rsidRPr="00E80446">
        <w:t xml:space="preserve"> 1 can </w:t>
      </w:r>
      <w:r w:rsidRPr="00E80446">
        <w:t>may</w:t>
      </w:r>
      <w:r w:rsidR="00966658" w:rsidRPr="00E80446">
        <w:t xml:space="preserve"> </w:t>
      </w:r>
      <w:r w:rsidRPr="00E80446">
        <w:t>have been prescribed a</w:t>
      </w:r>
      <w:r w:rsidR="00966658" w:rsidRPr="00E80446">
        <w:t xml:space="preserve"> quantity insufficient for 30</w:t>
      </w:r>
      <w:r w:rsidR="00AD4376" w:rsidRPr="00E80446">
        <w:t> </w:t>
      </w:r>
      <w:r w:rsidR="00966658" w:rsidRPr="00E80446">
        <w:t xml:space="preserve">days </w:t>
      </w:r>
      <w:r w:rsidRPr="00E80446">
        <w:t>of treatment</w:t>
      </w:r>
      <w:r w:rsidR="00966658" w:rsidRPr="00E80446">
        <w:t>.</w:t>
      </w:r>
    </w:p>
    <w:p w14:paraId="59CAAC6B" w14:textId="78E6FE29" w:rsidR="00395BD7" w:rsidRPr="00E80446" w:rsidRDefault="00395BD7" w:rsidP="004A1B43">
      <w:pPr>
        <w:pStyle w:val="3-BodyText"/>
      </w:pPr>
      <w:r>
        <w:t>CBF</w:t>
      </w:r>
      <w:r w:rsidRPr="00B82B00">
        <w:t xml:space="preserve"> was among the </w:t>
      </w:r>
      <w:r w:rsidR="00AD440B" w:rsidRPr="00B82B00">
        <w:t>dermatological</w:t>
      </w:r>
      <w:r w:rsidRPr="00B82B00">
        <w:t xml:space="preserve"> </w:t>
      </w:r>
      <w:r w:rsidR="007D4831">
        <w:t xml:space="preserve">products </w:t>
      </w:r>
      <w:r>
        <w:t xml:space="preserve">in the </w:t>
      </w:r>
      <w:r w:rsidRPr="004A1B43">
        <w:rPr>
          <w:snapToGrid w:val="0"/>
        </w:rPr>
        <w:t>“</w:t>
      </w:r>
      <w:hyperlink r:id="rId11" w:history="1">
        <w:r w:rsidRPr="004A1B43">
          <w:rPr>
            <w:snapToGrid w:val="0"/>
          </w:rPr>
          <w:t>Medicine List for Increased Dispensing Quantities</w:t>
        </w:r>
      </w:hyperlink>
      <w:r w:rsidRPr="004A1B43">
        <w:rPr>
          <w:snapToGrid w:val="0"/>
        </w:rPr>
        <w:t xml:space="preserve">” </w:t>
      </w:r>
      <w:r w:rsidRPr="00B82B00">
        <w:t>recommended by the PBAC for</w:t>
      </w:r>
      <w:r w:rsidRPr="004A1B43">
        <w:rPr>
          <w:snapToGrid w:val="0"/>
        </w:rPr>
        <w:t xml:space="preserve"> the 60 day dispensing of PBS medicines policy</w:t>
      </w:r>
      <w:r>
        <w:t xml:space="preserve"> a</w:t>
      </w:r>
      <w:r w:rsidRPr="00B82B00">
        <w:t>t its December 2022 Intracycle meeting</w:t>
      </w:r>
      <w:r>
        <w:t xml:space="preserve">. The intent of the policy </w:t>
      </w:r>
      <w:r w:rsidR="007C1376">
        <w:t xml:space="preserve">was </w:t>
      </w:r>
      <w:r>
        <w:t>to supply 2</w:t>
      </w:r>
      <w:r w:rsidR="00AD4376">
        <w:t> </w:t>
      </w:r>
      <w:r>
        <w:t>months of treatment at once</w:t>
      </w:r>
      <w:r w:rsidR="00AD4376">
        <w:t>.</w:t>
      </w:r>
      <w:r>
        <w:t xml:space="preserve"> </w:t>
      </w:r>
      <w:r w:rsidR="00AD4376" w:rsidRPr="00E80446">
        <w:t>T</w:t>
      </w:r>
      <w:r w:rsidRPr="00E80446">
        <w:t>he target population of this submission under the policy alone would still have an insufficient quantity of cans over a period of 60 days.</w:t>
      </w:r>
    </w:p>
    <w:p w14:paraId="32A2C58D" w14:textId="19FA55CF" w:rsidR="00395BD7" w:rsidRPr="00671A42" w:rsidRDefault="00395BD7" w:rsidP="00753260">
      <w:pPr>
        <w:pStyle w:val="3-BodyText"/>
      </w:pPr>
      <w:r>
        <w:t xml:space="preserve">Figure </w:t>
      </w:r>
      <w:r w:rsidR="008370D7">
        <w:t>3</w:t>
      </w:r>
      <w:r>
        <w:t xml:space="preserve"> shows that for over 98% of pre</w:t>
      </w:r>
      <w:r w:rsidRPr="00964A0C">
        <w:t>script</w:t>
      </w:r>
      <w:r>
        <w:t>ion</w:t>
      </w:r>
      <w:r w:rsidRPr="00964A0C">
        <w:t>s with 0 or 1 repeat</w:t>
      </w:r>
      <w:r>
        <w:t xml:space="preserve">, </w:t>
      </w:r>
      <w:r w:rsidRPr="00964A0C">
        <w:t>the quantity supplied is 1 can</w:t>
      </w:r>
      <w:r>
        <w:t xml:space="preserve">. That is, prescribers who </w:t>
      </w:r>
      <w:r w:rsidR="00BD21DC">
        <w:t>have</w:t>
      </w:r>
      <w:r>
        <w:t xml:space="preserve"> not obtain</w:t>
      </w:r>
      <w:r w:rsidR="00BD21DC">
        <w:t>ed an</w:t>
      </w:r>
      <w:r>
        <w:t xml:space="preserve"> Authority to increase the maximum number of repeats </w:t>
      </w:r>
      <w:r w:rsidR="00BD21DC">
        <w:t>had</w:t>
      </w:r>
      <w:r>
        <w:t xml:space="preserve"> in 98% of cases only </w:t>
      </w:r>
      <w:r w:rsidR="00AD4376">
        <w:t>prescribe</w:t>
      </w:r>
      <w:r w:rsidR="00BD21DC">
        <w:t>d</w:t>
      </w:r>
      <w:r>
        <w:t xml:space="preserve"> 1 can per </w:t>
      </w:r>
      <w:r>
        <w:lastRenderedPageBreak/>
        <w:t>prescription. Over 80% of prescribers that obtain</w:t>
      </w:r>
      <w:r w:rsidR="00BD21DC">
        <w:t>ed</w:t>
      </w:r>
      <w:r w:rsidR="009651FD">
        <w:t xml:space="preserve"> an</w:t>
      </w:r>
      <w:r>
        <w:t xml:space="preserve"> Authority to increase the maximum number of repeats also increase</w:t>
      </w:r>
      <w:r w:rsidR="009651FD">
        <w:t>d</w:t>
      </w:r>
      <w:r>
        <w:t xml:space="preserve"> the MQ. </w:t>
      </w:r>
      <w:r w:rsidRPr="00E80446">
        <w:t xml:space="preserve">This </w:t>
      </w:r>
      <w:r w:rsidR="00671A42" w:rsidRPr="00E80446">
        <w:t>suggest</w:t>
      </w:r>
      <w:r w:rsidR="00671A42">
        <w:t>ed</w:t>
      </w:r>
      <w:r w:rsidR="00671A42" w:rsidRPr="00E80446">
        <w:t xml:space="preserve"> </w:t>
      </w:r>
      <w:r w:rsidRPr="00E80446">
        <w:t>that most patients who are prescribed 1 can per prescription are only using it for a short period or with closer monitoring (i.e. more frequent visits with their doctor) and may also suggest the reluctance of prescribers to seek Authority for greater quantities or repeats.</w:t>
      </w:r>
    </w:p>
    <w:p w14:paraId="29817656" w14:textId="4F57E095" w:rsidR="00395BD7" w:rsidRPr="003643FE" w:rsidRDefault="00395BD7" w:rsidP="00377E21">
      <w:pPr>
        <w:pStyle w:val="TableFigureHeading"/>
      </w:pPr>
      <w:r w:rsidRPr="00FD2934">
        <w:t xml:space="preserve">Figure </w:t>
      </w:r>
      <w:r w:rsidR="008370D7">
        <w:t>3</w:t>
      </w:r>
      <w:r w:rsidRPr="00FD2934">
        <w:t xml:space="preserve">: </w:t>
      </w:r>
      <w:r w:rsidRPr="00964A0C">
        <w:t xml:space="preserve">Distribution of quantity supplied per </w:t>
      </w:r>
      <w:r>
        <w:t>pre</w:t>
      </w:r>
      <w:r w:rsidRPr="00964A0C">
        <w:t>script</w:t>
      </w:r>
      <w:r>
        <w:t>ion</w:t>
      </w:r>
      <w:r w:rsidRPr="00964A0C">
        <w:t xml:space="preserve"> by number of repeats ordered</w:t>
      </w:r>
    </w:p>
    <w:p w14:paraId="66A578FD" w14:textId="64FFF964" w:rsidR="00395BD7" w:rsidRDefault="00395BD7" w:rsidP="00981267">
      <w:pPr>
        <w:pStyle w:val="3-BodyText"/>
        <w:numPr>
          <w:ilvl w:val="0"/>
          <w:numId w:val="0"/>
        </w:numPr>
        <w:spacing w:after="0"/>
      </w:pPr>
      <w:r>
        <w:rPr>
          <w:noProof/>
        </w:rPr>
        <w:drawing>
          <wp:inline distT="0" distB="0" distL="0" distR="0" wp14:anchorId="4FDE9D1C" wp14:editId="31D81321">
            <wp:extent cx="6324600" cy="33853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8409" cy="3387345"/>
                    </a:xfrm>
                    <a:prstGeom prst="rect">
                      <a:avLst/>
                    </a:prstGeom>
                    <a:noFill/>
                  </pic:spPr>
                </pic:pic>
              </a:graphicData>
            </a:graphic>
          </wp:inline>
        </w:drawing>
      </w:r>
    </w:p>
    <w:p w14:paraId="751F6124" w14:textId="77777777" w:rsidR="00395BD7" w:rsidRPr="00332602" w:rsidRDefault="00395BD7" w:rsidP="00377E21">
      <w:pPr>
        <w:pStyle w:val="TableFigureFooter"/>
      </w:pPr>
      <w:r w:rsidRPr="00332602">
        <w:t xml:space="preserve">Source: </w:t>
      </w:r>
      <w:r>
        <w:t>DUSC Secretariat analysis</w:t>
      </w:r>
    </w:p>
    <w:p w14:paraId="07F478BE" w14:textId="0F10AAEC" w:rsidR="00CC2A3A" w:rsidRDefault="00AF3117" w:rsidP="00BD5CEB">
      <w:pPr>
        <w:pStyle w:val="4-SubsectionHeading"/>
        <w:rPr>
          <w:lang w:eastAsia="en-US"/>
        </w:rPr>
      </w:pPr>
      <w:r w:rsidRPr="009D507A">
        <w:rPr>
          <w:lang w:eastAsia="en-US"/>
        </w:rPr>
        <w:t xml:space="preserve">Estimated PBS </w:t>
      </w:r>
      <w:r w:rsidRPr="00276BE3">
        <w:rPr>
          <w:lang w:eastAsia="en-US"/>
        </w:rPr>
        <w:t>usage</w:t>
      </w:r>
      <w:r w:rsidRPr="009D507A">
        <w:rPr>
          <w:lang w:eastAsia="en-US"/>
        </w:rPr>
        <w:t xml:space="preserve"> and financial implications</w:t>
      </w:r>
    </w:p>
    <w:p w14:paraId="7A45EAF0" w14:textId="46B57241" w:rsidR="00E779AD" w:rsidRDefault="00E779AD" w:rsidP="00753260">
      <w:pPr>
        <w:pStyle w:val="3-BodyText"/>
      </w:pPr>
      <w:r>
        <w:t xml:space="preserve">The submission has used an ex-manufacturer price of </w:t>
      </w:r>
      <w:r w:rsidR="008B2B86">
        <w:t>$134.38</w:t>
      </w:r>
      <w:r>
        <w:t xml:space="preserve"> in its estimates which is double that of the approved ex-manufacturer price of </w:t>
      </w:r>
      <w:r w:rsidR="00D26E44">
        <w:t>a single can.</w:t>
      </w:r>
    </w:p>
    <w:p w14:paraId="2D23E2EA" w14:textId="6983A460" w:rsidR="00FD4E58" w:rsidRDefault="00B54800" w:rsidP="00753260">
      <w:pPr>
        <w:pStyle w:val="3-BodyText"/>
      </w:pPr>
      <w:r>
        <w:t xml:space="preserve">The submission </w:t>
      </w:r>
      <w:r w:rsidR="00FD4E58">
        <w:t>claim</w:t>
      </w:r>
      <w:r w:rsidR="00CB3D49">
        <w:t>ed</w:t>
      </w:r>
      <w:r>
        <w:t xml:space="preserve"> </w:t>
      </w:r>
      <w:r w:rsidR="007B60D3">
        <w:t xml:space="preserve">that </w:t>
      </w:r>
      <w:r w:rsidR="00FD4E58">
        <w:t>based on the dispensing frequency between 2017 to 2022, about 30% of patients pa</w:t>
      </w:r>
      <w:r w:rsidR="0048308D">
        <w:t>id</w:t>
      </w:r>
      <w:r w:rsidR="00FD4E58">
        <w:t xml:space="preserve"> additional costs in co-payments per month following the separate dispensing of </w:t>
      </w:r>
      <w:r w:rsidR="00E4659E">
        <w:t xml:space="preserve">2 </w:t>
      </w:r>
      <w:r w:rsidR="00FD4E58">
        <w:t>cans.</w:t>
      </w:r>
    </w:p>
    <w:p w14:paraId="61203713" w14:textId="415C6245" w:rsidR="00993264" w:rsidRPr="00071C2A" w:rsidRDefault="00E779AD" w:rsidP="00753260">
      <w:pPr>
        <w:pStyle w:val="3-BodyText"/>
      </w:pPr>
      <w:r>
        <w:t>T</w:t>
      </w:r>
      <w:r w:rsidR="00FD4E58">
        <w:t>he pharmacy re</w:t>
      </w:r>
      <w:r>
        <w:t>mu</w:t>
      </w:r>
      <w:r w:rsidR="00FD4E58">
        <w:t xml:space="preserve">neration including the dispensing fee and AHI fee </w:t>
      </w:r>
      <w:r w:rsidR="00993264">
        <w:t xml:space="preserve">amounts to a total of $24.28 should </w:t>
      </w:r>
      <w:r w:rsidR="00E669F4">
        <w:t xml:space="preserve">2 </w:t>
      </w:r>
      <w:r w:rsidR="00993264">
        <w:t>cans be dispensed separately.</w:t>
      </w:r>
      <w:r>
        <w:t xml:space="preserve"> </w:t>
      </w:r>
      <w:r w:rsidR="00993264">
        <w:t>The submission stated that with its proposed listing, there w</w:t>
      </w:r>
      <w:r w:rsidR="003854F9">
        <w:t>ould</w:t>
      </w:r>
      <w:r w:rsidR="00993264">
        <w:t xml:space="preserve"> be </w:t>
      </w:r>
      <w:r w:rsidR="001246D4">
        <w:t>reduced</w:t>
      </w:r>
      <w:r w:rsidR="00993264">
        <w:t xml:space="preserve"> financial implication to the patient</w:t>
      </w:r>
      <w:r w:rsidR="005E266F">
        <w:t xml:space="preserve"> through co-payments</w:t>
      </w:r>
      <w:r w:rsidR="00993264">
        <w:t xml:space="preserve"> and </w:t>
      </w:r>
      <w:r w:rsidR="005E266F">
        <w:t xml:space="preserve">reduced financial implication to </w:t>
      </w:r>
      <w:r w:rsidR="00993264">
        <w:t>the PBS</w:t>
      </w:r>
      <w:r w:rsidR="00425178">
        <w:t xml:space="preserve"> (Table 2).</w:t>
      </w:r>
      <w:r w:rsidR="00993264">
        <w:t xml:space="preserve"> </w:t>
      </w:r>
      <w:r w:rsidR="001023F2" w:rsidRPr="00E80446">
        <w:t>This statement is inconsistent with the financial estimates shown below.</w:t>
      </w:r>
    </w:p>
    <w:p w14:paraId="1980964A" w14:textId="0DE0EDC1" w:rsidR="00753260" w:rsidRDefault="00F764EC" w:rsidP="00753260">
      <w:pPr>
        <w:pStyle w:val="3-BodyText"/>
      </w:pPr>
      <w:r>
        <w:t xml:space="preserve">The submission </w:t>
      </w:r>
      <w:r w:rsidR="00017D2C">
        <w:t>noted</w:t>
      </w:r>
      <w:r>
        <w:t xml:space="preserve"> that there </w:t>
      </w:r>
      <w:r w:rsidR="00776242">
        <w:t xml:space="preserve">would </w:t>
      </w:r>
      <w:r>
        <w:t>be no change to wholesaler re</w:t>
      </w:r>
      <w:r w:rsidR="00753260">
        <w:t>m</w:t>
      </w:r>
      <w:r>
        <w:t>u</w:t>
      </w:r>
      <w:r w:rsidR="00753260">
        <w:t>n</w:t>
      </w:r>
      <w:r>
        <w:t>eration.</w:t>
      </w:r>
    </w:p>
    <w:p w14:paraId="3F4BB34C" w14:textId="2A05E91F" w:rsidR="00F764EC" w:rsidRDefault="00017D2C" w:rsidP="00E80446">
      <w:pPr>
        <w:pStyle w:val="3-BodyText"/>
      </w:pPr>
      <w:r>
        <w:t xml:space="preserve">Table 2 outlines the </w:t>
      </w:r>
      <w:r w:rsidR="009E3951">
        <w:t xml:space="preserve">estimated </w:t>
      </w:r>
      <w:r>
        <w:t xml:space="preserve">financial implication </w:t>
      </w:r>
      <w:r w:rsidR="0009041E">
        <w:t>of</w:t>
      </w:r>
      <w:r>
        <w:t xml:space="preserve"> the proposed listing to patient</w:t>
      </w:r>
      <w:r w:rsidR="00956A71">
        <w:t>s</w:t>
      </w:r>
      <w:r>
        <w:t xml:space="preserve"> and </w:t>
      </w:r>
      <w:r w:rsidR="00956A71">
        <w:t xml:space="preserve">to </w:t>
      </w:r>
      <w:r>
        <w:t xml:space="preserve">the </w:t>
      </w:r>
      <w:r w:rsidR="009E3951">
        <w:t>G</w:t>
      </w:r>
      <w:r>
        <w:t>overnment.</w:t>
      </w:r>
    </w:p>
    <w:p w14:paraId="38F46960" w14:textId="50EE2E97" w:rsidR="00A95EFD" w:rsidRPr="00403B4E" w:rsidRDefault="00A95EFD" w:rsidP="006C0622">
      <w:pPr>
        <w:keepNext/>
        <w:rPr>
          <w:rFonts w:ascii="Arial Narrow" w:hAnsi="Arial Narrow" w:cs="Calibri"/>
          <w:b/>
          <w:bCs/>
          <w:sz w:val="20"/>
          <w:szCs w:val="20"/>
        </w:rPr>
      </w:pPr>
      <w:r w:rsidRPr="00403B4E">
        <w:rPr>
          <w:rFonts w:ascii="Arial Narrow" w:hAnsi="Arial Narrow" w:cs="Calibri"/>
          <w:b/>
          <w:bCs/>
          <w:sz w:val="20"/>
          <w:szCs w:val="20"/>
        </w:rPr>
        <w:lastRenderedPageBreak/>
        <w:t>Table 2</w:t>
      </w:r>
      <w:r w:rsidR="002362A1">
        <w:rPr>
          <w:rFonts w:ascii="Arial Narrow" w:hAnsi="Arial Narrow" w:cs="Calibri"/>
          <w:b/>
          <w:bCs/>
          <w:sz w:val="20"/>
          <w:szCs w:val="20"/>
        </w:rPr>
        <w:t xml:space="preserve">: </w:t>
      </w:r>
      <w:r w:rsidRPr="00403B4E">
        <w:rPr>
          <w:rFonts w:ascii="Arial Narrow" w:hAnsi="Arial Narrow" w:cs="Calibri"/>
          <w:b/>
          <w:bCs/>
          <w:sz w:val="20"/>
          <w:szCs w:val="20"/>
        </w:rPr>
        <w:t xml:space="preserve">Comparison of financial impact for all stakeholders </w:t>
      </w:r>
      <w:r w:rsidR="00271A82">
        <w:rPr>
          <w:rFonts w:ascii="Arial Narrow" w:hAnsi="Arial Narrow" w:cs="Calibri"/>
          <w:b/>
          <w:bCs/>
          <w:sz w:val="20"/>
          <w:szCs w:val="20"/>
        </w:rPr>
        <w:t>–</w:t>
      </w:r>
      <w:r w:rsidRPr="00403B4E">
        <w:rPr>
          <w:rFonts w:ascii="Arial Narrow" w:hAnsi="Arial Narrow" w:cs="Calibri"/>
          <w:b/>
          <w:bCs/>
          <w:sz w:val="20"/>
          <w:szCs w:val="20"/>
        </w:rPr>
        <w:t xml:space="preserve"> status quo vs Streamlined listing with MQ 2</w:t>
      </w:r>
    </w:p>
    <w:tbl>
      <w:tblPr>
        <w:tblStyle w:val="TableGrid"/>
        <w:tblW w:w="5000" w:type="pct"/>
        <w:tblLayout w:type="fixed"/>
        <w:tblLook w:val="04A0" w:firstRow="1" w:lastRow="0" w:firstColumn="1" w:lastColumn="0" w:noHBand="0" w:noVBand="1"/>
      </w:tblPr>
      <w:tblGrid>
        <w:gridCol w:w="3822"/>
        <w:gridCol w:w="1984"/>
        <w:gridCol w:w="1845"/>
        <w:gridCol w:w="1365"/>
      </w:tblGrid>
      <w:tr w:rsidR="00A95EFD" w:rsidRPr="00403B4E" w14:paraId="0F78BA29" w14:textId="77777777" w:rsidTr="00D124A8">
        <w:tc>
          <w:tcPr>
            <w:tcW w:w="2120" w:type="pct"/>
          </w:tcPr>
          <w:p w14:paraId="137B4791" w14:textId="77777777" w:rsidR="00A95EFD" w:rsidRPr="00403B4E" w:rsidRDefault="00A95EFD" w:rsidP="006C0622">
            <w:pPr>
              <w:keepNext/>
              <w:rPr>
                <w:rFonts w:ascii="Arial Narrow" w:hAnsi="Arial Narrow" w:cs="Calibri"/>
                <w:sz w:val="20"/>
                <w:szCs w:val="20"/>
              </w:rPr>
            </w:pPr>
          </w:p>
        </w:tc>
        <w:tc>
          <w:tcPr>
            <w:tcW w:w="1100" w:type="pct"/>
          </w:tcPr>
          <w:p w14:paraId="5D7A1A52" w14:textId="06034E92" w:rsidR="00A95EFD" w:rsidRPr="00A95EFD" w:rsidRDefault="00A95EFD" w:rsidP="00D124A8">
            <w:pPr>
              <w:keepNext/>
              <w:autoSpaceDE w:val="0"/>
              <w:autoSpaceDN w:val="0"/>
              <w:adjustRightInd w:val="0"/>
              <w:jc w:val="left"/>
              <w:rPr>
                <w:rFonts w:ascii="Arial Narrow" w:hAnsi="Arial Narrow" w:cs="CIDFont+F4"/>
                <w:b/>
                <w:bCs/>
                <w:sz w:val="20"/>
                <w:szCs w:val="20"/>
              </w:rPr>
            </w:pPr>
            <w:r w:rsidRPr="00403B4E">
              <w:rPr>
                <w:rFonts w:ascii="Arial Narrow" w:hAnsi="Arial Narrow" w:cs="CIDFont+F4"/>
                <w:b/>
                <w:bCs/>
                <w:sz w:val="20"/>
                <w:szCs w:val="20"/>
              </w:rPr>
              <w:t xml:space="preserve">Status quo </w:t>
            </w:r>
            <w:r w:rsidR="00271A82">
              <w:rPr>
                <w:rFonts w:ascii="Arial Narrow" w:hAnsi="Arial Narrow" w:cs="CIDFont+F4"/>
                <w:b/>
                <w:bCs/>
                <w:sz w:val="20"/>
                <w:szCs w:val="20"/>
              </w:rPr>
              <w:t>–</w:t>
            </w:r>
            <w:r w:rsidRPr="00403B4E">
              <w:rPr>
                <w:rFonts w:ascii="Arial Narrow" w:hAnsi="Arial Narrow" w:cs="CIDFont+F4"/>
                <w:b/>
                <w:bCs/>
                <w:sz w:val="20"/>
                <w:szCs w:val="20"/>
              </w:rPr>
              <w:t xml:space="preserve"> MQ 1</w:t>
            </w:r>
            <w:r>
              <w:rPr>
                <w:rFonts w:ascii="Arial Narrow" w:hAnsi="Arial Narrow" w:cs="CIDFont+F4"/>
                <w:b/>
                <w:bCs/>
                <w:sz w:val="20"/>
                <w:szCs w:val="20"/>
              </w:rPr>
              <w:t xml:space="preserve"> </w:t>
            </w:r>
            <w:r w:rsidRPr="00403B4E">
              <w:rPr>
                <w:rFonts w:ascii="Arial Narrow" w:hAnsi="Arial Narrow" w:cs="CIDFont+F4"/>
                <w:b/>
                <w:bCs/>
                <w:sz w:val="20"/>
                <w:szCs w:val="20"/>
              </w:rPr>
              <w:t>can, supplied</w:t>
            </w:r>
            <w:r>
              <w:rPr>
                <w:rFonts w:ascii="Arial Narrow" w:hAnsi="Arial Narrow" w:cs="CIDFont+F4"/>
                <w:b/>
                <w:bCs/>
                <w:sz w:val="20"/>
                <w:szCs w:val="20"/>
              </w:rPr>
              <w:t xml:space="preserve"> </w:t>
            </w:r>
            <w:r w:rsidRPr="00403B4E">
              <w:rPr>
                <w:rFonts w:ascii="Arial Narrow" w:hAnsi="Arial Narrow" w:cs="CIDFont+F4"/>
                <w:b/>
                <w:bCs/>
                <w:sz w:val="20"/>
                <w:szCs w:val="20"/>
              </w:rPr>
              <w:t>twice</w:t>
            </w:r>
            <w:r w:rsidR="00BD3CDE">
              <w:rPr>
                <w:rFonts w:ascii="Arial Narrow" w:hAnsi="Arial Narrow" w:cs="CIDFont+F4"/>
                <w:b/>
                <w:bCs/>
                <w:sz w:val="20"/>
                <w:szCs w:val="20"/>
              </w:rPr>
              <w:t xml:space="preserve"> per month</w:t>
            </w:r>
            <w:r w:rsidRPr="00403B4E">
              <w:rPr>
                <w:rFonts w:ascii="Arial Narrow" w:hAnsi="Arial Narrow" w:cs="CIDFont+F4"/>
                <w:b/>
                <w:bCs/>
                <w:sz w:val="20"/>
                <w:szCs w:val="20"/>
              </w:rPr>
              <w:t xml:space="preserve"> on separate</w:t>
            </w:r>
            <w:r>
              <w:rPr>
                <w:rFonts w:ascii="Arial Narrow" w:hAnsi="Arial Narrow" w:cs="CIDFont+F4"/>
                <w:b/>
                <w:bCs/>
                <w:sz w:val="20"/>
                <w:szCs w:val="20"/>
              </w:rPr>
              <w:t xml:space="preserve"> </w:t>
            </w:r>
            <w:r w:rsidR="00B93A00">
              <w:rPr>
                <w:rFonts w:ascii="Arial Narrow" w:hAnsi="Arial Narrow" w:cs="CIDFont+F4"/>
                <w:b/>
                <w:bCs/>
                <w:sz w:val="20"/>
                <w:szCs w:val="20"/>
              </w:rPr>
              <w:t>pre</w:t>
            </w:r>
            <w:r w:rsidRPr="00403B4E">
              <w:rPr>
                <w:rFonts w:ascii="Arial Narrow" w:hAnsi="Arial Narrow" w:cs="CIDFont+F4"/>
                <w:b/>
                <w:bCs/>
                <w:sz w:val="20"/>
                <w:szCs w:val="20"/>
              </w:rPr>
              <w:t>script</w:t>
            </w:r>
            <w:r w:rsidR="00B93A00">
              <w:rPr>
                <w:rFonts w:ascii="Arial Narrow" w:hAnsi="Arial Narrow" w:cs="CIDFont+F4"/>
                <w:b/>
                <w:bCs/>
                <w:sz w:val="20"/>
                <w:szCs w:val="20"/>
              </w:rPr>
              <w:t>ion</w:t>
            </w:r>
            <w:r w:rsidRPr="00403B4E">
              <w:rPr>
                <w:rFonts w:ascii="Arial Narrow" w:hAnsi="Arial Narrow" w:cs="CIDFont+F4"/>
                <w:b/>
                <w:bCs/>
                <w:sz w:val="20"/>
                <w:szCs w:val="20"/>
              </w:rPr>
              <w:t>s/</w:t>
            </w:r>
            <w:r w:rsidR="00DC74B9">
              <w:rPr>
                <w:rFonts w:ascii="Arial Narrow" w:hAnsi="Arial Narrow" w:cs="CIDFont+F4"/>
                <w:b/>
                <w:bCs/>
                <w:sz w:val="20"/>
                <w:szCs w:val="20"/>
              </w:rPr>
              <w:t xml:space="preserve"> </w:t>
            </w:r>
            <w:r w:rsidR="00F764EC" w:rsidRPr="00403B4E">
              <w:rPr>
                <w:rFonts w:ascii="Arial Narrow" w:hAnsi="Arial Narrow" w:cs="CIDFont+F4"/>
                <w:b/>
                <w:bCs/>
                <w:sz w:val="20"/>
                <w:szCs w:val="20"/>
              </w:rPr>
              <w:t>dispensing</w:t>
            </w:r>
          </w:p>
        </w:tc>
        <w:tc>
          <w:tcPr>
            <w:tcW w:w="1023" w:type="pct"/>
          </w:tcPr>
          <w:p w14:paraId="340F5913" w14:textId="0CD9F6B3" w:rsidR="00A95EFD" w:rsidRPr="00A95EFD" w:rsidRDefault="00A95EFD" w:rsidP="00D124A8">
            <w:pPr>
              <w:keepNext/>
              <w:autoSpaceDE w:val="0"/>
              <w:autoSpaceDN w:val="0"/>
              <w:adjustRightInd w:val="0"/>
              <w:jc w:val="left"/>
              <w:rPr>
                <w:rFonts w:ascii="Arial Narrow" w:hAnsi="Arial Narrow" w:cs="CIDFont+F4"/>
                <w:b/>
                <w:bCs/>
                <w:sz w:val="20"/>
                <w:szCs w:val="20"/>
              </w:rPr>
            </w:pPr>
            <w:r w:rsidRPr="00403B4E">
              <w:rPr>
                <w:rFonts w:ascii="Arial Narrow" w:hAnsi="Arial Narrow" w:cs="CIDFont+F4"/>
                <w:b/>
                <w:bCs/>
                <w:sz w:val="20"/>
                <w:szCs w:val="20"/>
              </w:rPr>
              <w:t xml:space="preserve">Proposed listing </w:t>
            </w:r>
            <w:r w:rsidR="00271A82">
              <w:rPr>
                <w:rFonts w:ascii="Arial Narrow" w:hAnsi="Arial Narrow" w:cs="CIDFont+F4"/>
                <w:b/>
                <w:bCs/>
                <w:sz w:val="20"/>
                <w:szCs w:val="20"/>
              </w:rPr>
              <w:t>–</w:t>
            </w:r>
            <w:r>
              <w:rPr>
                <w:rFonts w:ascii="Arial Narrow" w:hAnsi="Arial Narrow" w:cs="CIDFont+F4"/>
                <w:b/>
                <w:bCs/>
                <w:sz w:val="20"/>
                <w:szCs w:val="20"/>
              </w:rPr>
              <w:t xml:space="preserve"> </w:t>
            </w:r>
            <w:r w:rsidRPr="00403B4E">
              <w:rPr>
                <w:rFonts w:ascii="Arial Narrow" w:hAnsi="Arial Narrow" w:cs="CIDFont+F4"/>
                <w:b/>
                <w:bCs/>
                <w:sz w:val="20"/>
                <w:szCs w:val="20"/>
              </w:rPr>
              <w:t>MQ 2 cans,</w:t>
            </w:r>
            <w:r>
              <w:rPr>
                <w:rFonts w:ascii="Arial Narrow" w:hAnsi="Arial Narrow" w:cs="CIDFont+F4"/>
                <w:b/>
                <w:bCs/>
                <w:sz w:val="20"/>
                <w:szCs w:val="20"/>
              </w:rPr>
              <w:t xml:space="preserve"> </w:t>
            </w:r>
            <w:r w:rsidRPr="00403B4E">
              <w:rPr>
                <w:rFonts w:ascii="Arial Narrow" w:hAnsi="Arial Narrow" w:cs="CIDFont+F4"/>
                <w:b/>
                <w:bCs/>
                <w:sz w:val="20"/>
                <w:szCs w:val="20"/>
              </w:rPr>
              <w:t xml:space="preserve">supplied </w:t>
            </w:r>
            <w:r w:rsidR="00BD3CDE">
              <w:rPr>
                <w:rFonts w:ascii="Arial Narrow" w:hAnsi="Arial Narrow" w:cs="CIDFont+F4"/>
                <w:b/>
                <w:bCs/>
                <w:sz w:val="20"/>
                <w:szCs w:val="20"/>
              </w:rPr>
              <w:t xml:space="preserve">once per month </w:t>
            </w:r>
            <w:r w:rsidRPr="00403B4E">
              <w:rPr>
                <w:rFonts w:ascii="Arial Narrow" w:hAnsi="Arial Narrow" w:cs="CIDFont+F4"/>
                <w:b/>
                <w:bCs/>
                <w:sz w:val="20"/>
                <w:szCs w:val="20"/>
              </w:rPr>
              <w:t xml:space="preserve">on </w:t>
            </w:r>
            <w:r w:rsidR="00BD3CDE">
              <w:rPr>
                <w:rFonts w:ascii="Arial Narrow" w:hAnsi="Arial Narrow" w:cs="CIDFont+F4"/>
                <w:b/>
                <w:bCs/>
                <w:sz w:val="20"/>
                <w:szCs w:val="20"/>
              </w:rPr>
              <w:t xml:space="preserve">a </w:t>
            </w:r>
            <w:r w:rsidRPr="00403B4E">
              <w:rPr>
                <w:rFonts w:ascii="Arial Narrow" w:hAnsi="Arial Narrow" w:cs="CIDFont+F4"/>
                <w:b/>
                <w:bCs/>
                <w:sz w:val="20"/>
                <w:szCs w:val="20"/>
              </w:rPr>
              <w:t>single</w:t>
            </w:r>
            <w:r>
              <w:rPr>
                <w:rFonts w:ascii="Arial Narrow" w:hAnsi="Arial Narrow" w:cs="CIDFont+F4"/>
                <w:b/>
                <w:bCs/>
                <w:sz w:val="20"/>
                <w:szCs w:val="20"/>
              </w:rPr>
              <w:t xml:space="preserve"> </w:t>
            </w:r>
            <w:r w:rsidRPr="00403B4E">
              <w:rPr>
                <w:rFonts w:ascii="Arial Narrow" w:hAnsi="Arial Narrow" w:cs="CIDFont+F4"/>
                <w:b/>
                <w:bCs/>
                <w:sz w:val="20"/>
                <w:szCs w:val="20"/>
              </w:rPr>
              <w:t xml:space="preserve">Streamlined </w:t>
            </w:r>
            <w:r w:rsidR="00B93A00">
              <w:rPr>
                <w:rFonts w:ascii="Arial Narrow" w:hAnsi="Arial Narrow" w:cs="CIDFont+F4"/>
                <w:b/>
                <w:bCs/>
                <w:sz w:val="20"/>
                <w:szCs w:val="20"/>
              </w:rPr>
              <w:t>pre</w:t>
            </w:r>
            <w:r w:rsidRPr="00403B4E">
              <w:rPr>
                <w:rFonts w:ascii="Arial Narrow" w:hAnsi="Arial Narrow" w:cs="CIDFont+F4"/>
                <w:b/>
                <w:bCs/>
                <w:sz w:val="20"/>
                <w:szCs w:val="20"/>
              </w:rPr>
              <w:t>script</w:t>
            </w:r>
            <w:r w:rsidR="00B93A00">
              <w:rPr>
                <w:rFonts w:ascii="Arial Narrow" w:hAnsi="Arial Narrow" w:cs="CIDFont+F4"/>
                <w:b/>
                <w:bCs/>
                <w:sz w:val="20"/>
                <w:szCs w:val="20"/>
              </w:rPr>
              <w:t>ion</w:t>
            </w:r>
          </w:p>
        </w:tc>
        <w:tc>
          <w:tcPr>
            <w:tcW w:w="757" w:type="pct"/>
          </w:tcPr>
          <w:p w14:paraId="33A30161" w14:textId="76FDB744" w:rsidR="00A95EFD" w:rsidRPr="00A95EFD" w:rsidRDefault="00A95EFD" w:rsidP="00D124A8">
            <w:pPr>
              <w:keepNext/>
              <w:autoSpaceDE w:val="0"/>
              <w:autoSpaceDN w:val="0"/>
              <w:adjustRightInd w:val="0"/>
              <w:jc w:val="left"/>
              <w:rPr>
                <w:rFonts w:ascii="Arial Narrow" w:hAnsi="Arial Narrow" w:cs="CIDFont+F4"/>
                <w:b/>
                <w:bCs/>
                <w:sz w:val="20"/>
                <w:szCs w:val="20"/>
              </w:rPr>
            </w:pPr>
            <w:r w:rsidRPr="00403B4E">
              <w:rPr>
                <w:rFonts w:ascii="Arial Narrow" w:hAnsi="Arial Narrow" w:cs="CIDFont+F4"/>
                <w:b/>
                <w:bCs/>
                <w:sz w:val="20"/>
                <w:szCs w:val="20"/>
              </w:rPr>
              <w:t>Difference</w:t>
            </w:r>
            <w:r>
              <w:rPr>
                <w:rFonts w:ascii="Arial Narrow" w:hAnsi="Arial Narrow" w:cs="CIDFont+F4"/>
                <w:b/>
                <w:bCs/>
                <w:sz w:val="20"/>
                <w:szCs w:val="20"/>
              </w:rPr>
              <w:t xml:space="preserve"> </w:t>
            </w:r>
            <w:r w:rsidRPr="00403B4E">
              <w:rPr>
                <w:rFonts w:ascii="Arial Narrow" w:hAnsi="Arial Narrow" w:cs="CIDFont+F4"/>
                <w:b/>
                <w:bCs/>
                <w:sz w:val="20"/>
                <w:szCs w:val="20"/>
              </w:rPr>
              <w:t>from</w:t>
            </w:r>
            <w:r>
              <w:rPr>
                <w:rFonts w:ascii="Arial Narrow" w:hAnsi="Arial Narrow" w:cs="CIDFont+F4"/>
                <w:b/>
                <w:bCs/>
                <w:sz w:val="20"/>
                <w:szCs w:val="20"/>
              </w:rPr>
              <w:t xml:space="preserve"> </w:t>
            </w:r>
            <w:r w:rsidRPr="00403B4E">
              <w:rPr>
                <w:rFonts w:ascii="Arial Narrow" w:hAnsi="Arial Narrow" w:cs="CIDFont+F4"/>
                <w:b/>
                <w:bCs/>
                <w:sz w:val="20"/>
                <w:szCs w:val="20"/>
              </w:rPr>
              <w:t>status</w:t>
            </w:r>
            <w:r>
              <w:rPr>
                <w:rFonts w:ascii="Arial Narrow" w:hAnsi="Arial Narrow" w:cs="CIDFont+F4"/>
                <w:b/>
                <w:bCs/>
                <w:sz w:val="20"/>
                <w:szCs w:val="20"/>
              </w:rPr>
              <w:t xml:space="preserve"> </w:t>
            </w:r>
            <w:r w:rsidRPr="00403B4E">
              <w:rPr>
                <w:rFonts w:ascii="Arial Narrow" w:hAnsi="Arial Narrow" w:cs="CIDFont+F4"/>
                <w:b/>
                <w:bCs/>
                <w:sz w:val="20"/>
                <w:szCs w:val="20"/>
              </w:rPr>
              <w:t>quo to</w:t>
            </w:r>
            <w:r>
              <w:rPr>
                <w:rFonts w:ascii="Arial Narrow" w:hAnsi="Arial Narrow" w:cs="CIDFont+F4"/>
                <w:b/>
                <w:bCs/>
                <w:sz w:val="20"/>
                <w:szCs w:val="20"/>
              </w:rPr>
              <w:t xml:space="preserve"> </w:t>
            </w:r>
            <w:r w:rsidRPr="00403B4E">
              <w:rPr>
                <w:rFonts w:ascii="Arial Narrow" w:hAnsi="Arial Narrow" w:cs="CIDFont+F4"/>
                <w:b/>
                <w:bCs/>
                <w:sz w:val="20"/>
                <w:szCs w:val="20"/>
              </w:rPr>
              <w:t>proposed</w:t>
            </w:r>
            <w:r>
              <w:rPr>
                <w:rFonts w:ascii="Arial Narrow" w:hAnsi="Arial Narrow" w:cs="CIDFont+F4"/>
                <w:b/>
                <w:bCs/>
                <w:sz w:val="20"/>
                <w:szCs w:val="20"/>
              </w:rPr>
              <w:t xml:space="preserve"> </w:t>
            </w:r>
            <w:r w:rsidRPr="00403B4E">
              <w:rPr>
                <w:rFonts w:ascii="Arial Narrow" w:hAnsi="Arial Narrow" w:cs="CIDFont+F4"/>
                <w:b/>
                <w:bCs/>
                <w:sz w:val="20"/>
                <w:szCs w:val="20"/>
              </w:rPr>
              <w:t>listing</w:t>
            </w:r>
          </w:p>
        </w:tc>
      </w:tr>
      <w:tr w:rsidR="00A95EFD" w:rsidRPr="00403B4E" w14:paraId="273DD1EA" w14:textId="77777777" w:rsidTr="00D124A8">
        <w:tc>
          <w:tcPr>
            <w:tcW w:w="2120" w:type="pct"/>
          </w:tcPr>
          <w:p w14:paraId="258A7B28" w14:textId="22B7D7DB"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 xml:space="preserve">Cost to patient </w:t>
            </w:r>
            <w:r w:rsidR="00271A82">
              <w:rPr>
                <w:rFonts w:ascii="Arial Narrow" w:hAnsi="Arial Narrow" w:cs="CIDFont+F1"/>
                <w:color w:val="000000"/>
                <w:sz w:val="20"/>
                <w:szCs w:val="20"/>
              </w:rPr>
              <w:t>–</w:t>
            </w:r>
            <w:r w:rsidRPr="00403B4E">
              <w:rPr>
                <w:rFonts w:ascii="Arial Narrow" w:hAnsi="Arial Narrow" w:cs="CIDFont+F1"/>
                <w:color w:val="000000"/>
                <w:sz w:val="20"/>
                <w:szCs w:val="20"/>
              </w:rPr>
              <w:t xml:space="preserve"> Concessional patient </w:t>
            </w:r>
          </w:p>
        </w:tc>
        <w:tc>
          <w:tcPr>
            <w:tcW w:w="1100" w:type="pct"/>
          </w:tcPr>
          <w:p w14:paraId="4CA37337"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$14.60</w:t>
            </w:r>
          </w:p>
        </w:tc>
        <w:tc>
          <w:tcPr>
            <w:tcW w:w="1023" w:type="pct"/>
          </w:tcPr>
          <w:p w14:paraId="3587DBF9"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$7.30</w:t>
            </w:r>
          </w:p>
        </w:tc>
        <w:tc>
          <w:tcPr>
            <w:tcW w:w="757" w:type="pct"/>
          </w:tcPr>
          <w:p w14:paraId="380EB4E0"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$7.30</w:t>
            </w:r>
          </w:p>
        </w:tc>
      </w:tr>
      <w:tr w:rsidR="00A95EFD" w:rsidRPr="00403B4E" w14:paraId="1284978F" w14:textId="77777777" w:rsidTr="00D124A8">
        <w:tc>
          <w:tcPr>
            <w:tcW w:w="2120" w:type="pct"/>
          </w:tcPr>
          <w:p w14:paraId="09AABE00" w14:textId="01E0ABBA"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 xml:space="preserve">Cost to patient </w:t>
            </w:r>
            <w:r w:rsidR="00271A82">
              <w:rPr>
                <w:rFonts w:ascii="Arial Narrow" w:hAnsi="Arial Narrow" w:cs="CIDFont+F1"/>
                <w:color w:val="000000"/>
                <w:sz w:val="20"/>
                <w:szCs w:val="20"/>
              </w:rPr>
              <w:t>–</w:t>
            </w:r>
            <w:r w:rsidRPr="00403B4E">
              <w:rPr>
                <w:rFonts w:ascii="Arial Narrow" w:hAnsi="Arial Narrow" w:cs="CIDFont+F1"/>
                <w:color w:val="000000"/>
                <w:sz w:val="20"/>
                <w:szCs w:val="20"/>
              </w:rPr>
              <w:t xml:space="preserve"> General patient </w:t>
            </w:r>
          </w:p>
        </w:tc>
        <w:tc>
          <w:tcPr>
            <w:tcW w:w="1100" w:type="pct"/>
          </w:tcPr>
          <w:p w14:paraId="7647BE1E"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$60.00</w:t>
            </w:r>
          </w:p>
        </w:tc>
        <w:tc>
          <w:tcPr>
            <w:tcW w:w="1023" w:type="pct"/>
          </w:tcPr>
          <w:p w14:paraId="395586FA"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$30.00</w:t>
            </w:r>
          </w:p>
        </w:tc>
        <w:tc>
          <w:tcPr>
            <w:tcW w:w="757" w:type="pct"/>
          </w:tcPr>
          <w:p w14:paraId="2127E4E3"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$30.00</w:t>
            </w:r>
          </w:p>
        </w:tc>
      </w:tr>
      <w:tr w:rsidR="00A95EFD" w:rsidRPr="00403B4E" w14:paraId="7D8F019D" w14:textId="77777777" w:rsidTr="00D124A8">
        <w:tc>
          <w:tcPr>
            <w:tcW w:w="2120" w:type="pct"/>
          </w:tcPr>
          <w:p w14:paraId="03B6FA2E"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 xml:space="preserve">Wholesaler remuneration </w:t>
            </w:r>
          </w:p>
        </w:tc>
        <w:tc>
          <w:tcPr>
            <w:tcW w:w="1100" w:type="pct"/>
          </w:tcPr>
          <w:p w14:paraId="1DA87727"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$10.11</w:t>
            </w:r>
          </w:p>
        </w:tc>
        <w:tc>
          <w:tcPr>
            <w:tcW w:w="1023" w:type="pct"/>
          </w:tcPr>
          <w:p w14:paraId="62EFCEBC"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$10.11</w:t>
            </w:r>
          </w:p>
        </w:tc>
        <w:tc>
          <w:tcPr>
            <w:tcW w:w="757" w:type="pct"/>
          </w:tcPr>
          <w:p w14:paraId="24DAEBA6" w14:textId="77777777" w:rsidR="00A95EFD" w:rsidRPr="00B03084" w:rsidRDefault="00A95EFD" w:rsidP="006C0622">
            <w:pPr>
              <w:keepNext/>
              <w:rPr>
                <w:rFonts w:ascii="Arial Narrow" w:hAnsi="Arial Narrow" w:cs="Calibri"/>
                <w:sz w:val="20"/>
                <w:szCs w:val="20"/>
              </w:rPr>
            </w:pPr>
            <w:r w:rsidRPr="00B03084">
              <w:rPr>
                <w:rFonts w:ascii="Arial Narrow" w:hAnsi="Arial Narrow" w:cs="CIDFont+F1"/>
                <w:sz w:val="20"/>
                <w:szCs w:val="20"/>
              </w:rPr>
              <w:t>$0.00</w:t>
            </w:r>
          </w:p>
        </w:tc>
      </w:tr>
      <w:tr w:rsidR="00A95EFD" w:rsidRPr="00403B4E" w14:paraId="4E4BC1AD" w14:textId="77777777" w:rsidTr="00D124A8">
        <w:tc>
          <w:tcPr>
            <w:tcW w:w="2120" w:type="pct"/>
          </w:tcPr>
          <w:p w14:paraId="723DDAB8"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 xml:space="preserve">Pharmacy remuneration </w:t>
            </w:r>
          </w:p>
        </w:tc>
        <w:tc>
          <w:tcPr>
            <w:tcW w:w="1100" w:type="pct"/>
          </w:tcPr>
          <w:p w14:paraId="49FCBA42"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$24.28</w:t>
            </w:r>
          </w:p>
        </w:tc>
        <w:tc>
          <w:tcPr>
            <w:tcW w:w="1023" w:type="pct"/>
          </w:tcPr>
          <w:p w14:paraId="7F8241BA"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$14.36</w:t>
            </w:r>
          </w:p>
        </w:tc>
        <w:tc>
          <w:tcPr>
            <w:tcW w:w="757" w:type="pct"/>
          </w:tcPr>
          <w:p w14:paraId="43206EE9" w14:textId="25A7D967" w:rsidR="00A95EFD" w:rsidRPr="00B03084" w:rsidRDefault="00A95EFD" w:rsidP="006C0622">
            <w:pPr>
              <w:keepNext/>
              <w:rPr>
                <w:rFonts w:ascii="Arial Narrow" w:hAnsi="Arial Narrow" w:cs="Calibri"/>
                <w:sz w:val="20"/>
                <w:szCs w:val="20"/>
              </w:rPr>
            </w:pPr>
            <w:r w:rsidRPr="00B03084">
              <w:rPr>
                <w:rFonts w:ascii="Arial Narrow" w:hAnsi="Arial Narrow" w:cs="CIDFont+F1"/>
                <w:sz w:val="20"/>
                <w:szCs w:val="20"/>
              </w:rPr>
              <w:t>$9.92</w:t>
            </w:r>
            <w:r w:rsidR="0016430D" w:rsidRPr="00217EF9">
              <w:rPr>
                <w:rFonts w:ascii="Arial Narrow" w:hAnsi="Arial Narrow" w:cs="CIDFont+F1"/>
                <w:sz w:val="20"/>
                <w:szCs w:val="20"/>
                <w:vertAlign w:val="superscript"/>
              </w:rPr>
              <w:t>b</w:t>
            </w:r>
          </w:p>
        </w:tc>
      </w:tr>
      <w:tr w:rsidR="00A95EFD" w:rsidRPr="00403B4E" w14:paraId="590BC0D2" w14:textId="77777777" w:rsidTr="00D124A8">
        <w:tc>
          <w:tcPr>
            <w:tcW w:w="2120" w:type="pct"/>
          </w:tcPr>
          <w:p w14:paraId="4B51EC4E" w14:textId="69113BD9"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Cost to the PBS (net of Concessional co-payment)</w:t>
            </w:r>
          </w:p>
        </w:tc>
        <w:tc>
          <w:tcPr>
            <w:tcW w:w="1100" w:type="pct"/>
          </w:tcPr>
          <w:p w14:paraId="20E339BD" w14:textId="4D25DC1A"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$154.17</w:t>
            </w:r>
            <w:r w:rsidR="00050D3B" w:rsidRPr="00050D3B">
              <w:rPr>
                <w:rFonts w:ascii="Arial Narrow" w:hAnsi="Arial Narrow" w:cs="CIDFont+F1"/>
                <w:color w:val="000000"/>
                <w:sz w:val="20"/>
                <w:szCs w:val="20"/>
                <w:vertAlign w:val="superscript"/>
              </w:rPr>
              <w:t>a</w:t>
            </w:r>
          </w:p>
        </w:tc>
        <w:tc>
          <w:tcPr>
            <w:tcW w:w="1023" w:type="pct"/>
          </w:tcPr>
          <w:p w14:paraId="482AD37D"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$151.55</w:t>
            </w:r>
          </w:p>
        </w:tc>
        <w:tc>
          <w:tcPr>
            <w:tcW w:w="757" w:type="pct"/>
          </w:tcPr>
          <w:p w14:paraId="2E00355B" w14:textId="77777777" w:rsidR="00A95EFD" w:rsidRPr="00B03084" w:rsidRDefault="00A95EFD" w:rsidP="006C0622">
            <w:pPr>
              <w:keepNext/>
              <w:rPr>
                <w:rFonts w:ascii="Arial Narrow" w:hAnsi="Arial Narrow" w:cs="Calibri"/>
                <w:sz w:val="20"/>
                <w:szCs w:val="20"/>
              </w:rPr>
            </w:pPr>
            <w:r w:rsidRPr="00B03084">
              <w:rPr>
                <w:rFonts w:ascii="Arial Narrow" w:hAnsi="Arial Narrow" w:cs="CIDFont+F1"/>
                <w:sz w:val="20"/>
                <w:szCs w:val="20"/>
              </w:rPr>
              <w:t>$2.62</w:t>
            </w:r>
          </w:p>
        </w:tc>
      </w:tr>
      <w:tr w:rsidR="00A95EFD" w:rsidRPr="00403B4E" w14:paraId="6C97DC48" w14:textId="77777777" w:rsidTr="00D124A8">
        <w:tc>
          <w:tcPr>
            <w:tcW w:w="2120" w:type="pct"/>
          </w:tcPr>
          <w:p w14:paraId="32F10D2F"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 xml:space="preserve">Cost to the PBS (net of General co-payment) </w:t>
            </w:r>
          </w:p>
        </w:tc>
        <w:tc>
          <w:tcPr>
            <w:tcW w:w="1100" w:type="pct"/>
          </w:tcPr>
          <w:p w14:paraId="64939632"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$108.77</w:t>
            </w:r>
          </w:p>
        </w:tc>
        <w:tc>
          <w:tcPr>
            <w:tcW w:w="1023" w:type="pct"/>
          </w:tcPr>
          <w:p w14:paraId="0CF5D901" w14:textId="77777777" w:rsidR="00A95EFD" w:rsidRPr="00403B4E" w:rsidRDefault="00A95EFD" w:rsidP="006C0622">
            <w:pPr>
              <w:keepNext/>
              <w:rPr>
                <w:rFonts w:ascii="Arial Narrow" w:hAnsi="Arial Narrow" w:cs="Calibri"/>
                <w:sz w:val="20"/>
                <w:szCs w:val="20"/>
              </w:rPr>
            </w:pPr>
            <w:r w:rsidRPr="00403B4E">
              <w:rPr>
                <w:rFonts w:ascii="Arial Narrow" w:hAnsi="Arial Narrow" w:cs="CIDFont+F1"/>
                <w:color w:val="000000"/>
                <w:sz w:val="20"/>
                <w:szCs w:val="20"/>
              </w:rPr>
              <w:t>$128.85</w:t>
            </w:r>
          </w:p>
        </w:tc>
        <w:tc>
          <w:tcPr>
            <w:tcW w:w="757" w:type="pct"/>
          </w:tcPr>
          <w:p w14:paraId="4E92B0DD" w14:textId="77777777" w:rsidR="00A95EFD" w:rsidRPr="00B03084" w:rsidRDefault="00A95EFD" w:rsidP="006C0622">
            <w:pPr>
              <w:keepNext/>
              <w:rPr>
                <w:rFonts w:ascii="Arial Narrow" w:hAnsi="Arial Narrow" w:cs="Calibri"/>
                <w:sz w:val="20"/>
                <w:szCs w:val="20"/>
              </w:rPr>
            </w:pPr>
            <w:r w:rsidRPr="00B03084">
              <w:rPr>
                <w:rFonts w:ascii="Arial Narrow" w:hAnsi="Arial Narrow" w:cs="CIDFont+F1"/>
                <w:sz w:val="20"/>
                <w:szCs w:val="20"/>
              </w:rPr>
              <w:t>-$20.08</w:t>
            </w:r>
          </w:p>
        </w:tc>
      </w:tr>
    </w:tbl>
    <w:p w14:paraId="2FDD0F9D" w14:textId="084FB3F2" w:rsidR="00080965" w:rsidRPr="0016430D" w:rsidRDefault="00080965" w:rsidP="00217EF9">
      <w:pPr>
        <w:pStyle w:val="TableFigureFooter"/>
      </w:pPr>
      <w:bookmarkStart w:id="3" w:name="_Hlk134017941"/>
      <w:r w:rsidRPr="0016430D">
        <w:t xml:space="preserve">Source: </w:t>
      </w:r>
      <w:r w:rsidR="00A95EFD" w:rsidRPr="0016430D">
        <w:t>Table</w:t>
      </w:r>
      <w:r w:rsidR="007E29A0" w:rsidRPr="0016430D">
        <w:t xml:space="preserve"> 2</w:t>
      </w:r>
      <w:r w:rsidR="00A95EFD" w:rsidRPr="0016430D">
        <w:t xml:space="preserve"> provided in the submission</w:t>
      </w:r>
      <w:r w:rsidR="000F2B09" w:rsidRPr="0016430D">
        <w:t xml:space="preserve"> main body</w:t>
      </w:r>
      <w:r w:rsidR="00A95EFD" w:rsidRPr="0016430D">
        <w:t>.</w:t>
      </w:r>
      <w:bookmarkEnd w:id="3"/>
    </w:p>
    <w:p w14:paraId="2FA0F27B" w14:textId="4D81E44A" w:rsidR="007E29A0" w:rsidRPr="0016430D" w:rsidRDefault="007E29A0" w:rsidP="00217EF9">
      <w:pPr>
        <w:pStyle w:val="TableFigureFooter"/>
      </w:pPr>
      <w:r w:rsidRPr="0016430D">
        <w:t>Abbreviations: MQ – maximum quantity, PBS – Pharmaceutical Benefit Scheme</w:t>
      </w:r>
    </w:p>
    <w:p w14:paraId="7A7D7249" w14:textId="7E17737E" w:rsidR="0016430D" w:rsidRDefault="00050D3B" w:rsidP="0016430D">
      <w:pPr>
        <w:pStyle w:val="TableFigureFooter"/>
      </w:pPr>
      <w:r w:rsidRPr="00217EF9">
        <w:rPr>
          <w:vertAlign w:val="superscript"/>
        </w:rPr>
        <w:t>a</w:t>
      </w:r>
      <w:r w:rsidRPr="00217EF9">
        <w:t xml:space="preserve"> </w:t>
      </w:r>
      <w:r w:rsidRPr="0016430D">
        <w:t>$152.17 was quoted in main body of submission (last paragraph of page 6)</w:t>
      </w:r>
      <w:r w:rsidR="00B54758" w:rsidRPr="0016430D">
        <w:t xml:space="preserve"> and this is</w:t>
      </w:r>
      <w:r w:rsidRPr="0016430D">
        <w:t xml:space="preserve"> different from </w:t>
      </w:r>
      <w:r w:rsidR="00DD53A4" w:rsidRPr="0016430D">
        <w:t>number</w:t>
      </w:r>
      <w:r w:rsidRPr="0016430D">
        <w:t xml:space="preserve"> in table</w:t>
      </w:r>
      <w:r w:rsidR="00B54758" w:rsidRPr="0016430D">
        <w:t>.</w:t>
      </w:r>
    </w:p>
    <w:p w14:paraId="64B6939F" w14:textId="3E149C26" w:rsidR="0016430D" w:rsidRPr="0016430D" w:rsidRDefault="0016430D" w:rsidP="00217EF9">
      <w:pPr>
        <w:pStyle w:val="TableFigureFooter"/>
      </w:pPr>
      <w:r w:rsidRPr="00217EF9">
        <w:rPr>
          <w:vertAlign w:val="superscript"/>
        </w:rPr>
        <w:t>b</w:t>
      </w:r>
      <w:r>
        <w:t xml:space="preserve"> </w:t>
      </w:r>
      <w:r w:rsidR="00C255CD">
        <w:t>This value was -$9.92 in the submission and has been corrected to $9.92.</w:t>
      </w:r>
    </w:p>
    <w:p w14:paraId="1628B1D2" w14:textId="7CE4946E" w:rsidR="00B97BEE" w:rsidRPr="00E80446" w:rsidRDefault="003E3012" w:rsidP="00E80446">
      <w:pPr>
        <w:pStyle w:val="3-BodyText"/>
      </w:pPr>
      <w:r>
        <w:t xml:space="preserve">The submission included </w:t>
      </w:r>
      <w:r w:rsidR="006158A7" w:rsidRPr="00167C39">
        <w:t xml:space="preserve">the estimated extent of use, </w:t>
      </w:r>
      <w:r w:rsidR="004A7456">
        <w:t>proposed cost</w:t>
      </w:r>
      <w:r w:rsidR="006158A7" w:rsidRPr="00167C39">
        <w:t xml:space="preserve"> to the PBS/RPBS and the net financial implications to the PBS/RPBS</w:t>
      </w:r>
      <w:r w:rsidR="00B55BD3">
        <w:t xml:space="preserve"> over a 6</w:t>
      </w:r>
      <w:r w:rsidR="00BD3CDE">
        <w:t>-</w:t>
      </w:r>
      <w:r w:rsidR="00B55BD3">
        <w:t>year period</w:t>
      </w:r>
      <w:r w:rsidR="00B97BEE">
        <w:t xml:space="preserve"> in its financial </w:t>
      </w:r>
      <w:r w:rsidR="00994CBB">
        <w:t>workbook</w:t>
      </w:r>
      <w:r w:rsidR="00B55BD3">
        <w:t>.</w:t>
      </w:r>
    </w:p>
    <w:p w14:paraId="0BE790E5" w14:textId="18C4D51E" w:rsidR="004B7801" w:rsidRDefault="005266B0" w:rsidP="00E80446">
      <w:pPr>
        <w:pStyle w:val="3-BodyText"/>
      </w:pPr>
      <w:r>
        <w:t xml:space="preserve">The cost </w:t>
      </w:r>
      <w:r w:rsidR="004B7801" w:rsidRPr="004B7801">
        <w:t xml:space="preserve">model provided </w:t>
      </w:r>
      <w:r>
        <w:t>by the sponsor as a</w:t>
      </w:r>
      <w:r w:rsidR="004B7801" w:rsidRPr="004B7801">
        <w:t xml:space="preserve"> pre-PBAC response showed </w:t>
      </w:r>
      <w:r>
        <w:t xml:space="preserve">an estimated </w:t>
      </w:r>
      <w:r w:rsidR="00A038F5">
        <w:t>financial</w:t>
      </w:r>
      <w:r>
        <w:t xml:space="preserve"> cost to </w:t>
      </w:r>
      <w:r w:rsidR="005045C4">
        <w:t xml:space="preserve">the </w:t>
      </w:r>
      <w:r>
        <w:t xml:space="preserve">government of </w:t>
      </w:r>
      <w:r w:rsidR="00DC74B9" w:rsidRPr="00DC74B9">
        <w:t>$0 to &lt; $10 million</w:t>
      </w:r>
      <w:r w:rsidR="00DC74B9" w:rsidRPr="00DC74B9" w:rsidDel="00DC74B9">
        <w:t xml:space="preserve"> </w:t>
      </w:r>
      <w:r>
        <w:t>over a period of 6 years</w:t>
      </w:r>
      <w:r w:rsidR="00A038F5">
        <w:t xml:space="preserve"> with </w:t>
      </w:r>
      <w:r w:rsidR="00DC74B9" w:rsidRPr="00DC74B9">
        <w:t>$0 to &lt; $10 million</w:t>
      </w:r>
      <w:r w:rsidR="00DC74B9" w:rsidRPr="00DC74B9" w:rsidDel="00DC74B9">
        <w:t xml:space="preserve"> </w:t>
      </w:r>
      <w:r w:rsidR="00A038F5">
        <w:t xml:space="preserve">in Year 1 and </w:t>
      </w:r>
      <w:r w:rsidR="00DC74B9" w:rsidRPr="00DC74B9">
        <w:t>$0 to &lt; $10 million</w:t>
      </w:r>
      <w:r w:rsidR="00DC74B9" w:rsidRPr="00DC74B9" w:rsidDel="00DC74B9">
        <w:t xml:space="preserve"> </w:t>
      </w:r>
      <w:r w:rsidR="00A038F5">
        <w:t>in Year 6</w:t>
      </w:r>
      <w:r w:rsidR="00114D71">
        <w:t xml:space="preserve"> (Table 3)</w:t>
      </w:r>
      <w:r w:rsidR="00B96C40">
        <w:t>.</w:t>
      </w:r>
    </w:p>
    <w:p w14:paraId="7FBD61A0" w14:textId="2C2BFF33" w:rsidR="00C3340A" w:rsidRPr="00786772" w:rsidRDefault="00C3340A" w:rsidP="00E80446">
      <w:pPr>
        <w:pStyle w:val="TableFigureHeading"/>
      </w:pPr>
      <w:r w:rsidRPr="00786772">
        <w:rPr>
          <w:rFonts w:cs="Calibri"/>
        </w:rPr>
        <w:t xml:space="preserve">Table 3: </w:t>
      </w:r>
      <w:r w:rsidRPr="00786772">
        <w:t xml:space="preserve"> Financial implication and utilisation of proposed listing</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1"/>
        <w:gridCol w:w="1139"/>
        <w:gridCol w:w="1139"/>
        <w:gridCol w:w="1139"/>
        <w:gridCol w:w="1140"/>
        <w:gridCol w:w="1140"/>
        <w:gridCol w:w="1260"/>
      </w:tblGrid>
      <w:tr w:rsidR="00C3340A" w:rsidRPr="00FA1568" w14:paraId="57A76E85" w14:textId="77777777" w:rsidTr="003251A5">
        <w:trPr>
          <w:cantSplit/>
          <w:tblHeader/>
          <w:jc w:val="center"/>
        </w:trPr>
        <w:tc>
          <w:tcPr>
            <w:tcW w:w="1108" w:type="pct"/>
            <w:shd w:val="clear" w:color="auto" w:fill="auto"/>
            <w:vAlign w:val="center"/>
          </w:tcPr>
          <w:p w14:paraId="1F5726B2" w14:textId="77777777" w:rsidR="00C3340A" w:rsidRPr="00FA1568" w:rsidRDefault="00C3340A" w:rsidP="003251A5">
            <w:pPr>
              <w:pStyle w:val="TableText0"/>
              <w:keepLines/>
              <w:jc w:val="center"/>
              <w:rPr>
                <w:b/>
                <w:bCs w:val="0"/>
                <w:szCs w:val="20"/>
              </w:rPr>
            </w:pPr>
          </w:p>
        </w:tc>
        <w:tc>
          <w:tcPr>
            <w:tcW w:w="637" w:type="pct"/>
            <w:shd w:val="clear" w:color="auto" w:fill="auto"/>
          </w:tcPr>
          <w:p w14:paraId="6D743FF8" w14:textId="77777777" w:rsidR="00C3340A" w:rsidRPr="00FA1568" w:rsidRDefault="00C3340A" w:rsidP="003251A5">
            <w:pPr>
              <w:pStyle w:val="TableText0"/>
              <w:keepLines/>
              <w:jc w:val="center"/>
              <w:rPr>
                <w:b/>
                <w:bCs w:val="0"/>
                <w:szCs w:val="20"/>
              </w:rPr>
            </w:pPr>
            <w:r w:rsidRPr="00FA1568">
              <w:rPr>
                <w:b/>
                <w:bCs w:val="0"/>
                <w:szCs w:val="20"/>
              </w:rPr>
              <w:t>2023</w:t>
            </w:r>
          </w:p>
        </w:tc>
        <w:tc>
          <w:tcPr>
            <w:tcW w:w="637" w:type="pct"/>
            <w:shd w:val="clear" w:color="auto" w:fill="auto"/>
          </w:tcPr>
          <w:p w14:paraId="1FC70DF9" w14:textId="77777777" w:rsidR="00C3340A" w:rsidRPr="00FA1568" w:rsidRDefault="00C3340A" w:rsidP="003251A5">
            <w:pPr>
              <w:pStyle w:val="TableText0"/>
              <w:keepLines/>
              <w:jc w:val="center"/>
              <w:rPr>
                <w:b/>
                <w:bCs w:val="0"/>
                <w:szCs w:val="20"/>
              </w:rPr>
            </w:pPr>
            <w:r w:rsidRPr="00FA1568">
              <w:rPr>
                <w:b/>
                <w:bCs w:val="0"/>
                <w:szCs w:val="20"/>
              </w:rPr>
              <w:t>2024</w:t>
            </w:r>
          </w:p>
        </w:tc>
        <w:tc>
          <w:tcPr>
            <w:tcW w:w="637" w:type="pct"/>
            <w:shd w:val="clear" w:color="auto" w:fill="auto"/>
          </w:tcPr>
          <w:p w14:paraId="326FCD1E" w14:textId="77777777" w:rsidR="00C3340A" w:rsidRPr="00FA1568" w:rsidRDefault="00C3340A" w:rsidP="003251A5">
            <w:pPr>
              <w:pStyle w:val="TableText0"/>
              <w:keepLines/>
              <w:jc w:val="center"/>
              <w:rPr>
                <w:b/>
                <w:bCs w:val="0"/>
                <w:szCs w:val="20"/>
              </w:rPr>
            </w:pPr>
            <w:r w:rsidRPr="00FA1568">
              <w:rPr>
                <w:b/>
                <w:bCs w:val="0"/>
                <w:szCs w:val="20"/>
              </w:rPr>
              <w:t>2025</w:t>
            </w:r>
          </w:p>
        </w:tc>
        <w:tc>
          <w:tcPr>
            <w:tcW w:w="638" w:type="pct"/>
            <w:shd w:val="clear" w:color="auto" w:fill="auto"/>
          </w:tcPr>
          <w:p w14:paraId="061CD291" w14:textId="77777777" w:rsidR="00C3340A" w:rsidRPr="00FA1568" w:rsidRDefault="00C3340A" w:rsidP="003251A5">
            <w:pPr>
              <w:pStyle w:val="TableText0"/>
              <w:keepLines/>
              <w:jc w:val="center"/>
              <w:rPr>
                <w:b/>
                <w:bCs w:val="0"/>
                <w:szCs w:val="20"/>
              </w:rPr>
            </w:pPr>
            <w:r w:rsidRPr="00FA1568">
              <w:rPr>
                <w:b/>
                <w:bCs w:val="0"/>
                <w:szCs w:val="20"/>
              </w:rPr>
              <w:t>2026</w:t>
            </w:r>
          </w:p>
        </w:tc>
        <w:tc>
          <w:tcPr>
            <w:tcW w:w="638" w:type="pct"/>
            <w:shd w:val="clear" w:color="auto" w:fill="auto"/>
          </w:tcPr>
          <w:p w14:paraId="1AC6AFE9" w14:textId="77777777" w:rsidR="00C3340A" w:rsidRPr="00FA1568" w:rsidRDefault="00C3340A" w:rsidP="003251A5">
            <w:pPr>
              <w:pStyle w:val="TableText0"/>
              <w:keepLines/>
              <w:jc w:val="center"/>
              <w:rPr>
                <w:b/>
                <w:bCs w:val="0"/>
                <w:szCs w:val="20"/>
              </w:rPr>
            </w:pPr>
            <w:r w:rsidRPr="00FA1568">
              <w:rPr>
                <w:b/>
                <w:bCs w:val="0"/>
                <w:szCs w:val="20"/>
              </w:rPr>
              <w:t>2027</w:t>
            </w:r>
          </w:p>
        </w:tc>
        <w:tc>
          <w:tcPr>
            <w:tcW w:w="705" w:type="pct"/>
          </w:tcPr>
          <w:p w14:paraId="53575011" w14:textId="77777777" w:rsidR="00C3340A" w:rsidRPr="00FA1568" w:rsidRDefault="00C3340A" w:rsidP="003251A5">
            <w:pPr>
              <w:pStyle w:val="TableText0"/>
              <w:keepLines/>
              <w:jc w:val="center"/>
              <w:rPr>
                <w:b/>
                <w:bCs w:val="0"/>
                <w:szCs w:val="20"/>
              </w:rPr>
            </w:pPr>
            <w:r w:rsidRPr="00FA1568">
              <w:rPr>
                <w:b/>
                <w:bCs w:val="0"/>
                <w:szCs w:val="20"/>
              </w:rPr>
              <w:t>2028</w:t>
            </w:r>
          </w:p>
        </w:tc>
      </w:tr>
      <w:tr w:rsidR="00C3340A" w:rsidRPr="00FA1568" w14:paraId="57EBCCF2" w14:textId="77777777" w:rsidTr="003251A5">
        <w:trPr>
          <w:cantSplit/>
          <w:jc w:val="center"/>
        </w:trPr>
        <w:tc>
          <w:tcPr>
            <w:tcW w:w="5000" w:type="pct"/>
            <w:gridSpan w:val="7"/>
            <w:shd w:val="clear" w:color="auto" w:fill="auto"/>
            <w:vAlign w:val="center"/>
          </w:tcPr>
          <w:p w14:paraId="4D47D60F" w14:textId="0FC2960B" w:rsidR="00C3340A" w:rsidRPr="00FA1568" w:rsidRDefault="00C3340A" w:rsidP="003251A5">
            <w:pPr>
              <w:pStyle w:val="TableText0"/>
              <w:keepLines/>
              <w:rPr>
                <w:b/>
                <w:color w:val="000000"/>
                <w:szCs w:val="20"/>
              </w:rPr>
            </w:pPr>
            <w:r w:rsidRPr="00FA1568">
              <w:rPr>
                <w:b/>
                <w:color w:val="000000"/>
                <w:szCs w:val="20"/>
              </w:rPr>
              <w:t>Estimated extent of use</w:t>
            </w:r>
            <w:r w:rsidR="000A0FFF">
              <w:rPr>
                <w:b/>
                <w:color w:val="000000"/>
                <w:szCs w:val="20"/>
              </w:rPr>
              <w:t xml:space="preserve"> (based on </w:t>
            </w:r>
            <w:r w:rsidR="008C2DC7">
              <w:rPr>
                <w:b/>
                <w:color w:val="000000"/>
                <w:szCs w:val="20"/>
              </w:rPr>
              <w:t>1</w:t>
            </w:r>
            <w:r w:rsidR="000A0FFF">
              <w:rPr>
                <w:b/>
                <w:color w:val="000000"/>
                <w:szCs w:val="20"/>
              </w:rPr>
              <w:t>3</w:t>
            </w:r>
            <w:r w:rsidR="008C2DC7">
              <w:rPr>
                <w:b/>
                <w:color w:val="000000"/>
                <w:szCs w:val="20"/>
              </w:rPr>
              <w:t>.52</w:t>
            </w:r>
            <w:r w:rsidR="000A0FFF">
              <w:rPr>
                <w:b/>
                <w:color w:val="000000"/>
                <w:szCs w:val="20"/>
              </w:rPr>
              <w:t xml:space="preserve">% of </w:t>
            </w:r>
            <w:r w:rsidR="00F0253B">
              <w:rPr>
                <w:b/>
                <w:color w:val="000000"/>
                <w:szCs w:val="20"/>
              </w:rPr>
              <w:t xml:space="preserve">existing </w:t>
            </w:r>
            <w:r w:rsidR="008C2DC7">
              <w:rPr>
                <w:b/>
                <w:color w:val="000000"/>
                <w:szCs w:val="20"/>
              </w:rPr>
              <w:t>patients</w:t>
            </w:r>
            <w:r w:rsidR="000A0FFF">
              <w:rPr>
                <w:b/>
                <w:color w:val="000000"/>
                <w:szCs w:val="20"/>
              </w:rPr>
              <w:t>)</w:t>
            </w:r>
          </w:p>
        </w:tc>
      </w:tr>
      <w:tr w:rsidR="00C3340A" w:rsidRPr="00FA1568" w14:paraId="66F60A10" w14:textId="77777777" w:rsidTr="00D124A8">
        <w:trPr>
          <w:cantSplit/>
          <w:jc w:val="center"/>
        </w:trPr>
        <w:tc>
          <w:tcPr>
            <w:tcW w:w="1108" w:type="pct"/>
            <w:shd w:val="clear" w:color="auto" w:fill="auto"/>
            <w:vAlign w:val="center"/>
          </w:tcPr>
          <w:p w14:paraId="0C225568" w14:textId="77777777" w:rsidR="00C3340A" w:rsidRPr="00FA1568" w:rsidRDefault="00C3340A" w:rsidP="003251A5">
            <w:pPr>
              <w:pStyle w:val="TableText0"/>
              <w:keepLines/>
              <w:rPr>
                <w:szCs w:val="20"/>
                <w:vertAlign w:val="superscript"/>
              </w:rPr>
            </w:pPr>
            <w:r w:rsidRPr="00FA1568">
              <w:rPr>
                <w:szCs w:val="20"/>
              </w:rPr>
              <w:t>Number of scripts dispensed</w:t>
            </w:r>
          </w:p>
        </w:tc>
        <w:tc>
          <w:tcPr>
            <w:tcW w:w="637" w:type="pct"/>
            <w:shd w:val="clear" w:color="auto" w:fill="auto"/>
            <w:vAlign w:val="center"/>
          </w:tcPr>
          <w:p w14:paraId="1C332311" w14:textId="70D6AE5C"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31"/>
                <w14:textFill>
                  <w14:solidFill>
                    <w14:srgbClr w14:val="000000">
                      <w14:alpha w14:val="100000"/>
                    </w14:srgbClr>
                  </w14:solidFill>
                </w14:textFill>
              </w:rPr>
              <w:t xml:space="preserve">　</w:t>
            </w:r>
            <w:r w:rsidRPr="00747667">
              <w:rPr>
                <w:color w:val="000000"/>
                <w:w w:val="15"/>
                <w:shd w:val="solid" w:color="000000" w:fill="000000"/>
                <w:fitText w:val="60" w:id="-1167916031"/>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1"/>
                <w14:textFill>
                  <w14:solidFill>
                    <w14:srgbClr w14:val="000000">
                      <w14:alpha w14:val="100000"/>
                    </w14:srgbClr>
                  </w14:solidFill>
                </w14:textFill>
              </w:rPr>
              <w:t xml:space="preserve">　</w:t>
            </w:r>
            <w:r w:rsidR="00DC74B9">
              <w:t xml:space="preserve"> </w:t>
            </w:r>
            <w:r w:rsidR="00DC74B9">
              <w:rPr>
                <w:vertAlign w:val="superscript"/>
              </w:rPr>
              <w:t>1</w:t>
            </w:r>
          </w:p>
        </w:tc>
        <w:tc>
          <w:tcPr>
            <w:tcW w:w="637" w:type="pct"/>
            <w:shd w:val="clear" w:color="auto" w:fill="auto"/>
            <w:vAlign w:val="center"/>
          </w:tcPr>
          <w:p w14:paraId="70D50410" w14:textId="3F7E1AB0"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30"/>
                <w14:textFill>
                  <w14:solidFill>
                    <w14:srgbClr w14:val="000000">
                      <w14:alpha w14:val="100000"/>
                    </w14:srgbClr>
                  </w14:solidFill>
                </w14:textFill>
              </w:rPr>
              <w:t xml:space="preserve">　</w:t>
            </w:r>
            <w:r w:rsidRPr="00747667">
              <w:rPr>
                <w:color w:val="000000"/>
                <w:w w:val="15"/>
                <w:shd w:val="solid" w:color="000000" w:fill="000000"/>
                <w:fitText w:val="60" w:id="-1167916030"/>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0"/>
                <w14:textFill>
                  <w14:solidFill>
                    <w14:srgbClr w14:val="000000">
                      <w14:alpha w14:val="100000"/>
                    </w14:srgbClr>
                  </w14:solidFill>
                </w14:textFill>
              </w:rPr>
              <w:t xml:space="preserve">　</w:t>
            </w:r>
            <w:r w:rsidR="00DC74B9">
              <w:t xml:space="preserve"> </w:t>
            </w:r>
            <w:r w:rsidR="00DC74B9">
              <w:rPr>
                <w:vertAlign w:val="superscript"/>
              </w:rPr>
              <w:t>1</w:t>
            </w:r>
          </w:p>
        </w:tc>
        <w:tc>
          <w:tcPr>
            <w:tcW w:w="637" w:type="pct"/>
            <w:shd w:val="clear" w:color="auto" w:fill="auto"/>
            <w:vAlign w:val="center"/>
          </w:tcPr>
          <w:p w14:paraId="3709BF31" w14:textId="4CB4E51B"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29"/>
                <w14:textFill>
                  <w14:solidFill>
                    <w14:srgbClr w14:val="000000">
                      <w14:alpha w14:val="100000"/>
                    </w14:srgbClr>
                  </w14:solidFill>
                </w14:textFill>
              </w:rPr>
              <w:t xml:space="preserve">　</w:t>
            </w:r>
            <w:r w:rsidRPr="00747667">
              <w:rPr>
                <w:color w:val="000000"/>
                <w:w w:val="15"/>
                <w:shd w:val="solid" w:color="000000" w:fill="000000"/>
                <w:fitText w:val="60" w:id="-1167916029"/>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9"/>
                <w14:textFill>
                  <w14:solidFill>
                    <w14:srgbClr w14:val="000000">
                      <w14:alpha w14:val="100000"/>
                    </w14:srgbClr>
                  </w14:solidFill>
                </w14:textFill>
              </w:rPr>
              <w:t xml:space="preserve">　</w:t>
            </w:r>
            <w:r w:rsidR="00DC74B9">
              <w:t xml:space="preserve"> </w:t>
            </w:r>
            <w:r w:rsidR="00DC74B9">
              <w:rPr>
                <w:vertAlign w:val="superscript"/>
              </w:rPr>
              <w:t>1</w:t>
            </w:r>
          </w:p>
        </w:tc>
        <w:tc>
          <w:tcPr>
            <w:tcW w:w="638" w:type="pct"/>
            <w:shd w:val="clear" w:color="auto" w:fill="auto"/>
            <w:vAlign w:val="center"/>
          </w:tcPr>
          <w:p w14:paraId="0BF88B81" w14:textId="29975AE5"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28"/>
                <w14:textFill>
                  <w14:solidFill>
                    <w14:srgbClr w14:val="000000">
                      <w14:alpha w14:val="100000"/>
                    </w14:srgbClr>
                  </w14:solidFill>
                </w14:textFill>
              </w:rPr>
              <w:t xml:space="preserve">　</w:t>
            </w:r>
            <w:r w:rsidRPr="00747667">
              <w:rPr>
                <w:color w:val="000000"/>
                <w:w w:val="15"/>
                <w:shd w:val="solid" w:color="000000" w:fill="000000"/>
                <w:fitText w:val="60" w:id="-1167916028"/>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8"/>
                <w14:textFill>
                  <w14:solidFill>
                    <w14:srgbClr w14:val="000000">
                      <w14:alpha w14:val="100000"/>
                    </w14:srgbClr>
                  </w14:solidFill>
                </w14:textFill>
              </w:rPr>
              <w:t xml:space="preserve">　</w:t>
            </w:r>
            <w:r w:rsidR="00DC74B9">
              <w:t xml:space="preserve"> </w:t>
            </w:r>
            <w:r w:rsidR="00DC74B9">
              <w:rPr>
                <w:vertAlign w:val="superscript"/>
              </w:rPr>
              <w:t>1</w:t>
            </w:r>
          </w:p>
        </w:tc>
        <w:tc>
          <w:tcPr>
            <w:tcW w:w="638" w:type="pct"/>
            <w:shd w:val="clear" w:color="auto" w:fill="auto"/>
            <w:vAlign w:val="center"/>
          </w:tcPr>
          <w:p w14:paraId="590C7907" w14:textId="52D7B986"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27"/>
                <w14:textFill>
                  <w14:solidFill>
                    <w14:srgbClr w14:val="000000">
                      <w14:alpha w14:val="100000"/>
                    </w14:srgbClr>
                  </w14:solidFill>
                </w14:textFill>
              </w:rPr>
              <w:t xml:space="preserve">　</w:t>
            </w:r>
            <w:r w:rsidRPr="00747667">
              <w:rPr>
                <w:color w:val="000000"/>
                <w:w w:val="15"/>
                <w:shd w:val="solid" w:color="000000" w:fill="000000"/>
                <w:fitText w:val="60" w:id="-1167916027"/>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7"/>
                <w14:textFill>
                  <w14:solidFill>
                    <w14:srgbClr w14:val="000000">
                      <w14:alpha w14:val="100000"/>
                    </w14:srgbClr>
                  </w14:solidFill>
                </w14:textFill>
              </w:rPr>
              <w:t xml:space="preserve">　</w:t>
            </w:r>
            <w:r w:rsidR="00DC74B9">
              <w:t xml:space="preserve"> </w:t>
            </w:r>
            <w:r w:rsidR="00DC74B9">
              <w:rPr>
                <w:vertAlign w:val="superscript"/>
              </w:rPr>
              <w:t>1</w:t>
            </w:r>
          </w:p>
        </w:tc>
        <w:tc>
          <w:tcPr>
            <w:tcW w:w="705" w:type="pct"/>
            <w:vAlign w:val="center"/>
          </w:tcPr>
          <w:p w14:paraId="4E8BDEFA" w14:textId="189BC8C4" w:rsidR="00C3340A" w:rsidRPr="00FA1568" w:rsidRDefault="00747667" w:rsidP="00D124A8">
            <w:pPr>
              <w:pStyle w:val="TableText0"/>
              <w:keepLines/>
              <w:jc w:val="center"/>
              <w:rPr>
                <w:color w:val="000000"/>
                <w:szCs w:val="20"/>
              </w:rPr>
            </w:pPr>
            <w:r w:rsidRPr="00747667">
              <w:rPr>
                <w:color w:val="000000"/>
                <w:shd w:val="solid" w:color="000000" w:fill="000000"/>
                <w14:textFill>
                  <w14:solidFill>
                    <w14:srgbClr w14:val="000000">
                      <w14:alpha w14:val="100000"/>
                    </w14:srgbClr>
                  </w14:solidFill>
                </w14:textFill>
              </w:rPr>
              <w:t>|</w:t>
            </w:r>
            <w:r w:rsidR="00DC74B9">
              <w:t xml:space="preserve"> </w:t>
            </w:r>
            <w:r w:rsidR="00DC74B9">
              <w:rPr>
                <w:vertAlign w:val="superscript"/>
              </w:rPr>
              <w:t>2</w:t>
            </w:r>
          </w:p>
        </w:tc>
      </w:tr>
      <w:tr w:rsidR="00C3340A" w:rsidRPr="00FA1568" w14:paraId="2A621E40" w14:textId="77777777" w:rsidTr="003251A5">
        <w:trPr>
          <w:cantSplit/>
          <w:jc w:val="center"/>
        </w:trPr>
        <w:tc>
          <w:tcPr>
            <w:tcW w:w="5000" w:type="pct"/>
            <w:gridSpan w:val="7"/>
            <w:shd w:val="clear" w:color="auto" w:fill="auto"/>
            <w:vAlign w:val="center"/>
          </w:tcPr>
          <w:p w14:paraId="07ED0193" w14:textId="77777777" w:rsidR="00C3340A" w:rsidRPr="00FA1568" w:rsidRDefault="00C3340A" w:rsidP="003251A5">
            <w:pPr>
              <w:pStyle w:val="TableText0"/>
              <w:keepLines/>
              <w:rPr>
                <w:b/>
                <w:color w:val="000000"/>
                <w:szCs w:val="20"/>
              </w:rPr>
            </w:pPr>
            <w:r w:rsidRPr="00FA1568">
              <w:rPr>
                <w:b/>
                <w:color w:val="000000"/>
                <w:szCs w:val="20"/>
              </w:rPr>
              <w:t>Estimated financial implications of [</w:t>
            </w:r>
            <w:r w:rsidRPr="00FA1568">
              <w:rPr>
                <w:szCs w:val="20"/>
              </w:rPr>
              <w:t>the proposed medicine</w:t>
            </w:r>
            <w:r w:rsidRPr="00FA1568">
              <w:rPr>
                <w:b/>
                <w:color w:val="000000"/>
                <w:szCs w:val="20"/>
              </w:rPr>
              <w:t>]</w:t>
            </w:r>
          </w:p>
        </w:tc>
      </w:tr>
      <w:tr w:rsidR="00C3340A" w:rsidRPr="00FA1568" w14:paraId="7CF2EDBE" w14:textId="77777777" w:rsidTr="00D124A8">
        <w:trPr>
          <w:cantSplit/>
          <w:jc w:val="center"/>
        </w:trPr>
        <w:tc>
          <w:tcPr>
            <w:tcW w:w="1108" w:type="pct"/>
            <w:shd w:val="clear" w:color="auto" w:fill="auto"/>
          </w:tcPr>
          <w:p w14:paraId="112F396C" w14:textId="77777777" w:rsidR="00C3340A" w:rsidRPr="00FA1568" w:rsidRDefault="00C3340A" w:rsidP="003251A5">
            <w:pPr>
              <w:pStyle w:val="TableText0"/>
              <w:keepLines/>
              <w:rPr>
                <w:szCs w:val="20"/>
              </w:rPr>
            </w:pPr>
            <w:r w:rsidRPr="00F5106F">
              <w:t>New</w:t>
            </w:r>
            <w:r>
              <w:t xml:space="preserve"> PBS</w:t>
            </w:r>
            <w:r w:rsidRPr="00F5106F">
              <w:t xml:space="preserve"> listing</w:t>
            </w:r>
          </w:p>
        </w:tc>
        <w:tc>
          <w:tcPr>
            <w:tcW w:w="637" w:type="pct"/>
            <w:shd w:val="clear" w:color="auto" w:fill="auto"/>
            <w:vAlign w:val="center"/>
          </w:tcPr>
          <w:p w14:paraId="5BBA923D" w14:textId="3FB6A5D6" w:rsidR="00C3340A" w:rsidRPr="008507E4"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6"/>
                <w14:textFill>
                  <w14:solidFill>
                    <w14:srgbClr w14:val="000000">
                      <w14:alpha w14:val="100000"/>
                    </w14:srgbClr>
                  </w14:solidFill>
                </w14:textFill>
              </w:rPr>
              <w:t xml:space="preserve">　</w:t>
            </w:r>
            <w:r w:rsidRPr="00747667">
              <w:rPr>
                <w:color w:val="000000"/>
                <w:w w:val="15"/>
                <w:shd w:val="solid" w:color="000000" w:fill="000000"/>
                <w:fitText w:val="60" w:id="-1167916026"/>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6"/>
                <w14:textFill>
                  <w14:solidFill>
                    <w14:srgbClr w14:val="000000">
                      <w14:alpha w14:val="100000"/>
                    </w14:srgbClr>
                  </w14:solidFill>
                </w14:textFill>
              </w:rPr>
              <w:t xml:space="preserve">　</w:t>
            </w:r>
            <w:r w:rsidR="00DC74B9" w:rsidRPr="008507E4">
              <w:t xml:space="preserve"> </w:t>
            </w:r>
            <w:r w:rsidR="00DC74B9" w:rsidRPr="008507E4">
              <w:rPr>
                <w:vertAlign w:val="superscript"/>
              </w:rPr>
              <w:t>3</w:t>
            </w:r>
          </w:p>
        </w:tc>
        <w:tc>
          <w:tcPr>
            <w:tcW w:w="637" w:type="pct"/>
            <w:shd w:val="clear" w:color="auto" w:fill="auto"/>
            <w:vAlign w:val="center"/>
          </w:tcPr>
          <w:p w14:paraId="1F891C3B" w14:textId="0EE100C0" w:rsidR="00C3340A" w:rsidRPr="008507E4"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5"/>
                <w14:textFill>
                  <w14:solidFill>
                    <w14:srgbClr w14:val="000000">
                      <w14:alpha w14:val="100000"/>
                    </w14:srgbClr>
                  </w14:solidFill>
                </w14:textFill>
              </w:rPr>
              <w:t xml:space="preserve">　</w:t>
            </w:r>
            <w:r w:rsidRPr="00747667">
              <w:rPr>
                <w:color w:val="000000"/>
                <w:w w:val="15"/>
                <w:shd w:val="solid" w:color="000000" w:fill="000000"/>
                <w:fitText w:val="60" w:id="-1167916025"/>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5"/>
                <w14:textFill>
                  <w14:solidFill>
                    <w14:srgbClr w14:val="000000">
                      <w14:alpha w14:val="100000"/>
                    </w14:srgbClr>
                  </w14:solidFill>
                </w14:textFill>
              </w:rPr>
              <w:t xml:space="preserve">　</w:t>
            </w:r>
            <w:r w:rsidR="008507E4" w:rsidRPr="008507E4">
              <w:t xml:space="preserve"> </w:t>
            </w:r>
            <w:r w:rsidR="008507E4" w:rsidRPr="008507E4">
              <w:rPr>
                <w:vertAlign w:val="superscript"/>
              </w:rPr>
              <w:t>3</w:t>
            </w:r>
          </w:p>
        </w:tc>
        <w:tc>
          <w:tcPr>
            <w:tcW w:w="637" w:type="pct"/>
            <w:shd w:val="clear" w:color="auto" w:fill="auto"/>
            <w:vAlign w:val="center"/>
          </w:tcPr>
          <w:p w14:paraId="6A0CD6C0" w14:textId="7E9E5C89"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4"/>
                <w14:textFill>
                  <w14:solidFill>
                    <w14:srgbClr w14:val="000000">
                      <w14:alpha w14:val="100000"/>
                    </w14:srgbClr>
                  </w14:solidFill>
                </w14:textFill>
              </w:rPr>
              <w:t xml:space="preserve">　</w:t>
            </w:r>
            <w:r w:rsidRPr="00747667">
              <w:rPr>
                <w:color w:val="000000"/>
                <w:w w:val="15"/>
                <w:shd w:val="solid" w:color="000000" w:fill="000000"/>
                <w:fitText w:val="60" w:id="-1167916024"/>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4"/>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0997835B" w14:textId="74D8D228"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3"/>
                <w14:textFill>
                  <w14:solidFill>
                    <w14:srgbClr w14:val="000000">
                      <w14:alpha w14:val="100000"/>
                    </w14:srgbClr>
                  </w14:solidFill>
                </w14:textFill>
              </w:rPr>
              <w:t xml:space="preserve">　</w:t>
            </w:r>
            <w:r w:rsidRPr="00747667">
              <w:rPr>
                <w:color w:val="000000"/>
                <w:w w:val="15"/>
                <w:shd w:val="solid" w:color="000000" w:fill="000000"/>
                <w:fitText w:val="60" w:id="-1167916023"/>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3"/>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1496FA5A" w14:textId="0597369D"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2"/>
                <w14:textFill>
                  <w14:solidFill>
                    <w14:srgbClr w14:val="000000">
                      <w14:alpha w14:val="100000"/>
                    </w14:srgbClr>
                  </w14:solidFill>
                </w14:textFill>
              </w:rPr>
              <w:t xml:space="preserve">　</w:t>
            </w:r>
            <w:r w:rsidRPr="00747667">
              <w:rPr>
                <w:color w:val="000000"/>
                <w:w w:val="15"/>
                <w:shd w:val="solid" w:color="000000" w:fill="000000"/>
                <w:fitText w:val="60" w:id="-1167916022"/>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2"/>
                <w14:textFill>
                  <w14:solidFill>
                    <w14:srgbClr w14:val="000000">
                      <w14:alpha w14:val="100000"/>
                    </w14:srgbClr>
                  </w14:solidFill>
                </w14:textFill>
              </w:rPr>
              <w:t xml:space="preserve">　</w:t>
            </w:r>
            <w:r w:rsidR="008507E4">
              <w:t xml:space="preserve"> </w:t>
            </w:r>
            <w:r w:rsidR="008507E4">
              <w:rPr>
                <w:vertAlign w:val="superscript"/>
              </w:rPr>
              <w:t>3</w:t>
            </w:r>
          </w:p>
        </w:tc>
        <w:tc>
          <w:tcPr>
            <w:tcW w:w="705" w:type="pct"/>
            <w:vAlign w:val="center"/>
          </w:tcPr>
          <w:p w14:paraId="7F0EFC53" w14:textId="16D45C9C"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3</w:t>
            </w:r>
          </w:p>
        </w:tc>
      </w:tr>
      <w:tr w:rsidR="00C3340A" w:rsidRPr="00FA1568" w14:paraId="34BFD71B" w14:textId="77777777" w:rsidTr="00D124A8">
        <w:trPr>
          <w:cantSplit/>
          <w:jc w:val="center"/>
        </w:trPr>
        <w:tc>
          <w:tcPr>
            <w:tcW w:w="1108" w:type="pct"/>
            <w:shd w:val="clear" w:color="auto" w:fill="auto"/>
          </w:tcPr>
          <w:p w14:paraId="0E9779F4" w14:textId="77777777" w:rsidR="00C3340A" w:rsidRPr="00FA1568" w:rsidRDefault="00C3340A" w:rsidP="003251A5">
            <w:pPr>
              <w:pStyle w:val="TableText0"/>
              <w:keepLines/>
              <w:rPr>
                <w:szCs w:val="20"/>
              </w:rPr>
            </w:pPr>
            <w:r w:rsidRPr="00F5106F">
              <w:t>Changed</w:t>
            </w:r>
            <w:r>
              <w:t xml:space="preserve"> PBS</w:t>
            </w:r>
            <w:r w:rsidRPr="00F5106F">
              <w:t xml:space="preserve"> listing</w:t>
            </w:r>
          </w:p>
        </w:tc>
        <w:tc>
          <w:tcPr>
            <w:tcW w:w="637" w:type="pct"/>
            <w:shd w:val="clear" w:color="auto" w:fill="auto"/>
            <w:vAlign w:val="center"/>
          </w:tcPr>
          <w:p w14:paraId="642E36B7" w14:textId="5CE5E56D"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1"/>
                <w14:textFill>
                  <w14:solidFill>
                    <w14:srgbClr w14:val="000000">
                      <w14:alpha w14:val="100000"/>
                    </w14:srgbClr>
                  </w14:solidFill>
                </w14:textFill>
              </w:rPr>
              <w:t xml:space="preserve">　</w:t>
            </w:r>
            <w:r w:rsidRPr="00747667">
              <w:rPr>
                <w:color w:val="000000"/>
                <w:w w:val="15"/>
                <w:shd w:val="solid" w:color="000000" w:fill="000000"/>
                <w:fitText w:val="60" w:id="-1167916021"/>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1"/>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5BF609B5" w14:textId="2744AEE2"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0"/>
                <w14:textFill>
                  <w14:solidFill>
                    <w14:srgbClr w14:val="000000">
                      <w14:alpha w14:val="100000"/>
                    </w14:srgbClr>
                  </w14:solidFill>
                </w14:textFill>
              </w:rPr>
              <w:t xml:space="preserve">　</w:t>
            </w:r>
            <w:r w:rsidRPr="00747667">
              <w:rPr>
                <w:color w:val="000000"/>
                <w:w w:val="15"/>
                <w:shd w:val="solid" w:color="000000" w:fill="000000"/>
                <w:fitText w:val="60" w:id="-1167916020"/>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0"/>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08DF4EEE" w14:textId="11814B03"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9"/>
                <w14:textFill>
                  <w14:solidFill>
                    <w14:srgbClr w14:val="000000">
                      <w14:alpha w14:val="100000"/>
                    </w14:srgbClr>
                  </w14:solidFill>
                </w14:textFill>
              </w:rPr>
              <w:t xml:space="preserve">　</w:t>
            </w:r>
            <w:r w:rsidRPr="00747667">
              <w:rPr>
                <w:color w:val="000000"/>
                <w:w w:val="15"/>
                <w:shd w:val="solid" w:color="000000" w:fill="000000"/>
                <w:fitText w:val="60" w:id="-1167916019"/>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9"/>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79E3C2B2" w14:textId="32C0D1B6"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8"/>
                <w14:textFill>
                  <w14:solidFill>
                    <w14:srgbClr w14:val="000000">
                      <w14:alpha w14:val="100000"/>
                    </w14:srgbClr>
                  </w14:solidFill>
                </w14:textFill>
              </w:rPr>
              <w:t xml:space="preserve">　</w:t>
            </w:r>
            <w:r w:rsidRPr="00747667">
              <w:rPr>
                <w:color w:val="000000"/>
                <w:w w:val="15"/>
                <w:shd w:val="solid" w:color="000000" w:fill="000000"/>
                <w:fitText w:val="60" w:id="-1167916018"/>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8"/>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31B11662" w14:textId="103D3AF8"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7"/>
                <w14:textFill>
                  <w14:solidFill>
                    <w14:srgbClr w14:val="000000">
                      <w14:alpha w14:val="100000"/>
                    </w14:srgbClr>
                  </w14:solidFill>
                </w14:textFill>
              </w:rPr>
              <w:t xml:space="preserve">　</w:t>
            </w:r>
            <w:r w:rsidRPr="00747667">
              <w:rPr>
                <w:color w:val="000000"/>
                <w:w w:val="15"/>
                <w:shd w:val="solid" w:color="000000" w:fill="000000"/>
                <w:fitText w:val="60" w:id="-1167916017"/>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7"/>
                <w14:textFill>
                  <w14:solidFill>
                    <w14:srgbClr w14:val="000000">
                      <w14:alpha w14:val="100000"/>
                    </w14:srgbClr>
                  </w14:solidFill>
                </w14:textFill>
              </w:rPr>
              <w:t xml:space="preserve">　</w:t>
            </w:r>
            <w:r w:rsidR="008507E4">
              <w:t xml:space="preserve"> </w:t>
            </w:r>
            <w:r w:rsidR="008507E4">
              <w:rPr>
                <w:vertAlign w:val="superscript"/>
              </w:rPr>
              <w:t>4</w:t>
            </w:r>
          </w:p>
        </w:tc>
        <w:tc>
          <w:tcPr>
            <w:tcW w:w="705" w:type="pct"/>
            <w:vAlign w:val="center"/>
          </w:tcPr>
          <w:p w14:paraId="71B480D8" w14:textId="686CF766"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4</w:t>
            </w:r>
          </w:p>
        </w:tc>
      </w:tr>
      <w:tr w:rsidR="00C3340A" w:rsidRPr="00FA1568" w14:paraId="35DB9EF0" w14:textId="77777777" w:rsidTr="00D124A8">
        <w:trPr>
          <w:cantSplit/>
          <w:jc w:val="center"/>
        </w:trPr>
        <w:tc>
          <w:tcPr>
            <w:tcW w:w="1108" w:type="pct"/>
            <w:shd w:val="clear" w:color="auto" w:fill="auto"/>
          </w:tcPr>
          <w:p w14:paraId="3EABEB5E" w14:textId="77777777" w:rsidR="00C3340A" w:rsidRPr="00FA1568" w:rsidRDefault="00C3340A" w:rsidP="003251A5">
            <w:pPr>
              <w:pStyle w:val="TableText0"/>
              <w:keepLines/>
              <w:rPr>
                <w:szCs w:val="20"/>
              </w:rPr>
            </w:pPr>
            <w:r w:rsidRPr="00F5106F">
              <w:t>Net cost to PBS</w:t>
            </w:r>
          </w:p>
        </w:tc>
        <w:tc>
          <w:tcPr>
            <w:tcW w:w="637" w:type="pct"/>
            <w:shd w:val="clear" w:color="auto" w:fill="auto"/>
            <w:vAlign w:val="center"/>
          </w:tcPr>
          <w:p w14:paraId="647156B4" w14:textId="7B3FB75A"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6"/>
                <w14:textFill>
                  <w14:solidFill>
                    <w14:srgbClr w14:val="000000">
                      <w14:alpha w14:val="100000"/>
                    </w14:srgbClr>
                  </w14:solidFill>
                </w14:textFill>
              </w:rPr>
              <w:t xml:space="preserve">　</w:t>
            </w:r>
            <w:r w:rsidRPr="00747667">
              <w:rPr>
                <w:color w:val="000000"/>
                <w:w w:val="15"/>
                <w:shd w:val="solid" w:color="000000" w:fill="000000"/>
                <w:fitText w:val="60" w:id="-1167916016"/>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6"/>
                <w14:textFill>
                  <w14:solidFill>
                    <w14:srgbClr w14:val="000000">
                      <w14:alpha w14:val="100000"/>
                    </w14:srgbClr>
                  </w14:solidFill>
                </w14:textFill>
              </w:rPr>
              <w:t xml:space="preserve">　</w:t>
            </w:r>
            <w:r w:rsidR="008507E4">
              <w:t xml:space="preserve"> </w:t>
            </w:r>
            <w:r w:rsidR="008507E4">
              <w:rPr>
                <w:vertAlign w:val="superscript"/>
              </w:rPr>
              <w:t>3</w:t>
            </w:r>
          </w:p>
        </w:tc>
        <w:tc>
          <w:tcPr>
            <w:tcW w:w="637" w:type="pct"/>
            <w:shd w:val="clear" w:color="auto" w:fill="auto"/>
            <w:vAlign w:val="center"/>
          </w:tcPr>
          <w:p w14:paraId="6B182442" w14:textId="7716931D"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32"/>
                <w14:textFill>
                  <w14:solidFill>
                    <w14:srgbClr w14:val="000000">
                      <w14:alpha w14:val="100000"/>
                    </w14:srgbClr>
                  </w14:solidFill>
                </w14:textFill>
              </w:rPr>
              <w:t xml:space="preserve">　</w:t>
            </w:r>
            <w:r w:rsidRPr="00747667">
              <w:rPr>
                <w:color w:val="000000"/>
                <w:w w:val="15"/>
                <w:shd w:val="solid" w:color="000000" w:fill="000000"/>
                <w:fitText w:val="60" w:id="-1167916032"/>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2"/>
                <w14:textFill>
                  <w14:solidFill>
                    <w14:srgbClr w14:val="000000">
                      <w14:alpha w14:val="100000"/>
                    </w14:srgbClr>
                  </w14:solidFill>
                </w14:textFill>
              </w:rPr>
              <w:t xml:space="preserve">　</w:t>
            </w:r>
            <w:r w:rsidR="008507E4">
              <w:t xml:space="preserve"> </w:t>
            </w:r>
            <w:r w:rsidR="008507E4">
              <w:rPr>
                <w:vertAlign w:val="superscript"/>
              </w:rPr>
              <w:t>3</w:t>
            </w:r>
          </w:p>
        </w:tc>
        <w:tc>
          <w:tcPr>
            <w:tcW w:w="637" w:type="pct"/>
            <w:shd w:val="clear" w:color="auto" w:fill="auto"/>
            <w:vAlign w:val="center"/>
          </w:tcPr>
          <w:p w14:paraId="1833F542" w14:textId="09451761"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31"/>
                <w14:textFill>
                  <w14:solidFill>
                    <w14:srgbClr w14:val="000000">
                      <w14:alpha w14:val="100000"/>
                    </w14:srgbClr>
                  </w14:solidFill>
                </w14:textFill>
              </w:rPr>
              <w:t xml:space="preserve">　</w:t>
            </w:r>
            <w:r w:rsidRPr="00747667">
              <w:rPr>
                <w:color w:val="000000"/>
                <w:w w:val="15"/>
                <w:shd w:val="solid" w:color="000000" w:fill="000000"/>
                <w:fitText w:val="60" w:id="-1167916031"/>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1"/>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1C54B36E" w14:textId="2EEE3537"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30"/>
                <w14:textFill>
                  <w14:solidFill>
                    <w14:srgbClr w14:val="000000">
                      <w14:alpha w14:val="100000"/>
                    </w14:srgbClr>
                  </w14:solidFill>
                </w14:textFill>
              </w:rPr>
              <w:t xml:space="preserve">　</w:t>
            </w:r>
            <w:r w:rsidRPr="00747667">
              <w:rPr>
                <w:color w:val="000000"/>
                <w:w w:val="15"/>
                <w:shd w:val="solid" w:color="000000" w:fill="000000"/>
                <w:fitText w:val="60" w:id="-1167916030"/>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0"/>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78743D41" w14:textId="2F94683F"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9"/>
                <w14:textFill>
                  <w14:solidFill>
                    <w14:srgbClr w14:val="000000">
                      <w14:alpha w14:val="100000"/>
                    </w14:srgbClr>
                  </w14:solidFill>
                </w14:textFill>
              </w:rPr>
              <w:t xml:space="preserve">　</w:t>
            </w:r>
            <w:r w:rsidRPr="00747667">
              <w:rPr>
                <w:color w:val="000000"/>
                <w:w w:val="15"/>
                <w:shd w:val="solid" w:color="000000" w:fill="000000"/>
                <w:fitText w:val="60" w:id="-1167916029"/>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9"/>
                <w14:textFill>
                  <w14:solidFill>
                    <w14:srgbClr w14:val="000000">
                      <w14:alpha w14:val="100000"/>
                    </w14:srgbClr>
                  </w14:solidFill>
                </w14:textFill>
              </w:rPr>
              <w:t xml:space="preserve">　</w:t>
            </w:r>
            <w:r w:rsidR="008507E4">
              <w:t xml:space="preserve"> </w:t>
            </w:r>
            <w:r w:rsidR="008507E4">
              <w:rPr>
                <w:vertAlign w:val="superscript"/>
              </w:rPr>
              <w:t>3</w:t>
            </w:r>
          </w:p>
        </w:tc>
        <w:tc>
          <w:tcPr>
            <w:tcW w:w="705" w:type="pct"/>
            <w:vAlign w:val="center"/>
          </w:tcPr>
          <w:p w14:paraId="1E5ECC98" w14:textId="11BE49B7"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3</w:t>
            </w:r>
          </w:p>
        </w:tc>
      </w:tr>
      <w:tr w:rsidR="00C3340A" w:rsidRPr="00FA1568" w14:paraId="7E177821" w14:textId="77777777" w:rsidTr="00D124A8">
        <w:trPr>
          <w:cantSplit/>
          <w:jc w:val="center"/>
        </w:trPr>
        <w:tc>
          <w:tcPr>
            <w:tcW w:w="1108" w:type="pct"/>
            <w:shd w:val="clear" w:color="auto" w:fill="auto"/>
          </w:tcPr>
          <w:p w14:paraId="456D2E1C" w14:textId="77777777" w:rsidR="00C3340A" w:rsidRPr="00FA1568" w:rsidRDefault="00C3340A" w:rsidP="003251A5">
            <w:pPr>
              <w:pStyle w:val="TableText0"/>
              <w:keepLines/>
              <w:rPr>
                <w:szCs w:val="20"/>
              </w:rPr>
            </w:pPr>
            <w:r w:rsidRPr="00701A9D">
              <w:t xml:space="preserve">New </w:t>
            </w:r>
            <w:r>
              <w:t xml:space="preserve">RPBS </w:t>
            </w:r>
            <w:r w:rsidRPr="00701A9D">
              <w:t>listing</w:t>
            </w:r>
          </w:p>
        </w:tc>
        <w:tc>
          <w:tcPr>
            <w:tcW w:w="637" w:type="pct"/>
            <w:shd w:val="clear" w:color="auto" w:fill="auto"/>
            <w:vAlign w:val="center"/>
          </w:tcPr>
          <w:p w14:paraId="088EC89C" w14:textId="3848BF45"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8"/>
                <w14:textFill>
                  <w14:solidFill>
                    <w14:srgbClr w14:val="000000">
                      <w14:alpha w14:val="100000"/>
                    </w14:srgbClr>
                  </w14:solidFill>
                </w14:textFill>
              </w:rPr>
              <w:t xml:space="preserve">　</w:t>
            </w:r>
            <w:r w:rsidRPr="00747667">
              <w:rPr>
                <w:color w:val="000000"/>
                <w:w w:val="15"/>
                <w:shd w:val="solid" w:color="000000" w:fill="000000"/>
                <w:fitText w:val="60" w:id="-1167916028"/>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8"/>
                <w14:textFill>
                  <w14:solidFill>
                    <w14:srgbClr w14:val="000000">
                      <w14:alpha w14:val="100000"/>
                    </w14:srgbClr>
                  </w14:solidFill>
                </w14:textFill>
              </w:rPr>
              <w:t xml:space="preserve">　</w:t>
            </w:r>
            <w:r w:rsidR="008507E4">
              <w:t xml:space="preserve"> </w:t>
            </w:r>
            <w:r w:rsidR="008507E4">
              <w:rPr>
                <w:vertAlign w:val="superscript"/>
              </w:rPr>
              <w:t>3</w:t>
            </w:r>
          </w:p>
        </w:tc>
        <w:tc>
          <w:tcPr>
            <w:tcW w:w="637" w:type="pct"/>
            <w:shd w:val="clear" w:color="auto" w:fill="auto"/>
            <w:vAlign w:val="center"/>
          </w:tcPr>
          <w:p w14:paraId="68B2B361" w14:textId="14B2B869"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7"/>
                <w14:textFill>
                  <w14:solidFill>
                    <w14:srgbClr w14:val="000000">
                      <w14:alpha w14:val="100000"/>
                    </w14:srgbClr>
                  </w14:solidFill>
                </w14:textFill>
              </w:rPr>
              <w:t xml:space="preserve">　</w:t>
            </w:r>
            <w:r w:rsidRPr="00747667">
              <w:rPr>
                <w:color w:val="000000"/>
                <w:w w:val="15"/>
                <w:shd w:val="solid" w:color="000000" w:fill="000000"/>
                <w:fitText w:val="60" w:id="-1167916027"/>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7"/>
                <w14:textFill>
                  <w14:solidFill>
                    <w14:srgbClr w14:val="000000">
                      <w14:alpha w14:val="100000"/>
                    </w14:srgbClr>
                  </w14:solidFill>
                </w14:textFill>
              </w:rPr>
              <w:t xml:space="preserve">　</w:t>
            </w:r>
            <w:r w:rsidR="008507E4">
              <w:t xml:space="preserve"> </w:t>
            </w:r>
            <w:r w:rsidR="008507E4">
              <w:rPr>
                <w:vertAlign w:val="superscript"/>
              </w:rPr>
              <w:t>3</w:t>
            </w:r>
          </w:p>
        </w:tc>
        <w:tc>
          <w:tcPr>
            <w:tcW w:w="637" w:type="pct"/>
            <w:shd w:val="clear" w:color="auto" w:fill="auto"/>
            <w:vAlign w:val="center"/>
          </w:tcPr>
          <w:p w14:paraId="2A987E9C" w14:textId="630C70EA"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6"/>
                <w14:textFill>
                  <w14:solidFill>
                    <w14:srgbClr w14:val="000000">
                      <w14:alpha w14:val="100000"/>
                    </w14:srgbClr>
                  </w14:solidFill>
                </w14:textFill>
              </w:rPr>
              <w:t xml:space="preserve">　</w:t>
            </w:r>
            <w:r w:rsidRPr="00747667">
              <w:rPr>
                <w:color w:val="000000"/>
                <w:w w:val="15"/>
                <w:shd w:val="solid" w:color="000000" w:fill="000000"/>
                <w:fitText w:val="60" w:id="-1167916026"/>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6"/>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373DEF81" w14:textId="11001BE7"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5"/>
                <w14:textFill>
                  <w14:solidFill>
                    <w14:srgbClr w14:val="000000">
                      <w14:alpha w14:val="100000"/>
                    </w14:srgbClr>
                  </w14:solidFill>
                </w14:textFill>
              </w:rPr>
              <w:t xml:space="preserve">　</w:t>
            </w:r>
            <w:r w:rsidRPr="00747667">
              <w:rPr>
                <w:color w:val="000000"/>
                <w:w w:val="15"/>
                <w:shd w:val="solid" w:color="000000" w:fill="000000"/>
                <w:fitText w:val="60" w:id="-1167916025"/>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5"/>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5E19F09E" w14:textId="6C0BC267"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4"/>
                <w14:textFill>
                  <w14:solidFill>
                    <w14:srgbClr w14:val="000000">
                      <w14:alpha w14:val="100000"/>
                    </w14:srgbClr>
                  </w14:solidFill>
                </w14:textFill>
              </w:rPr>
              <w:t xml:space="preserve">　</w:t>
            </w:r>
            <w:r w:rsidRPr="00747667">
              <w:rPr>
                <w:color w:val="000000"/>
                <w:w w:val="15"/>
                <w:shd w:val="solid" w:color="000000" w:fill="000000"/>
                <w:fitText w:val="60" w:id="-1167916024"/>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4"/>
                <w14:textFill>
                  <w14:solidFill>
                    <w14:srgbClr w14:val="000000">
                      <w14:alpha w14:val="100000"/>
                    </w14:srgbClr>
                  </w14:solidFill>
                </w14:textFill>
              </w:rPr>
              <w:t xml:space="preserve">　</w:t>
            </w:r>
            <w:r w:rsidR="008507E4">
              <w:t xml:space="preserve"> </w:t>
            </w:r>
            <w:r w:rsidR="008507E4">
              <w:rPr>
                <w:vertAlign w:val="superscript"/>
              </w:rPr>
              <w:t>3</w:t>
            </w:r>
          </w:p>
        </w:tc>
        <w:tc>
          <w:tcPr>
            <w:tcW w:w="705" w:type="pct"/>
            <w:vAlign w:val="center"/>
          </w:tcPr>
          <w:p w14:paraId="2430C58D" w14:textId="110697C7"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3</w:t>
            </w:r>
          </w:p>
        </w:tc>
      </w:tr>
      <w:tr w:rsidR="00C3340A" w:rsidRPr="00FA1568" w14:paraId="7AA452F1" w14:textId="77777777" w:rsidTr="00D124A8">
        <w:trPr>
          <w:cantSplit/>
          <w:jc w:val="center"/>
        </w:trPr>
        <w:tc>
          <w:tcPr>
            <w:tcW w:w="1108" w:type="pct"/>
            <w:shd w:val="clear" w:color="auto" w:fill="auto"/>
          </w:tcPr>
          <w:p w14:paraId="656875E2" w14:textId="77777777" w:rsidR="00C3340A" w:rsidRPr="00FA1568" w:rsidRDefault="00C3340A" w:rsidP="003251A5">
            <w:pPr>
              <w:pStyle w:val="TableText0"/>
              <w:keepLines/>
              <w:rPr>
                <w:szCs w:val="20"/>
              </w:rPr>
            </w:pPr>
            <w:r w:rsidRPr="00701A9D">
              <w:t>Changed</w:t>
            </w:r>
            <w:r>
              <w:t xml:space="preserve"> RPBS</w:t>
            </w:r>
            <w:r w:rsidRPr="00701A9D">
              <w:t xml:space="preserve"> listing</w:t>
            </w:r>
          </w:p>
        </w:tc>
        <w:tc>
          <w:tcPr>
            <w:tcW w:w="637" w:type="pct"/>
            <w:shd w:val="clear" w:color="auto" w:fill="auto"/>
            <w:vAlign w:val="center"/>
          </w:tcPr>
          <w:p w14:paraId="737F4E84" w14:textId="059BB202"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3"/>
                <w14:textFill>
                  <w14:solidFill>
                    <w14:srgbClr w14:val="000000">
                      <w14:alpha w14:val="100000"/>
                    </w14:srgbClr>
                  </w14:solidFill>
                </w14:textFill>
              </w:rPr>
              <w:t xml:space="preserve">　</w:t>
            </w:r>
            <w:r w:rsidRPr="00747667">
              <w:rPr>
                <w:color w:val="000000"/>
                <w:w w:val="15"/>
                <w:shd w:val="solid" w:color="000000" w:fill="000000"/>
                <w:fitText w:val="60" w:id="-1167916023"/>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3"/>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75F421F9" w14:textId="1460B35F"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2"/>
                <w14:textFill>
                  <w14:solidFill>
                    <w14:srgbClr w14:val="000000">
                      <w14:alpha w14:val="100000"/>
                    </w14:srgbClr>
                  </w14:solidFill>
                </w14:textFill>
              </w:rPr>
              <w:t xml:space="preserve">　</w:t>
            </w:r>
            <w:r w:rsidRPr="00747667">
              <w:rPr>
                <w:color w:val="000000"/>
                <w:w w:val="15"/>
                <w:shd w:val="solid" w:color="000000" w:fill="000000"/>
                <w:fitText w:val="60" w:id="-1167916022"/>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2"/>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31C84FC2" w14:textId="62D9F484"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1"/>
                <w14:textFill>
                  <w14:solidFill>
                    <w14:srgbClr w14:val="000000">
                      <w14:alpha w14:val="100000"/>
                    </w14:srgbClr>
                  </w14:solidFill>
                </w14:textFill>
              </w:rPr>
              <w:t xml:space="preserve">　</w:t>
            </w:r>
            <w:r w:rsidRPr="00747667">
              <w:rPr>
                <w:color w:val="000000"/>
                <w:w w:val="15"/>
                <w:shd w:val="solid" w:color="000000" w:fill="000000"/>
                <w:fitText w:val="60" w:id="-1167916021"/>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1"/>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6CA89A85" w14:textId="231D319A"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20"/>
                <w14:textFill>
                  <w14:solidFill>
                    <w14:srgbClr w14:val="000000">
                      <w14:alpha w14:val="100000"/>
                    </w14:srgbClr>
                  </w14:solidFill>
                </w14:textFill>
              </w:rPr>
              <w:t xml:space="preserve">　</w:t>
            </w:r>
            <w:r w:rsidRPr="00747667">
              <w:rPr>
                <w:color w:val="000000"/>
                <w:w w:val="15"/>
                <w:shd w:val="solid" w:color="000000" w:fill="000000"/>
                <w:fitText w:val="60" w:id="-1167916020"/>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0"/>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1B3CC061" w14:textId="270008FC"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9"/>
                <w14:textFill>
                  <w14:solidFill>
                    <w14:srgbClr w14:val="000000">
                      <w14:alpha w14:val="100000"/>
                    </w14:srgbClr>
                  </w14:solidFill>
                </w14:textFill>
              </w:rPr>
              <w:t xml:space="preserve">　</w:t>
            </w:r>
            <w:r w:rsidRPr="00747667">
              <w:rPr>
                <w:color w:val="000000"/>
                <w:w w:val="15"/>
                <w:shd w:val="solid" w:color="000000" w:fill="000000"/>
                <w:fitText w:val="60" w:id="-1167916019"/>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9"/>
                <w14:textFill>
                  <w14:solidFill>
                    <w14:srgbClr w14:val="000000">
                      <w14:alpha w14:val="100000"/>
                    </w14:srgbClr>
                  </w14:solidFill>
                </w14:textFill>
              </w:rPr>
              <w:t xml:space="preserve">　</w:t>
            </w:r>
            <w:r w:rsidR="008507E4">
              <w:t xml:space="preserve"> </w:t>
            </w:r>
            <w:r w:rsidR="008507E4">
              <w:rPr>
                <w:vertAlign w:val="superscript"/>
              </w:rPr>
              <w:t>4</w:t>
            </w:r>
          </w:p>
        </w:tc>
        <w:tc>
          <w:tcPr>
            <w:tcW w:w="705" w:type="pct"/>
            <w:vAlign w:val="center"/>
          </w:tcPr>
          <w:p w14:paraId="04ACF79F" w14:textId="3DE19A48"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4</w:t>
            </w:r>
          </w:p>
        </w:tc>
      </w:tr>
      <w:tr w:rsidR="00C3340A" w:rsidRPr="00FA1568" w14:paraId="4571D1DC" w14:textId="77777777" w:rsidTr="00D124A8">
        <w:trPr>
          <w:cantSplit/>
          <w:jc w:val="center"/>
        </w:trPr>
        <w:tc>
          <w:tcPr>
            <w:tcW w:w="1108" w:type="pct"/>
            <w:shd w:val="clear" w:color="auto" w:fill="auto"/>
          </w:tcPr>
          <w:p w14:paraId="0D0EF2FF" w14:textId="77777777" w:rsidR="00C3340A" w:rsidRPr="00FA1568" w:rsidRDefault="00C3340A" w:rsidP="003251A5">
            <w:pPr>
              <w:pStyle w:val="TableText0"/>
              <w:keepLines/>
              <w:rPr>
                <w:szCs w:val="20"/>
              </w:rPr>
            </w:pPr>
            <w:r w:rsidRPr="00701A9D">
              <w:t>Net cost to RPBS</w:t>
            </w:r>
          </w:p>
        </w:tc>
        <w:tc>
          <w:tcPr>
            <w:tcW w:w="637" w:type="pct"/>
            <w:shd w:val="clear" w:color="auto" w:fill="auto"/>
            <w:vAlign w:val="center"/>
          </w:tcPr>
          <w:p w14:paraId="118CD577" w14:textId="4B42C390"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8"/>
                <w14:textFill>
                  <w14:solidFill>
                    <w14:srgbClr w14:val="000000">
                      <w14:alpha w14:val="100000"/>
                    </w14:srgbClr>
                  </w14:solidFill>
                </w14:textFill>
              </w:rPr>
              <w:t xml:space="preserve">　</w:t>
            </w:r>
            <w:r w:rsidRPr="00747667">
              <w:rPr>
                <w:color w:val="000000"/>
                <w:w w:val="15"/>
                <w:shd w:val="solid" w:color="000000" w:fill="000000"/>
                <w:fitText w:val="60" w:id="-1167916018"/>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8"/>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62E5EBE1" w14:textId="2C1B2000"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7"/>
                <w14:textFill>
                  <w14:solidFill>
                    <w14:srgbClr w14:val="000000">
                      <w14:alpha w14:val="100000"/>
                    </w14:srgbClr>
                  </w14:solidFill>
                </w14:textFill>
              </w:rPr>
              <w:t xml:space="preserve">　</w:t>
            </w:r>
            <w:r w:rsidRPr="00747667">
              <w:rPr>
                <w:color w:val="000000"/>
                <w:w w:val="15"/>
                <w:shd w:val="solid" w:color="000000" w:fill="000000"/>
                <w:fitText w:val="60" w:id="-1167916017"/>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7"/>
                <w14:textFill>
                  <w14:solidFill>
                    <w14:srgbClr w14:val="000000">
                      <w14:alpha w14:val="100000"/>
                    </w14:srgbClr>
                  </w14:solidFill>
                </w14:textFill>
              </w:rPr>
              <w:t xml:space="preserve">　</w:t>
            </w:r>
            <w:r w:rsidR="008507E4">
              <w:t xml:space="preserve"> </w:t>
            </w:r>
            <w:r w:rsidR="008507E4">
              <w:rPr>
                <w:vertAlign w:val="superscript"/>
              </w:rPr>
              <w:t>4</w:t>
            </w:r>
          </w:p>
        </w:tc>
        <w:tc>
          <w:tcPr>
            <w:tcW w:w="637" w:type="pct"/>
            <w:shd w:val="clear" w:color="auto" w:fill="auto"/>
            <w:vAlign w:val="center"/>
          </w:tcPr>
          <w:p w14:paraId="2996F2AD" w14:textId="64C649B2"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16"/>
                <w14:textFill>
                  <w14:solidFill>
                    <w14:srgbClr w14:val="000000">
                      <w14:alpha w14:val="100000"/>
                    </w14:srgbClr>
                  </w14:solidFill>
                </w14:textFill>
              </w:rPr>
              <w:t xml:space="preserve">　</w:t>
            </w:r>
            <w:r w:rsidRPr="00747667">
              <w:rPr>
                <w:color w:val="000000"/>
                <w:w w:val="15"/>
                <w:shd w:val="solid" w:color="000000" w:fill="000000"/>
                <w:fitText w:val="60" w:id="-1167916016"/>
                <w14:textFill>
                  <w14:solidFill>
                    <w14:srgbClr w14:val="000000">
                      <w14:alpha w14:val="100000"/>
                    </w14:srgbClr>
                  </w14:solidFill>
                </w14:textFill>
              </w:rPr>
              <w:t>|</w:t>
            </w:r>
            <w:r w:rsidRPr="00747667">
              <w:rPr>
                <w:rFonts w:hint="eastAsia"/>
                <w:color w:val="000000"/>
                <w:spacing w:val="-15"/>
                <w:w w:val="15"/>
                <w:shd w:val="solid" w:color="000000" w:fill="000000"/>
                <w:fitText w:val="60" w:id="-1167916016"/>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1EE8ABD2" w14:textId="1971F075"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32"/>
                <w14:textFill>
                  <w14:solidFill>
                    <w14:srgbClr w14:val="000000">
                      <w14:alpha w14:val="100000"/>
                    </w14:srgbClr>
                  </w14:solidFill>
                </w14:textFill>
              </w:rPr>
              <w:t xml:space="preserve">　</w:t>
            </w:r>
            <w:r w:rsidRPr="00747667">
              <w:rPr>
                <w:color w:val="000000"/>
                <w:w w:val="15"/>
                <w:shd w:val="solid" w:color="000000" w:fill="000000"/>
                <w:fitText w:val="60" w:id="-1167916032"/>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2"/>
                <w14:textFill>
                  <w14:solidFill>
                    <w14:srgbClr w14:val="000000">
                      <w14:alpha w14:val="100000"/>
                    </w14:srgbClr>
                  </w14:solidFill>
                </w14:textFill>
              </w:rPr>
              <w:t xml:space="preserve">　</w:t>
            </w:r>
            <w:r w:rsidR="008507E4">
              <w:t xml:space="preserve"> </w:t>
            </w:r>
            <w:r w:rsidR="008507E4">
              <w:rPr>
                <w:vertAlign w:val="superscript"/>
              </w:rPr>
              <w:t>4</w:t>
            </w:r>
          </w:p>
        </w:tc>
        <w:tc>
          <w:tcPr>
            <w:tcW w:w="638" w:type="pct"/>
            <w:shd w:val="clear" w:color="auto" w:fill="auto"/>
            <w:vAlign w:val="center"/>
          </w:tcPr>
          <w:p w14:paraId="5F144A04" w14:textId="21F422EE" w:rsidR="00C3340A" w:rsidRPr="00FA1568" w:rsidRDefault="00747667" w:rsidP="00D124A8">
            <w:pPr>
              <w:pStyle w:val="TableText0"/>
              <w:keepLines/>
              <w:jc w:val="center"/>
              <w:rPr>
                <w:rFonts w:cs="Arial"/>
                <w:b/>
                <w:bCs w:val="0"/>
                <w:color w:val="FF0000"/>
                <w:szCs w:val="20"/>
              </w:rPr>
            </w:pPr>
            <w:r w:rsidRPr="00747667">
              <w:rPr>
                <w:rFonts w:hint="eastAsia"/>
                <w:color w:val="000000"/>
                <w:w w:val="15"/>
                <w:shd w:val="solid" w:color="000000" w:fill="000000"/>
                <w:fitText w:val="60" w:id="-1167916031"/>
                <w14:textFill>
                  <w14:solidFill>
                    <w14:srgbClr w14:val="000000">
                      <w14:alpha w14:val="100000"/>
                    </w14:srgbClr>
                  </w14:solidFill>
                </w14:textFill>
              </w:rPr>
              <w:t xml:space="preserve">　</w:t>
            </w:r>
            <w:r w:rsidRPr="00747667">
              <w:rPr>
                <w:color w:val="000000"/>
                <w:w w:val="15"/>
                <w:shd w:val="solid" w:color="000000" w:fill="000000"/>
                <w:fitText w:val="60" w:id="-1167916031"/>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1"/>
                <w14:textFill>
                  <w14:solidFill>
                    <w14:srgbClr w14:val="000000">
                      <w14:alpha w14:val="100000"/>
                    </w14:srgbClr>
                  </w14:solidFill>
                </w14:textFill>
              </w:rPr>
              <w:t xml:space="preserve">　</w:t>
            </w:r>
            <w:r w:rsidR="008507E4">
              <w:t xml:space="preserve"> </w:t>
            </w:r>
            <w:r w:rsidR="008507E4">
              <w:rPr>
                <w:vertAlign w:val="superscript"/>
              </w:rPr>
              <w:t>4</w:t>
            </w:r>
          </w:p>
        </w:tc>
        <w:tc>
          <w:tcPr>
            <w:tcW w:w="705" w:type="pct"/>
            <w:vAlign w:val="center"/>
          </w:tcPr>
          <w:p w14:paraId="2868542C" w14:textId="6A53393A" w:rsidR="00C3340A" w:rsidRPr="00FA1568" w:rsidRDefault="00747667" w:rsidP="00D124A8">
            <w:pPr>
              <w:pStyle w:val="TableText0"/>
              <w:keepLines/>
              <w:jc w:val="center"/>
              <w:rPr>
                <w:rFonts w:cs="Arial"/>
                <w:b/>
                <w:bCs w:val="0"/>
                <w:color w:val="FF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4</w:t>
            </w:r>
          </w:p>
        </w:tc>
      </w:tr>
      <w:tr w:rsidR="00C3340A" w:rsidRPr="00FA1568" w14:paraId="4231CB06" w14:textId="77777777" w:rsidTr="003251A5">
        <w:trPr>
          <w:cantSplit/>
          <w:jc w:val="center"/>
        </w:trPr>
        <w:tc>
          <w:tcPr>
            <w:tcW w:w="5000" w:type="pct"/>
            <w:gridSpan w:val="7"/>
            <w:shd w:val="clear" w:color="auto" w:fill="auto"/>
            <w:vAlign w:val="center"/>
          </w:tcPr>
          <w:p w14:paraId="3A8CAF67" w14:textId="77777777" w:rsidR="00C3340A" w:rsidRPr="00FA1568" w:rsidRDefault="00C3340A" w:rsidP="003251A5">
            <w:pPr>
              <w:pStyle w:val="TableText0"/>
              <w:keepLines/>
              <w:rPr>
                <w:b/>
                <w:bCs w:val="0"/>
                <w:color w:val="000000"/>
                <w:szCs w:val="20"/>
              </w:rPr>
            </w:pPr>
            <w:r w:rsidRPr="00FA1568">
              <w:rPr>
                <w:b/>
                <w:bCs w:val="0"/>
                <w:color w:val="000000"/>
                <w:szCs w:val="20"/>
              </w:rPr>
              <w:t>Net financial implications</w:t>
            </w:r>
          </w:p>
        </w:tc>
      </w:tr>
      <w:tr w:rsidR="00C3340A" w:rsidRPr="00FA1568" w14:paraId="4EB9846E" w14:textId="77777777" w:rsidTr="00D124A8">
        <w:trPr>
          <w:cantSplit/>
          <w:jc w:val="center"/>
        </w:trPr>
        <w:tc>
          <w:tcPr>
            <w:tcW w:w="1108" w:type="pct"/>
            <w:shd w:val="clear" w:color="auto" w:fill="auto"/>
            <w:vAlign w:val="center"/>
          </w:tcPr>
          <w:p w14:paraId="0B467F66" w14:textId="77777777" w:rsidR="00C3340A" w:rsidRPr="00FA1568" w:rsidRDefault="00C3340A" w:rsidP="003251A5">
            <w:pPr>
              <w:pStyle w:val="TableText0"/>
              <w:keepLines/>
              <w:rPr>
                <w:szCs w:val="20"/>
              </w:rPr>
            </w:pPr>
            <w:r w:rsidRPr="00FA1568">
              <w:rPr>
                <w:szCs w:val="20"/>
              </w:rPr>
              <w:t>Net cost to PBS/RPBS</w:t>
            </w:r>
          </w:p>
        </w:tc>
        <w:tc>
          <w:tcPr>
            <w:tcW w:w="637" w:type="pct"/>
            <w:shd w:val="clear" w:color="auto" w:fill="auto"/>
            <w:vAlign w:val="center"/>
          </w:tcPr>
          <w:p w14:paraId="2A9213D8" w14:textId="1D62DBC4"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30"/>
                <w14:textFill>
                  <w14:solidFill>
                    <w14:srgbClr w14:val="000000">
                      <w14:alpha w14:val="100000"/>
                    </w14:srgbClr>
                  </w14:solidFill>
                </w14:textFill>
              </w:rPr>
              <w:t xml:space="preserve">　</w:t>
            </w:r>
            <w:r w:rsidRPr="00747667">
              <w:rPr>
                <w:color w:val="000000"/>
                <w:w w:val="15"/>
                <w:shd w:val="solid" w:color="000000" w:fill="000000"/>
                <w:fitText w:val="60" w:id="-1167916030"/>
                <w14:textFill>
                  <w14:solidFill>
                    <w14:srgbClr w14:val="000000">
                      <w14:alpha w14:val="100000"/>
                    </w14:srgbClr>
                  </w14:solidFill>
                </w14:textFill>
              </w:rPr>
              <w:t>|</w:t>
            </w:r>
            <w:r w:rsidRPr="00747667">
              <w:rPr>
                <w:rFonts w:hint="eastAsia"/>
                <w:color w:val="000000"/>
                <w:spacing w:val="-15"/>
                <w:w w:val="15"/>
                <w:shd w:val="solid" w:color="000000" w:fill="000000"/>
                <w:fitText w:val="60" w:id="-1167916030"/>
                <w14:textFill>
                  <w14:solidFill>
                    <w14:srgbClr w14:val="000000">
                      <w14:alpha w14:val="100000"/>
                    </w14:srgbClr>
                  </w14:solidFill>
                </w14:textFill>
              </w:rPr>
              <w:t xml:space="preserve">　</w:t>
            </w:r>
            <w:r w:rsidR="008507E4">
              <w:t xml:space="preserve"> </w:t>
            </w:r>
            <w:r w:rsidR="008507E4">
              <w:rPr>
                <w:vertAlign w:val="superscript"/>
              </w:rPr>
              <w:t>3</w:t>
            </w:r>
          </w:p>
        </w:tc>
        <w:tc>
          <w:tcPr>
            <w:tcW w:w="637" w:type="pct"/>
            <w:shd w:val="clear" w:color="auto" w:fill="auto"/>
            <w:vAlign w:val="center"/>
          </w:tcPr>
          <w:p w14:paraId="41100A41" w14:textId="6936C748" w:rsidR="00C3340A" w:rsidRPr="008507E4" w:rsidRDefault="00747667" w:rsidP="00D124A8">
            <w:pPr>
              <w:pStyle w:val="TableText0"/>
              <w:keepLines/>
              <w:jc w:val="center"/>
              <w:rPr>
                <w:color w:val="000000"/>
                <w:szCs w:val="20"/>
              </w:rPr>
            </w:pPr>
            <w:r w:rsidRPr="00747667">
              <w:rPr>
                <w:rFonts w:hint="eastAsia"/>
                <w:color w:val="000000"/>
                <w:w w:val="15"/>
                <w:shd w:val="solid" w:color="000000" w:fill="000000"/>
                <w:fitText w:val="60" w:id="-1167916029"/>
                <w14:textFill>
                  <w14:solidFill>
                    <w14:srgbClr w14:val="000000">
                      <w14:alpha w14:val="100000"/>
                    </w14:srgbClr>
                  </w14:solidFill>
                </w14:textFill>
              </w:rPr>
              <w:t xml:space="preserve">　</w:t>
            </w:r>
            <w:r w:rsidRPr="00747667">
              <w:rPr>
                <w:color w:val="000000"/>
                <w:w w:val="15"/>
                <w:shd w:val="solid" w:color="000000" w:fill="000000"/>
                <w:fitText w:val="60" w:id="-1167916029"/>
                <w14:textFill>
                  <w14:solidFill>
                    <w14:srgbClr w14:val="000000">
                      <w14:alpha w14:val="100000"/>
                    </w14:srgbClr>
                  </w14:solidFill>
                </w14:textFill>
              </w:rPr>
              <w:t>|</w:t>
            </w:r>
            <w:r w:rsidRPr="00747667">
              <w:rPr>
                <w:rFonts w:hint="eastAsia"/>
                <w:color w:val="000000"/>
                <w:spacing w:val="-15"/>
                <w:w w:val="15"/>
                <w:shd w:val="solid" w:color="000000" w:fill="000000"/>
                <w:fitText w:val="60" w:id="-1167916029"/>
                <w14:textFill>
                  <w14:solidFill>
                    <w14:srgbClr w14:val="000000">
                      <w14:alpha w14:val="100000"/>
                    </w14:srgbClr>
                  </w14:solidFill>
                </w14:textFill>
              </w:rPr>
              <w:t xml:space="preserve">　</w:t>
            </w:r>
            <w:r w:rsidR="008507E4" w:rsidRPr="008507E4">
              <w:t xml:space="preserve"> </w:t>
            </w:r>
            <w:r w:rsidR="008507E4" w:rsidRPr="008507E4">
              <w:rPr>
                <w:vertAlign w:val="superscript"/>
              </w:rPr>
              <w:t>3</w:t>
            </w:r>
          </w:p>
        </w:tc>
        <w:tc>
          <w:tcPr>
            <w:tcW w:w="637" w:type="pct"/>
            <w:shd w:val="clear" w:color="auto" w:fill="auto"/>
            <w:vAlign w:val="center"/>
          </w:tcPr>
          <w:p w14:paraId="1F662FB7" w14:textId="5D231682" w:rsidR="00C3340A" w:rsidRPr="008507E4" w:rsidRDefault="00747667" w:rsidP="00D124A8">
            <w:pPr>
              <w:pStyle w:val="TableText0"/>
              <w:keepLines/>
              <w:jc w:val="center"/>
              <w:rPr>
                <w:color w:val="000000"/>
                <w:szCs w:val="20"/>
              </w:rPr>
            </w:pPr>
            <w:r w:rsidRPr="00747667">
              <w:rPr>
                <w:rFonts w:hint="eastAsia"/>
                <w:color w:val="000000"/>
                <w:w w:val="15"/>
                <w:shd w:val="solid" w:color="000000" w:fill="000000"/>
                <w:fitText w:val="60" w:id="-1167915776"/>
                <w14:textFill>
                  <w14:solidFill>
                    <w14:srgbClr w14:val="000000">
                      <w14:alpha w14:val="100000"/>
                    </w14:srgbClr>
                  </w14:solidFill>
                </w14:textFill>
              </w:rPr>
              <w:t xml:space="preserve">　</w:t>
            </w:r>
            <w:r w:rsidRPr="00747667">
              <w:rPr>
                <w:color w:val="000000"/>
                <w:w w:val="15"/>
                <w:shd w:val="solid" w:color="000000" w:fill="000000"/>
                <w:fitText w:val="60" w:id="-1167915776"/>
                <w14:textFill>
                  <w14:solidFill>
                    <w14:srgbClr w14:val="000000">
                      <w14:alpha w14:val="100000"/>
                    </w14:srgbClr>
                  </w14:solidFill>
                </w14:textFill>
              </w:rPr>
              <w:t>|</w:t>
            </w:r>
            <w:r w:rsidRPr="00747667">
              <w:rPr>
                <w:rFonts w:hint="eastAsia"/>
                <w:color w:val="000000"/>
                <w:spacing w:val="-15"/>
                <w:w w:val="15"/>
                <w:shd w:val="solid" w:color="000000" w:fill="000000"/>
                <w:fitText w:val="60" w:id="-1167915776"/>
                <w14:textFill>
                  <w14:solidFill>
                    <w14:srgbClr w14:val="000000">
                      <w14:alpha w14:val="100000"/>
                    </w14:srgbClr>
                  </w14:solidFill>
                </w14:textFill>
              </w:rPr>
              <w:t xml:space="preserve">　</w:t>
            </w:r>
            <w:r w:rsidR="008507E4" w:rsidRPr="008507E4">
              <w:t xml:space="preserve"> </w:t>
            </w:r>
            <w:r w:rsidR="008507E4" w:rsidRPr="008507E4">
              <w:rPr>
                <w:vertAlign w:val="superscript"/>
              </w:rPr>
              <w:t>3</w:t>
            </w:r>
          </w:p>
        </w:tc>
        <w:tc>
          <w:tcPr>
            <w:tcW w:w="638" w:type="pct"/>
            <w:shd w:val="clear" w:color="auto" w:fill="auto"/>
            <w:vAlign w:val="center"/>
          </w:tcPr>
          <w:p w14:paraId="2E4139A0" w14:textId="295B6D82"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5775"/>
                <w14:textFill>
                  <w14:solidFill>
                    <w14:srgbClr w14:val="000000">
                      <w14:alpha w14:val="100000"/>
                    </w14:srgbClr>
                  </w14:solidFill>
                </w14:textFill>
              </w:rPr>
              <w:t xml:space="preserve">　</w:t>
            </w:r>
            <w:r w:rsidRPr="00747667">
              <w:rPr>
                <w:color w:val="000000"/>
                <w:w w:val="15"/>
                <w:shd w:val="solid" w:color="000000" w:fill="000000"/>
                <w:fitText w:val="60" w:id="-1167915775"/>
                <w14:textFill>
                  <w14:solidFill>
                    <w14:srgbClr w14:val="000000">
                      <w14:alpha w14:val="100000"/>
                    </w14:srgbClr>
                  </w14:solidFill>
                </w14:textFill>
              </w:rPr>
              <w:t>|</w:t>
            </w:r>
            <w:r w:rsidRPr="00747667">
              <w:rPr>
                <w:rFonts w:hint="eastAsia"/>
                <w:color w:val="000000"/>
                <w:spacing w:val="-15"/>
                <w:w w:val="15"/>
                <w:shd w:val="solid" w:color="000000" w:fill="000000"/>
                <w:fitText w:val="60" w:id="-1167915775"/>
                <w14:textFill>
                  <w14:solidFill>
                    <w14:srgbClr w14:val="000000">
                      <w14:alpha w14:val="100000"/>
                    </w14:srgbClr>
                  </w14:solidFill>
                </w14:textFill>
              </w:rPr>
              <w:t xml:space="preserve">　</w:t>
            </w:r>
            <w:r w:rsidR="008507E4">
              <w:t xml:space="preserve"> </w:t>
            </w:r>
            <w:r w:rsidR="008507E4">
              <w:rPr>
                <w:vertAlign w:val="superscript"/>
              </w:rPr>
              <w:t>3</w:t>
            </w:r>
          </w:p>
        </w:tc>
        <w:tc>
          <w:tcPr>
            <w:tcW w:w="638" w:type="pct"/>
            <w:shd w:val="clear" w:color="auto" w:fill="auto"/>
            <w:vAlign w:val="center"/>
          </w:tcPr>
          <w:p w14:paraId="174C872B" w14:textId="1E082A92" w:rsidR="00C3340A" w:rsidRPr="00FA1568" w:rsidRDefault="00747667" w:rsidP="00D124A8">
            <w:pPr>
              <w:pStyle w:val="TableText0"/>
              <w:keepLines/>
              <w:jc w:val="center"/>
              <w:rPr>
                <w:color w:val="000000"/>
                <w:szCs w:val="20"/>
              </w:rPr>
            </w:pPr>
            <w:r w:rsidRPr="00747667">
              <w:rPr>
                <w:rFonts w:hint="eastAsia"/>
                <w:color w:val="000000"/>
                <w:w w:val="15"/>
                <w:shd w:val="solid" w:color="000000" w:fill="000000"/>
                <w:fitText w:val="60" w:id="-1167915774"/>
                <w14:textFill>
                  <w14:solidFill>
                    <w14:srgbClr w14:val="000000">
                      <w14:alpha w14:val="100000"/>
                    </w14:srgbClr>
                  </w14:solidFill>
                </w14:textFill>
              </w:rPr>
              <w:t xml:space="preserve">　</w:t>
            </w:r>
            <w:r w:rsidRPr="00747667">
              <w:rPr>
                <w:color w:val="000000"/>
                <w:w w:val="15"/>
                <w:shd w:val="solid" w:color="000000" w:fill="000000"/>
                <w:fitText w:val="60" w:id="-1167915774"/>
                <w14:textFill>
                  <w14:solidFill>
                    <w14:srgbClr w14:val="000000">
                      <w14:alpha w14:val="100000"/>
                    </w14:srgbClr>
                  </w14:solidFill>
                </w14:textFill>
              </w:rPr>
              <w:t>|</w:t>
            </w:r>
            <w:r w:rsidRPr="00747667">
              <w:rPr>
                <w:rFonts w:hint="eastAsia"/>
                <w:color w:val="000000"/>
                <w:spacing w:val="-15"/>
                <w:w w:val="15"/>
                <w:shd w:val="solid" w:color="000000" w:fill="000000"/>
                <w:fitText w:val="60" w:id="-1167915774"/>
                <w14:textFill>
                  <w14:solidFill>
                    <w14:srgbClr w14:val="000000">
                      <w14:alpha w14:val="100000"/>
                    </w14:srgbClr>
                  </w14:solidFill>
                </w14:textFill>
              </w:rPr>
              <w:t xml:space="preserve">　</w:t>
            </w:r>
            <w:r w:rsidR="008507E4">
              <w:t xml:space="preserve"> </w:t>
            </w:r>
            <w:r w:rsidR="008507E4">
              <w:rPr>
                <w:vertAlign w:val="superscript"/>
              </w:rPr>
              <w:t>3</w:t>
            </w:r>
          </w:p>
        </w:tc>
        <w:tc>
          <w:tcPr>
            <w:tcW w:w="705" w:type="pct"/>
            <w:vAlign w:val="center"/>
          </w:tcPr>
          <w:p w14:paraId="6DEA4081" w14:textId="38E47A5C" w:rsidR="00C3340A" w:rsidRPr="00FA1568" w:rsidRDefault="00747667" w:rsidP="00D124A8">
            <w:pPr>
              <w:pStyle w:val="TableText0"/>
              <w:keepLines/>
              <w:jc w:val="center"/>
              <w:rPr>
                <w:color w:val="000000"/>
                <w:szCs w:val="20"/>
              </w:rPr>
            </w:pPr>
            <w:r w:rsidRPr="00747667">
              <w:rPr>
                <w:color w:val="000000"/>
                <w:shd w:val="solid" w:color="000000" w:fill="000000"/>
                <w14:textFill>
                  <w14:solidFill>
                    <w14:srgbClr w14:val="000000">
                      <w14:alpha w14:val="100000"/>
                    </w14:srgbClr>
                  </w14:solidFill>
                </w14:textFill>
              </w:rPr>
              <w:t>|</w:t>
            </w:r>
            <w:r w:rsidR="008507E4">
              <w:t xml:space="preserve"> </w:t>
            </w:r>
            <w:r w:rsidR="008507E4">
              <w:rPr>
                <w:vertAlign w:val="superscript"/>
              </w:rPr>
              <w:t>3</w:t>
            </w:r>
          </w:p>
        </w:tc>
      </w:tr>
    </w:tbl>
    <w:p w14:paraId="3E1A5BA2" w14:textId="77777777" w:rsidR="00C3340A" w:rsidRPr="00643840" w:rsidRDefault="00C3340A" w:rsidP="00C3340A">
      <w:pPr>
        <w:pStyle w:val="TableFigureFooter"/>
        <w:keepNext/>
      </w:pPr>
      <w:r w:rsidRPr="00167C39">
        <w:t xml:space="preserve">Source: </w:t>
      </w:r>
      <w:r w:rsidRPr="00643840">
        <w:t xml:space="preserve">manually filled in from financial estimates workbook provided by sponsor </w:t>
      </w:r>
      <w:r>
        <w:t>as Pre</w:t>
      </w:r>
      <w:r>
        <w:noBreakHyphen/>
        <w:t>PBAC response</w:t>
      </w:r>
      <w:r w:rsidRPr="00643840">
        <w:t>.</w:t>
      </w:r>
    </w:p>
    <w:p w14:paraId="143A305E" w14:textId="405A99ED" w:rsidR="00C3340A" w:rsidRDefault="00C3340A" w:rsidP="00D124A8">
      <w:pPr>
        <w:pStyle w:val="TableFigureFooter"/>
        <w:keepNext/>
        <w:spacing w:after="0"/>
        <w:jc w:val="left"/>
      </w:pPr>
      <w:r w:rsidRPr="00AB4684">
        <w:t>Abbreviations: MBS = Medical Benefits Scheme; PBS = Pharmaceutical Benefits Scheme; RPBS = Repatriation Pharmaceutical Benefits Scheme.</w:t>
      </w:r>
    </w:p>
    <w:p w14:paraId="33CFBDB2" w14:textId="77777777" w:rsidR="00DC74B9" w:rsidRPr="009A6D58" w:rsidRDefault="00DC74B9" w:rsidP="00DC74B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3AD33B3" w14:textId="41A6DFAF" w:rsidR="00DC74B9" w:rsidRPr="009A6D58" w:rsidRDefault="00DC74B9" w:rsidP="00DC74B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8507E4" w:rsidRPr="008507E4">
        <w:rPr>
          <w:rFonts w:ascii="Arial Narrow" w:hAnsi="Arial Narrow" w:cs="Arial"/>
          <w:i/>
          <w:sz w:val="18"/>
          <w:szCs w:val="18"/>
        </w:rPr>
        <w:t>5,000 to &lt; 10,000</w:t>
      </w:r>
    </w:p>
    <w:p w14:paraId="66A5324A" w14:textId="7CB5DEAC" w:rsidR="00DC74B9" w:rsidRPr="009A6D58" w:rsidRDefault="00DC74B9" w:rsidP="00DC74B9">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8507E4" w:rsidRPr="008507E4">
        <w:rPr>
          <w:rFonts w:ascii="Arial Narrow" w:hAnsi="Arial Narrow" w:cs="Arial"/>
          <w:i/>
          <w:sz w:val="18"/>
          <w:szCs w:val="18"/>
        </w:rPr>
        <w:t>10,000 to &lt; 20,000</w:t>
      </w:r>
    </w:p>
    <w:p w14:paraId="6A874009" w14:textId="7D0AA97A" w:rsidR="00DC74B9" w:rsidRDefault="00DC74B9" w:rsidP="00DC74B9">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8507E4" w:rsidRPr="008507E4">
        <w:rPr>
          <w:rFonts w:ascii="Arial Narrow" w:hAnsi="Arial Narrow" w:cs="Arial"/>
          <w:i/>
          <w:sz w:val="18"/>
          <w:szCs w:val="18"/>
        </w:rPr>
        <w:t>$0 to &lt; $10 million</w:t>
      </w:r>
    </w:p>
    <w:p w14:paraId="6ECFF0FC" w14:textId="150664E7" w:rsidR="00DC74B9" w:rsidRPr="00167C39" w:rsidRDefault="00DC74B9" w:rsidP="00D124A8">
      <w:pPr>
        <w:spacing w:after="120"/>
      </w:pPr>
      <w:r>
        <w:rPr>
          <w:rFonts w:ascii="Arial Narrow" w:hAnsi="Arial Narrow" w:cs="Arial"/>
          <w:i/>
          <w:sz w:val="18"/>
          <w:szCs w:val="18"/>
          <w:vertAlign w:val="superscript"/>
        </w:rPr>
        <w:t>4</w:t>
      </w:r>
      <w:r>
        <w:rPr>
          <w:rFonts w:ascii="Arial Narrow" w:hAnsi="Arial Narrow" w:cs="Arial"/>
          <w:i/>
          <w:sz w:val="18"/>
          <w:szCs w:val="18"/>
        </w:rPr>
        <w:t xml:space="preserve"> </w:t>
      </w:r>
      <w:r w:rsidR="008507E4" w:rsidRPr="008507E4">
        <w:rPr>
          <w:rFonts w:ascii="Arial Narrow" w:hAnsi="Arial Narrow" w:cs="Arial"/>
          <w:i/>
          <w:sz w:val="18"/>
          <w:szCs w:val="18"/>
        </w:rPr>
        <w:t>net cost saving</w:t>
      </w:r>
    </w:p>
    <w:p w14:paraId="02C31756" w14:textId="3A31737F" w:rsidR="001F0D6D" w:rsidRDefault="001F0D6D" w:rsidP="00E80446">
      <w:pPr>
        <w:pStyle w:val="3-BodyText"/>
      </w:pPr>
      <w:r>
        <w:t>As a Category 3 submission, the financial estimates have not been independently evaluated.</w:t>
      </w:r>
    </w:p>
    <w:p w14:paraId="26200EE4" w14:textId="028CA1CC" w:rsidR="00AF3117" w:rsidRPr="00937958" w:rsidRDefault="00AF3117" w:rsidP="00BD5CEB">
      <w:pPr>
        <w:pStyle w:val="4-SubsectionHeading"/>
        <w:rPr>
          <w:lang w:eastAsia="en-US"/>
        </w:rPr>
      </w:pPr>
      <w:r>
        <w:rPr>
          <w:lang w:eastAsia="en-US"/>
        </w:rPr>
        <w:lastRenderedPageBreak/>
        <w:t>Quality Use of Medicines</w:t>
      </w:r>
    </w:p>
    <w:p w14:paraId="7E846794" w14:textId="04141364" w:rsidR="00AF3117" w:rsidRDefault="00753260" w:rsidP="00E80446">
      <w:pPr>
        <w:pStyle w:val="3-BodyText"/>
      </w:pPr>
      <w:r>
        <w:t>The submission provided a</w:t>
      </w:r>
      <w:r w:rsidR="00AF3117" w:rsidRPr="00832D19">
        <w:t xml:space="preserve"> dosing chart</w:t>
      </w:r>
      <w:r w:rsidR="00DE6E32">
        <w:t xml:space="preserve"> that it claimed was</w:t>
      </w:r>
      <w:r w:rsidR="00AF3117" w:rsidRPr="00832D19">
        <w:t xml:space="preserve"> designed by the sponsor in collaboration with leading dermatologists in </w:t>
      </w:r>
      <w:r>
        <w:t>Australia</w:t>
      </w:r>
      <w:r w:rsidR="00AF3117" w:rsidRPr="00832D19">
        <w:t xml:space="preserve">. </w:t>
      </w:r>
      <w:r w:rsidR="0097765B" w:rsidRPr="00832D19">
        <w:t>The submission</w:t>
      </w:r>
      <w:r w:rsidR="00165EFD" w:rsidRPr="00832D19">
        <w:t xml:space="preserve"> claimed </w:t>
      </w:r>
      <w:r w:rsidR="0097765B" w:rsidRPr="00832D19">
        <w:t xml:space="preserve">that the chart </w:t>
      </w:r>
      <w:r w:rsidR="00165EFD" w:rsidRPr="00832D19">
        <w:t>illustrate</w:t>
      </w:r>
      <w:r w:rsidR="0097765B" w:rsidRPr="00832D19">
        <w:t>s</w:t>
      </w:r>
      <w:r w:rsidR="00AF3117" w:rsidRPr="00832D19">
        <w:t xml:space="preserve"> how to determine when an increased prescription is required by using the patient’s PSA</w:t>
      </w:r>
      <w:r w:rsidR="00DE6E32">
        <w:t>. The submission stated that</w:t>
      </w:r>
      <w:r w:rsidR="0097765B" w:rsidRPr="00832D19">
        <w:t xml:space="preserve"> </w:t>
      </w:r>
      <w:r w:rsidR="00AF3117" w:rsidRPr="00832D19">
        <w:t>a</w:t>
      </w:r>
      <w:r w:rsidR="0097765B" w:rsidRPr="00832D19">
        <w:t xml:space="preserve"> </w:t>
      </w:r>
      <w:r w:rsidR="00AF3117" w:rsidRPr="00832D19">
        <w:t xml:space="preserve">BSA greater than 5% equates to </w:t>
      </w:r>
      <w:r w:rsidR="0097765B" w:rsidRPr="0023037A">
        <w:t>10</w:t>
      </w:r>
      <w:r w:rsidR="00DE6E32">
        <w:t xml:space="preserve"> times the patient’s</w:t>
      </w:r>
      <w:r w:rsidR="005E266F">
        <w:t> </w:t>
      </w:r>
      <w:r w:rsidR="0097765B" w:rsidRPr="0023037A">
        <w:t>PSA</w:t>
      </w:r>
      <w:r w:rsidR="00AF3117" w:rsidRPr="0023037A">
        <w:t>.</w:t>
      </w:r>
      <w:r w:rsidR="0097765B" w:rsidRPr="0023037A">
        <w:t xml:space="preserve"> </w:t>
      </w:r>
      <w:r w:rsidR="00854463" w:rsidRPr="0023037A">
        <w:t>The submission ha</w:t>
      </w:r>
      <w:r w:rsidR="00854463">
        <w:t>d included a reference to this method of calculating BSA in its proposed</w:t>
      </w:r>
      <w:r w:rsidR="00854463" w:rsidRPr="0023037A">
        <w:t xml:space="preserve"> restriction criteria </w:t>
      </w:r>
      <w:r w:rsidR="00854463">
        <w:t>for</w:t>
      </w:r>
      <w:r w:rsidR="00854463" w:rsidRPr="0023037A">
        <w:t xml:space="preserve"> the requested listing. PSA (also known as </w:t>
      </w:r>
      <w:r w:rsidR="00854463" w:rsidRPr="00832D19">
        <w:t>hand surface area) is a method of measuring total BSA on the basis that 1</w:t>
      </w:r>
      <w:r w:rsidR="00854463">
        <w:t> </w:t>
      </w:r>
      <w:r w:rsidR="00854463" w:rsidRPr="00832D19">
        <w:t xml:space="preserve">PSA equals 0.5% of total BSA. </w:t>
      </w:r>
      <w:r w:rsidR="00854463" w:rsidRPr="00E80446">
        <w:t>This method is mainly used in the emergency room for estimation of burned skin area in burn therapy and skin grafting and is not a standard way of calculating total BSA</w:t>
      </w:r>
      <w:r w:rsidR="00854463" w:rsidRPr="00E80446">
        <w:rPr>
          <w:rStyle w:val="FootnoteReference"/>
        </w:rPr>
        <w:footnoteReference w:id="4"/>
      </w:r>
      <w:r w:rsidR="00854463" w:rsidRPr="003D0EFC">
        <w:rPr>
          <w:vertAlign w:val="superscript"/>
        </w:rPr>
        <w:t>,</w:t>
      </w:r>
      <w:r w:rsidR="00854463" w:rsidRPr="00E80446">
        <w:rPr>
          <w:rStyle w:val="FootnoteReference"/>
        </w:rPr>
        <w:footnoteReference w:id="5"/>
      </w:r>
      <w:r w:rsidR="00854463" w:rsidRPr="003D0EFC">
        <w:rPr>
          <w:vertAlign w:val="superscript"/>
        </w:rPr>
        <w:t>,</w:t>
      </w:r>
      <w:r w:rsidR="00854463" w:rsidRPr="00E80446">
        <w:rPr>
          <w:rStyle w:val="FootnoteReference"/>
        </w:rPr>
        <w:footnoteReference w:id="6"/>
      </w:r>
      <w:r w:rsidR="00854463" w:rsidRPr="00E80446">
        <w:t>.</w:t>
      </w:r>
    </w:p>
    <w:p w14:paraId="38868497" w14:textId="0FD5880D" w:rsidR="00AF3117" w:rsidRPr="009E5BDA" w:rsidRDefault="00AF3117" w:rsidP="00217EF9">
      <w:pPr>
        <w:pStyle w:val="TableFigureHeading"/>
        <w:rPr>
          <w:rFonts w:cs="Calibri"/>
          <w:noProof/>
        </w:rPr>
      </w:pPr>
      <w:r w:rsidRPr="009E5BDA">
        <w:lastRenderedPageBreak/>
        <w:t xml:space="preserve">Figure </w:t>
      </w:r>
      <w:r w:rsidR="008742D2">
        <w:t>4</w:t>
      </w:r>
      <w:r>
        <w:t xml:space="preserve">: </w:t>
      </w:r>
      <w:r w:rsidR="00BA15FA">
        <w:t>Calcipotriol with betamethasone</w:t>
      </w:r>
      <w:r w:rsidRPr="009E5BDA">
        <w:t xml:space="preserve"> dosing chart</w:t>
      </w:r>
      <w:r w:rsidRPr="009E5BDA">
        <w:rPr>
          <w:rFonts w:ascii="CIDFont+F3" w:hAnsi="CIDFont+F3"/>
          <w:sz w:val="17"/>
          <w:szCs w:val="17"/>
        </w:rPr>
        <w:t xml:space="preserve"> </w:t>
      </w:r>
    </w:p>
    <w:p w14:paraId="409262DA" w14:textId="6C5FFEED" w:rsidR="00C255CD" w:rsidRDefault="00AF3117" w:rsidP="00981267">
      <w:pPr>
        <w:pStyle w:val="TableFigureFooter"/>
      </w:pPr>
      <w:r>
        <w:rPr>
          <w:noProof/>
        </w:rPr>
        <w:drawing>
          <wp:inline distT="0" distB="0" distL="0" distR="0" wp14:anchorId="64AC1D33" wp14:editId="3E2F4565">
            <wp:extent cx="6134265" cy="565785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4265" cy="5657850"/>
                    </a:xfrm>
                    <a:prstGeom prst="rect">
                      <a:avLst/>
                    </a:prstGeom>
                  </pic:spPr>
                </pic:pic>
              </a:graphicData>
            </a:graphic>
          </wp:inline>
        </w:drawing>
      </w:r>
      <w:r>
        <w:rPr>
          <w:rFonts w:cs="Calibri"/>
        </w:rPr>
        <w:t xml:space="preserve">Source: Figure </w:t>
      </w:r>
      <w:r w:rsidR="00641B3C">
        <w:rPr>
          <w:rFonts w:cs="Calibri"/>
        </w:rPr>
        <w:t>1</w:t>
      </w:r>
      <w:r>
        <w:rPr>
          <w:rFonts w:cs="Calibri"/>
        </w:rPr>
        <w:t xml:space="preserve"> </w:t>
      </w:r>
      <w:r w:rsidRPr="00A95EFD">
        <w:t>provided in the submission</w:t>
      </w:r>
      <w:r>
        <w:t xml:space="preserve"> main body</w:t>
      </w:r>
      <w:r w:rsidRPr="00A95EFD">
        <w:t>.</w:t>
      </w:r>
    </w:p>
    <w:p w14:paraId="5ACE1C4B" w14:textId="2F257AA5" w:rsidR="0003606F" w:rsidRDefault="00B87FCD" w:rsidP="00E80446">
      <w:pPr>
        <w:pStyle w:val="3-BodyText"/>
      </w:pPr>
      <w:r w:rsidRPr="00C255CD">
        <w:t>The</w:t>
      </w:r>
      <w:r w:rsidRPr="006A6E54">
        <w:t xml:space="preserve"> submission suggested an educational campaign to promote awareness among prescribers on the use of the Authority system for the prescription of increased quantities if the proposed listing </w:t>
      </w:r>
      <w:r w:rsidR="00C04288">
        <w:t>was</w:t>
      </w:r>
      <w:r w:rsidR="00C04288" w:rsidRPr="006A6E54">
        <w:t xml:space="preserve"> </w:t>
      </w:r>
      <w:r w:rsidRPr="006A6E54">
        <w:t xml:space="preserve">not to be recommended. However, the </w:t>
      </w:r>
      <w:r>
        <w:t>submission</w:t>
      </w:r>
      <w:r w:rsidRPr="006A6E54">
        <w:t xml:space="preserve"> </w:t>
      </w:r>
      <w:r>
        <w:t>expressed</w:t>
      </w:r>
      <w:r w:rsidRPr="006A6E54">
        <w:t xml:space="preserve">  concerns around the effectiveness of such campaigns over a prolonged period of time.</w:t>
      </w:r>
    </w:p>
    <w:p w14:paraId="4BDEE09C" w14:textId="77777777" w:rsidR="0003606F" w:rsidRDefault="0003606F">
      <w:pPr>
        <w:jc w:val="left"/>
        <w:rPr>
          <w:rFonts w:asciiTheme="minorHAnsi" w:eastAsiaTheme="minorHAnsi" w:hAnsiTheme="minorHAnsi" w:cstheme="minorBidi"/>
          <w:szCs w:val="22"/>
        </w:rPr>
      </w:pPr>
      <w:r>
        <w:br w:type="page"/>
      </w:r>
    </w:p>
    <w:p w14:paraId="05435982" w14:textId="77777777" w:rsidR="003A642E" w:rsidRPr="0045378E" w:rsidRDefault="003A642E" w:rsidP="00981267">
      <w:pPr>
        <w:pStyle w:val="2-SectionHeading"/>
      </w:pPr>
      <w:r w:rsidRPr="0045378E">
        <w:lastRenderedPageBreak/>
        <w:t xml:space="preserve">PBAC Outcome </w:t>
      </w:r>
    </w:p>
    <w:p w14:paraId="535D0EA1" w14:textId="1E027346" w:rsidR="00100062" w:rsidRPr="00377E21" w:rsidRDefault="004D73FC" w:rsidP="00981267">
      <w:pPr>
        <w:pStyle w:val="3-BodyText"/>
        <w:rPr>
          <w:shd w:val="clear" w:color="auto" w:fill="FFFFFF"/>
        </w:rPr>
      </w:pPr>
      <w:r w:rsidRPr="001A05F4">
        <w:t xml:space="preserve">The PBAC did not recommend </w:t>
      </w:r>
      <w:r w:rsidR="001A0DE8">
        <w:t>amending the</w:t>
      </w:r>
      <w:r w:rsidR="001B4BE7">
        <w:t xml:space="preserve"> maximum quantity of the </w:t>
      </w:r>
      <w:r w:rsidRPr="004D73FC">
        <w:t xml:space="preserve">General Schedule Authority Required (STREAMLINED) PBS listing </w:t>
      </w:r>
      <w:r w:rsidR="00C04288">
        <w:t>of CBF</w:t>
      </w:r>
      <w:r w:rsidR="001A0DE8">
        <w:t xml:space="preserve"> from 1 to 2 packs</w:t>
      </w:r>
      <w:r w:rsidR="0090764A">
        <w:t xml:space="preserve">. </w:t>
      </w:r>
    </w:p>
    <w:p w14:paraId="67F24EC2" w14:textId="3B15096B" w:rsidR="00100062" w:rsidRPr="00377E21" w:rsidRDefault="00100062" w:rsidP="00981267">
      <w:pPr>
        <w:pStyle w:val="3-BodyText"/>
        <w:rPr>
          <w:shd w:val="clear" w:color="auto" w:fill="FFFFFF"/>
        </w:rPr>
      </w:pPr>
      <w:r>
        <w:rPr>
          <w:shd w:val="clear" w:color="auto" w:fill="FFFFFF"/>
        </w:rPr>
        <w:t>The PBAC considered the PBS data do</w:t>
      </w:r>
      <w:r w:rsidR="00733922">
        <w:rPr>
          <w:shd w:val="clear" w:color="auto" w:fill="FFFFFF"/>
        </w:rPr>
        <w:t>es</w:t>
      </w:r>
      <w:r>
        <w:rPr>
          <w:shd w:val="clear" w:color="auto" w:fill="FFFFFF"/>
        </w:rPr>
        <w:t xml:space="preserve"> not support that there</w:t>
      </w:r>
      <w:r w:rsidR="000B799C">
        <w:rPr>
          <w:shd w:val="clear" w:color="auto" w:fill="FFFFFF"/>
        </w:rPr>
        <w:t xml:space="preserve"> is a large</w:t>
      </w:r>
      <w:r w:rsidR="008936F2">
        <w:rPr>
          <w:shd w:val="clear" w:color="auto" w:fill="FFFFFF"/>
        </w:rPr>
        <w:t xml:space="preserve"> proportion </w:t>
      </w:r>
      <w:r w:rsidR="000B799C">
        <w:rPr>
          <w:shd w:val="clear" w:color="auto" w:fill="FFFFFF"/>
        </w:rPr>
        <w:t>of patients requiring higher maximum quantities</w:t>
      </w:r>
      <w:r w:rsidR="008936F2">
        <w:rPr>
          <w:shd w:val="clear" w:color="auto" w:fill="FFFFFF"/>
        </w:rPr>
        <w:t xml:space="preserve"> and that increased quantities can be sought by prescribers under the existing arrangements</w:t>
      </w:r>
      <w:r w:rsidR="000B799C">
        <w:rPr>
          <w:shd w:val="clear" w:color="auto" w:fill="FFFFFF"/>
        </w:rPr>
        <w:t>.</w:t>
      </w:r>
    </w:p>
    <w:p w14:paraId="21143514" w14:textId="297AA551" w:rsidR="007037F1" w:rsidRPr="00E80446" w:rsidRDefault="0090764A" w:rsidP="00981267">
      <w:pPr>
        <w:pStyle w:val="3-BodyText"/>
        <w:rPr>
          <w:shd w:val="clear" w:color="auto" w:fill="FFFFFF"/>
        </w:rPr>
      </w:pPr>
      <w:r>
        <w:t>The PBAC</w:t>
      </w:r>
      <w:r w:rsidR="00111FC3">
        <w:t xml:space="preserve"> advised</w:t>
      </w:r>
      <w:r w:rsidR="00C04288">
        <w:t xml:space="preserve"> that </w:t>
      </w:r>
      <w:r w:rsidR="004321DB">
        <w:t xml:space="preserve">increasing prescriber awareness of their ability to order increased quantities </w:t>
      </w:r>
      <w:r w:rsidR="000B799C">
        <w:t xml:space="preserve">for patients who need them </w:t>
      </w:r>
      <w:r w:rsidR="004321DB">
        <w:t>could be adequately achieved by</w:t>
      </w:r>
      <w:r w:rsidR="00111FC3">
        <w:t xml:space="preserve"> th</w:t>
      </w:r>
      <w:r>
        <w:t>e addition of</w:t>
      </w:r>
      <w:r w:rsidR="00111FC3">
        <w:t xml:space="preserve"> an administrative note to the </w:t>
      </w:r>
      <w:r>
        <w:t>existing</w:t>
      </w:r>
      <w:r w:rsidR="00111FC3">
        <w:t xml:space="preserve"> listing</w:t>
      </w:r>
      <w:r w:rsidR="007E5361">
        <w:t xml:space="preserve"> as a reminder</w:t>
      </w:r>
      <w:r w:rsidR="000B799C">
        <w:t xml:space="preserve"> of this existing option</w:t>
      </w:r>
      <w:r w:rsidR="005203FD">
        <w:rPr>
          <w:shd w:val="clear" w:color="auto" w:fill="FFFFFF"/>
        </w:rPr>
        <w:t>.</w:t>
      </w:r>
    </w:p>
    <w:p w14:paraId="7CB6D981" w14:textId="31172038" w:rsidR="001F382C" w:rsidRPr="001F382C" w:rsidRDefault="007037F1" w:rsidP="00981267">
      <w:pPr>
        <w:pStyle w:val="3-BodyText"/>
        <w:rPr>
          <w:shd w:val="clear" w:color="auto" w:fill="FFFFFF"/>
        </w:rPr>
      </w:pPr>
      <w:r>
        <w:t>The PBAC advised that this note</w:t>
      </w:r>
      <w:r w:rsidRPr="00E04008">
        <w:t xml:space="preserve"> should apply to </w:t>
      </w:r>
      <w:r w:rsidR="00E1413F" w:rsidRPr="00E1413F">
        <w:t>calcipotriol 0.005% + betamethasone (as dipropionate) 0.05% ointment</w:t>
      </w:r>
      <w:r w:rsidRPr="00E04008">
        <w:t xml:space="preserve"> and other similar corticosteroid preparations on the PBS used for the treatment of chronic stable plaque type psoriasis vulgaris.</w:t>
      </w:r>
    </w:p>
    <w:p w14:paraId="5314E49B" w14:textId="5021D362" w:rsidR="001F382C" w:rsidRPr="00E80446" w:rsidRDefault="005203FD" w:rsidP="00BF590B">
      <w:pPr>
        <w:pStyle w:val="3-BodyText"/>
        <w:rPr>
          <w:rFonts w:eastAsia="Times New Roman" w:cs="Arial"/>
          <w:snapToGrid w:val="0"/>
          <w:szCs w:val="24"/>
        </w:rPr>
      </w:pPr>
      <w:r w:rsidRPr="005203FD">
        <w:t xml:space="preserve">The </w:t>
      </w:r>
      <w:r>
        <w:t xml:space="preserve">PBAC </w:t>
      </w:r>
      <w:r w:rsidRPr="005203FD">
        <w:t xml:space="preserve">recalled </w:t>
      </w:r>
      <w:r w:rsidR="00BB14EF">
        <w:t>its</w:t>
      </w:r>
      <w:r w:rsidRPr="005203FD">
        <w:t xml:space="preserve"> previous consideration at its March 2018 meeting </w:t>
      </w:r>
      <w:r w:rsidR="00BB14EF">
        <w:t>and</w:t>
      </w:r>
      <w:r w:rsidRPr="005203FD">
        <w:t xml:space="preserve"> </w:t>
      </w:r>
      <w:r w:rsidR="00C07192">
        <w:t xml:space="preserve">noted that no further evidence was provided </w:t>
      </w:r>
      <w:r w:rsidR="00EF52E0">
        <w:t>regarding</w:t>
      </w:r>
      <w:r w:rsidR="00C07192">
        <w:t xml:space="preserve"> the</w:t>
      </w:r>
      <w:r w:rsidRPr="005203FD">
        <w:t xml:space="preserve"> </w:t>
      </w:r>
      <w:r w:rsidR="00BB14EF">
        <w:t xml:space="preserve">risk of </w:t>
      </w:r>
      <w:r w:rsidR="00BB14EF" w:rsidRPr="005203FD">
        <w:t xml:space="preserve">toxicity associated </w:t>
      </w:r>
      <w:r w:rsidR="00AD7E11">
        <w:t xml:space="preserve">with </w:t>
      </w:r>
      <w:r w:rsidR="00AD7E11" w:rsidRPr="005203FD">
        <w:t xml:space="preserve">increased </w:t>
      </w:r>
      <w:r w:rsidR="00AD7E11">
        <w:t xml:space="preserve">access to larger </w:t>
      </w:r>
      <w:r w:rsidR="00AD7E11" w:rsidRPr="005203FD">
        <w:t xml:space="preserve">quantities </w:t>
      </w:r>
      <w:r w:rsidR="00AD7E11">
        <w:t xml:space="preserve">of </w:t>
      </w:r>
      <w:r w:rsidRPr="005203FD">
        <w:t>calcipotriol.</w:t>
      </w:r>
    </w:p>
    <w:p w14:paraId="470B1B8B" w14:textId="12ED4BCB" w:rsidR="001D168C" w:rsidRPr="004321DB" w:rsidRDefault="007037F1" w:rsidP="00E80446">
      <w:pPr>
        <w:pStyle w:val="3-BodyText"/>
        <w:rPr>
          <w:snapToGrid w:val="0"/>
        </w:rPr>
      </w:pPr>
      <w:r w:rsidRPr="007D1E68">
        <w:rPr>
          <w:snapToGrid w:val="0"/>
        </w:rPr>
        <w:t xml:space="preserve">The PBAC </w:t>
      </w:r>
      <w:r w:rsidR="00346339">
        <w:rPr>
          <w:snapToGrid w:val="0"/>
        </w:rPr>
        <w:t>requested</w:t>
      </w:r>
      <w:r w:rsidR="00346339" w:rsidRPr="007D1E68">
        <w:rPr>
          <w:snapToGrid w:val="0"/>
        </w:rPr>
        <w:t xml:space="preserve"> </w:t>
      </w:r>
      <w:r w:rsidRPr="007D1E68">
        <w:rPr>
          <w:snapToGrid w:val="0"/>
        </w:rPr>
        <w:t>that</w:t>
      </w:r>
      <w:r>
        <w:rPr>
          <w:snapToGrid w:val="0"/>
        </w:rPr>
        <w:t xml:space="preserve"> the</w:t>
      </w:r>
      <w:r w:rsidRPr="007D1E68">
        <w:rPr>
          <w:snapToGrid w:val="0"/>
        </w:rPr>
        <w:t xml:space="preserve"> </w:t>
      </w:r>
      <w:r>
        <w:rPr>
          <w:snapToGrid w:val="0"/>
        </w:rPr>
        <w:t>DUSC</w:t>
      </w:r>
      <w:r w:rsidRPr="007D1E68">
        <w:rPr>
          <w:snapToGrid w:val="0"/>
        </w:rPr>
        <w:t xml:space="preserve"> review</w:t>
      </w:r>
      <w:r>
        <w:rPr>
          <w:snapToGrid w:val="0"/>
        </w:rPr>
        <w:t>s</w:t>
      </w:r>
      <w:r w:rsidRPr="007D1E68">
        <w:rPr>
          <w:snapToGrid w:val="0"/>
        </w:rPr>
        <w:t xml:space="preserve"> the utilisation of CBF </w:t>
      </w:r>
      <w:r w:rsidR="00346339">
        <w:rPr>
          <w:snapToGrid w:val="0"/>
        </w:rPr>
        <w:t xml:space="preserve">when </w:t>
      </w:r>
      <w:r w:rsidR="00F70B49">
        <w:rPr>
          <w:snapToGrid w:val="0"/>
        </w:rPr>
        <w:t>24 months</w:t>
      </w:r>
      <w:r w:rsidR="00346339">
        <w:rPr>
          <w:snapToGrid w:val="0"/>
        </w:rPr>
        <w:t xml:space="preserve"> of data are available</w:t>
      </w:r>
      <w:r w:rsidR="00F70B49">
        <w:rPr>
          <w:snapToGrid w:val="0"/>
        </w:rPr>
        <w:t xml:space="preserve"> </w:t>
      </w:r>
      <w:r w:rsidRPr="007D1E68">
        <w:rPr>
          <w:snapToGrid w:val="0"/>
        </w:rPr>
        <w:t>following the implementation of the administrative note.</w:t>
      </w:r>
    </w:p>
    <w:p w14:paraId="113850D5" w14:textId="4D9B1F1B" w:rsidR="00442CC3" w:rsidRPr="005203FD" w:rsidRDefault="00442CC3" w:rsidP="00E80446">
      <w:pPr>
        <w:pStyle w:val="3-BodyText"/>
        <w:rPr>
          <w:rFonts w:eastAsia="Times New Roman" w:cs="Arial"/>
          <w:snapToGrid w:val="0"/>
          <w:szCs w:val="24"/>
        </w:rPr>
      </w:pPr>
      <w:r>
        <w:t>No resubmission pathway was nominated.</w:t>
      </w:r>
    </w:p>
    <w:p w14:paraId="41D6A1DC" w14:textId="77777777" w:rsidR="003A642E" w:rsidRPr="00525B39" w:rsidRDefault="003A642E" w:rsidP="003A642E">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A08E51D" w14:textId="1EE1BF44" w:rsidR="003A642E" w:rsidRPr="00981267" w:rsidRDefault="003A642E" w:rsidP="00981267">
      <w:pPr>
        <w:rPr>
          <w:rFonts w:asciiTheme="minorHAnsi" w:hAnsiTheme="minorHAnsi" w:cs="Arial"/>
          <w:bCs/>
          <w:snapToGrid w:val="0"/>
          <w:lang w:val="en-GB"/>
        </w:rPr>
      </w:pPr>
      <w:r>
        <w:rPr>
          <w:rFonts w:asciiTheme="minorHAnsi" w:hAnsiTheme="minorHAnsi" w:cs="Arial"/>
          <w:bCs/>
          <w:snapToGrid w:val="0"/>
          <w:lang w:val="en-GB"/>
        </w:rPr>
        <w:t>Not recommended</w:t>
      </w:r>
    </w:p>
    <w:p w14:paraId="2CDF6992" w14:textId="77777777" w:rsidR="003A642E" w:rsidRDefault="003A642E" w:rsidP="00981267">
      <w:pPr>
        <w:pStyle w:val="2-SectionHeading"/>
      </w:pPr>
      <w:r w:rsidRPr="00AC085D">
        <w:t>Recommended listing</w:t>
      </w:r>
    </w:p>
    <w:p w14:paraId="54F7EC3C" w14:textId="699B52BD" w:rsidR="009633A3" w:rsidRPr="00A832EB" w:rsidRDefault="003A642E" w:rsidP="001C34E7">
      <w:pPr>
        <w:pStyle w:val="3-BodyText"/>
        <w:rPr>
          <w:snapToGrid w:val="0"/>
        </w:rPr>
      </w:pPr>
      <w:r w:rsidRPr="00525B39">
        <w:rPr>
          <w:snapToGrid w:val="0"/>
        </w:rPr>
        <w:t>Add</w:t>
      </w:r>
      <w:r w:rsidR="00D071BE">
        <w:rPr>
          <w:snapToGrid w:val="0"/>
        </w:rPr>
        <w:t xml:space="preserve"> administrative note to </w:t>
      </w:r>
      <w:r w:rsidR="00D071BE" w:rsidRPr="00D071BE">
        <w:rPr>
          <w:rFonts w:cstheme="minorHAnsi"/>
        </w:rPr>
        <w:t>calcipotriol with betamethasone</w:t>
      </w:r>
      <w:r w:rsidR="00D071BE">
        <w:rPr>
          <w:rFonts w:cstheme="minorHAnsi"/>
        </w:rPr>
        <w:t xml:space="preserve"> </w:t>
      </w:r>
      <w:r w:rsidR="00D071BE">
        <w:rPr>
          <w:snapToGrid w:val="0"/>
        </w:rPr>
        <w:t>existing</w:t>
      </w:r>
      <w:r w:rsidR="00D071BE">
        <w:rPr>
          <w:rFonts w:cstheme="minorHAnsi"/>
        </w:rPr>
        <w:t xml:space="preserve"> listing</w:t>
      </w:r>
      <w:r w:rsidR="00D071BE">
        <w:rPr>
          <w:snapToGrid w:val="0"/>
        </w:rPr>
        <w:t xml:space="preserve"> </w:t>
      </w:r>
      <w:r w:rsidRPr="00525B39">
        <w:rPr>
          <w:snapToGrid w:val="0"/>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927"/>
        <w:gridCol w:w="915"/>
        <w:gridCol w:w="993"/>
        <w:gridCol w:w="708"/>
        <w:gridCol w:w="1650"/>
      </w:tblGrid>
      <w:tr w:rsidR="009633A3" w:rsidRPr="001C34E7" w14:paraId="709717C6" w14:textId="77777777" w:rsidTr="001C34E7">
        <w:trPr>
          <w:cantSplit/>
          <w:trHeight w:val="20"/>
        </w:trPr>
        <w:tc>
          <w:tcPr>
            <w:tcW w:w="3823" w:type="dxa"/>
            <w:gridSpan w:val="2"/>
            <w:vAlign w:val="center"/>
          </w:tcPr>
          <w:p w14:paraId="615E3335" w14:textId="77777777" w:rsidR="009633A3" w:rsidRPr="001C34E7" w:rsidRDefault="009633A3" w:rsidP="003251A5">
            <w:pPr>
              <w:keepLines/>
              <w:rPr>
                <w:rFonts w:ascii="Arial Narrow" w:hAnsi="Arial Narrow" w:cs="Arial"/>
                <w:b/>
                <w:bCs/>
                <w:sz w:val="20"/>
                <w:szCs w:val="20"/>
              </w:rPr>
            </w:pPr>
            <w:r w:rsidRPr="001C34E7">
              <w:rPr>
                <w:rFonts w:ascii="Arial Narrow" w:hAnsi="Arial Narrow" w:cs="Arial"/>
                <w:b/>
                <w:bCs/>
                <w:sz w:val="20"/>
                <w:szCs w:val="20"/>
              </w:rPr>
              <w:t>MEDICINAL PRODUCT</w:t>
            </w:r>
          </w:p>
          <w:p w14:paraId="75DF7322"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bCs/>
                <w:sz w:val="20"/>
                <w:szCs w:val="20"/>
              </w:rPr>
              <w:t>medicinal product pack</w:t>
            </w:r>
          </w:p>
        </w:tc>
        <w:tc>
          <w:tcPr>
            <w:tcW w:w="927" w:type="dxa"/>
            <w:vAlign w:val="center"/>
          </w:tcPr>
          <w:p w14:paraId="1850DB5C"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PBS item code</w:t>
            </w:r>
          </w:p>
        </w:tc>
        <w:tc>
          <w:tcPr>
            <w:tcW w:w="915" w:type="dxa"/>
            <w:vAlign w:val="center"/>
          </w:tcPr>
          <w:p w14:paraId="70FC2393"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Max. qty packs</w:t>
            </w:r>
          </w:p>
        </w:tc>
        <w:tc>
          <w:tcPr>
            <w:tcW w:w="993" w:type="dxa"/>
            <w:vAlign w:val="center"/>
          </w:tcPr>
          <w:p w14:paraId="13ED9F5D"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Max. qty units</w:t>
            </w:r>
          </w:p>
        </w:tc>
        <w:tc>
          <w:tcPr>
            <w:tcW w:w="708" w:type="dxa"/>
            <w:vAlign w:val="center"/>
          </w:tcPr>
          <w:p w14:paraId="1E076810"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№.of</w:t>
            </w:r>
          </w:p>
          <w:p w14:paraId="1D2FE6E9"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Rpts</w:t>
            </w:r>
          </w:p>
        </w:tc>
        <w:tc>
          <w:tcPr>
            <w:tcW w:w="1650" w:type="dxa"/>
            <w:vAlign w:val="center"/>
          </w:tcPr>
          <w:p w14:paraId="51BA3BDB" w14:textId="77777777" w:rsidR="009633A3" w:rsidRPr="001C34E7" w:rsidRDefault="009633A3" w:rsidP="003251A5">
            <w:pPr>
              <w:keepLines/>
              <w:rPr>
                <w:rFonts w:ascii="Arial Narrow" w:hAnsi="Arial Narrow" w:cs="Arial"/>
                <w:b/>
                <w:sz w:val="20"/>
                <w:szCs w:val="20"/>
                <w:lang w:val="fr-FR"/>
              </w:rPr>
            </w:pPr>
            <w:r w:rsidRPr="001C34E7">
              <w:rPr>
                <w:rFonts w:ascii="Arial Narrow" w:hAnsi="Arial Narrow" w:cs="Arial"/>
                <w:b/>
                <w:sz w:val="20"/>
                <w:szCs w:val="20"/>
              </w:rPr>
              <w:t>Available brands</w:t>
            </w:r>
          </w:p>
        </w:tc>
      </w:tr>
      <w:tr w:rsidR="009633A3" w:rsidRPr="001C34E7" w14:paraId="4C6027AF" w14:textId="77777777" w:rsidTr="001C34E7">
        <w:trPr>
          <w:cantSplit/>
          <w:trHeight w:val="20"/>
        </w:trPr>
        <w:tc>
          <w:tcPr>
            <w:tcW w:w="3823" w:type="dxa"/>
            <w:gridSpan w:val="2"/>
            <w:vAlign w:val="center"/>
          </w:tcPr>
          <w:p w14:paraId="6F77F140" w14:textId="77777777" w:rsidR="009633A3" w:rsidRPr="001C34E7" w:rsidRDefault="009633A3" w:rsidP="003251A5">
            <w:pPr>
              <w:keepLines/>
              <w:jc w:val="left"/>
              <w:rPr>
                <w:rFonts w:ascii="Arial Narrow" w:hAnsi="Arial Narrow" w:cs="Arial"/>
                <w:sz w:val="20"/>
                <w:szCs w:val="20"/>
              </w:rPr>
            </w:pPr>
            <w:r w:rsidRPr="001C34E7">
              <w:rPr>
                <w:rFonts w:ascii="Arial Narrow" w:hAnsi="Arial Narrow" w:cs="Arial"/>
                <w:sz w:val="20"/>
                <w:szCs w:val="20"/>
              </w:rPr>
              <w:t>CALCIPOTRIOL + BETAMETHASONE DIPROPIONATE</w:t>
            </w:r>
          </w:p>
        </w:tc>
        <w:tc>
          <w:tcPr>
            <w:tcW w:w="927" w:type="dxa"/>
            <w:vMerge w:val="restart"/>
            <w:vAlign w:val="center"/>
          </w:tcPr>
          <w:p w14:paraId="676F1ADC" w14:textId="77777777" w:rsidR="009633A3" w:rsidRPr="001C34E7" w:rsidRDefault="009633A3" w:rsidP="003251A5">
            <w:pPr>
              <w:pStyle w:val="TableText0"/>
              <w:jc w:val="center"/>
              <w:rPr>
                <w:rFonts w:cs="Arial"/>
                <w:szCs w:val="20"/>
              </w:rPr>
            </w:pPr>
            <w:r w:rsidRPr="001C34E7">
              <w:rPr>
                <w:szCs w:val="20"/>
              </w:rPr>
              <w:t>11091R</w:t>
            </w:r>
          </w:p>
        </w:tc>
        <w:tc>
          <w:tcPr>
            <w:tcW w:w="915" w:type="dxa"/>
            <w:vMerge w:val="restart"/>
            <w:vAlign w:val="center"/>
          </w:tcPr>
          <w:p w14:paraId="2C665871" w14:textId="77777777" w:rsidR="009633A3" w:rsidRPr="001C34E7" w:rsidRDefault="009633A3" w:rsidP="003251A5">
            <w:pPr>
              <w:pStyle w:val="TableText0"/>
              <w:jc w:val="center"/>
              <w:rPr>
                <w:rFonts w:cs="Arial"/>
                <w:szCs w:val="20"/>
              </w:rPr>
            </w:pPr>
            <w:r w:rsidRPr="001C34E7">
              <w:rPr>
                <w:rFonts w:cs="Arial"/>
                <w:szCs w:val="20"/>
              </w:rPr>
              <w:t>1</w:t>
            </w:r>
          </w:p>
        </w:tc>
        <w:tc>
          <w:tcPr>
            <w:tcW w:w="993" w:type="dxa"/>
            <w:vMerge w:val="restart"/>
            <w:vAlign w:val="center"/>
          </w:tcPr>
          <w:p w14:paraId="6D5BBDD1" w14:textId="77777777" w:rsidR="009633A3" w:rsidRPr="001C34E7" w:rsidRDefault="009633A3" w:rsidP="003251A5">
            <w:pPr>
              <w:pStyle w:val="TableText0"/>
              <w:jc w:val="center"/>
              <w:rPr>
                <w:rFonts w:cs="Arial"/>
                <w:szCs w:val="20"/>
              </w:rPr>
            </w:pPr>
            <w:r w:rsidRPr="001C34E7">
              <w:rPr>
                <w:rFonts w:cs="Arial"/>
                <w:szCs w:val="20"/>
              </w:rPr>
              <w:t>1</w:t>
            </w:r>
          </w:p>
        </w:tc>
        <w:tc>
          <w:tcPr>
            <w:tcW w:w="708" w:type="dxa"/>
            <w:vMerge w:val="restart"/>
            <w:vAlign w:val="center"/>
          </w:tcPr>
          <w:p w14:paraId="738DE1CD" w14:textId="77777777" w:rsidR="009633A3" w:rsidRPr="001C34E7" w:rsidRDefault="009633A3" w:rsidP="003251A5">
            <w:pPr>
              <w:pStyle w:val="TableText0"/>
              <w:jc w:val="center"/>
              <w:rPr>
                <w:rFonts w:cs="Arial"/>
                <w:szCs w:val="20"/>
              </w:rPr>
            </w:pPr>
            <w:r w:rsidRPr="001C34E7">
              <w:rPr>
                <w:rFonts w:cs="Arial"/>
                <w:szCs w:val="20"/>
              </w:rPr>
              <w:t>1</w:t>
            </w:r>
          </w:p>
        </w:tc>
        <w:tc>
          <w:tcPr>
            <w:tcW w:w="1650" w:type="dxa"/>
            <w:vMerge w:val="restart"/>
            <w:vAlign w:val="center"/>
          </w:tcPr>
          <w:p w14:paraId="251C5E73" w14:textId="77777777" w:rsidR="009633A3" w:rsidRPr="001C34E7" w:rsidRDefault="009633A3" w:rsidP="003251A5">
            <w:pPr>
              <w:pStyle w:val="TableText0"/>
              <w:jc w:val="center"/>
              <w:rPr>
                <w:rFonts w:cs="Arial"/>
                <w:szCs w:val="20"/>
              </w:rPr>
            </w:pPr>
            <w:r w:rsidRPr="001C34E7">
              <w:rPr>
                <w:rFonts w:cs="Arial"/>
                <w:szCs w:val="20"/>
              </w:rPr>
              <w:t>Enstilar</w:t>
            </w:r>
          </w:p>
        </w:tc>
      </w:tr>
      <w:tr w:rsidR="009633A3" w:rsidRPr="001C34E7" w14:paraId="6EF125D2" w14:textId="77777777" w:rsidTr="001C34E7">
        <w:trPr>
          <w:cantSplit/>
          <w:trHeight w:val="20"/>
        </w:trPr>
        <w:tc>
          <w:tcPr>
            <w:tcW w:w="3823" w:type="dxa"/>
            <w:gridSpan w:val="2"/>
            <w:vAlign w:val="center"/>
          </w:tcPr>
          <w:p w14:paraId="1FDF5079" w14:textId="77777777" w:rsidR="009633A3" w:rsidRPr="001C34E7" w:rsidRDefault="009633A3" w:rsidP="003251A5">
            <w:pPr>
              <w:keepLines/>
              <w:jc w:val="left"/>
              <w:rPr>
                <w:rFonts w:ascii="Arial Narrow" w:hAnsi="Arial Narrow" w:cs="Arial"/>
                <w:sz w:val="20"/>
                <w:szCs w:val="20"/>
              </w:rPr>
            </w:pPr>
            <w:r w:rsidRPr="001C34E7">
              <w:rPr>
                <w:rFonts w:ascii="Arial Narrow" w:hAnsi="Arial Narrow" w:cs="Arial"/>
                <w:sz w:val="20"/>
                <w:szCs w:val="20"/>
              </w:rPr>
              <w:t>calcipotriol 0.005% + betamethasone (as dipropionate) 0.05% foam, 60 g</w:t>
            </w:r>
          </w:p>
        </w:tc>
        <w:tc>
          <w:tcPr>
            <w:tcW w:w="927" w:type="dxa"/>
            <w:vMerge/>
            <w:vAlign w:val="center"/>
          </w:tcPr>
          <w:p w14:paraId="551EFB03" w14:textId="77777777" w:rsidR="009633A3" w:rsidRPr="001C34E7" w:rsidRDefault="009633A3" w:rsidP="003251A5">
            <w:pPr>
              <w:keepLines/>
              <w:rPr>
                <w:rFonts w:ascii="Arial Narrow" w:hAnsi="Arial Narrow" w:cs="Arial"/>
                <w:i/>
                <w:iCs/>
                <w:sz w:val="20"/>
                <w:szCs w:val="20"/>
              </w:rPr>
            </w:pPr>
          </w:p>
        </w:tc>
        <w:tc>
          <w:tcPr>
            <w:tcW w:w="915" w:type="dxa"/>
            <w:vMerge/>
            <w:vAlign w:val="center"/>
          </w:tcPr>
          <w:p w14:paraId="20907FC1" w14:textId="77777777" w:rsidR="009633A3" w:rsidRPr="001C34E7" w:rsidRDefault="009633A3" w:rsidP="003251A5">
            <w:pPr>
              <w:keepLines/>
              <w:rPr>
                <w:rFonts w:ascii="Arial Narrow" w:hAnsi="Arial Narrow" w:cs="Arial"/>
                <w:i/>
                <w:iCs/>
                <w:sz w:val="20"/>
                <w:szCs w:val="20"/>
              </w:rPr>
            </w:pPr>
          </w:p>
        </w:tc>
        <w:tc>
          <w:tcPr>
            <w:tcW w:w="993" w:type="dxa"/>
            <w:vMerge/>
            <w:vAlign w:val="center"/>
          </w:tcPr>
          <w:p w14:paraId="6281C489" w14:textId="77777777" w:rsidR="009633A3" w:rsidRPr="001C34E7" w:rsidRDefault="009633A3" w:rsidP="003251A5">
            <w:pPr>
              <w:keepLines/>
              <w:rPr>
                <w:rFonts w:ascii="Arial Narrow" w:hAnsi="Arial Narrow" w:cs="Arial"/>
                <w:i/>
                <w:iCs/>
                <w:sz w:val="20"/>
                <w:szCs w:val="20"/>
              </w:rPr>
            </w:pPr>
          </w:p>
        </w:tc>
        <w:tc>
          <w:tcPr>
            <w:tcW w:w="708" w:type="dxa"/>
            <w:vMerge/>
            <w:vAlign w:val="center"/>
          </w:tcPr>
          <w:p w14:paraId="275DA92B" w14:textId="77777777" w:rsidR="009633A3" w:rsidRPr="001C34E7" w:rsidRDefault="009633A3" w:rsidP="003251A5">
            <w:pPr>
              <w:keepLines/>
              <w:rPr>
                <w:rFonts w:ascii="Arial Narrow" w:hAnsi="Arial Narrow" w:cs="Arial"/>
                <w:i/>
                <w:iCs/>
                <w:sz w:val="20"/>
                <w:szCs w:val="20"/>
              </w:rPr>
            </w:pPr>
          </w:p>
        </w:tc>
        <w:tc>
          <w:tcPr>
            <w:tcW w:w="1650" w:type="dxa"/>
            <w:vMerge/>
            <w:vAlign w:val="center"/>
          </w:tcPr>
          <w:p w14:paraId="4F2F9197" w14:textId="77777777" w:rsidR="009633A3" w:rsidRPr="001C34E7" w:rsidRDefault="009633A3" w:rsidP="003251A5">
            <w:pPr>
              <w:keepLines/>
              <w:rPr>
                <w:rFonts w:ascii="Arial Narrow" w:hAnsi="Arial Narrow" w:cs="Arial"/>
                <w:i/>
                <w:iCs/>
                <w:sz w:val="20"/>
                <w:szCs w:val="20"/>
              </w:rPr>
            </w:pPr>
          </w:p>
        </w:tc>
      </w:tr>
      <w:tr w:rsidR="009633A3" w:rsidRPr="001C34E7" w14:paraId="4E68CA70" w14:textId="77777777" w:rsidTr="003251A5">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444CC92" w14:textId="77777777" w:rsidR="009633A3" w:rsidRPr="001C34E7" w:rsidRDefault="009633A3" w:rsidP="003251A5">
            <w:pPr>
              <w:rPr>
                <w:rFonts w:ascii="Arial Narrow" w:hAnsi="Arial Narrow" w:cs="Arial"/>
                <w:sz w:val="20"/>
                <w:szCs w:val="20"/>
              </w:rPr>
            </w:pPr>
          </w:p>
        </w:tc>
      </w:tr>
      <w:tr w:rsidR="009633A3" w:rsidRPr="001C34E7" w14:paraId="01FFB6B0" w14:textId="77777777" w:rsidTr="003251A5">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52B1CE1" w14:textId="1CD8962A" w:rsidR="009633A3" w:rsidRPr="001C34E7" w:rsidRDefault="009633A3" w:rsidP="003251A5">
            <w:pPr>
              <w:keepLines/>
              <w:rPr>
                <w:rFonts w:ascii="Arial Narrow" w:hAnsi="Arial Narrow" w:cs="Arial"/>
                <w:b/>
                <w:sz w:val="20"/>
                <w:szCs w:val="20"/>
              </w:rPr>
            </w:pPr>
            <w:r w:rsidRPr="001C34E7">
              <w:rPr>
                <w:rFonts w:ascii="Arial Narrow" w:hAnsi="Arial Narrow"/>
                <w:b/>
                <w:sz w:val="20"/>
                <w:szCs w:val="20"/>
              </w:rPr>
              <w:t>Restriction Summary / ToC:</w:t>
            </w:r>
          </w:p>
        </w:tc>
      </w:tr>
      <w:tr w:rsidR="009633A3" w:rsidRPr="001C34E7" w14:paraId="2DD6D3D7" w14:textId="77777777" w:rsidTr="003251A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A103456" w14:textId="77777777" w:rsidR="009633A3" w:rsidRPr="001C34E7" w:rsidRDefault="009633A3" w:rsidP="003251A5">
            <w:pPr>
              <w:rPr>
                <w:rFonts w:ascii="Arial Narrow" w:hAnsi="Arial Narrow" w:cs="Arial"/>
                <w:b/>
                <w:sz w:val="20"/>
                <w:szCs w:val="20"/>
              </w:rPr>
            </w:pPr>
            <w:r w:rsidRPr="001C34E7">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B49C23" w14:textId="77777777" w:rsidR="009633A3" w:rsidRPr="001C34E7" w:rsidRDefault="009633A3" w:rsidP="003251A5">
            <w:pPr>
              <w:keepLines/>
              <w:rPr>
                <w:rFonts w:ascii="Arial Narrow" w:hAnsi="Arial Narrow" w:cs="Arial"/>
                <w:sz w:val="20"/>
                <w:szCs w:val="20"/>
              </w:rPr>
            </w:pPr>
            <w:r w:rsidRPr="001C34E7">
              <w:rPr>
                <w:rFonts w:ascii="Arial Narrow" w:hAnsi="Arial Narrow" w:cs="Arial"/>
                <w:b/>
                <w:sz w:val="20"/>
                <w:szCs w:val="20"/>
              </w:rPr>
              <w:t xml:space="preserve">Category / Program: </w:t>
            </w:r>
            <w:r w:rsidRPr="001C34E7">
              <w:rPr>
                <w:rFonts w:ascii="Arial Narrow" w:hAnsi="Arial Narrow" w:cs="Arial"/>
                <w:sz w:val="20"/>
                <w:szCs w:val="20"/>
              </w:rPr>
              <w:t>GENERAL – General Schedule (Code GE)</w:t>
            </w:r>
          </w:p>
        </w:tc>
      </w:tr>
      <w:tr w:rsidR="009633A3" w:rsidRPr="001C34E7" w14:paraId="4EC7EBBD" w14:textId="77777777" w:rsidTr="003251A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589B2E1" w14:textId="77777777" w:rsidR="009633A3" w:rsidRPr="001C34E7" w:rsidRDefault="009633A3" w:rsidP="003251A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A01810" w14:textId="77777777" w:rsidR="009633A3" w:rsidRPr="001C34E7" w:rsidRDefault="009633A3" w:rsidP="003251A5">
            <w:pPr>
              <w:keepLines/>
              <w:rPr>
                <w:rFonts w:ascii="Arial Narrow" w:hAnsi="Arial Narrow" w:cs="Arial"/>
                <w:b/>
                <w:sz w:val="20"/>
                <w:szCs w:val="20"/>
              </w:rPr>
            </w:pPr>
            <w:r w:rsidRPr="001C34E7">
              <w:rPr>
                <w:rFonts w:ascii="Arial Narrow" w:hAnsi="Arial Narrow" w:cs="Arial"/>
                <w:b/>
                <w:sz w:val="20"/>
                <w:szCs w:val="20"/>
              </w:rPr>
              <w:t xml:space="preserve">Prescriber type: </w:t>
            </w:r>
            <w:r w:rsidRPr="001C34E7">
              <w:rPr>
                <w:rFonts w:ascii="Arial Narrow" w:hAnsi="Arial Narrow" w:cs="Arial"/>
                <w:sz w:val="20"/>
                <w:szCs w:val="20"/>
              </w:rPr>
              <w:fldChar w:fldCharType="begin">
                <w:ffData>
                  <w:name w:val=""/>
                  <w:enabled/>
                  <w:calcOnExit w:val="0"/>
                  <w:checkBox>
                    <w:sizeAuto/>
                    <w:default w:val="1"/>
                  </w:checkBox>
                </w:ffData>
              </w:fldChar>
            </w:r>
            <w:r w:rsidRPr="001C34E7">
              <w:rPr>
                <w:rFonts w:ascii="Arial Narrow" w:hAnsi="Arial Narrow" w:cs="Arial"/>
                <w:sz w:val="20"/>
                <w:szCs w:val="20"/>
              </w:rPr>
              <w:instrText xml:space="preserve"> FORMCHECKBOX </w:instrText>
            </w:r>
            <w:r w:rsidR="0003606F">
              <w:rPr>
                <w:rFonts w:ascii="Arial Narrow" w:hAnsi="Arial Narrow" w:cs="Arial"/>
                <w:sz w:val="20"/>
                <w:szCs w:val="20"/>
              </w:rPr>
            </w:r>
            <w:r w:rsidR="0003606F">
              <w:rPr>
                <w:rFonts w:ascii="Arial Narrow" w:hAnsi="Arial Narrow" w:cs="Arial"/>
                <w:sz w:val="20"/>
                <w:szCs w:val="20"/>
              </w:rPr>
              <w:fldChar w:fldCharType="separate"/>
            </w:r>
            <w:r w:rsidRPr="001C34E7">
              <w:rPr>
                <w:rFonts w:ascii="Arial Narrow" w:hAnsi="Arial Narrow" w:cs="Arial"/>
                <w:sz w:val="20"/>
                <w:szCs w:val="20"/>
              </w:rPr>
              <w:fldChar w:fldCharType="end"/>
            </w:r>
            <w:r w:rsidRPr="001C34E7">
              <w:rPr>
                <w:rFonts w:ascii="Arial Narrow" w:hAnsi="Arial Narrow" w:cs="Arial"/>
                <w:sz w:val="20"/>
                <w:szCs w:val="20"/>
              </w:rPr>
              <w:t xml:space="preserve">Medical Practitioners </w:t>
            </w:r>
            <w:r w:rsidRPr="001C34E7">
              <w:rPr>
                <w:rFonts w:ascii="Arial Narrow" w:hAnsi="Arial Narrow" w:cs="Arial"/>
                <w:sz w:val="20"/>
                <w:szCs w:val="20"/>
              </w:rPr>
              <w:fldChar w:fldCharType="begin">
                <w:ffData>
                  <w:name w:val="Check3"/>
                  <w:enabled/>
                  <w:calcOnExit w:val="0"/>
                  <w:checkBox>
                    <w:sizeAuto/>
                    <w:default w:val="1"/>
                  </w:checkBox>
                </w:ffData>
              </w:fldChar>
            </w:r>
            <w:r w:rsidRPr="001C34E7">
              <w:rPr>
                <w:rFonts w:ascii="Arial Narrow" w:hAnsi="Arial Narrow" w:cs="Arial"/>
                <w:sz w:val="20"/>
                <w:szCs w:val="20"/>
              </w:rPr>
              <w:instrText xml:space="preserve"> FORMCHECKBOX </w:instrText>
            </w:r>
            <w:r w:rsidR="0003606F">
              <w:rPr>
                <w:rFonts w:ascii="Arial Narrow" w:hAnsi="Arial Narrow" w:cs="Arial"/>
                <w:sz w:val="20"/>
                <w:szCs w:val="20"/>
              </w:rPr>
            </w:r>
            <w:r w:rsidR="0003606F">
              <w:rPr>
                <w:rFonts w:ascii="Arial Narrow" w:hAnsi="Arial Narrow" w:cs="Arial"/>
                <w:sz w:val="20"/>
                <w:szCs w:val="20"/>
              </w:rPr>
              <w:fldChar w:fldCharType="separate"/>
            </w:r>
            <w:r w:rsidRPr="001C34E7">
              <w:rPr>
                <w:rFonts w:ascii="Arial Narrow" w:hAnsi="Arial Narrow" w:cs="Arial"/>
                <w:sz w:val="20"/>
                <w:szCs w:val="20"/>
              </w:rPr>
              <w:fldChar w:fldCharType="end"/>
            </w:r>
            <w:r w:rsidRPr="001C34E7">
              <w:rPr>
                <w:rFonts w:ascii="Arial Narrow" w:hAnsi="Arial Narrow" w:cs="Arial"/>
                <w:sz w:val="20"/>
                <w:szCs w:val="20"/>
              </w:rPr>
              <w:t xml:space="preserve">Nurse practitioners </w:t>
            </w:r>
          </w:p>
        </w:tc>
      </w:tr>
      <w:tr w:rsidR="009633A3" w:rsidRPr="001C34E7" w14:paraId="7FCEB99E" w14:textId="77777777" w:rsidTr="003251A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66AB87E7" w14:textId="77777777" w:rsidR="009633A3" w:rsidRPr="001C34E7" w:rsidRDefault="009633A3" w:rsidP="003251A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898561" w14:textId="3CB73DDA" w:rsidR="009633A3" w:rsidRPr="001C34E7" w:rsidRDefault="009633A3" w:rsidP="003251A5">
            <w:pPr>
              <w:keepLines/>
              <w:rPr>
                <w:rFonts w:ascii="Arial Narrow" w:eastAsia="Calibri" w:hAnsi="Arial Narrow" w:cs="Arial"/>
                <w:sz w:val="20"/>
                <w:szCs w:val="20"/>
              </w:rPr>
            </w:pPr>
            <w:r w:rsidRPr="001C34E7">
              <w:rPr>
                <w:rFonts w:ascii="Arial Narrow" w:hAnsi="Arial Narrow" w:cs="Arial"/>
                <w:b/>
                <w:sz w:val="20"/>
                <w:szCs w:val="20"/>
              </w:rPr>
              <w:t xml:space="preserve">Restriction type: </w:t>
            </w:r>
            <w:r w:rsidRPr="001C34E7">
              <w:rPr>
                <w:rFonts w:ascii="Arial Narrow" w:eastAsia="Calibri" w:hAnsi="Arial Narrow" w:cs="Arial"/>
                <w:sz w:val="20"/>
                <w:szCs w:val="20"/>
              </w:rPr>
              <w:fldChar w:fldCharType="begin">
                <w:ffData>
                  <w:name w:val="Check1"/>
                  <w:enabled/>
                  <w:calcOnExit w:val="0"/>
                  <w:checkBox>
                    <w:sizeAuto/>
                    <w:default w:val="1"/>
                  </w:checkBox>
                </w:ffData>
              </w:fldChar>
            </w:r>
            <w:r w:rsidRPr="001C34E7">
              <w:rPr>
                <w:rFonts w:ascii="Arial Narrow" w:eastAsia="Calibri" w:hAnsi="Arial Narrow" w:cs="Arial"/>
                <w:sz w:val="20"/>
                <w:szCs w:val="20"/>
              </w:rPr>
              <w:instrText xml:space="preserve"> FORMCHECKBOX </w:instrText>
            </w:r>
            <w:r w:rsidR="0003606F">
              <w:rPr>
                <w:rFonts w:ascii="Arial Narrow" w:eastAsia="Calibri" w:hAnsi="Arial Narrow" w:cs="Arial"/>
                <w:sz w:val="20"/>
                <w:szCs w:val="20"/>
              </w:rPr>
            </w:r>
            <w:r w:rsidR="0003606F">
              <w:rPr>
                <w:rFonts w:ascii="Arial Narrow" w:eastAsia="Calibri" w:hAnsi="Arial Narrow" w:cs="Arial"/>
                <w:sz w:val="20"/>
                <w:szCs w:val="20"/>
              </w:rPr>
              <w:fldChar w:fldCharType="separate"/>
            </w:r>
            <w:r w:rsidRPr="001C34E7">
              <w:rPr>
                <w:rFonts w:ascii="Arial Narrow" w:eastAsia="Calibri" w:hAnsi="Arial Narrow" w:cs="Arial"/>
                <w:sz w:val="20"/>
                <w:szCs w:val="20"/>
              </w:rPr>
              <w:fldChar w:fldCharType="end"/>
            </w:r>
            <w:r w:rsidR="00E1413F" w:rsidRPr="001C34E7">
              <w:rPr>
                <w:rFonts w:ascii="Arial Narrow" w:eastAsia="Calibri" w:hAnsi="Arial Narrow" w:cs="Arial"/>
                <w:sz w:val="20"/>
                <w:szCs w:val="20"/>
              </w:rPr>
              <w:t xml:space="preserve"> Restricted Benefit</w:t>
            </w:r>
          </w:p>
        </w:tc>
      </w:tr>
      <w:tr w:rsidR="009633A3" w:rsidRPr="001C34E7" w14:paraId="22718EFF" w14:textId="77777777" w:rsidTr="001C34E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B3EB5E" w14:textId="1DC2F2F4" w:rsidR="009633A3" w:rsidRPr="001C34E7" w:rsidRDefault="009633A3" w:rsidP="003251A5">
            <w:pPr>
              <w:keepLines/>
              <w:rPr>
                <w:rFonts w:ascii="Arial Narrow" w:hAnsi="Arial Narrow"/>
                <w:sz w:val="20"/>
                <w:szCs w:val="20"/>
              </w:rPr>
            </w:pPr>
          </w:p>
        </w:tc>
        <w:tc>
          <w:tcPr>
            <w:tcW w:w="7745" w:type="dxa"/>
            <w:gridSpan w:val="6"/>
            <w:vAlign w:val="center"/>
            <w:hideMark/>
          </w:tcPr>
          <w:p w14:paraId="6959507C" w14:textId="77777777" w:rsidR="009633A3" w:rsidRPr="001C34E7" w:rsidRDefault="009633A3" w:rsidP="003251A5">
            <w:pPr>
              <w:keepLines/>
              <w:rPr>
                <w:rFonts w:ascii="Arial Narrow" w:hAnsi="Arial Narrow"/>
                <w:sz w:val="20"/>
                <w:szCs w:val="20"/>
              </w:rPr>
            </w:pPr>
            <w:r w:rsidRPr="001C34E7">
              <w:rPr>
                <w:rFonts w:ascii="Arial Narrow" w:hAnsi="Arial Narrow"/>
                <w:b/>
                <w:bCs/>
                <w:sz w:val="20"/>
                <w:szCs w:val="20"/>
              </w:rPr>
              <w:t>Indication:</w:t>
            </w:r>
            <w:r w:rsidRPr="001C34E7">
              <w:rPr>
                <w:rFonts w:ascii="Arial Narrow" w:hAnsi="Arial Narrow"/>
                <w:sz w:val="20"/>
                <w:szCs w:val="20"/>
              </w:rPr>
              <w:t xml:space="preserve"> Chronic stable plaque type psoriasis vulgaris</w:t>
            </w:r>
          </w:p>
        </w:tc>
      </w:tr>
      <w:tr w:rsidR="009633A3" w:rsidRPr="001C34E7" w14:paraId="631EB298" w14:textId="77777777" w:rsidTr="003251A5">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7987A054" w14:textId="77777777" w:rsidR="009633A3" w:rsidRPr="001C34E7" w:rsidRDefault="009633A3" w:rsidP="003251A5">
            <w:pPr>
              <w:keepLines/>
              <w:rPr>
                <w:rFonts w:ascii="Arial Narrow" w:hAnsi="Arial Narrow"/>
                <w:b/>
                <w:bCs/>
                <w:sz w:val="20"/>
                <w:szCs w:val="20"/>
              </w:rPr>
            </w:pPr>
          </w:p>
        </w:tc>
      </w:tr>
      <w:tr w:rsidR="009633A3" w:rsidRPr="001C34E7" w14:paraId="48C9520B" w14:textId="77777777" w:rsidTr="003251A5">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B669A1" w14:textId="5AEF4CD6" w:rsidR="009633A3" w:rsidRPr="001C34E7" w:rsidRDefault="009633A3" w:rsidP="003251A5">
            <w:pPr>
              <w:rPr>
                <w:rFonts w:ascii="Arial Narrow" w:hAnsi="Arial Narrow"/>
                <w:sz w:val="20"/>
                <w:szCs w:val="20"/>
              </w:rPr>
            </w:pPr>
          </w:p>
        </w:tc>
        <w:tc>
          <w:tcPr>
            <w:tcW w:w="7745" w:type="dxa"/>
            <w:gridSpan w:val="6"/>
            <w:vAlign w:val="center"/>
            <w:hideMark/>
          </w:tcPr>
          <w:p w14:paraId="0FFF1B5C" w14:textId="77777777" w:rsidR="009633A3" w:rsidRPr="001C34E7" w:rsidRDefault="009633A3" w:rsidP="003251A5">
            <w:pPr>
              <w:rPr>
                <w:rFonts w:ascii="Arial Narrow" w:hAnsi="Arial Narrow"/>
                <w:sz w:val="20"/>
                <w:szCs w:val="20"/>
              </w:rPr>
            </w:pPr>
            <w:r w:rsidRPr="001C34E7">
              <w:rPr>
                <w:rFonts w:ascii="Arial Narrow" w:hAnsi="Arial Narrow"/>
                <w:b/>
                <w:bCs/>
                <w:sz w:val="20"/>
                <w:szCs w:val="20"/>
              </w:rPr>
              <w:t>Clinical criteria:</w:t>
            </w:r>
          </w:p>
        </w:tc>
      </w:tr>
      <w:tr w:rsidR="009633A3" w:rsidRPr="001C34E7" w14:paraId="6A6B17CB" w14:textId="77777777" w:rsidTr="003251A5">
        <w:tblPrEx>
          <w:tblCellMar>
            <w:top w:w="15" w:type="dxa"/>
            <w:bottom w:w="15" w:type="dxa"/>
          </w:tblCellMar>
          <w:tblLook w:val="04A0" w:firstRow="1" w:lastRow="0" w:firstColumn="1" w:lastColumn="0" w:noHBand="0" w:noVBand="1"/>
        </w:tblPrEx>
        <w:trPr>
          <w:cantSplit/>
          <w:trHeight w:val="20"/>
        </w:trPr>
        <w:tc>
          <w:tcPr>
            <w:tcW w:w="1271" w:type="dxa"/>
            <w:vAlign w:val="center"/>
          </w:tcPr>
          <w:p w14:paraId="6E5D3D9F" w14:textId="2963918C" w:rsidR="009633A3" w:rsidRPr="001C34E7" w:rsidRDefault="009633A3" w:rsidP="003251A5">
            <w:pPr>
              <w:rPr>
                <w:rFonts w:ascii="Arial Narrow" w:hAnsi="Arial Narrow"/>
                <w:sz w:val="20"/>
                <w:szCs w:val="20"/>
              </w:rPr>
            </w:pPr>
          </w:p>
        </w:tc>
        <w:tc>
          <w:tcPr>
            <w:tcW w:w="7745" w:type="dxa"/>
            <w:gridSpan w:val="6"/>
            <w:vAlign w:val="center"/>
            <w:hideMark/>
          </w:tcPr>
          <w:p w14:paraId="0A11DD7F" w14:textId="77777777" w:rsidR="009633A3" w:rsidRPr="001C34E7" w:rsidRDefault="009633A3" w:rsidP="003251A5">
            <w:pPr>
              <w:rPr>
                <w:rFonts w:ascii="Arial Narrow" w:hAnsi="Arial Narrow"/>
                <w:sz w:val="20"/>
                <w:szCs w:val="20"/>
              </w:rPr>
            </w:pPr>
            <w:r w:rsidRPr="001C34E7">
              <w:rPr>
                <w:rFonts w:ascii="Arial Narrow" w:hAnsi="Arial Narrow"/>
                <w:sz w:val="20"/>
                <w:szCs w:val="20"/>
              </w:rPr>
              <w:t>The condition must be inadequately controlled by potent topical corticosteroid monotherapy</w:t>
            </w:r>
          </w:p>
        </w:tc>
      </w:tr>
      <w:tr w:rsidR="009633A3" w:rsidRPr="001C34E7" w14:paraId="7B962E92" w14:textId="77777777" w:rsidTr="003251A5">
        <w:tblPrEx>
          <w:tblCellMar>
            <w:top w:w="15" w:type="dxa"/>
            <w:bottom w:w="15" w:type="dxa"/>
          </w:tblCellMar>
          <w:tblLook w:val="04A0" w:firstRow="1" w:lastRow="0" w:firstColumn="1" w:lastColumn="0" w:noHBand="0" w:noVBand="1"/>
        </w:tblPrEx>
        <w:trPr>
          <w:cantSplit/>
          <w:trHeight w:val="20"/>
        </w:trPr>
        <w:tc>
          <w:tcPr>
            <w:tcW w:w="1271" w:type="dxa"/>
            <w:vAlign w:val="center"/>
          </w:tcPr>
          <w:p w14:paraId="297CAB9A" w14:textId="77777777" w:rsidR="009633A3" w:rsidRPr="001C34E7" w:rsidRDefault="009633A3" w:rsidP="003251A5">
            <w:pPr>
              <w:rPr>
                <w:rFonts w:ascii="Arial Narrow" w:hAnsi="Arial Narrow"/>
                <w:sz w:val="20"/>
                <w:szCs w:val="20"/>
              </w:rPr>
            </w:pPr>
          </w:p>
        </w:tc>
        <w:tc>
          <w:tcPr>
            <w:tcW w:w="7745" w:type="dxa"/>
            <w:gridSpan w:val="6"/>
            <w:vAlign w:val="center"/>
          </w:tcPr>
          <w:p w14:paraId="2ECFF928" w14:textId="77777777" w:rsidR="009633A3" w:rsidRPr="001C34E7" w:rsidRDefault="009633A3" w:rsidP="003251A5">
            <w:pPr>
              <w:rPr>
                <w:rFonts w:ascii="Arial Narrow" w:hAnsi="Arial Narrow"/>
                <w:b/>
                <w:bCs/>
                <w:sz w:val="20"/>
                <w:szCs w:val="20"/>
              </w:rPr>
            </w:pPr>
            <w:r w:rsidRPr="001C34E7">
              <w:rPr>
                <w:rFonts w:ascii="Arial Narrow" w:hAnsi="Arial Narrow"/>
                <w:b/>
                <w:bCs/>
                <w:sz w:val="20"/>
                <w:szCs w:val="20"/>
              </w:rPr>
              <w:t>AND</w:t>
            </w:r>
          </w:p>
        </w:tc>
      </w:tr>
      <w:tr w:rsidR="009633A3" w:rsidRPr="001C34E7" w14:paraId="25043F9D" w14:textId="77777777" w:rsidTr="003251A5">
        <w:tblPrEx>
          <w:tblCellMar>
            <w:top w:w="15" w:type="dxa"/>
            <w:bottom w:w="15" w:type="dxa"/>
          </w:tblCellMar>
          <w:tblLook w:val="04A0" w:firstRow="1" w:lastRow="0" w:firstColumn="1" w:lastColumn="0" w:noHBand="0" w:noVBand="1"/>
        </w:tblPrEx>
        <w:trPr>
          <w:cantSplit/>
          <w:trHeight w:val="20"/>
        </w:trPr>
        <w:tc>
          <w:tcPr>
            <w:tcW w:w="1271" w:type="dxa"/>
            <w:vAlign w:val="center"/>
          </w:tcPr>
          <w:p w14:paraId="4B859C56" w14:textId="6BD37F99" w:rsidR="009633A3" w:rsidRPr="001C34E7" w:rsidRDefault="009633A3" w:rsidP="003251A5">
            <w:pPr>
              <w:rPr>
                <w:rFonts w:ascii="Arial Narrow" w:hAnsi="Arial Narrow"/>
                <w:sz w:val="20"/>
                <w:szCs w:val="20"/>
              </w:rPr>
            </w:pPr>
          </w:p>
        </w:tc>
        <w:tc>
          <w:tcPr>
            <w:tcW w:w="7745" w:type="dxa"/>
            <w:gridSpan w:val="6"/>
            <w:vAlign w:val="center"/>
          </w:tcPr>
          <w:p w14:paraId="5FCB6E79" w14:textId="77777777" w:rsidR="009633A3" w:rsidRPr="001C34E7" w:rsidRDefault="009633A3" w:rsidP="003251A5">
            <w:pPr>
              <w:rPr>
                <w:rFonts w:ascii="Arial Narrow" w:hAnsi="Arial Narrow"/>
                <w:sz w:val="20"/>
                <w:szCs w:val="20"/>
              </w:rPr>
            </w:pPr>
            <w:r w:rsidRPr="001C34E7">
              <w:rPr>
                <w:rFonts w:ascii="Arial Narrow" w:hAnsi="Arial Narrow"/>
                <w:b/>
                <w:bCs/>
                <w:sz w:val="20"/>
                <w:szCs w:val="20"/>
              </w:rPr>
              <w:t>Administrative Advice:</w:t>
            </w:r>
          </w:p>
          <w:p w14:paraId="1A5A12FE" w14:textId="77777777" w:rsidR="009633A3" w:rsidRPr="001C34E7" w:rsidRDefault="009633A3" w:rsidP="003251A5">
            <w:pPr>
              <w:rPr>
                <w:rFonts w:ascii="Arial Narrow" w:hAnsi="Arial Narrow"/>
                <w:sz w:val="20"/>
                <w:szCs w:val="20"/>
              </w:rPr>
            </w:pPr>
            <w:r w:rsidRPr="001C34E7">
              <w:rPr>
                <w:rFonts w:ascii="Arial Narrow" w:hAnsi="Arial Narrow"/>
                <w:sz w:val="20"/>
                <w:szCs w:val="20"/>
              </w:rPr>
              <w:t>Continuing Therapy Only:</w:t>
            </w:r>
          </w:p>
          <w:p w14:paraId="0C97577E" w14:textId="77777777" w:rsidR="009633A3" w:rsidRPr="001C34E7" w:rsidRDefault="009633A3" w:rsidP="003251A5">
            <w:pPr>
              <w:rPr>
                <w:rFonts w:ascii="Arial Narrow" w:hAnsi="Arial Narrow"/>
                <w:sz w:val="20"/>
                <w:szCs w:val="20"/>
              </w:rPr>
            </w:pPr>
            <w:r w:rsidRPr="001C34E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633A3" w:rsidRPr="001C34E7" w14:paraId="3B0F3413" w14:textId="77777777" w:rsidTr="003251A5">
        <w:tblPrEx>
          <w:tblCellMar>
            <w:top w:w="15" w:type="dxa"/>
            <w:bottom w:w="15" w:type="dxa"/>
          </w:tblCellMar>
          <w:tblLook w:val="04A0" w:firstRow="1" w:lastRow="0" w:firstColumn="1" w:lastColumn="0" w:noHBand="0" w:noVBand="1"/>
        </w:tblPrEx>
        <w:trPr>
          <w:cantSplit/>
          <w:trHeight w:val="20"/>
        </w:trPr>
        <w:tc>
          <w:tcPr>
            <w:tcW w:w="1271" w:type="dxa"/>
            <w:vAlign w:val="center"/>
          </w:tcPr>
          <w:p w14:paraId="0BE07AB7" w14:textId="2BD30552" w:rsidR="009633A3" w:rsidRPr="001C34E7" w:rsidRDefault="009633A3" w:rsidP="003251A5">
            <w:pPr>
              <w:rPr>
                <w:rFonts w:ascii="Arial Narrow" w:hAnsi="Arial Narrow"/>
                <w:sz w:val="20"/>
                <w:szCs w:val="20"/>
              </w:rPr>
            </w:pPr>
          </w:p>
        </w:tc>
        <w:tc>
          <w:tcPr>
            <w:tcW w:w="7745" w:type="dxa"/>
            <w:gridSpan w:val="6"/>
            <w:vAlign w:val="center"/>
          </w:tcPr>
          <w:p w14:paraId="3DD0666B" w14:textId="77777777" w:rsidR="009633A3" w:rsidRPr="001C34E7" w:rsidRDefault="009633A3" w:rsidP="003251A5">
            <w:pPr>
              <w:rPr>
                <w:rFonts w:ascii="Arial Narrow" w:hAnsi="Arial Narrow"/>
                <w:b/>
                <w:bCs/>
                <w:sz w:val="20"/>
                <w:szCs w:val="20"/>
              </w:rPr>
            </w:pPr>
            <w:r w:rsidRPr="001C34E7">
              <w:rPr>
                <w:rFonts w:ascii="Arial Narrow" w:hAnsi="Arial Narrow"/>
                <w:b/>
                <w:bCs/>
                <w:sz w:val="20"/>
                <w:szCs w:val="20"/>
              </w:rPr>
              <w:t>Administrative Advice:</w:t>
            </w:r>
          </w:p>
          <w:p w14:paraId="7EF5E997" w14:textId="6776E900" w:rsidR="009633A3" w:rsidRPr="001C34E7" w:rsidRDefault="00A53B14" w:rsidP="003251A5">
            <w:pPr>
              <w:rPr>
                <w:rFonts w:ascii="Arial Narrow" w:hAnsi="Arial Narrow"/>
                <w:sz w:val="20"/>
                <w:szCs w:val="20"/>
              </w:rPr>
            </w:pPr>
            <w:r w:rsidRPr="001C34E7">
              <w:rPr>
                <w:rFonts w:ascii="Arial Narrow" w:hAnsi="Arial Narrow"/>
                <w:sz w:val="20"/>
                <w:szCs w:val="20"/>
              </w:rPr>
              <w:t>Authority applications for increased quantities/repeats (where relevant) may be made in real time using the Online PBS Authorities system (see www.servicesaustralia.gov.au/HPOS) or by telephone to Services Australia on 1800 700 270 (hours of operation 8 a.m. to 5 p.m. Monday to Friday).</w:t>
            </w:r>
          </w:p>
        </w:tc>
      </w:tr>
    </w:tbl>
    <w:p w14:paraId="07523E51" w14:textId="792D6165" w:rsidR="009633A3" w:rsidRDefault="009633A3" w:rsidP="009633A3">
      <w:pPr>
        <w:widowControl w:val="0"/>
        <w:spacing w:after="240"/>
        <w:ind w:left="720"/>
        <w:contextualSpacing/>
        <w:rPr>
          <w:rFonts w:asciiTheme="minorHAnsi" w:hAnsiTheme="minorHAnsi" w:cs="Arial"/>
          <w:bCs/>
          <w:snapToGrid w:val="0"/>
        </w:rPr>
      </w:pPr>
    </w:p>
    <w:p w14:paraId="7ADEF196" w14:textId="04CC3B6A" w:rsidR="009633A3" w:rsidRDefault="009633A3" w:rsidP="009633A3">
      <w:pPr>
        <w:spacing w:after="120"/>
        <w:jc w:val="left"/>
        <w:rPr>
          <w:rFonts w:asciiTheme="minorHAnsi" w:hAnsiTheme="minorHAnsi"/>
          <w:bCs/>
          <w:iCs/>
        </w:rPr>
      </w:pPr>
      <w:r>
        <w:rPr>
          <w:rFonts w:asciiTheme="minorHAnsi" w:hAnsiTheme="minorHAnsi"/>
          <w:bCs/>
          <w:iCs/>
        </w:rPr>
        <w:t>Flow on changes:</w:t>
      </w:r>
    </w:p>
    <w:p w14:paraId="051532C5" w14:textId="59249F07" w:rsidR="00867D93" w:rsidRPr="004A1B43" w:rsidRDefault="009633A3" w:rsidP="001C34E7">
      <w:pPr>
        <w:pStyle w:val="3-BodyText"/>
        <w:rPr>
          <w:rFonts w:cs="Calibri"/>
          <w:bCs/>
          <w:snapToGrid w:val="0"/>
        </w:rPr>
      </w:pPr>
      <w:r w:rsidRPr="004A1B43">
        <w:rPr>
          <w:snapToGrid w:val="0"/>
          <w:lang w:val="en-GB"/>
        </w:rPr>
        <w:t xml:space="preserve">Add administrative note to </w:t>
      </w:r>
      <w:r w:rsidR="00F70B49" w:rsidRPr="004A1B43">
        <w:rPr>
          <w:snapToGrid w:val="0"/>
          <w:lang w:val="en-GB"/>
        </w:rPr>
        <w:t>calcipotriol 0.005% + betamethasone (as dipropionate) 0.05% ointment, 30 g (</w:t>
      </w:r>
      <w:r w:rsidR="00F70B49" w:rsidRPr="004A1B43">
        <w:rPr>
          <w:rFonts w:cs="Arial"/>
          <w:snapToGrid w:val="0"/>
          <w:lang w:val="en-GB"/>
        </w:rPr>
        <w:t>9494Q).</w:t>
      </w:r>
    </w:p>
    <w:p w14:paraId="6733297D" w14:textId="0D260C08" w:rsidR="0076194D" w:rsidRDefault="0076194D" w:rsidP="0076194D">
      <w:pPr>
        <w:spacing w:after="120"/>
        <w:rPr>
          <w:rFonts w:asciiTheme="minorHAnsi" w:eastAsiaTheme="minorHAnsi" w:hAnsiTheme="minorHAnsi" w:cstheme="minorBidi"/>
          <w:b/>
          <w:i/>
          <w:szCs w:val="22"/>
        </w:rPr>
      </w:pPr>
      <w:r w:rsidRPr="009670FC">
        <w:rPr>
          <w:rFonts w:asciiTheme="minorHAnsi" w:eastAsiaTheme="minorHAnsi" w:hAnsiTheme="minorHAnsi" w:cstheme="minorBidi"/>
          <w:b/>
          <w:i/>
          <w:szCs w:val="22"/>
        </w:rPr>
        <w:t>This restriction may be subject to further review. Should there be any changes made to the restriction the sponsor will be informed.</w:t>
      </w:r>
    </w:p>
    <w:p w14:paraId="5385D7E4" w14:textId="77777777" w:rsidR="001C34E7" w:rsidRDefault="001C34E7" w:rsidP="001C34E7">
      <w:pPr>
        <w:pStyle w:val="2-SectionHeading"/>
        <w:rPr>
          <w:bCs/>
          <w:lang w:val="en-GB"/>
        </w:rPr>
      </w:pPr>
      <w:r w:rsidRPr="00C07617">
        <w:t>Context for Decision</w:t>
      </w:r>
    </w:p>
    <w:p w14:paraId="50B83432" w14:textId="77777777" w:rsidR="001C34E7" w:rsidRPr="007129F2" w:rsidRDefault="001C34E7" w:rsidP="001C34E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5B7515C" w14:textId="2ACBF23C" w:rsidR="001C34E7" w:rsidRPr="00C07617" w:rsidRDefault="001C34E7" w:rsidP="001C34E7">
      <w:pPr>
        <w:pStyle w:val="2-SectionHeading"/>
      </w:pPr>
      <w:r>
        <w:t>Sponsor’s Comment</w:t>
      </w:r>
    </w:p>
    <w:p w14:paraId="6822497F" w14:textId="77777777" w:rsidR="001C34E7" w:rsidRPr="001179AC" w:rsidRDefault="001C34E7" w:rsidP="001C34E7">
      <w:pPr>
        <w:spacing w:after="120"/>
        <w:ind w:left="426" w:firstLine="294"/>
        <w:rPr>
          <w:rFonts w:asciiTheme="minorHAnsi" w:hAnsiTheme="minorHAnsi" w:cs="Arial"/>
          <w:bCs/>
        </w:rPr>
      </w:pPr>
      <w:r w:rsidRPr="00C07617">
        <w:rPr>
          <w:rFonts w:asciiTheme="minorHAnsi" w:hAnsiTheme="minorHAnsi" w:cs="Arial"/>
          <w:bCs/>
        </w:rPr>
        <w:t>The sponsor had no comment.</w:t>
      </w:r>
    </w:p>
    <w:p w14:paraId="07A85079" w14:textId="77777777" w:rsidR="001C34E7" w:rsidRPr="009670FC" w:rsidRDefault="001C34E7" w:rsidP="0076194D">
      <w:pPr>
        <w:spacing w:after="120"/>
        <w:rPr>
          <w:rFonts w:asciiTheme="minorHAnsi" w:eastAsiaTheme="minorHAnsi" w:hAnsiTheme="minorHAnsi" w:cstheme="minorBidi"/>
          <w:b/>
          <w:i/>
          <w:szCs w:val="22"/>
        </w:rPr>
      </w:pPr>
    </w:p>
    <w:sectPr w:rsidR="001C34E7" w:rsidRPr="009670FC" w:rsidSect="00C27B58">
      <w:headerReference w:type="even" r:id="rId14"/>
      <w:headerReference w:type="default" r:id="rId15"/>
      <w:footerReference w:type="even" r:id="rId16"/>
      <w:footerReference w:type="default" r:id="rId17"/>
      <w:footerReference w:type="first" r:id="rId18"/>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83D8" w14:textId="77777777" w:rsidR="00570BD4" w:rsidRDefault="00570BD4" w:rsidP="00C56D78">
    <w:pPr>
      <w:pStyle w:val="MinorOVRHeader"/>
      <w:jc w:val="center"/>
    </w:pPr>
  </w:p>
  <w:p w14:paraId="355827FE" w14:textId="08D78B1C" w:rsidR="009C26AA" w:rsidRPr="00D429EC" w:rsidRDefault="00401640" w:rsidP="00C56D78">
    <w:pPr>
      <w:pStyle w:val="MinorOVRHeader"/>
      <w:jc w:val="center"/>
    </w:pPr>
    <w:r w:rsidRPr="00401640">
      <w:fldChar w:fldCharType="begin"/>
    </w:r>
    <w:r w:rsidRPr="00401640">
      <w:instrText xml:space="preserve"> PAGE   \* MERGEFORMAT </w:instrText>
    </w:r>
    <w:r w:rsidRPr="00401640">
      <w:fldChar w:fldCharType="separate"/>
    </w:r>
    <w:r w:rsidRPr="00401640">
      <w:t>1</w:t>
    </w:r>
    <w:r w:rsidRPr="0040164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 w:id="2">
    <w:p w14:paraId="3E69D0D6" w14:textId="476F2161" w:rsidR="00A071E2" w:rsidRPr="00DC74B9" w:rsidRDefault="00A071E2" w:rsidP="00CE060E">
      <w:pPr>
        <w:pStyle w:val="FootnoteText"/>
        <w:rPr>
          <w:sz w:val="18"/>
          <w:szCs w:val="18"/>
        </w:rPr>
      </w:pPr>
      <w:r w:rsidRPr="00DC74B9">
        <w:rPr>
          <w:rStyle w:val="FootnoteReference"/>
          <w:sz w:val="18"/>
          <w:szCs w:val="18"/>
        </w:rPr>
        <w:footnoteRef/>
      </w:r>
      <w:r w:rsidRPr="00DC74B9">
        <w:rPr>
          <w:sz w:val="18"/>
          <w:szCs w:val="18"/>
        </w:rPr>
        <w:t xml:space="preserve"> </w:t>
      </w:r>
      <w:r w:rsidR="00140F8F" w:rsidRPr="00DC74B9">
        <w:rPr>
          <w:bCs/>
          <w:sz w:val="18"/>
          <w:szCs w:val="18"/>
        </w:rPr>
        <w:t>Du Bois D,  Du Bois EF. Clinical calorimetry tenth paper a formula to estimate the approximate surface area if height and weight be known Arch Intern Med (Chic). 1916;XVII(6_2):863-871. doi:10.1001/archinte.1916.00080130010002</w:t>
      </w:r>
    </w:p>
  </w:footnote>
  <w:footnote w:id="3">
    <w:p w14:paraId="01A23454" w14:textId="27D3DEA1" w:rsidR="00A071E2" w:rsidRDefault="00A071E2" w:rsidP="00CE060E">
      <w:pPr>
        <w:pStyle w:val="FootnoteText"/>
      </w:pPr>
      <w:r w:rsidRPr="00DC74B9">
        <w:rPr>
          <w:rStyle w:val="FootnoteReference"/>
          <w:sz w:val="18"/>
          <w:szCs w:val="18"/>
        </w:rPr>
        <w:footnoteRef/>
      </w:r>
      <w:r w:rsidRPr="00DC74B9">
        <w:rPr>
          <w:sz w:val="18"/>
          <w:szCs w:val="18"/>
        </w:rPr>
        <w:t xml:space="preserve"> </w:t>
      </w:r>
      <w:r w:rsidRPr="00DC74B9">
        <w:rPr>
          <w:bCs/>
          <w:sz w:val="18"/>
          <w:szCs w:val="18"/>
        </w:rPr>
        <w:t>Mosteller RD. Simplified calculation of body-surface area. N Engl J Med. 1987 Oct 22;317(17):1098. doi: 10.1056/NEJM198710223171717. PMID: 3657876.</w:t>
      </w:r>
    </w:p>
  </w:footnote>
  <w:footnote w:id="4">
    <w:p w14:paraId="6C863B8A" w14:textId="77777777" w:rsidR="00854463" w:rsidRPr="009F31CF" w:rsidRDefault="00854463" w:rsidP="00854463">
      <w:pPr>
        <w:pStyle w:val="FootnoteText"/>
        <w:rPr>
          <w:rFonts w:asciiTheme="minorHAnsi" w:hAnsiTheme="minorHAnsi" w:cstheme="minorHAnsi"/>
          <w:sz w:val="18"/>
          <w:szCs w:val="18"/>
        </w:rPr>
      </w:pPr>
      <w:r w:rsidRPr="009F31CF">
        <w:rPr>
          <w:rStyle w:val="FootnoteReference"/>
          <w:rFonts w:asciiTheme="minorHAnsi" w:hAnsiTheme="minorHAnsi" w:cstheme="minorHAnsi"/>
          <w:sz w:val="18"/>
          <w:szCs w:val="18"/>
        </w:rPr>
        <w:footnoteRef/>
      </w:r>
      <w:r w:rsidRPr="009F31CF">
        <w:rPr>
          <w:rFonts w:asciiTheme="minorHAnsi" w:hAnsiTheme="minorHAnsi" w:cstheme="minorHAnsi"/>
          <w:sz w:val="18"/>
          <w:szCs w:val="18"/>
        </w:rPr>
        <w:t xml:space="preserve"> </w:t>
      </w:r>
      <w:r w:rsidRPr="009F31CF">
        <w:rPr>
          <w:rFonts w:asciiTheme="minorHAnsi" w:hAnsiTheme="minorHAnsi" w:cstheme="minorHAnsi"/>
          <w:bCs/>
          <w:sz w:val="18"/>
          <w:szCs w:val="18"/>
        </w:rPr>
        <w:t>Choi H, Park MS, Lee HM. Hand surface area as a percentage of body surface area in Asian children: a pilot study. Burns. 2011 Sep;37(6):1062-6. doi: 10.1016/j.burns.2011.03.010. Epub 2011 Apr 13. PMID: 21489696.</w:t>
      </w:r>
    </w:p>
  </w:footnote>
  <w:footnote w:id="5">
    <w:p w14:paraId="74A7134B" w14:textId="77777777" w:rsidR="00854463" w:rsidRPr="009F31CF" w:rsidRDefault="00854463" w:rsidP="00854463">
      <w:pPr>
        <w:pStyle w:val="FootnoteText"/>
        <w:rPr>
          <w:rFonts w:asciiTheme="minorHAnsi" w:hAnsiTheme="minorHAnsi" w:cstheme="minorHAnsi"/>
          <w:sz w:val="18"/>
          <w:szCs w:val="18"/>
        </w:rPr>
      </w:pPr>
      <w:r w:rsidRPr="009F31CF">
        <w:rPr>
          <w:rStyle w:val="FootnoteReference"/>
          <w:rFonts w:asciiTheme="minorHAnsi" w:hAnsiTheme="minorHAnsi" w:cstheme="minorHAnsi"/>
          <w:sz w:val="18"/>
          <w:szCs w:val="18"/>
        </w:rPr>
        <w:footnoteRef/>
      </w:r>
      <w:r w:rsidRPr="009F31CF">
        <w:rPr>
          <w:rFonts w:asciiTheme="minorHAnsi" w:hAnsiTheme="minorHAnsi" w:cstheme="minorHAnsi"/>
          <w:sz w:val="18"/>
          <w:szCs w:val="18"/>
        </w:rPr>
        <w:t xml:space="preserve"> Schaefer TJ, Szymanski KD. Burn Evaluation and Management. [Updated 2022 Aug 23]. In: StatPearls [Internet]. Treasure Island (FL): StatPearls Publishing; 2023 Jan-. Available from: </w:t>
      </w:r>
      <w:hyperlink r:id="rId1" w:history="1">
        <w:r w:rsidRPr="009F31CF">
          <w:rPr>
            <w:rStyle w:val="Hyperlink"/>
            <w:rFonts w:asciiTheme="minorHAnsi" w:hAnsiTheme="minorHAnsi" w:cstheme="minorHAnsi"/>
            <w:sz w:val="18"/>
            <w:szCs w:val="18"/>
          </w:rPr>
          <w:t>https://www.ncbi.nlm.nih.gov/books/NBK430741/</w:t>
        </w:r>
      </w:hyperlink>
    </w:p>
  </w:footnote>
  <w:footnote w:id="6">
    <w:p w14:paraId="489C0F52" w14:textId="77777777" w:rsidR="00854463" w:rsidRDefault="00854463" w:rsidP="00854463">
      <w:pPr>
        <w:pStyle w:val="NormalWeb"/>
        <w:spacing w:before="0" w:beforeAutospacing="0" w:after="0" w:afterAutospacing="0"/>
        <w:jc w:val="both"/>
      </w:pPr>
      <w:r w:rsidRPr="009F31CF">
        <w:rPr>
          <w:rStyle w:val="FootnoteReference"/>
          <w:rFonts w:asciiTheme="minorHAnsi" w:hAnsiTheme="minorHAnsi" w:cstheme="minorHAnsi"/>
          <w:sz w:val="18"/>
          <w:szCs w:val="18"/>
        </w:rPr>
        <w:footnoteRef/>
      </w:r>
      <w:r w:rsidRPr="009F31CF">
        <w:rPr>
          <w:rFonts w:asciiTheme="minorHAnsi" w:hAnsiTheme="minorHAnsi" w:cstheme="minorHAnsi"/>
          <w:sz w:val="18"/>
          <w:szCs w:val="18"/>
        </w:rPr>
        <w:t xml:space="preserve"> Enoch S, Roshan A, Shah M. Emergency and early management of burns and scalds. BMJ 2009;338:b1037 doi:10.1136/bmj.b1037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22F4EF7" w:rsidR="00C56D78" w:rsidRPr="00135EEE" w:rsidRDefault="00135EEE" w:rsidP="00C56D78">
    <w:pPr>
      <w:keepNext/>
      <w:tabs>
        <w:tab w:val="center" w:pos="4513"/>
        <w:tab w:val="right" w:pos="9026"/>
      </w:tabs>
      <w:jc w:val="center"/>
      <w:rPr>
        <w:rFonts w:asciiTheme="minorHAnsi" w:eastAsiaTheme="minorEastAsia" w:hAnsiTheme="minorHAnsi" w:cstheme="minorHAnsi"/>
        <w:i/>
      </w:rPr>
    </w:pPr>
    <w:r w:rsidRPr="00135EEE">
      <w:rPr>
        <w:rFonts w:asciiTheme="minorHAnsi" w:hAnsiTheme="minorHAnsi"/>
        <w:i/>
      </w:rPr>
      <w:t>Public Summary Document</w:t>
    </w:r>
    <w:r w:rsidR="00906EEC" w:rsidRPr="00135EEE">
      <w:rPr>
        <w:rFonts w:asciiTheme="minorHAnsi" w:hAnsiTheme="minorHAnsi"/>
        <w:i/>
      </w:rPr>
      <w:t xml:space="preserve"> - </w:t>
    </w:r>
    <w:r w:rsidR="003165E3" w:rsidRPr="00135EEE">
      <w:rPr>
        <w:rFonts w:asciiTheme="minorHAnsi" w:eastAsiaTheme="minorEastAsia" w:hAnsiTheme="minorHAnsi" w:cstheme="minorHAnsi"/>
        <w:i/>
      </w:rPr>
      <w:t>July 2023</w:t>
    </w:r>
    <w:r w:rsidR="00C56D78" w:rsidRPr="00135EEE">
      <w:rPr>
        <w:rFonts w:asciiTheme="minorHAnsi" w:eastAsiaTheme="minorEastAsia" w:hAnsiTheme="minorHAnsi" w:cstheme="minorHAnsi"/>
        <w:i/>
      </w:rPr>
      <w:t xml:space="preserve"> PBAC Meeting</w:t>
    </w:r>
  </w:p>
  <w:p w14:paraId="49E1B9F5" w14:textId="21F0B200" w:rsidR="009C26AA" w:rsidRPr="00135EEE" w:rsidRDefault="009C26AA" w:rsidP="00C56D78">
    <w:pPr>
      <w:pStyle w:val="NoSpacing"/>
      <w:jc w:val="center"/>
      <w:rPr>
        <w:rFonts w:asciiTheme="minorHAnsi" w:hAnsiTheme="minorHAnsi" w:cstheme="minorHAnsi"/>
        <w:sz w:val="24"/>
        <w:szCs w:val="24"/>
      </w:rPr>
    </w:pP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6C8477A8"/>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32C7F"/>
    <w:multiLevelType w:val="hybridMultilevel"/>
    <w:tmpl w:val="5ACE1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52B7C64"/>
    <w:multiLevelType w:val="hybridMultilevel"/>
    <w:tmpl w:val="B82603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C399E"/>
    <w:multiLevelType w:val="hybridMultilevel"/>
    <w:tmpl w:val="58343DC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121B3F"/>
    <w:multiLevelType w:val="hybridMultilevel"/>
    <w:tmpl w:val="F558C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44933"/>
    <w:multiLevelType w:val="hybridMultilevel"/>
    <w:tmpl w:val="9F50393E"/>
    <w:lvl w:ilvl="0" w:tplc="73F03C6C">
      <w:start w:val="1"/>
      <w:numFmt w:val="upperLetter"/>
      <w:lvlText w:val="%1."/>
      <w:lvlJc w:val="left"/>
      <w:pPr>
        <w:ind w:left="720" w:hanging="360"/>
      </w:pPr>
      <w:rPr>
        <w:rFonts w:ascii="Calibri" w:eastAsiaTheme="minorHAnsi" w:hAnsi="Calibri" w:cstheme="minorHAnsi"/>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785"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0565736"/>
    <w:multiLevelType w:val="hybridMultilevel"/>
    <w:tmpl w:val="049C43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1457"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9A4ADE"/>
    <w:multiLevelType w:val="hybridMultilevel"/>
    <w:tmpl w:val="D736D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0491E13"/>
    <w:multiLevelType w:val="hybridMultilevel"/>
    <w:tmpl w:val="0A608260"/>
    <w:lvl w:ilvl="0" w:tplc="0DB8C888">
      <w:start w:val="1"/>
      <w:numFmt w:val="bullet"/>
      <w:pStyle w:val="ListParagraph"/>
      <w:lvlText w:val=""/>
      <w:lvlJc w:val="left"/>
      <w:pPr>
        <w:ind w:left="1440" w:hanging="360"/>
      </w:pPr>
      <w:rPr>
        <w:rFonts w:ascii="Symbol" w:hAnsi="Symbol" w:hint="default"/>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EC02A8"/>
    <w:multiLevelType w:val="hybridMultilevel"/>
    <w:tmpl w:val="C35079BA"/>
    <w:lvl w:ilvl="0" w:tplc="5D5E5B66">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784D033C"/>
    <w:multiLevelType w:val="multilevel"/>
    <w:tmpl w:val="C3C868F8"/>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9FE6803"/>
    <w:multiLevelType w:val="hybridMultilevel"/>
    <w:tmpl w:val="C35079BA"/>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7BBB7FF1"/>
    <w:multiLevelType w:val="hybridMultilevel"/>
    <w:tmpl w:val="0C985D64"/>
    <w:lvl w:ilvl="0" w:tplc="2E1663CA">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3292730">
    <w:abstractNumId w:val="19"/>
  </w:num>
  <w:num w:numId="2" w16cid:durableId="1249927777">
    <w:abstractNumId w:val="39"/>
  </w:num>
  <w:num w:numId="3" w16cid:durableId="745032979">
    <w:abstractNumId w:val="0"/>
  </w:num>
  <w:num w:numId="4" w16cid:durableId="377780081">
    <w:abstractNumId w:val="30"/>
  </w:num>
  <w:num w:numId="5" w16cid:durableId="71435534">
    <w:abstractNumId w:val="42"/>
  </w:num>
  <w:num w:numId="6" w16cid:durableId="825898051">
    <w:abstractNumId w:val="37"/>
  </w:num>
  <w:num w:numId="7" w16cid:durableId="1279020958">
    <w:abstractNumId w:val="25"/>
  </w:num>
  <w:num w:numId="8" w16cid:durableId="651644340">
    <w:abstractNumId w:val="22"/>
  </w:num>
  <w:num w:numId="9" w16cid:durableId="1085884607">
    <w:abstractNumId w:val="1"/>
  </w:num>
  <w:num w:numId="10" w16cid:durableId="276570831">
    <w:abstractNumId w:val="39"/>
  </w:num>
  <w:num w:numId="11" w16cid:durableId="471289515">
    <w:abstractNumId w:val="35"/>
  </w:num>
  <w:num w:numId="12" w16cid:durableId="2143694657">
    <w:abstractNumId w:val="38"/>
  </w:num>
  <w:num w:numId="13" w16cid:durableId="1688559285">
    <w:abstractNumId w:val="17"/>
  </w:num>
  <w:num w:numId="14" w16cid:durableId="866407221">
    <w:abstractNumId w:val="12"/>
  </w:num>
  <w:num w:numId="15" w16cid:durableId="1955358290">
    <w:abstractNumId w:val="33"/>
  </w:num>
  <w:num w:numId="16" w16cid:durableId="1966421936">
    <w:abstractNumId w:val="3"/>
  </w:num>
  <w:num w:numId="17" w16cid:durableId="8077425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551916">
    <w:abstractNumId w:val="40"/>
  </w:num>
  <w:num w:numId="19" w16cid:durableId="1343816483">
    <w:abstractNumId w:val="29"/>
  </w:num>
  <w:num w:numId="20" w16cid:durableId="369577587">
    <w:abstractNumId w:val="10"/>
  </w:num>
  <w:num w:numId="21" w16cid:durableId="1015572501">
    <w:abstractNumId w:val="9"/>
  </w:num>
  <w:num w:numId="22" w16cid:durableId="441656467">
    <w:abstractNumId w:val="24"/>
  </w:num>
  <w:num w:numId="23" w16cid:durableId="55588204">
    <w:abstractNumId w:val="11"/>
  </w:num>
  <w:num w:numId="24" w16cid:durableId="523371880">
    <w:abstractNumId w:val="8"/>
  </w:num>
  <w:num w:numId="25" w16cid:durableId="1210188039">
    <w:abstractNumId w:val="20"/>
  </w:num>
  <w:num w:numId="26" w16cid:durableId="2076973156">
    <w:abstractNumId w:val="27"/>
  </w:num>
  <w:num w:numId="27" w16cid:durableId="1746562491">
    <w:abstractNumId w:val="21"/>
  </w:num>
  <w:num w:numId="28" w16cid:durableId="18208065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706747">
    <w:abstractNumId w:val="15"/>
  </w:num>
  <w:num w:numId="30" w16cid:durableId="1308977394">
    <w:abstractNumId w:val="39"/>
  </w:num>
  <w:num w:numId="31" w16cid:durableId="2054692164">
    <w:abstractNumId w:val="39"/>
  </w:num>
  <w:num w:numId="32" w16cid:durableId="751659808">
    <w:abstractNumId w:val="39"/>
  </w:num>
  <w:num w:numId="33" w16cid:durableId="1533373124">
    <w:abstractNumId w:val="39"/>
  </w:num>
  <w:num w:numId="34" w16cid:durableId="480393344">
    <w:abstractNumId w:val="39"/>
  </w:num>
  <w:num w:numId="35" w16cid:durableId="1055592032">
    <w:abstractNumId w:val="39"/>
  </w:num>
  <w:num w:numId="36" w16cid:durableId="220363888">
    <w:abstractNumId w:val="39"/>
  </w:num>
  <w:num w:numId="37" w16cid:durableId="1996836358">
    <w:abstractNumId w:val="39"/>
  </w:num>
  <w:num w:numId="38" w16cid:durableId="1460683521">
    <w:abstractNumId w:val="39"/>
  </w:num>
  <w:num w:numId="39" w16cid:durableId="2086755104">
    <w:abstractNumId w:val="39"/>
  </w:num>
  <w:num w:numId="40" w16cid:durableId="121459681">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9216735">
    <w:abstractNumId w:val="28"/>
  </w:num>
  <w:num w:numId="42" w16cid:durableId="695429004">
    <w:abstractNumId w:val="32"/>
  </w:num>
  <w:num w:numId="43" w16cid:durableId="738291673">
    <w:abstractNumId w:val="3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5289401">
    <w:abstractNumId w:val="23"/>
  </w:num>
  <w:num w:numId="45" w16cid:durableId="910888776">
    <w:abstractNumId w:val="41"/>
  </w:num>
  <w:num w:numId="46" w16cid:durableId="124280724">
    <w:abstractNumId w:val="0"/>
  </w:num>
  <w:num w:numId="47" w16cid:durableId="809173488">
    <w:abstractNumId w:val="0"/>
  </w:num>
  <w:num w:numId="48" w16cid:durableId="1113674714">
    <w:abstractNumId w:val="4"/>
  </w:num>
  <w:num w:numId="49" w16cid:durableId="1760977813">
    <w:abstractNumId w:val="18"/>
  </w:num>
  <w:num w:numId="50" w16cid:durableId="1077675737">
    <w:abstractNumId w:val="5"/>
  </w:num>
  <w:num w:numId="51" w16cid:durableId="1818259316">
    <w:abstractNumId w:val="0"/>
  </w:num>
  <w:num w:numId="52" w16cid:durableId="612596760">
    <w:abstractNumId w:val="6"/>
  </w:num>
  <w:num w:numId="53" w16cid:durableId="509486976">
    <w:abstractNumId w:val="7"/>
  </w:num>
  <w:num w:numId="54" w16cid:durableId="1366254984">
    <w:abstractNumId w:val="2"/>
  </w:num>
  <w:num w:numId="55" w16cid:durableId="1426730054">
    <w:abstractNumId w:val="14"/>
  </w:num>
  <w:num w:numId="56" w16cid:durableId="120076815">
    <w:abstractNumId w:val="16"/>
  </w:num>
  <w:num w:numId="57" w16cid:durableId="335042667">
    <w:abstractNumId w:val="13"/>
  </w:num>
  <w:num w:numId="58" w16cid:durableId="32510877">
    <w:abstractNumId w:val="36"/>
  </w:num>
  <w:num w:numId="59" w16cid:durableId="905065104">
    <w:abstractNumId w:val="26"/>
  </w:num>
  <w:num w:numId="60" w16cid:durableId="207280468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928"/>
    <w:rsid w:val="00002E24"/>
    <w:rsid w:val="0000335D"/>
    <w:rsid w:val="00003EC5"/>
    <w:rsid w:val="00006769"/>
    <w:rsid w:val="00006782"/>
    <w:rsid w:val="0001179A"/>
    <w:rsid w:val="00011A59"/>
    <w:rsid w:val="00012C26"/>
    <w:rsid w:val="00012D15"/>
    <w:rsid w:val="00013E4F"/>
    <w:rsid w:val="00013FCD"/>
    <w:rsid w:val="00014D69"/>
    <w:rsid w:val="00016A41"/>
    <w:rsid w:val="00016BF2"/>
    <w:rsid w:val="00017D2C"/>
    <w:rsid w:val="00020977"/>
    <w:rsid w:val="000214D1"/>
    <w:rsid w:val="00021F20"/>
    <w:rsid w:val="0002426C"/>
    <w:rsid w:val="0002464A"/>
    <w:rsid w:val="00025A04"/>
    <w:rsid w:val="0002693D"/>
    <w:rsid w:val="0003050E"/>
    <w:rsid w:val="0003106B"/>
    <w:rsid w:val="000335B9"/>
    <w:rsid w:val="00034905"/>
    <w:rsid w:val="0003606F"/>
    <w:rsid w:val="00037906"/>
    <w:rsid w:val="00040689"/>
    <w:rsid w:val="00040840"/>
    <w:rsid w:val="00040A30"/>
    <w:rsid w:val="000421A1"/>
    <w:rsid w:val="0004240E"/>
    <w:rsid w:val="000425A2"/>
    <w:rsid w:val="00044368"/>
    <w:rsid w:val="00044E52"/>
    <w:rsid w:val="00044EC4"/>
    <w:rsid w:val="00045E26"/>
    <w:rsid w:val="000468F5"/>
    <w:rsid w:val="00046903"/>
    <w:rsid w:val="00046D92"/>
    <w:rsid w:val="00050D3B"/>
    <w:rsid w:val="000514B5"/>
    <w:rsid w:val="000521ED"/>
    <w:rsid w:val="0005322E"/>
    <w:rsid w:val="00054E2B"/>
    <w:rsid w:val="00060A82"/>
    <w:rsid w:val="00060C63"/>
    <w:rsid w:val="00060E64"/>
    <w:rsid w:val="000621AB"/>
    <w:rsid w:val="00062860"/>
    <w:rsid w:val="00062C03"/>
    <w:rsid w:val="00062E88"/>
    <w:rsid w:val="00064350"/>
    <w:rsid w:val="00066193"/>
    <w:rsid w:val="00066755"/>
    <w:rsid w:val="00070A47"/>
    <w:rsid w:val="00071A5B"/>
    <w:rsid w:val="00071C2A"/>
    <w:rsid w:val="00072730"/>
    <w:rsid w:val="0007337F"/>
    <w:rsid w:val="0007345F"/>
    <w:rsid w:val="00074320"/>
    <w:rsid w:val="00075943"/>
    <w:rsid w:val="00075F80"/>
    <w:rsid w:val="000763D5"/>
    <w:rsid w:val="00076C38"/>
    <w:rsid w:val="00077143"/>
    <w:rsid w:val="00077DF7"/>
    <w:rsid w:val="0008050C"/>
    <w:rsid w:val="00080965"/>
    <w:rsid w:val="00080D70"/>
    <w:rsid w:val="00082169"/>
    <w:rsid w:val="00082CAC"/>
    <w:rsid w:val="000834BE"/>
    <w:rsid w:val="00083F01"/>
    <w:rsid w:val="00087C4C"/>
    <w:rsid w:val="0009041E"/>
    <w:rsid w:val="00090806"/>
    <w:rsid w:val="000916B6"/>
    <w:rsid w:val="000918CB"/>
    <w:rsid w:val="00091B06"/>
    <w:rsid w:val="00093AC9"/>
    <w:rsid w:val="000951C4"/>
    <w:rsid w:val="00095ADA"/>
    <w:rsid w:val="00095F3A"/>
    <w:rsid w:val="000969AD"/>
    <w:rsid w:val="000975FB"/>
    <w:rsid w:val="000A02F8"/>
    <w:rsid w:val="000A0FFF"/>
    <w:rsid w:val="000A2806"/>
    <w:rsid w:val="000A3AA2"/>
    <w:rsid w:val="000A42EF"/>
    <w:rsid w:val="000A44B2"/>
    <w:rsid w:val="000A52F6"/>
    <w:rsid w:val="000A58B8"/>
    <w:rsid w:val="000A6705"/>
    <w:rsid w:val="000A7E0F"/>
    <w:rsid w:val="000B019A"/>
    <w:rsid w:val="000B1501"/>
    <w:rsid w:val="000B30BA"/>
    <w:rsid w:val="000B44C3"/>
    <w:rsid w:val="000B558D"/>
    <w:rsid w:val="000B5766"/>
    <w:rsid w:val="000B5A89"/>
    <w:rsid w:val="000B65F6"/>
    <w:rsid w:val="000B7767"/>
    <w:rsid w:val="000B799C"/>
    <w:rsid w:val="000C18FE"/>
    <w:rsid w:val="000C1AFF"/>
    <w:rsid w:val="000C230A"/>
    <w:rsid w:val="000C5740"/>
    <w:rsid w:val="000C5F95"/>
    <w:rsid w:val="000C6996"/>
    <w:rsid w:val="000C7C46"/>
    <w:rsid w:val="000D09E9"/>
    <w:rsid w:val="000D113F"/>
    <w:rsid w:val="000D23BA"/>
    <w:rsid w:val="000E0DB9"/>
    <w:rsid w:val="000E19B7"/>
    <w:rsid w:val="000E20FC"/>
    <w:rsid w:val="000E3C1D"/>
    <w:rsid w:val="000E3DFB"/>
    <w:rsid w:val="000E5EA1"/>
    <w:rsid w:val="000E681E"/>
    <w:rsid w:val="000E696B"/>
    <w:rsid w:val="000E7E52"/>
    <w:rsid w:val="000E7E90"/>
    <w:rsid w:val="000EE1C7"/>
    <w:rsid w:val="000F0003"/>
    <w:rsid w:val="000F2B09"/>
    <w:rsid w:val="000F3384"/>
    <w:rsid w:val="000F46D0"/>
    <w:rsid w:val="000F4E6A"/>
    <w:rsid w:val="000F6ABB"/>
    <w:rsid w:val="000F7354"/>
    <w:rsid w:val="000F7C27"/>
    <w:rsid w:val="00100062"/>
    <w:rsid w:val="00100065"/>
    <w:rsid w:val="00101ABE"/>
    <w:rsid w:val="00102202"/>
    <w:rsid w:val="0010233F"/>
    <w:rsid w:val="001023F2"/>
    <w:rsid w:val="00102700"/>
    <w:rsid w:val="00102A78"/>
    <w:rsid w:val="00103118"/>
    <w:rsid w:val="00103F1B"/>
    <w:rsid w:val="00104227"/>
    <w:rsid w:val="001053D5"/>
    <w:rsid w:val="00107409"/>
    <w:rsid w:val="00107519"/>
    <w:rsid w:val="001107BF"/>
    <w:rsid w:val="00111FC3"/>
    <w:rsid w:val="0011208D"/>
    <w:rsid w:val="00113649"/>
    <w:rsid w:val="001139B8"/>
    <w:rsid w:val="00113D5C"/>
    <w:rsid w:val="00114D71"/>
    <w:rsid w:val="00116B03"/>
    <w:rsid w:val="00120AA6"/>
    <w:rsid w:val="001239DB"/>
    <w:rsid w:val="0012417C"/>
    <w:rsid w:val="001246D4"/>
    <w:rsid w:val="00124BF2"/>
    <w:rsid w:val="00125837"/>
    <w:rsid w:val="0012597F"/>
    <w:rsid w:val="00126B19"/>
    <w:rsid w:val="00126D3A"/>
    <w:rsid w:val="0012749D"/>
    <w:rsid w:val="00127A23"/>
    <w:rsid w:val="001306A5"/>
    <w:rsid w:val="00130918"/>
    <w:rsid w:val="001311AE"/>
    <w:rsid w:val="001314B8"/>
    <w:rsid w:val="00132E55"/>
    <w:rsid w:val="00134994"/>
    <w:rsid w:val="00135EEE"/>
    <w:rsid w:val="001366C2"/>
    <w:rsid w:val="00136C17"/>
    <w:rsid w:val="00140B74"/>
    <w:rsid w:val="00140D94"/>
    <w:rsid w:val="00140F8F"/>
    <w:rsid w:val="00142395"/>
    <w:rsid w:val="0014250D"/>
    <w:rsid w:val="00142714"/>
    <w:rsid w:val="00144D09"/>
    <w:rsid w:val="00144E06"/>
    <w:rsid w:val="001452ED"/>
    <w:rsid w:val="00147D84"/>
    <w:rsid w:val="00151CBD"/>
    <w:rsid w:val="00152636"/>
    <w:rsid w:val="001533C3"/>
    <w:rsid w:val="001549C1"/>
    <w:rsid w:val="00156C8D"/>
    <w:rsid w:val="0016045E"/>
    <w:rsid w:val="00160F4D"/>
    <w:rsid w:val="00161240"/>
    <w:rsid w:val="00162BDD"/>
    <w:rsid w:val="00162D4E"/>
    <w:rsid w:val="0016308E"/>
    <w:rsid w:val="00163329"/>
    <w:rsid w:val="0016430D"/>
    <w:rsid w:val="00164623"/>
    <w:rsid w:val="001652DE"/>
    <w:rsid w:val="001653EC"/>
    <w:rsid w:val="00165B64"/>
    <w:rsid w:val="00165EFD"/>
    <w:rsid w:val="00167C39"/>
    <w:rsid w:val="00174A7B"/>
    <w:rsid w:val="00174E01"/>
    <w:rsid w:val="00176B9D"/>
    <w:rsid w:val="00180713"/>
    <w:rsid w:val="00180720"/>
    <w:rsid w:val="001830CE"/>
    <w:rsid w:val="001836E3"/>
    <w:rsid w:val="00184659"/>
    <w:rsid w:val="001860E5"/>
    <w:rsid w:val="0018643B"/>
    <w:rsid w:val="00193F4C"/>
    <w:rsid w:val="00196307"/>
    <w:rsid w:val="00197C70"/>
    <w:rsid w:val="00197F03"/>
    <w:rsid w:val="001A0D10"/>
    <w:rsid w:val="001A0DE8"/>
    <w:rsid w:val="001A1C47"/>
    <w:rsid w:val="001A25AF"/>
    <w:rsid w:val="001A33EA"/>
    <w:rsid w:val="001A3615"/>
    <w:rsid w:val="001A4413"/>
    <w:rsid w:val="001A4C4F"/>
    <w:rsid w:val="001A5481"/>
    <w:rsid w:val="001A5A2B"/>
    <w:rsid w:val="001A5F90"/>
    <w:rsid w:val="001A76FB"/>
    <w:rsid w:val="001B017F"/>
    <w:rsid w:val="001B060F"/>
    <w:rsid w:val="001B09A3"/>
    <w:rsid w:val="001B0B79"/>
    <w:rsid w:val="001B1957"/>
    <w:rsid w:val="001B19EA"/>
    <w:rsid w:val="001B2BBC"/>
    <w:rsid w:val="001B2BCD"/>
    <w:rsid w:val="001B3A40"/>
    <w:rsid w:val="001B3FFE"/>
    <w:rsid w:val="001B4BE7"/>
    <w:rsid w:val="001B5129"/>
    <w:rsid w:val="001B5F86"/>
    <w:rsid w:val="001C0B4C"/>
    <w:rsid w:val="001C0EC4"/>
    <w:rsid w:val="001C1195"/>
    <w:rsid w:val="001C12AE"/>
    <w:rsid w:val="001C1E84"/>
    <w:rsid w:val="001C20E1"/>
    <w:rsid w:val="001C22C9"/>
    <w:rsid w:val="001C24FB"/>
    <w:rsid w:val="001C2A0F"/>
    <w:rsid w:val="001C2E42"/>
    <w:rsid w:val="001C34E7"/>
    <w:rsid w:val="001D168C"/>
    <w:rsid w:val="001D1AF7"/>
    <w:rsid w:val="001D1F5F"/>
    <w:rsid w:val="001D2A68"/>
    <w:rsid w:val="001D4333"/>
    <w:rsid w:val="001D5479"/>
    <w:rsid w:val="001E06D2"/>
    <w:rsid w:val="001E17C4"/>
    <w:rsid w:val="001E2D65"/>
    <w:rsid w:val="001E7AF9"/>
    <w:rsid w:val="001F005B"/>
    <w:rsid w:val="001F0D6D"/>
    <w:rsid w:val="001F12E0"/>
    <w:rsid w:val="001F1850"/>
    <w:rsid w:val="001F1FBF"/>
    <w:rsid w:val="001F2311"/>
    <w:rsid w:val="001F241A"/>
    <w:rsid w:val="001F2B80"/>
    <w:rsid w:val="001F2ECB"/>
    <w:rsid w:val="001F2F1C"/>
    <w:rsid w:val="001F3189"/>
    <w:rsid w:val="001F382C"/>
    <w:rsid w:val="001F6AB7"/>
    <w:rsid w:val="00200BEA"/>
    <w:rsid w:val="0020161A"/>
    <w:rsid w:val="00201FB8"/>
    <w:rsid w:val="00203F9C"/>
    <w:rsid w:val="00203FAC"/>
    <w:rsid w:val="00206917"/>
    <w:rsid w:val="0020755E"/>
    <w:rsid w:val="00212A52"/>
    <w:rsid w:val="002133FB"/>
    <w:rsid w:val="00213CFB"/>
    <w:rsid w:val="0021553C"/>
    <w:rsid w:val="0021557B"/>
    <w:rsid w:val="00216B87"/>
    <w:rsid w:val="002174FD"/>
    <w:rsid w:val="00217BE1"/>
    <w:rsid w:val="00217EF9"/>
    <w:rsid w:val="0022077D"/>
    <w:rsid w:val="00221361"/>
    <w:rsid w:val="002214B9"/>
    <w:rsid w:val="00222463"/>
    <w:rsid w:val="002224EA"/>
    <w:rsid w:val="00222680"/>
    <w:rsid w:val="00223370"/>
    <w:rsid w:val="00224D1E"/>
    <w:rsid w:val="00226611"/>
    <w:rsid w:val="00226B8E"/>
    <w:rsid w:val="00227BC5"/>
    <w:rsid w:val="0023037A"/>
    <w:rsid w:val="00230F63"/>
    <w:rsid w:val="00234252"/>
    <w:rsid w:val="0023466E"/>
    <w:rsid w:val="002362A1"/>
    <w:rsid w:val="00237AC6"/>
    <w:rsid w:val="00242593"/>
    <w:rsid w:val="00242B64"/>
    <w:rsid w:val="00242BFD"/>
    <w:rsid w:val="0024397F"/>
    <w:rsid w:val="00244139"/>
    <w:rsid w:val="00244490"/>
    <w:rsid w:val="00244BEC"/>
    <w:rsid w:val="00245B9C"/>
    <w:rsid w:val="00246405"/>
    <w:rsid w:val="00246A48"/>
    <w:rsid w:val="00251AF8"/>
    <w:rsid w:val="00252587"/>
    <w:rsid w:val="00253499"/>
    <w:rsid w:val="00255127"/>
    <w:rsid w:val="002551A4"/>
    <w:rsid w:val="00257664"/>
    <w:rsid w:val="00260165"/>
    <w:rsid w:val="0026390B"/>
    <w:rsid w:val="002640EC"/>
    <w:rsid w:val="00265151"/>
    <w:rsid w:val="00265C2C"/>
    <w:rsid w:val="00266509"/>
    <w:rsid w:val="0026673B"/>
    <w:rsid w:val="0026704C"/>
    <w:rsid w:val="00270E4B"/>
    <w:rsid w:val="00271A82"/>
    <w:rsid w:val="00271BA1"/>
    <w:rsid w:val="00272BEA"/>
    <w:rsid w:val="00272FEA"/>
    <w:rsid w:val="00273AC5"/>
    <w:rsid w:val="002762FA"/>
    <w:rsid w:val="00276A83"/>
    <w:rsid w:val="00276BE3"/>
    <w:rsid w:val="00277505"/>
    <w:rsid w:val="00277873"/>
    <w:rsid w:val="00277ABB"/>
    <w:rsid w:val="0028158C"/>
    <w:rsid w:val="002822A2"/>
    <w:rsid w:val="002823B6"/>
    <w:rsid w:val="00283C92"/>
    <w:rsid w:val="00286062"/>
    <w:rsid w:val="00290C03"/>
    <w:rsid w:val="00292392"/>
    <w:rsid w:val="00292E3B"/>
    <w:rsid w:val="002933A8"/>
    <w:rsid w:val="00294274"/>
    <w:rsid w:val="0029458F"/>
    <w:rsid w:val="00296EAB"/>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6319"/>
    <w:rsid w:val="002B77D7"/>
    <w:rsid w:val="002C0763"/>
    <w:rsid w:val="002C212F"/>
    <w:rsid w:val="002C2F35"/>
    <w:rsid w:val="002C36B0"/>
    <w:rsid w:val="002C6AA9"/>
    <w:rsid w:val="002C6D53"/>
    <w:rsid w:val="002C7485"/>
    <w:rsid w:val="002D1467"/>
    <w:rsid w:val="002D1909"/>
    <w:rsid w:val="002D2641"/>
    <w:rsid w:val="002D283A"/>
    <w:rsid w:val="002D3C6C"/>
    <w:rsid w:val="002D4543"/>
    <w:rsid w:val="002D6420"/>
    <w:rsid w:val="002D68F0"/>
    <w:rsid w:val="002D715F"/>
    <w:rsid w:val="002E022A"/>
    <w:rsid w:val="002E3153"/>
    <w:rsid w:val="002E4A02"/>
    <w:rsid w:val="002E5292"/>
    <w:rsid w:val="002E72CA"/>
    <w:rsid w:val="002E75DD"/>
    <w:rsid w:val="002F01F9"/>
    <w:rsid w:val="002F1D07"/>
    <w:rsid w:val="002F2768"/>
    <w:rsid w:val="002F5C5B"/>
    <w:rsid w:val="002F600D"/>
    <w:rsid w:val="002F6F0F"/>
    <w:rsid w:val="002F7E47"/>
    <w:rsid w:val="0030057F"/>
    <w:rsid w:val="00300AD6"/>
    <w:rsid w:val="00300B1B"/>
    <w:rsid w:val="003019D0"/>
    <w:rsid w:val="003019DE"/>
    <w:rsid w:val="00302D19"/>
    <w:rsid w:val="0030311E"/>
    <w:rsid w:val="003032C7"/>
    <w:rsid w:val="003064AF"/>
    <w:rsid w:val="00307DC6"/>
    <w:rsid w:val="00310A8B"/>
    <w:rsid w:val="00310B68"/>
    <w:rsid w:val="003160D2"/>
    <w:rsid w:val="003165E3"/>
    <w:rsid w:val="003173FC"/>
    <w:rsid w:val="0031759B"/>
    <w:rsid w:val="00317C6C"/>
    <w:rsid w:val="00320B80"/>
    <w:rsid w:val="00320CD3"/>
    <w:rsid w:val="003215FF"/>
    <w:rsid w:val="00322667"/>
    <w:rsid w:val="00326031"/>
    <w:rsid w:val="0032607C"/>
    <w:rsid w:val="00326E79"/>
    <w:rsid w:val="0032748A"/>
    <w:rsid w:val="00327C64"/>
    <w:rsid w:val="00327D7E"/>
    <w:rsid w:val="003301B1"/>
    <w:rsid w:val="00331189"/>
    <w:rsid w:val="00331402"/>
    <w:rsid w:val="00332602"/>
    <w:rsid w:val="0033263D"/>
    <w:rsid w:val="00334E69"/>
    <w:rsid w:val="0033518A"/>
    <w:rsid w:val="00335535"/>
    <w:rsid w:val="00335CE7"/>
    <w:rsid w:val="003367EF"/>
    <w:rsid w:val="0034027D"/>
    <w:rsid w:val="00341638"/>
    <w:rsid w:val="00341AE4"/>
    <w:rsid w:val="003425CA"/>
    <w:rsid w:val="00342FBF"/>
    <w:rsid w:val="00343E9D"/>
    <w:rsid w:val="00343FB7"/>
    <w:rsid w:val="00346339"/>
    <w:rsid w:val="00347598"/>
    <w:rsid w:val="003476EE"/>
    <w:rsid w:val="00347E8C"/>
    <w:rsid w:val="003503FD"/>
    <w:rsid w:val="00350D27"/>
    <w:rsid w:val="003521FE"/>
    <w:rsid w:val="00352397"/>
    <w:rsid w:val="003530DE"/>
    <w:rsid w:val="00353F23"/>
    <w:rsid w:val="003541DD"/>
    <w:rsid w:val="00354C78"/>
    <w:rsid w:val="00356E5B"/>
    <w:rsid w:val="00357851"/>
    <w:rsid w:val="00357DAD"/>
    <w:rsid w:val="00360887"/>
    <w:rsid w:val="00360EAA"/>
    <w:rsid w:val="0036249F"/>
    <w:rsid w:val="00362AF9"/>
    <w:rsid w:val="00363D36"/>
    <w:rsid w:val="003643FE"/>
    <w:rsid w:val="00364D57"/>
    <w:rsid w:val="00365D17"/>
    <w:rsid w:val="0037093A"/>
    <w:rsid w:val="00371246"/>
    <w:rsid w:val="00371607"/>
    <w:rsid w:val="003736C9"/>
    <w:rsid w:val="00377E21"/>
    <w:rsid w:val="00380374"/>
    <w:rsid w:val="00383B77"/>
    <w:rsid w:val="00384988"/>
    <w:rsid w:val="003854F9"/>
    <w:rsid w:val="00386D83"/>
    <w:rsid w:val="003872CF"/>
    <w:rsid w:val="003874CB"/>
    <w:rsid w:val="00387842"/>
    <w:rsid w:val="00392509"/>
    <w:rsid w:val="003936AF"/>
    <w:rsid w:val="00395B5C"/>
    <w:rsid w:val="00395BD7"/>
    <w:rsid w:val="00396E08"/>
    <w:rsid w:val="003970DD"/>
    <w:rsid w:val="00397567"/>
    <w:rsid w:val="0039782C"/>
    <w:rsid w:val="003A13A6"/>
    <w:rsid w:val="003A2165"/>
    <w:rsid w:val="003A3432"/>
    <w:rsid w:val="003A3AF3"/>
    <w:rsid w:val="003A3FD4"/>
    <w:rsid w:val="003A4B33"/>
    <w:rsid w:val="003A4C95"/>
    <w:rsid w:val="003A5B4A"/>
    <w:rsid w:val="003A5D4A"/>
    <w:rsid w:val="003A5D95"/>
    <w:rsid w:val="003A642E"/>
    <w:rsid w:val="003A6510"/>
    <w:rsid w:val="003A7378"/>
    <w:rsid w:val="003A74E2"/>
    <w:rsid w:val="003B0D3A"/>
    <w:rsid w:val="003B2302"/>
    <w:rsid w:val="003B23C5"/>
    <w:rsid w:val="003B2A75"/>
    <w:rsid w:val="003B49B2"/>
    <w:rsid w:val="003B6124"/>
    <w:rsid w:val="003B7960"/>
    <w:rsid w:val="003C0908"/>
    <w:rsid w:val="003C093A"/>
    <w:rsid w:val="003C135D"/>
    <w:rsid w:val="003C1ECF"/>
    <w:rsid w:val="003C2FB5"/>
    <w:rsid w:val="003C4529"/>
    <w:rsid w:val="003D0EFC"/>
    <w:rsid w:val="003D24C5"/>
    <w:rsid w:val="003D4594"/>
    <w:rsid w:val="003D4AC4"/>
    <w:rsid w:val="003D5433"/>
    <w:rsid w:val="003D63B7"/>
    <w:rsid w:val="003D74C5"/>
    <w:rsid w:val="003E3012"/>
    <w:rsid w:val="003E3ACF"/>
    <w:rsid w:val="003E4374"/>
    <w:rsid w:val="003E468B"/>
    <w:rsid w:val="003E62BD"/>
    <w:rsid w:val="003E658D"/>
    <w:rsid w:val="003F044F"/>
    <w:rsid w:val="003F0696"/>
    <w:rsid w:val="003F0C3A"/>
    <w:rsid w:val="003F15F0"/>
    <w:rsid w:val="003F2AD9"/>
    <w:rsid w:val="003F3228"/>
    <w:rsid w:val="003F480D"/>
    <w:rsid w:val="003F5C8C"/>
    <w:rsid w:val="003F63CE"/>
    <w:rsid w:val="003F775A"/>
    <w:rsid w:val="003F7DCB"/>
    <w:rsid w:val="00400E55"/>
    <w:rsid w:val="0040128E"/>
    <w:rsid w:val="00401640"/>
    <w:rsid w:val="0040216B"/>
    <w:rsid w:val="00402318"/>
    <w:rsid w:val="00404852"/>
    <w:rsid w:val="0040590E"/>
    <w:rsid w:val="00407CC8"/>
    <w:rsid w:val="004103D5"/>
    <w:rsid w:val="00414F0C"/>
    <w:rsid w:val="00414F6B"/>
    <w:rsid w:val="00416C3B"/>
    <w:rsid w:val="00417420"/>
    <w:rsid w:val="00420400"/>
    <w:rsid w:val="00423E78"/>
    <w:rsid w:val="00425178"/>
    <w:rsid w:val="004252EC"/>
    <w:rsid w:val="00430D39"/>
    <w:rsid w:val="004321DB"/>
    <w:rsid w:val="00436AA1"/>
    <w:rsid w:val="00442C91"/>
    <w:rsid w:val="00442CC3"/>
    <w:rsid w:val="00444DDA"/>
    <w:rsid w:val="00444E9D"/>
    <w:rsid w:val="0044562D"/>
    <w:rsid w:val="004465BD"/>
    <w:rsid w:val="00446938"/>
    <w:rsid w:val="00447578"/>
    <w:rsid w:val="004528FA"/>
    <w:rsid w:val="00452A6C"/>
    <w:rsid w:val="00453DC9"/>
    <w:rsid w:val="00455F17"/>
    <w:rsid w:val="00456952"/>
    <w:rsid w:val="00456C9D"/>
    <w:rsid w:val="00457A26"/>
    <w:rsid w:val="00461A44"/>
    <w:rsid w:val="0046243D"/>
    <w:rsid w:val="00462D26"/>
    <w:rsid w:val="00463160"/>
    <w:rsid w:val="0046368B"/>
    <w:rsid w:val="0046385A"/>
    <w:rsid w:val="00463EA0"/>
    <w:rsid w:val="00464039"/>
    <w:rsid w:val="00466ADA"/>
    <w:rsid w:val="00467D24"/>
    <w:rsid w:val="004702BB"/>
    <w:rsid w:val="00473029"/>
    <w:rsid w:val="0047494B"/>
    <w:rsid w:val="00474CFF"/>
    <w:rsid w:val="00476245"/>
    <w:rsid w:val="00477A9B"/>
    <w:rsid w:val="00482AE4"/>
    <w:rsid w:val="00483035"/>
    <w:rsid w:val="0048308D"/>
    <w:rsid w:val="00484516"/>
    <w:rsid w:val="00485940"/>
    <w:rsid w:val="00486907"/>
    <w:rsid w:val="00486C95"/>
    <w:rsid w:val="004877C2"/>
    <w:rsid w:val="00487999"/>
    <w:rsid w:val="004904B9"/>
    <w:rsid w:val="00491EDC"/>
    <w:rsid w:val="004928E1"/>
    <w:rsid w:val="00492D8D"/>
    <w:rsid w:val="00493E0D"/>
    <w:rsid w:val="00494E47"/>
    <w:rsid w:val="00496662"/>
    <w:rsid w:val="004A0932"/>
    <w:rsid w:val="004A1431"/>
    <w:rsid w:val="004A1B43"/>
    <w:rsid w:val="004A2484"/>
    <w:rsid w:val="004A5A85"/>
    <w:rsid w:val="004A71D1"/>
    <w:rsid w:val="004A7456"/>
    <w:rsid w:val="004A7C5B"/>
    <w:rsid w:val="004A7FF9"/>
    <w:rsid w:val="004B1845"/>
    <w:rsid w:val="004B2348"/>
    <w:rsid w:val="004B2E01"/>
    <w:rsid w:val="004B2E98"/>
    <w:rsid w:val="004B5640"/>
    <w:rsid w:val="004B6084"/>
    <w:rsid w:val="004B7801"/>
    <w:rsid w:val="004BCF29"/>
    <w:rsid w:val="004C0206"/>
    <w:rsid w:val="004C03D0"/>
    <w:rsid w:val="004C0878"/>
    <w:rsid w:val="004C1BD7"/>
    <w:rsid w:val="004C1BF2"/>
    <w:rsid w:val="004C212B"/>
    <w:rsid w:val="004C239C"/>
    <w:rsid w:val="004C2755"/>
    <w:rsid w:val="004C31FE"/>
    <w:rsid w:val="004C524C"/>
    <w:rsid w:val="004C5EDD"/>
    <w:rsid w:val="004C5FFA"/>
    <w:rsid w:val="004C677F"/>
    <w:rsid w:val="004C691D"/>
    <w:rsid w:val="004C6C07"/>
    <w:rsid w:val="004C7148"/>
    <w:rsid w:val="004C7E15"/>
    <w:rsid w:val="004C7EBD"/>
    <w:rsid w:val="004C7EC6"/>
    <w:rsid w:val="004C7F50"/>
    <w:rsid w:val="004D1F7F"/>
    <w:rsid w:val="004D2CD1"/>
    <w:rsid w:val="004D365C"/>
    <w:rsid w:val="004D3FFE"/>
    <w:rsid w:val="004D4D5E"/>
    <w:rsid w:val="004D4FF6"/>
    <w:rsid w:val="004D5ADD"/>
    <w:rsid w:val="004D73FC"/>
    <w:rsid w:val="004E0CC3"/>
    <w:rsid w:val="004E1762"/>
    <w:rsid w:val="004E2CCB"/>
    <w:rsid w:val="004E46C9"/>
    <w:rsid w:val="004E692D"/>
    <w:rsid w:val="004E7230"/>
    <w:rsid w:val="004E72C9"/>
    <w:rsid w:val="004E7D87"/>
    <w:rsid w:val="004F1368"/>
    <w:rsid w:val="004F2553"/>
    <w:rsid w:val="004F260D"/>
    <w:rsid w:val="004F306A"/>
    <w:rsid w:val="005007E3"/>
    <w:rsid w:val="00501554"/>
    <w:rsid w:val="00502AFE"/>
    <w:rsid w:val="00502E64"/>
    <w:rsid w:val="00503AD7"/>
    <w:rsid w:val="00503E89"/>
    <w:rsid w:val="005045C4"/>
    <w:rsid w:val="00504E0C"/>
    <w:rsid w:val="00504E13"/>
    <w:rsid w:val="00505256"/>
    <w:rsid w:val="0050736E"/>
    <w:rsid w:val="005109D4"/>
    <w:rsid w:val="00511875"/>
    <w:rsid w:val="00511DC3"/>
    <w:rsid w:val="0051230A"/>
    <w:rsid w:val="00513906"/>
    <w:rsid w:val="00514CD7"/>
    <w:rsid w:val="00515149"/>
    <w:rsid w:val="0051641F"/>
    <w:rsid w:val="005167EC"/>
    <w:rsid w:val="005170DA"/>
    <w:rsid w:val="005203FD"/>
    <w:rsid w:val="00520D6A"/>
    <w:rsid w:val="00521C8A"/>
    <w:rsid w:val="00522DB6"/>
    <w:rsid w:val="00523CCA"/>
    <w:rsid w:val="00525977"/>
    <w:rsid w:val="005264A7"/>
    <w:rsid w:val="005266B0"/>
    <w:rsid w:val="0052792D"/>
    <w:rsid w:val="005319B2"/>
    <w:rsid w:val="00532402"/>
    <w:rsid w:val="00532C74"/>
    <w:rsid w:val="00533239"/>
    <w:rsid w:val="00534972"/>
    <w:rsid w:val="00534E2E"/>
    <w:rsid w:val="00535133"/>
    <w:rsid w:val="00536443"/>
    <w:rsid w:val="0053674E"/>
    <w:rsid w:val="00537A65"/>
    <w:rsid w:val="0054064C"/>
    <w:rsid w:val="00541C25"/>
    <w:rsid w:val="005429F0"/>
    <w:rsid w:val="0054348D"/>
    <w:rsid w:val="00544552"/>
    <w:rsid w:val="00545130"/>
    <w:rsid w:val="00546B36"/>
    <w:rsid w:val="00552642"/>
    <w:rsid w:val="0055286A"/>
    <w:rsid w:val="005538F5"/>
    <w:rsid w:val="00553B1B"/>
    <w:rsid w:val="00555522"/>
    <w:rsid w:val="00555745"/>
    <w:rsid w:val="00557D4F"/>
    <w:rsid w:val="0056122E"/>
    <w:rsid w:val="00562A2B"/>
    <w:rsid w:val="00562E4C"/>
    <w:rsid w:val="0056484E"/>
    <w:rsid w:val="00564A94"/>
    <w:rsid w:val="00565999"/>
    <w:rsid w:val="00566C5F"/>
    <w:rsid w:val="00567D8A"/>
    <w:rsid w:val="00570231"/>
    <w:rsid w:val="00570BD4"/>
    <w:rsid w:val="005714B7"/>
    <w:rsid w:val="005764CD"/>
    <w:rsid w:val="0057756B"/>
    <w:rsid w:val="00577C4D"/>
    <w:rsid w:val="00580532"/>
    <w:rsid w:val="005806F9"/>
    <w:rsid w:val="00581932"/>
    <w:rsid w:val="00583002"/>
    <w:rsid w:val="005831E6"/>
    <w:rsid w:val="00584ECE"/>
    <w:rsid w:val="005903BB"/>
    <w:rsid w:val="005930C9"/>
    <w:rsid w:val="00593893"/>
    <w:rsid w:val="00594CE0"/>
    <w:rsid w:val="00594D39"/>
    <w:rsid w:val="005957DD"/>
    <w:rsid w:val="005963BB"/>
    <w:rsid w:val="0059645C"/>
    <w:rsid w:val="00596C5C"/>
    <w:rsid w:val="00596D37"/>
    <w:rsid w:val="005973C5"/>
    <w:rsid w:val="005A002F"/>
    <w:rsid w:val="005A15D2"/>
    <w:rsid w:val="005A2285"/>
    <w:rsid w:val="005A3173"/>
    <w:rsid w:val="005A3223"/>
    <w:rsid w:val="005A3DA3"/>
    <w:rsid w:val="005A52C4"/>
    <w:rsid w:val="005A5E16"/>
    <w:rsid w:val="005A63A1"/>
    <w:rsid w:val="005B0486"/>
    <w:rsid w:val="005B1032"/>
    <w:rsid w:val="005B1473"/>
    <w:rsid w:val="005B2D35"/>
    <w:rsid w:val="005B36FA"/>
    <w:rsid w:val="005B3913"/>
    <w:rsid w:val="005B5978"/>
    <w:rsid w:val="005C09F6"/>
    <w:rsid w:val="005C4F73"/>
    <w:rsid w:val="005C5AAD"/>
    <w:rsid w:val="005D03AB"/>
    <w:rsid w:val="005D401D"/>
    <w:rsid w:val="005D5017"/>
    <w:rsid w:val="005D5708"/>
    <w:rsid w:val="005D63FA"/>
    <w:rsid w:val="005D643D"/>
    <w:rsid w:val="005D6DA0"/>
    <w:rsid w:val="005D73C7"/>
    <w:rsid w:val="005E0C2D"/>
    <w:rsid w:val="005E0D82"/>
    <w:rsid w:val="005E0F59"/>
    <w:rsid w:val="005E1333"/>
    <w:rsid w:val="005E266F"/>
    <w:rsid w:val="005E2BF1"/>
    <w:rsid w:val="005E3136"/>
    <w:rsid w:val="005E3847"/>
    <w:rsid w:val="005E507D"/>
    <w:rsid w:val="005E5AD4"/>
    <w:rsid w:val="005F0AD0"/>
    <w:rsid w:val="005F348F"/>
    <w:rsid w:val="005F452B"/>
    <w:rsid w:val="005F7612"/>
    <w:rsid w:val="005F772D"/>
    <w:rsid w:val="00600631"/>
    <w:rsid w:val="00601435"/>
    <w:rsid w:val="00601A91"/>
    <w:rsid w:val="00602BA3"/>
    <w:rsid w:val="006036B4"/>
    <w:rsid w:val="006054B6"/>
    <w:rsid w:val="00605B63"/>
    <w:rsid w:val="00605F9A"/>
    <w:rsid w:val="00606442"/>
    <w:rsid w:val="00606EED"/>
    <w:rsid w:val="00607DDB"/>
    <w:rsid w:val="00612A95"/>
    <w:rsid w:val="00612E34"/>
    <w:rsid w:val="006132DA"/>
    <w:rsid w:val="00614159"/>
    <w:rsid w:val="006158A3"/>
    <w:rsid w:val="006158A7"/>
    <w:rsid w:val="006164C1"/>
    <w:rsid w:val="00616C5F"/>
    <w:rsid w:val="00616DAC"/>
    <w:rsid w:val="00617725"/>
    <w:rsid w:val="00617C00"/>
    <w:rsid w:val="00620448"/>
    <w:rsid w:val="00622A73"/>
    <w:rsid w:val="00625EAD"/>
    <w:rsid w:val="006263BF"/>
    <w:rsid w:val="0062748A"/>
    <w:rsid w:val="00630546"/>
    <w:rsid w:val="00630A2C"/>
    <w:rsid w:val="00632B91"/>
    <w:rsid w:val="00632FAE"/>
    <w:rsid w:val="006339D8"/>
    <w:rsid w:val="00634A75"/>
    <w:rsid w:val="00635E99"/>
    <w:rsid w:val="0063682E"/>
    <w:rsid w:val="0063690A"/>
    <w:rsid w:val="00637D43"/>
    <w:rsid w:val="00640088"/>
    <w:rsid w:val="00641B3C"/>
    <w:rsid w:val="00641D63"/>
    <w:rsid w:val="00641EE7"/>
    <w:rsid w:val="00642672"/>
    <w:rsid w:val="00642DA8"/>
    <w:rsid w:val="006436CD"/>
    <w:rsid w:val="00643840"/>
    <w:rsid w:val="0064625E"/>
    <w:rsid w:val="00647F70"/>
    <w:rsid w:val="00650976"/>
    <w:rsid w:val="00651169"/>
    <w:rsid w:val="00651EAF"/>
    <w:rsid w:val="00653D69"/>
    <w:rsid w:val="006552E6"/>
    <w:rsid w:val="00655794"/>
    <w:rsid w:val="00656F2F"/>
    <w:rsid w:val="00657C63"/>
    <w:rsid w:val="00657D90"/>
    <w:rsid w:val="00661CBC"/>
    <w:rsid w:val="00662B85"/>
    <w:rsid w:val="00663646"/>
    <w:rsid w:val="00663782"/>
    <w:rsid w:val="006653B5"/>
    <w:rsid w:val="00666134"/>
    <w:rsid w:val="006663D5"/>
    <w:rsid w:val="006670B3"/>
    <w:rsid w:val="006670BE"/>
    <w:rsid w:val="00670A76"/>
    <w:rsid w:val="006711AA"/>
    <w:rsid w:val="00671A42"/>
    <w:rsid w:val="00672B57"/>
    <w:rsid w:val="006736AD"/>
    <w:rsid w:val="00673A50"/>
    <w:rsid w:val="00673F1F"/>
    <w:rsid w:val="00675622"/>
    <w:rsid w:val="00675A4E"/>
    <w:rsid w:val="00675DEB"/>
    <w:rsid w:val="0067747D"/>
    <w:rsid w:val="00681693"/>
    <w:rsid w:val="006818D5"/>
    <w:rsid w:val="00681CA4"/>
    <w:rsid w:val="006821F9"/>
    <w:rsid w:val="00685801"/>
    <w:rsid w:val="00686559"/>
    <w:rsid w:val="0068695C"/>
    <w:rsid w:val="0069039D"/>
    <w:rsid w:val="006906DB"/>
    <w:rsid w:val="00691900"/>
    <w:rsid w:val="00691E6C"/>
    <w:rsid w:val="00692A16"/>
    <w:rsid w:val="00693425"/>
    <w:rsid w:val="0069342D"/>
    <w:rsid w:val="00693DE8"/>
    <w:rsid w:val="00693DFB"/>
    <w:rsid w:val="00694FD5"/>
    <w:rsid w:val="0069501D"/>
    <w:rsid w:val="00696129"/>
    <w:rsid w:val="00697CF2"/>
    <w:rsid w:val="006A12A5"/>
    <w:rsid w:val="006A2515"/>
    <w:rsid w:val="006A572D"/>
    <w:rsid w:val="006A5E20"/>
    <w:rsid w:val="006A6503"/>
    <w:rsid w:val="006A6E54"/>
    <w:rsid w:val="006A7D3C"/>
    <w:rsid w:val="006B0D94"/>
    <w:rsid w:val="006B16B6"/>
    <w:rsid w:val="006B34B0"/>
    <w:rsid w:val="006B40BC"/>
    <w:rsid w:val="006B485D"/>
    <w:rsid w:val="006B5B1D"/>
    <w:rsid w:val="006B7DDA"/>
    <w:rsid w:val="006C0622"/>
    <w:rsid w:val="006C0C45"/>
    <w:rsid w:val="006C1193"/>
    <w:rsid w:val="006C2806"/>
    <w:rsid w:val="006C334C"/>
    <w:rsid w:val="006C6C10"/>
    <w:rsid w:val="006C708E"/>
    <w:rsid w:val="006C72E1"/>
    <w:rsid w:val="006C7FBB"/>
    <w:rsid w:val="006D0F1D"/>
    <w:rsid w:val="006D14E7"/>
    <w:rsid w:val="006D3399"/>
    <w:rsid w:val="006D41F0"/>
    <w:rsid w:val="006D4444"/>
    <w:rsid w:val="006D52F7"/>
    <w:rsid w:val="006D6493"/>
    <w:rsid w:val="006D6602"/>
    <w:rsid w:val="006D6EC7"/>
    <w:rsid w:val="006D6F8A"/>
    <w:rsid w:val="006D7B05"/>
    <w:rsid w:val="006D7E45"/>
    <w:rsid w:val="006E023B"/>
    <w:rsid w:val="006E1143"/>
    <w:rsid w:val="006E1BCD"/>
    <w:rsid w:val="006E2732"/>
    <w:rsid w:val="006E2F02"/>
    <w:rsid w:val="006E59CD"/>
    <w:rsid w:val="006F00ED"/>
    <w:rsid w:val="006F026F"/>
    <w:rsid w:val="006F0A71"/>
    <w:rsid w:val="006F1C6B"/>
    <w:rsid w:val="006F1DD7"/>
    <w:rsid w:val="006F2C05"/>
    <w:rsid w:val="006F35BC"/>
    <w:rsid w:val="006F4068"/>
    <w:rsid w:val="006F40C2"/>
    <w:rsid w:val="006F5125"/>
    <w:rsid w:val="006F61E7"/>
    <w:rsid w:val="006F733D"/>
    <w:rsid w:val="006F73B4"/>
    <w:rsid w:val="00700673"/>
    <w:rsid w:val="00700765"/>
    <w:rsid w:val="00702959"/>
    <w:rsid w:val="00702B6F"/>
    <w:rsid w:val="007030B4"/>
    <w:rsid w:val="007037F1"/>
    <w:rsid w:val="00703B86"/>
    <w:rsid w:val="00704069"/>
    <w:rsid w:val="00704AD9"/>
    <w:rsid w:val="00706554"/>
    <w:rsid w:val="00706A2F"/>
    <w:rsid w:val="0070718E"/>
    <w:rsid w:val="00707E52"/>
    <w:rsid w:val="00710259"/>
    <w:rsid w:val="0071031F"/>
    <w:rsid w:val="00710737"/>
    <w:rsid w:val="007115E3"/>
    <w:rsid w:val="00712A4A"/>
    <w:rsid w:val="0071340B"/>
    <w:rsid w:val="00713C50"/>
    <w:rsid w:val="0071436D"/>
    <w:rsid w:val="00714551"/>
    <w:rsid w:val="00715BBB"/>
    <w:rsid w:val="007174BB"/>
    <w:rsid w:val="0072025D"/>
    <w:rsid w:val="00721DA1"/>
    <w:rsid w:val="00723328"/>
    <w:rsid w:val="0072373A"/>
    <w:rsid w:val="007237DE"/>
    <w:rsid w:val="0072502E"/>
    <w:rsid w:val="00730800"/>
    <w:rsid w:val="0073137C"/>
    <w:rsid w:val="00732370"/>
    <w:rsid w:val="00733922"/>
    <w:rsid w:val="007340B9"/>
    <w:rsid w:val="007353D3"/>
    <w:rsid w:val="00737D76"/>
    <w:rsid w:val="0074156B"/>
    <w:rsid w:val="00741619"/>
    <w:rsid w:val="007423BE"/>
    <w:rsid w:val="00742885"/>
    <w:rsid w:val="007432FD"/>
    <w:rsid w:val="00747092"/>
    <w:rsid w:val="00747667"/>
    <w:rsid w:val="007477FF"/>
    <w:rsid w:val="007526E6"/>
    <w:rsid w:val="00753260"/>
    <w:rsid w:val="00754DF9"/>
    <w:rsid w:val="007555E8"/>
    <w:rsid w:val="0075591E"/>
    <w:rsid w:val="00755CC5"/>
    <w:rsid w:val="0075742F"/>
    <w:rsid w:val="0076194D"/>
    <w:rsid w:val="00762862"/>
    <w:rsid w:val="0076420C"/>
    <w:rsid w:val="00770F7B"/>
    <w:rsid w:val="00771AFE"/>
    <w:rsid w:val="00771D07"/>
    <w:rsid w:val="00772649"/>
    <w:rsid w:val="00773BE3"/>
    <w:rsid w:val="007743DD"/>
    <w:rsid w:val="00774E2C"/>
    <w:rsid w:val="0077503C"/>
    <w:rsid w:val="0077518D"/>
    <w:rsid w:val="007753C2"/>
    <w:rsid w:val="00776068"/>
    <w:rsid w:val="00776242"/>
    <w:rsid w:val="00776342"/>
    <w:rsid w:val="007838B8"/>
    <w:rsid w:val="00785779"/>
    <w:rsid w:val="00786772"/>
    <w:rsid w:val="00787FD8"/>
    <w:rsid w:val="00791593"/>
    <w:rsid w:val="007915BA"/>
    <w:rsid w:val="00791844"/>
    <w:rsid w:val="00793CE9"/>
    <w:rsid w:val="00794EAB"/>
    <w:rsid w:val="00795CB5"/>
    <w:rsid w:val="00796667"/>
    <w:rsid w:val="00797068"/>
    <w:rsid w:val="007979BD"/>
    <w:rsid w:val="00797DFD"/>
    <w:rsid w:val="007A3D8E"/>
    <w:rsid w:val="007A56C8"/>
    <w:rsid w:val="007A5C88"/>
    <w:rsid w:val="007A6A2F"/>
    <w:rsid w:val="007B024E"/>
    <w:rsid w:val="007B2BD0"/>
    <w:rsid w:val="007B3BAF"/>
    <w:rsid w:val="007B3DDC"/>
    <w:rsid w:val="007B60D3"/>
    <w:rsid w:val="007B72A6"/>
    <w:rsid w:val="007B75C2"/>
    <w:rsid w:val="007C06D2"/>
    <w:rsid w:val="007C08E0"/>
    <w:rsid w:val="007C0F57"/>
    <w:rsid w:val="007C1376"/>
    <w:rsid w:val="007C2F4B"/>
    <w:rsid w:val="007C40B6"/>
    <w:rsid w:val="007C5975"/>
    <w:rsid w:val="007C729F"/>
    <w:rsid w:val="007C72AD"/>
    <w:rsid w:val="007D1E68"/>
    <w:rsid w:val="007D2495"/>
    <w:rsid w:val="007D4831"/>
    <w:rsid w:val="007D503D"/>
    <w:rsid w:val="007D59E7"/>
    <w:rsid w:val="007D5F2A"/>
    <w:rsid w:val="007E07AC"/>
    <w:rsid w:val="007E1014"/>
    <w:rsid w:val="007E12F8"/>
    <w:rsid w:val="007E1D28"/>
    <w:rsid w:val="007E29A0"/>
    <w:rsid w:val="007E4564"/>
    <w:rsid w:val="007E490F"/>
    <w:rsid w:val="007E5361"/>
    <w:rsid w:val="007E5DA9"/>
    <w:rsid w:val="007E6533"/>
    <w:rsid w:val="007E7DDF"/>
    <w:rsid w:val="007F0021"/>
    <w:rsid w:val="007F08C3"/>
    <w:rsid w:val="007F2641"/>
    <w:rsid w:val="007F3F7E"/>
    <w:rsid w:val="007F4114"/>
    <w:rsid w:val="007F442E"/>
    <w:rsid w:val="007F68D7"/>
    <w:rsid w:val="007F7C36"/>
    <w:rsid w:val="007F7F45"/>
    <w:rsid w:val="0080001F"/>
    <w:rsid w:val="00800F9F"/>
    <w:rsid w:val="00801927"/>
    <w:rsid w:val="00801958"/>
    <w:rsid w:val="008055AF"/>
    <w:rsid w:val="008057CD"/>
    <w:rsid w:val="008066B8"/>
    <w:rsid w:val="00806796"/>
    <w:rsid w:val="00810167"/>
    <w:rsid w:val="008104D0"/>
    <w:rsid w:val="00811AFB"/>
    <w:rsid w:val="00811CC0"/>
    <w:rsid w:val="00812159"/>
    <w:rsid w:val="00814276"/>
    <w:rsid w:val="0081453D"/>
    <w:rsid w:val="008147DD"/>
    <w:rsid w:val="008151D6"/>
    <w:rsid w:val="00815A67"/>
    <w:rsid w:val="00817DC8"/>
    <w:rsid w:val="00820803"/>
    <w:rsid w:val="00821527"/>
    <w:rsid w:val="008225CE"/>
    <w:rsid w:val="00822696"/>
    <w:rsid w:val="00825A6C"/>
    <w:rsid w:val="0082617E"/>
    <w:rsid w:val="00826389"/>
    <w:rsid w:val="008268BB"/>
    <w:rsid w:val="00826F6D"/>
    <w:rsid w:val="008306F3"/>
    <w:rsid w:val="00830E40"/>
    <w:rsid w:val="00830E82"/>
    <w:rsid w:val="00830F68"/>
    <w:rsid w:val="00831786"/>
    <w:rsid w:val="00832D19"/>
    <w:rsid w:val="00832D9A"/>
    <w:rsid w:val="00833696"/>
    <w:rsid w:val="00835C62"/>
    <w:rsid w:val="00835CEC"/>
    <w:rsid w:val="008361EB"/>
    <w:rsid w:val="008368A1"/>
    <w:rsid w:val="00836BAD"/>
    <w:rsid w:val="008370D7"/>
    <w:rsid w:val="00840EF7"/>
    <w:rsid w:val="0084366D"/>
    <w:rsid w:val="00843739"/>
    <w:rsid w:val="00844C0A"/>
    <w:rsid w:val="00846056"/>
    <w:rsid w:val="0084681F"/>
    <w:rsid w:val="00847D08"/>
    <w:rsid w:val="00847EC0"/>
    <w:rsid w:val="008507E4"/>
    <w:rsid w:val="00853F1D"/>
    <w:rsid w:val="00854463"/>
    <w:rsid w:val="00854506"/>
    <w:rsid w:val="008551B0"/>
    <w:rsid w:val="008556FF"/>
    <w:rsid w:val="00855C6D"/>
    <w:rsid w:val="00855FD6"/>
    <w:rsid w:val="00856DDD"/>
    <w:rsid w:val="00860233"/>
    <w:rsid w:val="00861AB5"/>
    <w:rsid w:val="00863E68"/>
    <w:rsid w:val="008647B5"/>
    <w:rsid w:val="008677FE"/>
    <w:rsid w:val="00867D64"/>
    <w:rsid w:val="00867D93"/>
    <w:rsid w:val="00872E8F"/>
    <w:rsid w:val="008742D2"/>
    <w:rsid w:val="00875DCB"/>
    <w:rsid w:val="00876FBF"/>
    <w:rsid w:val="0087755A"/>
    <w:rsid w:val="00882085"/>
    <w:rsid w:val="00882F7A"/>
    <w:rsid w:val="00883188"/>
    <w:rsid w:val="00883973"/>
    <w:rsid w:val="00884A0C"/>
    <w:rsid w:val="00886857"/>
    <w:rsid w:val="00886ACA"/>
    <w:rsid w:val="00886B01"/>
    <w:rsid w:val="0089031E"/>
    <w:rsid w:val="0089109A"/>
    <w:rsid w:val="008936F2"/>
    <w:rsid w:val="00893D5C"/>
    <w:rsid w:val="0089423C"/>
    <w:rsid w:val="0089460B"/>
    <w:rsid w:val="00897D58"/>
    <w:rsid w:val="00897F22"/>
    <w:rsid w:val="008A0B39"/>
    <w:rsid w:val="008A17A3"/>
    <w:rsid w:val="008A1956"/>
    <w:rsid w:val="008A1E85"/>
    <w:rsid w:val="008A2419"/>
    <w:rsid w:val="008A4937"/>
    <w:rsid w:val="008A50F1"/>
    <w:rsid w:val="008A59D9"/>
    <w:rsid w:val="008A62CD"/>
    <w:rsid w:val="008A643E"/>
    <w:rsid w:val="008A6819"/>
    <w:rsid w:val="008A6ED1"/>
    <w:rsid w:val="008A7C68"/>
    <w:rsid w:val="008B007A"/>
    <w:rsid w:val="008B2B86"/>
    <w:rsid w:val="008B2EC0"/>
    <w:rsid w:val="008B4FA9"/>
    <w:rsid w:val="008B6DCF"/>
    <w:rsid w:val="008C2DC7"/>
    <w:rsid w:val="008C2FB9"/>
    <w:rsid w:val="008C4D49"/>
    <w:rsid w:val="008D066A"/>
    <w:rsid w:val="008D0945"/>
    <w:rsid w:val="008D1409"/>
    <w:rsid w:val="008D15CC"/>
    <w:rsid w:val="008D1729"/>
    <w:rsid w:val="008D1B5C"/>
    <w:rsid w:val="008D1CE9"/>
    <w:rsid w:val="008D1E7B"/>
    <w:rsid w:val="008D3C82"/>
    <w:rsid w:val="008D447E"/>
    <w:rsid w:val="008D5F84"/>
    <w:rsid w:val="008D6ACF"/>
    <w:rsid w:val="008D7A41"/>
    <w:rsid w:val="008D7CA9"/>
    <w:rsid w:val="008E2C72"/>
    <w:rsid w:val="008E3680"/>
    <w:rsid w:val="008E4E0A"/>
    <w:rsid w:val="008E4F87"/>
    <w:rsid w:val="008E5870"/>
    <w:rsid w:val="008E5993"/>
    <w:rsid w:val="008E77E4"/>
    <w:rsid w:val="008F0213"/>
    <w:rsid w:val="008F07ED"/>
    <w:rsid w:val="008F11F8"/>
    <w:rsid w:val="008F1434"/>
    <w:rsid w:val="008F2BB9"/>
    <w:rsid w:val="008F3622"/>
    <w:rsid w:val="008F3B09"/>
    <w:rsid w:val="008F3D6A"/>
    <w:rsid w:val="008F54C3"/>
    <w:rsid w:val="008F6385"/>
    <w:rsid w:val="008F7355"/>
    <w:rsid w:val="008F7EE6"/>
    <w:rsid w:val="009023DC"/>
    <w:rsid w:val="009027C5"/>
    <w:rsid w:val="00904413"/>
    <w:rsid w:val="009067B7"/>
    <w:rsid w:val="00906860"/>
    <w:rsid w:val="00906E7A"/>
    <w:rsid w:val="00906E7F"/>
    <w:rsid w:val="00906EEC"/>
    <w:rsid w:val="0090764A"/>
    <w:rsid w:val="0090775A"/>
    <w:rsid w:val="00907DFD"/>
    <w:rsid w:val="009112E5"/>
    <w:rsid w:val="00913C99"/>
    <w:rsid w:val="009144C4"/>
    <w:rsid w:val="00914BF3"/>
    <w:rsid w:val="0091624D"/>
    <w:rsid w:val="0091712E"/>
    <w:rsid w:val="00917D69"/>
    <w:rsid w:val="00920B6D"/>
    <w:rsid w:val="00926560"/>
    <w:rsid w:val="00926B15"/>
    <w:rsid w:val="00930291"/>
    <w:rsid w:val="00930937"/>
    <w:rsid w:val="009324A6"/>
    <w:rsid w:val="0093313D"/>
    <w:rsid w:val="00933B7D"/>
    <w:rsid w:val="00933E6C"/>
    <w:rsid w:val="00935A6E"/>
    <w:rsid w:val="00936DA2"/>
    <w:rsid w:val="00937958"/>
    <w:rsid w:val="009406E5"/>
    <w:rsid w:val="00941602"/>
    <w:rsid w:val="00942160"/>
    <w:rsid w:val="00943A9F"/>
    <w:rsid w:val="0094444D"/>
    <w:rsid w:val="00946921"/>
    <w:rsid w:val="00947343"/>
    <w:rsid w:val="00947447"/>
    <w:rsid w:val="0095146F"/>
    <w:rsid w:val="00951F2D"/>
    <w:rsid w:val="00952839"/>
    <w:rsid w:val="009534C7"/>
    <w:rsid w:val="00954720"/>
    <w:rsid w:val="009566DC"/>
    <w:rsid w:val="00956A71"/>
    <w:rsid w:val="00957944"/>
    <w:rsid w:val="009602C5"/>
    <w:rsid w:val="0096103A"/>
    <w:rsid w:val="00962223"/>
    <w:rsid w:val="0096252B"/>
    <w:rsid w:val="00962EFC"/>
    <w:rsid w:val="009633A3"/>
    <w:rsid w:val="009639DE"/>
    <w:rsid w:val="009644D9"/>
    <w:rsid w:val="00964A0C"/>
    <w:rsid w:val="00964A9F"/>
    <w:rsid w:val="0096516C"/>
    <w:rsid w:val="009651FD"/>
    <w:rsid w:val="00966658"/>
    <w:rsid w:val="00966D0D"/>
    <w:rsid w:val="0096728E"/>
    <w:rsid w:val="00967732"/>
    <w:rsid w:val="0096783C"/>
    <w:rsid w:val="00970023"/>
    <w:rsid w:val="0097004C"/>
    <w:rsid w:val="00972203"/>
    <w:rsid w:val="009722B3"/>
    <w:rsid w:val="0097349B"/>
    <w:rsid w:val="00973E24"/>
    <w:rsid w:val="00974C21"/>
    <w:rsid w:val="00974C90"/>
    <w:rsid w:val="00974D5F"/>
    <w:rsid w:val="0097510D"/>
    <w:rsid w:val="00975948"/>
    <w:rsid w:val="009766C5"/>
    <w:rsid w:val="009772FD"/>
    <w:rsid w:val="0097765B"/>
    <w:rsid w:val="00977BF3"/>
    <w:rsid w:val="00977CB3"/>
    <w:rsid w:val="009803E4"/>
    <w:rsid w:val="00980B0E"/>
    <w:rsid w:val="00981267"/>
    <w:rsid w:val="00982B39"/>
    <w:rsid w:val="009836A3"/>
    <w:rsid w:val="00984C58"/>
    <w:rsid w:val="009855A8"/>
    <w:rsid w:val="00985CBE"/>
    <w:rsid w:val="00985D1A"/>
    <w:rsid w:val="00987638"/>
    <w:rsid w:val="00990CF8"/>
    <w:rsid w:val="009913F4"/>
    <w:rsid w:val="00991782"/>
    <w:rsid w:val="00992965"/>
    <w:rsid w:val="00993264"/>
    <w:rsid w:val="009937F7"/>
    <w:rsid w:val="00993FAB"/>
    <w:rsid w:val="0099465B"/>
    <w:rsid w:val="00994CBB"/>
    <w:rsid w:val="009951A1"/>
    <w:rsid w:val="00997A44"/>
    <w:rsid w:val="009A0392"/>
    <w:rsid w:val="009A076E"/>
    <w:rsid w:val="009A0CDD"/>
    <w:rsid w:val="009A10FE"/>
    <w:rsid w:val="009A3168"/>
    <w:rsid w:val="009A3C85"/>
    <w:rsid w:val="009A4621"/>
    <w:rsid w:val="009A4BDF"/>
    <w:rsid w:val="009A5D04"/>
    <w:rsid w:val="009A61CA"/>
    <w:rsid w:val="009A7BAC"/>
    <w:rsid w:val="009B0062"/>
    <w:rsid w:val="009B0C64"/>
    <w:rsid w:val="009B0F67"/>
    <w:rsid w:val="009B208A"/>
    <w:rsid w:val="009B2756"/>
    <w:rsid w:val="009B3D56"/>
    <w:rsid w:val="009B3F8C"/>
    <w:rsid w:val="009B533B"/>
    <w:rsid w:val="009B53F3"/>
    <w:rsid w:val="009B546B"/>
    <w:rsid w:val="009C26AA"/>
    <w:rsid w:val="009C4AB5"/>
    <w:rsid w:val="009C5197"/>
    <w:rsid w:val="009C5C45"/>
    <w:rsid w:val="009C703C"/>
    <w:rsid w:val="009D0C29"/>
    <w:rsid w:val="009D1BD3"/>
    <w:rsid w:val="009D206E"/>
    <w:rsid w:val="009D3CAA"/>
    <w:rsid w:val="009D460E"/>
    <w:rsid w:val="009D507A"/>
    <w:rsid w:val="009D5720"/>
    <w:rsid w:val="009D6532"/>
    <w:rsid w:val="009D6EFC"/>
    <w:rsid w:val="009D7096"/>
    <w:rsid w:val="009D71FD"/>
    <w:rsid w:val="009E06F0"/>
    <w:rsid w:val="009E0755"/>
    <w:rsid w:val="009E10AD"/>
    <w:rsid w:val="009E2588"/>
    <w:rsid w:val="009E2E8E"/>
    <w:rsid w:val="009E3951"/>
    <w:rsid w:val="009E40E1"/>
    <w:rsid w:val="009E5BDA"/>
    <w:rsid w:val="009F0EFA"/>
    <w:rsid w:val="009F31CF"/>
    <w:rsid w:val="009F4E46"/>
    <w:rsid w:val="009F5B65"/>
    <w:rsid w:val="009F5F2E"/>
    <w:rsid w:val="00A01432"/>
    <w:rsid w:val="00A038F5"/>
    <w:rsid w:val="00A06225"/>
    <w:rsid w:val="00A066E6"/>
    <w:rsid w:val="00A0714A"/>
    <w:rsid w:val="00A071E2"/>
    <w:rsid w:val="00A110D1"/>
    <w:rsid w:val="00A12587"/>
    <w:rsid w:val="00A128E6"/>
    <w:rsid w:val="00A144D3"/>
    <w:rsid w:val="00A15E22"/>
    <w:rsid w:val="00A17E6F"/>
    <w:rsid w:val="00A17EA7"/>
    <w:rsid w:val="00A21D7D"/>
    <w:rsid w:val="00A22AC3"/>
    <w:rsid w:val="00A233DD"/>
    <w:rsid w:val="00A2351E"/>
    <w:rsid w:val="00A23F3F"/>
    <w:rsid w:val="00A24067"/>
    <w:rsid w:val="00A24A4B"/>
    <w:rsid w:val="00A26E28"/>
    <w:rsid w:val="00A2744D"/>
    <w:rsid w:val="00A30D16"/>
    <w:rsid w:val="00A316A8"/>
    <w:rsid w:val="00A33EB7"/>
    <w:rsid w:val="00A34E6C"/>
    <w:rsid w:val="00A34FD0"/>
    <w:rsid w:val="00A35758"/>
    <w:rsid w:val="00A36398"/>
    <w:rsid w:val="00A37C8D"/>
    <w:rsid w:val="00A401BA"/>
    <w:rsid w:val="00A4020E"/>
    <w:rsid w:val="00A40493"/>
    <w:rsid w:val="00A40875"/>
    <w:rsid w:val="00A408E8"/>
    <w:rsid w:val="00A40FB5"/>
    <w:rsid w:val="00A42826"/>
    <w:rsid w:val="00A429B3"/>
    <w:rsid w:val="00A44A32"/>
    <w:rsid w:val="00A44EC1"/>
    <w:rsid w:val="00A44FBC"/>
    <w:rsid w:val="00A510E4"/>
    <w:rsid w:val="00A51F8C"/>
    <w:rsid w:val="00A526F7"/>
    <w:rsid w:val="00A5273B"/>
    <w:rsid w:val="00A53A9D"/>
    <w:rsid w:val="00A53B14"/>
    <w:rsid w:val="00A55FEE"/>
    <w:rsid w:val="00A566CF"/>
    <w:rsid w:val="00A56B74"/>
    <w:rsid w:val="00A57422"/>
    <w:rsid w:val="00A57AF0"/>
    <w:rsid w:val="00A62C1A"/>
    <w:rsid w:val="00A63CA2"/>
    <w:rsid w:val="00A64176"/>
    <w:rsid w:val="00A6426D"/>
    <w:rsid w:val="00A6519F"/>
    <w:rsid w:val="00A66588"/>
    <w:rsid w:val="00A665C1"/>
    <w:rsid w:val="00A66617"/>
    <w:rsid w:val="00A673A4"/>
    <w:rsid w:val="00A7001A"/>
    <w:rsid w:val="00A70622"/>
    <w:rsid w:val="00A70977"/>
    <w:rsid w:val="00A70D58"/>
    <w:rsid w:val="00A744F9"/>
    <w:rsid w:val="00A74559"/>
    <w:rsid w:val="00A753A1"/>
    <w:rsid w:val="00A77613"/>
    <w:rsid w:val="00A77B87"/>
    <w:rsid w:val="00A801AD"/>
    <w:rsid w:val="00A80EB2"/>
    <w:rsid w:val="00A81851"/>
    <w:rsid w:val="00A832EB"/>
    <w:rsid w:val="00A8354B"/>
    <w:rsid w:val="00A8390C"/>
    <w:rsid w:val="00A84813"/>
    <w:rsid w:val="00A84F2D"/>
    <w:rsid w:val="00A86AE0"/>
    <w:rsid w:val="00A912B0"/>
    <w:rsid w:val="00A91362"/>
    <w:rsid w:val="00A9151C"/>
    <w:rsid w:val="00A919C6"/>
    <w:rsid w:val="00A928BD"/>
    <w:rsid w:val="00A92D61"/>
    <w:rsid w:val="00A93712"/>
    <w:rsid w:val="00A95CA9"/>
    <w:rsid w:val="00A95EFD"/>
    <w:rsid w:val="00A97DE9"/>
    <w:rsid w:val="00AA1076"/>
    <w:rsid w:val="00AA12CD"/>
    <w:rsid w:val="00AA4D1C"/>
    <w:rsid w:val="00AA52FD"/>
    <w:rsid w:val="00AA7006"/>
    <w:rsid w:val="00AB2843"/>
    <w:rsid w:val="00AB3138"/>
    <w:rsid w:val="00AB4684"/>
    <w:rsid w:val="00AB5856"/>
    <w:rsid w:val="00AB6148"/>
    <w:rsid w:val="00AC081D"/>
    <w:rsid w:val="00AC0C6F"/>
    <w:rsid w:val="00AC1266"/>
    <w:rsid w:val="00AC193C"/>
    <w:rsid w:val="00AC2EA7"/>
    <w:rsid w:val="00AC2EE5"/>
    <w:rsid w:val="00AC30C1"/>
    <w:rsid w:val="00AC4DE5"/>
    <w:rsid w:val="00AC5206"/>
    <w:rsid w:val="00AC6D04"/>
    <w:rsid w:val="00AD095B"/>
    <w:rsid w:val="00AD280D"/>
    <w:rsid w:val="00AD3106"/>
    <w:rsid w:val="00AD4322"/>
    <w:rsid w:val="00AD4376"/>
    <w:rsid w:val="00AD440B"/>
    <w:rsid w:val="00AD7031"/>
    <w:rsid w:val="00AD7E11"/>
    <w:rsid w:val="00AE11A5"/>
    <w:rsid w:val="00AE13E2"/>
    <w:rsid w:val="00AE22D3"/>
    <w:rsid w:val="00AE5A49"/>
    <w:rsid w:val="00AE5D22"/>
    <w:rsid w:val="00AF03E6"/>
    <w:rsid w:val="00AF0BC6"/>
    <w:rsid w:val="00AF11D8"/>
    <w:rsid w:val="00AF3117"/>
    <w:rsid w:val="00AF369A"/>
    <w:rsid w:val="00AF5605"/>
    <w:rsid w:val="00AF5867"/>
    <w:rsid w:val="00AF62DF"/>
    <w:rsid w:val="00AF68CC"/>
    <w:rsid w:val="00AF70D7"/>
    <w:rsid w:val="00AF7513"/>
    <w:rsid w:val="00B00086"/>
    <w:rsid w:val="00B00CD0"/>
    <w:rsid w:val="00B00E7F"/>
    <w:rsid w:val="00B01FF4"/>
    <w:rsid w:val="00B02441"/>
    <w:rsid w:val="00B03084"/>
    <w:rsid w:val="00B0326D"/>
    <w:rsid w:val="00B06037"/>
    <w:rsid w:val="00B06478"/>
    <w:rsid w:val="00B0658D"/>
    <w:rsid w:val="00B07533"/>
    <w:rsid w:val="00B07CFB"/>
    <w:rsid w:val="00B1059E"/>
    <w:rsid w:val="00B12C04"/>
    <w:rsid w:val="00B14A36"/>
    <w:rsid w:val="00B15EA8"/>
    <w:rsid w:val="00B15EDE"/>
    <w:rsid w:val="00B16273"/>
    <w:rsid w:val="00B170A5"/>
    <w:rsid w:val="00B1725F"/>
    <w:rsid w:val="00B176C8"/>
    <w:rsid w:val="00B17EE5"/>
    <w:rsid w:val="00B205AA"/>
    <w:rsid w:val="00B2100A"/>
    <w:rsid w:val="00B2177D"/>
    <w:rsid w:val="00B21A91"/>
    <w:rsid w:val="00B22E84"/>
    <w:rsid w:val="00B233AD"/>
    <w:rsid w:val="00B23E25"/>
    <w:rsid w:val="00B25F75"/>
    <w:rsid w:val="00B26B3F"/>
    <w:rsid w:val="00B2778F"/>
    <w:rsid w:val="00B327E2"/>
    <w:rsid w:val="00B32F8E"/>
    <w:rsid w:val="00B33635"/>
    <w:rsid w:val="00B37A23"/>
    <w:rsid w:val="00B37CF8"/>
    <w:rsid w:val="00B41641"/>
    <w:rsid w:val="00B4291A"/>
    <w:rsid w:val="00B42AF4"/>
    <w:rsid w:val="00B43E90"/>
    <w:rsid w:val="00B44308"/>
    <w:rsid w:val="00B45722"/>
    <w:rsid w:val="00B460F4"/>
    <w:rsid w:val="00B467DC"/>
    <w:rsid w:val="00B47A88"/>
    <w:rsid w:val="00B516BA"/>
    <w:rsid w:val="00B52303"/>
    <w:rsid w:val="00B531D6"/>
    <w:rsid w:val="00B5392A"/>
    <w:rsid w:val="00B539EF"/>
    <w:rsid w:val="00B54758"/>
    <w:rsid w:val="00B54800"/>
    <w:rsid w:val="00B55BD3"/>
    <w:rsid w:val="00B56118"/>
    <w:rsid w:val="00B566E1"/>
    <w:rsid w:val="00B56AFB"/>
    <w:rsid w:val="00B57A02"/>
    <w:rsid w:val="00B602F6"/>
    <w:rsid w:val="00B605B1"/>
    <w:rsid w:val="00B61157"/>
    <w:rsid w:val="00B62EC1"/>
    <w:rsid w:val="00B63CFD"/>
    <w:rsid w:val="00B64A96"/>
    <w:rsid w:val="00B6533B"/>
    <w:rsid w:val="00B67504"/>
    <w:rsid w:val="00B6773F"/>
    <w:rsid w:val="00B70EB3"/>
    <w:rsid w:val="00B72906"/>
    <w:rsid w:val="00B74F48"/>
    <w:rsid w:val="00B7525E"/>
    <w:rsid w:val="00B75433"/>
    <w:rsid w:val="00B75F70"/>
    <w:rsid w:val="00B760FB"/>
    <w:rsid w:val="00B76765"/>
    <w:rsid w:val="00B767AB"/>
    <w:rsid w:val="00B77A00"/>
    <w:rsid w:val="00B801BA"/>
    <w:rsid w:val="00B812D6"/>
    <w:rsid w:val="00B82B00"/>
    <w:rsid w:val="00B840E8"/>
    <w:rsid w:val="00B846E6"/>
    <w:rsid w:val="00B84D5C"/>
    <w:rsid w:val="00B84F75"/>
    <w:rsid w:val="00B85AF6"/>
    <w:rsid w:val="00B8683E"/>
    <w:rsid w:val="00B87FCD"/>
    <w:rsid w:val="00B92E46"/>
    <w:rsid w:val="00B93A00"/>
    <w:rsid w:val="00B941ED"/>
    <w:rsid w:val="00B9442A"/>
    <w:rsid w:val="00B956ED"/>
    <w:rsid w:val="00B959F1"/>
    <w:rsid w:val="00B96C40"/>
    <w:rsid w:val="00B97BEE"/>
    <w:rsid w:val="00BA15FA"/>
    <w:rsid w:val="00BA2DA8"/>
    <w:rsid w:val="00BA2EA2"/>
    <w:rsid w:val="00BA347C"/>
    <w:rsid w:val="00BA4C79"/>
    <w:rsid w:val="00BA72A2"/>
    <w:rsid w:val="00BA72EC"/>
    <w:rsid w:val="00BA7509"/>
    <w:rsid w:val="00BB14EF"/>
    <w:rsid w:val="00BB2116"/>
    <w:rsid w:val="00BB23C9"/>
    <w:rsid w:val="00BB298A"/>
    <w:rsid w:val="00BB3469"/>
    <w:rsid w:val="00BB5C49"/>
    <w:rsid w:val="00BB6240"/>
    <w:rsid w:val="00BB6285"/>
    <w:rsid w:val="00BB69F5"/>
    <w:rsid w:val="00BB6A67"/>
    <w:rsid w:val="00BB6E48"/>
    <w:rsid w:val="00BB7EC3"/>
    <w:rsid w:val="00BC04B1"/>
    <w:rsid w:val="00BC3D59"/>
    <w:rsid w:val="00BC470E"/>
    <w:rsid w:val="00BC4B9A"/>
    <w:rsid w:val="00BC4CB7"/>
    <w:rsid w:val="00BC5144"/>
    <w:rsid w:val="00BC649E"/>
    <w:rsid w:val="00BD02C3"/>
    <w:rsid w:val="00BD05C8"/>
    <w:rsid w:val="00BD198B"/>
    <w:rsid w:val="00BD21DC"/>
    <w:rsid w:val="00BD3718"/>
    <w:rsid w:val="00BD3CDE"/>
    <w:rsid w:val="00BD5CEB"/>
    <w:rsid w:val="00BD7483"/>
    <w:rsid w:val="00BD754D"/>
    <w:rsid w:val="00BD771E"/>
    <w:rsid w:val="00BD784C"/>
    <w:rsid w:val="00BE020A"/>
    <w:rsid w:val="00BE13DF"/>
    <w:rsid w:val="00BE1EF0"/>
    <w:rsid w:val="00BE25D7"/>
    <w:rsid w:val="00BE335F"/>
    <w:rsid w:val="00BE5C9A"/>
    <w:rsid w:val="00BF092C"/>
    <w:rsid w:val="00BF27A0"/>
    <w:rsid w:val="00BF4CB6"/>
    <w:rsid w:val="00BF51E1"/>
    <w:rsid w:val="00BF590B"/>
    <w:rsid w:val="00BF5D23"/>
    <w:rsid w:val="00BF5FC2"/>
    <w:rsid w:val="00BF680B"/>
    <w:rsid w:val="00BF6CBD"/>
    <w:rsid w:val="00C00DA7"/>
    <w:rsid w:val="00C034FB"/>
    <w:rsid w:val="00C04288"/>
    <w:rsid w:val="00C04CDE"/>
    <w:rsid w:val="00C059D5"/>
    <w:rsid w:val="00C068A6"/>
    <w:rsid w:val="00C07192"/>
    <w:rsid w:val="00C07FC0"/>
    <w:rsid w:val="00C12768"/>
    <w:rsid w:val="00C12D70"/>
    <w:rsid w:val="00C14C6A"/>
    <w:rsid w:val="00C16724"/>
    <w:rsid w:val="00C16F25"/>
    <w:rsid w:val="00C175AF"/>
    <w:rsid w:val="00C21B09"/>
    <w:rsid w:val="00C255CD"/>
    <w:rsid w:val="00C25EFF"/>
    <w:rsid w:val="00C2673A"/>
    <w:rsid w:val="00C278CD"/>
    <w:rsid w:val="00C27B58"/>
    <w:rsid w:val="00C27C1C"/>
    <w:rsid w:val="00C30B03"/>
    <w:rsid w:val="00C30BCD"/>
    <w:rsid w:val="00C3166C"/>
    <w:rsid w:val="00C33186"/>
    <w:rsid w:val="00C3340A"/>
    <w:rsid w:val="00C33868"/>
    <w:rsid w:val="00C35996"/>
    <w:rsid w:val="00C40C2B"/>
    <w:rsid w:val="00C42BCD"/>
    <w:rsid w:val="00C4485F"/>
    <w:rsid w:val="00C4599A"/>
    <w:rsid w:val="00C46C13"/>
    <w:rsid w:val="00C4730B"/>
    <w:rsid w:val="00C4747E"/>
    <w:rsid w:val="00C5097D"/>
    <w:rsid w:val="00C5151E"/>
    <w:rsid w:val="00C52256"/>
    <w:rsid w:val="00C5342C"/>
    <w:rsid w:val="00C53B2B"/>
    <w:rsid w:val="00C56D78"/>
    <w:rsid w:val="00C57465"/>
    <w:rsid w:val="00C60272"/>
    <w:rsid w:val="00C603D4"/>
    <w:rsid w:val="00C6256A"/>
    <w:rsid w:val="00C63C90"/>
    <w:rsid w:val="00C63FDA"/>
    <w:rsid w:val="00C642AB"/>
    <w:rsid w:val="00C64EBC"/>
    <w:rsid w:val="00C65DB0"/>
    <w:rsid w:val="00C664C9"/>
    <w:rsid w:val="00C664D2"/>
    <w:rsid w:val="00C671E2"/>
    <w:rsid w:val="00C677E1"/>
    <w:rsid w:val="00C705A5"/>
    <w:rsid w:val="00C70E6E"/>
    <w:rsid w:val="00C710E2"/>
    <w:rsid w:val="00C71C3F"/>
    <w:rsid w:val="00C72CCE"/>
    <w:rsid w:val="00C7409E"/>
    <w:rsid w:val="00C744E6"/>
    <w:rsid w:val="00C74D6D"/>
    <w:rsid w:val="00C7586F"/>
    <w:rsid w:val="00C76E35"/>
    <w:rsid w:val="00C76E76"/>
    <w:rsid w:val="00C77891"/>
    <w:rsid w:val="00C77B74"/>
    <w:rsid w:val="00C807E9"/>
    <w:rsid w:val="00C82062"/>
    <w:rsid w:val="00C829A9"/>
    <w:rsid w:val="00C863FA"/>
    <w:rsid w:val="00C87B80"/>
    <w:rsid w:val="00C90330"/>
    <w:rsid w:val="00C91104"/>
    <w:rsid w:val="00C91449"/>
    <w:rsid w:val="00C92D10"/>
    <w:rsid w:val="00C92F79"/>
    <w:rsid w:val="00C95200"/>
    <w:rsid w:val="00C959DD"/>
    <w:rsid w:val="00C96EC0"/>
    <w:rsid w:val="00CA06F9"/>
    <w:rsid w:val="00CA14BB"/>
    <w:rsid w:val="00CA230C"/>
    <w:rsid w:val="00CA48D9"/>
    <w:rsid w:val="00CA53C8"/>
    <w:rsid w:val="00CA5767"/>
    <w:rsid w:val="00CB1193"/>
    <w:rsid w:val="00CB267E"/>
    <w:rsid w:val="00CB3D49"/>
    <w:rsid w:val="00CB4767"/>
    <w:rsid w:val="00CB493D"/>
    <w:rsid w:val="00CB64B7"/>
    <w:rsid w:val="00CC091E"/>
    <w:rsid w:val="00CC2A3A"/>
    <w:rsid w:val="00CC3B97"/>
    <w:rsid w:val="00CD1206"/>
    <w:rsid w:val="00CD2DB0"/>
    <w:rsid w:val="00CD33E4"/>
    <w:rsid w:val="00CD5606"/>
    <w:rsid w:val="00CD6257"/>
    <w:rsid w:val="00CD66D8"/>
    <w:rsid w:val="00CD6C09"/>
    <w:rsid w:val="00CD7C0B"/>
    <w:rsid w:val="00CE060E"/>
    <w:rsid w:val="00CE10C4"/>
    <w:rsid w:val="00CE1C80"/>
    <w:rsid w:val="00CE2343"/>
    <w:rsid w:val="00CE27B5"/>
    <w:rsid w:val="00CE2BDF"/>
    <w:rsid w:val="00CE32BF"/>
    <w:rsid w:val="00CE5371"/>
    <w:rsid w:val="00CE6D24"/>
    <w:rsid w:val="00CE6DAF"/>
    <w:rsid w:val="00CF04F8"/>
    <w:rsid w:val="00CF1E78"/>
    <w:rsid w:val="00CF25AE"/>
    <w:rsid w:val="00CF410A"/>
    <w:rsid w:val="00CF5F75"/>
    <w:rsid w:val="00CF68CF"/>
    <w:rsid w:val="00CF7528"/>
    <w:rsid w:val="00CF7FDE"/>
    <w:rsid w:val="00D012AF"/>
    <w:rsid w:val="00D0321E"/>
    <w:rsid w:val="00D04E84"/>
    <w:rsid w:val="00D05457"/>
    <w:rsid w:val="00D069EB"/>
    <w:rsid w:val="00D071BE"/>
    <w:rsid w:val="00D07A8A"/>
    <w:rsid w:val="00D10E31"/>
    <w:rsid w:val="00D11199"/>
    <w:rsid w:val="00D124A8"/>
    <w:rsid w:val="00D1455A"/>
    <w:rsid w:val="00D14573"/>
    <w:rsid w:val="00D14A70"/>
    <w:rsid w:val="00D1638D"/>
    <w:rsid w:val="00D207EA"/>
    <w:rsid w:val="00D20BFE"/>
    <w:rsid w:val="00D211FB"/>
    <w:rsid w:val="00D22093"/>
    <w:rsid w:val="00D231E2"/>
    <w:rsid w:val="00D23D24"/>
    <w:rsid w:val="00D24D06"/>
    <w:rsid w:val="00D26E44"/>
    <w:rsid w:val="00D300B5"/>
    <w:rsid w:val="00D31150"/>
    <w:rsid w:val="00D3138B"/>
    <w:rsid w:val="00D31FCE"/>
    <w:rsid w:val="00D3259D"/>
    <w:rsid w:val="00D3280C"/>
    <w:rsid w:val="00D3406A"/>
    <w:rsid w:val="00D34D24"/>
    <w:rsid w:val="00D400C2"/>
    <w:rsid w:val="00D40B11"/>
    <w:rsid w:val="00D42864"/>
    <w:rsid w:val="00D429EC"/>
    <w:rsid w:val="00D43F56"/>
    <w:rsid w:val="00D441F1"/>
    <w:rsid w:val="00D45229"/>
    <w:rsid w:val="00D4572C"/>
    <w:rsid w:val="00D469B2"/>
    <w:rsid w:val="00D52B24"/>
    <w:rsid w:val="00D52C8D"/>
    <w:rsid w:val="00D52EAA"/>
    <w:rsid w:val="00D52ECF"/>
    <w:rsid w:val="00D54B09"/>
    <w:rsid w:val="00D6243E"/>
    <w:rsid w:val="00D629D2"/>
    <w:rsid w:val="00D64318"/>
    <w:rsid w:val="00D65658"/>
    <w:rsid w:val="00D67D5B"/>
    <w:rsid w:val="00D67EB2"/>
    <w:rsid w:val="00D70349"/>
    <w:rsid w:val="00D70C91"/>
    <w:rsid w:val="00D72B6F"/>
    <w:rsid w:val="00D741EB"/>
    <w:rsid w:val="00D74CEA"/>
    <w:rsid w:val="00D75930"/>
    <w:rsid w:val="00D7679C"/>
    <w:rsid w:val="00D77DFB"/>
    <w:rsid w:val="00D801D4"/>
    <w:rsid w:val="00D80E7E"/>
    <w:rsid w:val="00D817A9"/>
    <w:rsid w:val="00D820F3"/>
    <w:rsid w:val="00D83605"/>
    <w:rsid w:val="00D84934"/>
    <w:rsid w:val="00D866EB"/>
    <w:rsid w:val="00D86A0B"/>
    <w:rsid w:val="00D87D1A"/>
    <w:rsid w:val="00D906DA"/>
    <w:rsid w:val="00D91271"/>
    <w:rsid w:val="00D919F5"/>
    <w:rsid w:val="00D91BC2"/>
    <w:rsid w:val="00D945F6"/>
    <w:rsid w:val="00D94E4B"/>
    <w:rsid w:val="00D94F03"/>
    <w:rsid w:val="00D95161"/>
    <w:rsid w:val="00D95C23"/>
    <w:rsid w:val="00D975B4"/>
    <w:rsid w:val="00DA0A82"/>
    <w:rsid w:val="00DA0D14"/>
    <w:rsid w:val="00DA1FC9"/>
    <w:rsid w:val="00DA2CB5"/>
    <w:rsid w:val="00DA358F"/>
    <w:rsid w:val="00DA383E"/>
    <w:rsid w:val="00DA4BAC"/>
    <w:rsid w:val="00DA722E"/>
    <w:rsid w:val="00DA792A"/>
    <w:rsid w:val="00DB0151"/>
    <w:rsid w:val="00DB0160"/>
    <w:rsid w:val="00DB04D7"/>
    <w:rsid w:val="00DB4025"/>
    <w:rsid w:val="00DB50E1"/>
    <w:rsid w:val="00DC0566"/>
    <w:rsid w:val="00DC05E1"/>
    <w:rsid w:val="00DC1499"/>
    <w:rsid w:val="00DC16CF"/>
    <w:rsid w:val="00DC2C3E"/>
    <w:rsid w:val="00DC3137"/>
    <w:rsid w:val="00DC3A71"/>
    <w:rsid w:val="00DC4018"/>
    <w:rsid w:val="00DC4225"/>
    <w:rsid w:val="00DC4880"/>
    <w:rsid w:val="00DC4A7C"/>
    <w:rsid w:val="00DC5E90"/>
    <w:rsid w:val="00DC74B9"/>
    <w:rsid w:val="00DD0BE9"/>
    <w:rsid w:val="00DD1352"/>
    <w:rsid w:val="00DD1FDE"/>
    <w:rsid w:val="00DD2482"/>
    <w:rsid w:val="00DD26F9"/>
    <w:rsid w:val="00DD350E"/>
    <w:rsid w:val="00DD3BED"/>
    <w:rsid w:val="00DD42AB"/>
    <w:rsid w:val="00DD53A4"/>
    <w:rsid w:val="00DE06AF"/>
    <w:rsid w:val="00DE428C"/>
    <w:rsid w:val="00DE493C"/>
    <w:rsid w:val="00DE6D27"/>
    <w:rsid w:val="00DE6E32"/>
    <w:rsid w:val="00DE76EA"/>
    <w:rsid w:val="00DE79E0"/>
    <w:rsid w:val="00DF01F8"/>
    <w:rsid w:val="00DF021D"/>
    <w:rsid w:val="00DF14EE"/>
    <w:rsid w:val="00DF217D"/>
    <w:rsid w:val="00DF26A7"/>
    <w:rsid w:val="00DF3277"/>
    <w:rsid w:val="00DF3E90"/>
    <w:rsid w:val="00DF6A31"/>
    <w:rsid w:val="00DF77A1"/>
    <w:rsid w:val="00DF7919"/>
    <w:rsid w:val="00E014B0"/>
    <w:rsid w:val="00E0207E"/>
    <w:rsid w:val="00E02AE6"/>
    <w:rsid w:val="00E03912"/>
    <w:rsid w:val="00E03E6D"/>
    <w:rsid w:val="00E04008"/>
    <w:rsid w:val="00E04748"/>
    <w:rsid w:val="00E060AF"/>
    <w:rsid w:val="00E078D9"/>
    <w:rsid w:val="00E07A9A"/>
    <w:rsid w:val="00E10293"/>
    <w:rsid w:val="00E103A0"/>
    <w:rsid w:val="00E1043F"/>
    <w:rsid w:val="00E11F44"/>
    <w:rsid w:val="00E13E60"/>
    <w:rsid w:val="00E1413F"/>
    <w:rsid w:val="00E15627"/>
    <w:rsid w:val="00E164B3"/>
    <w:rsid w:val="00E16855"/>
    <w:rsid w:val="00E16910"/>
    <w:rsid w:val="00E169FA"/>
    <w:rsid w:val="00E17C89"/>
    <w:rsid w:val="00E207D7"/>
    <w:rsid w:val="00E21164"/>
    <w:rsid w:val="00E239E2"/>
    <w:rsid w:val="00E24E09"/>
    <w:rsid w:val="00E26B2E"/>
    <w:rsid w:val="00E26E3F"/>
    <w:rsid w:val="00E27234"/>
    <w:rsid w:val="00E30BB9"/>
    <w:rsid w:val="00E315BA"/>
    <w:rsid w:val="00E34774"/>
    <w:rsid w:val="00E3495C"/>
    <w:rsid w:val="00E35F54"/>
    <w:rsid w:val="00E42BDB"/>
    <w:rsid w:val="00E4659E"/>
    <w:rsid w:val="00E524A9"/>
    <w:rsid w:val="00E52691"/>
    <w:rsid w:val="00E52C8D"/>
    <w:rsid w:val="00E53D02"/>
    <w:rsid w:val="00E53F1A"/>
    <w:rsid w:val="00E5726D"/>
    <w:rsid w:val="00E57EEB"/>
    <w:rsid w:val="00E57FAC"/>
    <w:rsid w:val="00E6095E"/>
    <w:rsid w:val="00E61C64"/>
    <w:rsid w:val="00E62D94"/>
    <w:rsid w:val="00E62ECC"/>
    <w:rsid w:val="00E64F37"/>
    <w:rsid w:val="00E65091"/>
    <w:rsid w:val="00E65393"/>
    <w:rsid w:val="00E65E54"/>
    <w:rsid w:val="00E661C7"/>
    <w:rsid w:val="00E66679"/>
    <w:rsid w:val="00E669F4"/>
    <w:rsid w:val="00E732C4"/>
    <w:rsid w:val="00E74E41"/>
    <w:rsid w:val="00E75AF9"/>
    <w:rsid w:val="00E75FD3"/>
    <w:rsid w:val="00E779AD"/>
    <w:rsid w:val="00E80155"/>
    <w:rsid w:val="00E80446"/>
    <w:rsid w:val="00E8134B"/>
    <w:rsid w:val="00E81E0D"/>
    <w:rsid w:val="00E81F28"/>
    <w:rsid w:val="00E848C0"/>
    <w:rsid w:val="00E84BB8"/>
    <w:rsid w:val="00E8644E"/>
    <w:rsid w:val="00E86F92"/>
    <w:rsid w:val="00E87B63"/>
    <w:rsid w:val="00E91B96"/>
    <w:rsid w:val="00E92F2E"/>
    <w:rsid w:val="00E935DA"/>
    <w:rsid w:val="00E93D1E"/>
    <w:rsid w:val="00E941A1"/>
    <w:rsid w:val="00E95369"/>
    <w:rsid w:val="00E95CE3"/>
    <w:rsid w:val="00E95F9A"/>
    <w:rsid w:val="00E96B27"/>
    <w:rsid w:val="00EA0856"/>
    <w:rsid w:val="00EA1DC4"/>
    <w:rsid w:val="00EA1EC4"/>
    <w:rsid w:val="00EA252F"/>
    <w:rsid w:val="00EA2825"/>
    <w:rsid w:val="00EA5027"/>
    <w:rsid w:val="00EA64C2"/>
    <w:rsid w:val="00EA6518"/>
    <w:rsid w:val="00EA673E"/>
    <w:rsid w:val="00EA71A2"/>
    <w:rsid w:val="00EA7466"/>
    <w:rsid w:val="00EA773C"/>
    <w:rsid w:val="00EA7EDE"/>
    <w:rsid w:val="00EB0B63"/>
    <w:rsid w:val="00EB1936"/>
    <w:rsid w:val="00EB3545"/>
    <w:rsid w:val="00EB37BE"/>
    <w:rsid w:val="00EB4BAE"/>
    <w:rsid w:val="00EB5088"/>
    <w:rsid w:val="00EB5DF7"/>
    <w:rsid w:val="00EB6B8A"/>
    <w:rsid w:val="00EB6C56"/>
    <w:rsid w:val="00EB7210"/>
    <w:rsid w:val="00EC1B34"/>
    <w:rsid w:val="00EC26E5"/>
    <w:rsid w:val="00EC2726"/>
    <w:rsid w:val="00EC2856"/>
    <w:rsid w:val="00EC31BA"/>
    <w:rsid w:val="00EC681C"/>
    <w:rsid w:val="00EC7A10"/>
    <w:rsid w:val="00EC7B87"/>
    <w:rsid w:val="00ED1644"/>
    <w:rsid w:val="00ED2593"/>
    <w:rsid w:val="00ED3709"/>
    <w:rsid w:val="00ED52E4"/>
    <w:rsid w:val="00ED6718"/>
    <w:rsid w:val="00ED7D55"/>
    <w:rsid w:val="00ED7D9C"/>
    <w:rsid w:val="00EE00A7"/>
    <w:rsid w:val="00EE2E09"/>
    <w:rsid w:val="00EE2F77"/>
    <w:rsid w:val="00EE3158"/>
    <w:rsid w:val="00EE31A2"/>
    <w:rsid w:val="00EE341C"/>
    <w:rsid w:val="00EE4329"/>
    <w:rsid w:val="00EE557D"/>
    <w:rsid w:val="00EE5D8C"/>
    <w:rsid w:val="00EE6203"/>
    <w:rsid w:val="00EE7FE2"/>
    <w:rsid w:val="00EF0069"/>
    <w:rsid w:val="00EF3280"/>
    <w:rsid w:val="00EF3C52"/>
    <w:rsid w:val="00EF44A0"/>
    <w:rsid w:val="00EF44C5"/>
    <w:rsid w:val="00EF4580"/>
    <w:rsid w:val="00EF4FED"/>
    <w:rsid w:val="00EF52E0"/>
    <w:rsid w:val="00EF5F45"/>
    <w:rsid w:val="00EF6843"/>
    <w:rsid w:val="00EF6941"/>
    <w:rsid w:val="00EF6FB3"/>
    <w:rsid w:val="00F0068B"/>
    <w:rsid w:val="00F007C6"/>
    <w:rsid w:val="00F0172E"/>
    <w:rsid w:val="00F0253B"/>
    <w:rsid w:val="00F050BD"/>
    <w:rsid w:val="00F05657"/>
    <w:rsid w:val="00F05AB0"/>
    <w:rsid w:val="00F10F80"/>
    <w:rsid w:val="00F110E3"/>
    <w:rsid w:val="00F12C74"/>
    <w:rsid w:val="00F12DD1"/>
    <w:rsid w:val="00F13214"/>
    <w:rsid w:val="00F1467E"/>
    <w:rsid w:val="00F1559A"/>
    <w:rsid w:val="00F1626C"/>
    <w:rsid w:val="00F17ED6"/>
    <w:rsid w:val="00F204FA"/>
    <w:rsid w:val="00F20676"/>
    <w:rsid w:val="00F209E2"/>
    <w:rsid w:val="00F2398F"/>
    <w:rsid w:val="00F23DC9"/>
    <w:rsid w:val="00F251D1"/>
    <w:rsid w:val="00F25578"/>
    <w:rsid w:val="00F25825"/>
    <w:rsid w:val="00F258E5"/>
    <w:rsid w:val="00F25B9C"/>
    <w:rsid w:val="00F2675A"/>
    <w:rsid w:val="00F26CC6"/>
    <w:rsid w:val="00F300BC"/>
    <w:rsid w:val="00F305FA"/>
    <w:rsid w:val="00F3263C"/>
    <w:rsid w:val="00F32B77"/>
    <w:rsid w:val="00F3334E"/>
    <w:rsid w:val="00F3573A"/>
    <w:rsid w:val="00F36CCB"/>
    <w:rsid w:val="00F374E5"/>
    <w:rsid w:val="00F37B93"/>
    <w:rsid w:val="00F37BAD"/>
    <w:rsid w:val="00F37ECA"/>
    <w:rsid w:val="00F40A1C"/>
    <w:rsid w:val="00F43AF2"/>
    <w:rsid w:val="00F45216"/>
    <w:rsid w:val="00F5007E"/>
    <w:rsid w:val="00F50131"/>
    <w:rsid w:val="00F508F6"/>
    <w:rsid w:val="00F50EC4"/>
    <w:rsid w:val="00F51028"/>
    <w:rsid w:val="00F52232"/>
    <w:rsid w:val="00F527B1"/>
    <w:rsid w:val="00F52DC2"/>
    <w:rsid w:val="00F54AF9"/>
    <w:rsid w:val="00F550CF"/>
    <w:rsid w:val="00F553D2"/>
    <w:rsid w:val="00F56A2D"/>
    <w:rsid w:val="00F57A6D"/>
    <w:rsid w:val="00F6044B"/>
    <w:rsid w:val="00F62F19"/>
    <w:rsid w:val="00F636F2"/>
    <w:rsid w:val="00F638CC"/>
    <w:rsid w:val="00F64BCC"/>
    <w:rsid w:val="00F64C9E"/>
    <w:rsid w:val="00F64CC1"/>
    <w:rsid w:val="00F708B1"/>
    <w:rsid w:val="00F70B49"/>
    <w:rsid w:val="00F72317"/>
    <w:rsid w:val="00F73DC1"/>
    <w:rsid w:val="00F74023"/>
    <w:rsid w:val="00F745DD"/>
    <w:rsid w:val="00F75BB8"/>
    <w:rsid w:val="00F764EC"/>
    <w:rsid w:val="00F77714"/>
    <w:rsid w:val="00F80475"/>
    <w:rsid w:val="00F80972"/>
    <w:rsid w:val="00F80E6E"/>
    <w:rsid w:val="00F81390"/>
    <w:rsid w:val="00F81F7A"/>
    <w:rsid w:val="00F8247A"/>
    <w:rsid w:val="00F82B2F"/>
    <w:rsid w:val="00F82E5C"/>
    <w:rsid w:val="00F83E86"/>
    <w:rsid w:val="00F83F58"/>
    <w:rsid w:val="00F85206"/>
    <w:rsid w:val="00F85770"/>
    <w:rsid w:val="00F87C7A"/>
    <w:rsid w:val="00F87CEA"/>
    <w:rsid w:val="00F87E35"/>
    <w:rsid w:val="00F92180"/>
    <w:rsid w:val="00F9265D"/>
    <w:rsid w:val="00F941E6"/>
    <w:rsid w:val="00F9629A"/>
    <w:rsid w:val="00F97123"/>
    <w:rsid w:val="00F97EFC"/>
    <w:rsid w:val="00FA0B04"/>
    <w:rsid w:val="00FA0C7C"/>
    <w:rsid w:val="00FA1568"/>
    <w:rsid w:val="00FA1BDD"/>
    <w:rsid w:val="00FA305C"/>
    <w:rsid w:val="00FA462E"/>
    <w:rsid w:val="00FA4DD5"/>
    <w:rsid w:val="00FA5883"/>
    <w:rsid w:val="00FA6055"/>
    <w:rsid w:val="00FB0B39"/>
    <w:rsid w:val="00FB322F"/>
    <w:rsid w:val="00FB33F0"/>
    <w:rsid w:val="00FB42EE"/>
    <w:rsid w:val="00FB442F"/>
    <w:rsid w:val="00FB469B"/>
    <w:rsid w:val="00FB7D63"/>
    <w:rsid w:val="00FC034B"/>
    <w:rsid w:val="00FC118C"/>
    <w:rsid w:val="00FC1929"/>
    <w:rsid w:val="00FC3820"/>
    <w:rsid w:val="00FC3D40"/>
    <w:rsid w:val="00FC3DA9"/>
    <w:rsid w:val="00FC55CC"/>
    <w:rsid w:val="00FC5B46"/>
    <w:rsid w:val="00FD1D4F"/>
    <w:rsid w:val="00FD24BF"/>
    <w:rsid w:val="00FD2934"/>
    <w:rsid w:val="00FD334B"/>
    <w:rsid w:val="00FD33F5"/>
    <w:rsid w:val="00FD3B6E"/>
    <w:rsid w:val="00FD4140"/>
    <w:rsid w:val="00FD4E58"/>
    <w:rsid w:val="00FD532F"/>
    <w:rsid w:val="00FD57EB"/>
    <w:rsid w:val="00FD6D8E"/>
    <w:rsid w:val="00FE0663"/>
    <w:rsid w:val="00FE0B63"/>
    <w:rsid w:val="00FE0D2D"/>
    <w:rsid w:val="00FE0E94"/>
    <w:rsid w:val="00FE1703"/>
    <w:rsid w:val="00FE369C"/>
    <w:rsid w:val="00FE3C21"/>
    <w:rsid w:val="00FE3CD9"/>
    <w:rsid w:val="00FE787D"/>
    <w:rsid w:val="00FE79A4"/>
    <w:rsid w:val="00FF00BD"/>
    <w:rsid w:val="00FF067C"/>
    <w:rsid w:val="00FF0B13"/>
    <w:rsid w:val="00FF1672"/>
    <w:rsid w:val="00FF1ED4"/>
    <w:rsid w:val="00FF2372"/>
    <w:rsid w:val="00FF2801"/>
    <w:rsid w:val="00FF63E5"/>
    <w:rsid w:val="00FF671C"/>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DC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Paragraph,ES Paragraph,PBAC ES Paragraph,PBAC normal points,Bullet List,Figure_name,Bullet 1,Styl moj"/>
    <w:next w:val="ListBullet"/>
    <w:link w:val="ListParagraphChar"/>
    <w:uiPriority w:val="34"/>
    <w:qFormat/>
    <w:rsid w:val="00981267"/>
    <w:pPr>
      <w:numPr>
        <w:numId w:val="42"/>
      </w:numPr>
      <w:spacing w:after="120"/>
      <w:ind w:left="1134" w:hanging="357"/>
      <w:jc w:val="both"/>
    </w:pPr>
    <w:rPr>
      <w:rFonts w:asciiTheme="minorHAnsi" w:hAnsiTheme="minorHAnsi" w:cs="Arial"/>
      <w:snapToGrid w:val="0"/>
      <w:sz w:val="24"/>
      <w:szCs w:val="24"/>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99"/>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Paragraph Char,ES Paragraph Char,Bullet List Char"/>
    <w:basedOn w:val="DefaultParagraphFont"/>
    <w:link w:val="ListParagraph"/>
    <w:uiPriority w:val="34"/>
    <w:qFormat/>
    <w:rsid w:val="00981267"/>
    <w:rPr>
      <w:rFonts w:asciiTheme="minorHAnsi" w:hAnsiTheme="minorHAnsi" w:cs="Arial"/>
      <w:snapToGrid w:val="0"/>
      <w:sz w:val="24"/>
      <w:szCs w:val="24"/>
      <w:lang w:eastAsia="en-US"/>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3-BodyText"/>
    <w:link w:val="3BodytextChar"/>
    <w:autoRedefine/>
    <w:qFormat/>
    <w:rsid w:val="004A1B43"/>
    <w:pPr>
      <w:numPr>
        <w:ilvl w:val="0"/>
        <w:numId w:val="0"/>
      </w:numPr>
      <w:spacing w:before="120"/>
    </w:p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4A1B43"/>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753260"/>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53260"/>
    <w:rPr>
      <w:rFonts w:asciiTheme="minorHAnsi" w:eastAsiaTheme="minorHAnsi" w:hAnsiTheme="minorHAnsi" w:cstheme="minorBidi"/>
      <w:snapToGrid/>
      <w:sz w:val="24"/>
      <w:szCs w:val="22"/>
      <w:lang w:eastAsia="en-US"/>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BACheading10">
    <w:name w:val="PBAC heading 1"/>
    <w:qFormat/>
    <w:rsid w:val="00C14C6A"/>
    <w:pPr>
      <w:snapToGrid w:val="0"/>
      <w:ind w:left="720" w:hanging="720"/>
      <w:outlineLvl w:val="0"/>
    </w:pPr>
    <w:rPr>
      <w:rFonts w:ascii="Arial" w:hAnsi="Arial" w:cs="Arial"/>
      <w:b/>
      <w:sz w:val="22"/>
      <w:szCs w:val="22"/>
      <w:lang w:eastAsia="en-US"/>
    </w:rPr>
  </w:style>
  <w:style w:type="character" w:customStyle="1" w:styleId="eop">
    <w:name w:val="eop"/>
    <w:basedOn w:val="DefaultParagraphFont"/>
    <w:rsid w:val="00A15E22"/>
  </w:style>
  <w:style w:type="paragraph" w:styleId="FootnoteText">
    <w:name w:val="footnote text"/>
    <w:basedOn w:val="Normal"/>
    <w:link w:val="FootnoteTextChar"/>
    <w:semiHidden/>
    <w:unhideWhenUsed/>
    <w:rsid w:val="0023037A"/>
    <w:rPr>
      <w:sz w:val="20"/>
      <w:szCs w:val="20"/>
    </w:rPr>
  </w:style>
  <w:style w:type="character" w:customStyle="1" w:styleId="FootnoteTextChar">
    <w:name w:val="Footnote Text Char"/>
    <w:basedOn w:val="DefaultParagraphFont"/>
    <w:link w:val="FootnoteText"/>
    <w:semiHidden/>
    <w:rsid w:val="0023037A"/>
    <w:rPr>
      <w:rFonts w:ascii="Calibri" w:hAnsi="Calibri"/>
    </w:rPr>
  </w:style>
  <w:style w:type="character" w:styleId="FootnoteReference">
    <w:name w:val="footnote reference"/>
    <w:basedOn w:val="DefaultParagraphFont"/>
    <w:semiHidden/>
    <w:unhideWhenUsed/>
    <w:rsid w:val="0023037A"/>
    <w:rPr>
      <w:vertAlign w:val="superscript"/>
    </w:rPr>
  </w:style>
  <w:style w:type="paragraph" w:styleId="EndnoteText">
    <w:name w:val="endnote text"/>
    <w:basedOn w:val="Normal"/>
    <w:link w:val="EndnoteTextChar"/>
    <w:semiHidden/>
    <w:unhideWhenUsed/>
    <w:rsid w:val="00737D76"/>
    <w:rPr>
      <w:sz w:val="20"/>
      <w:szCs w:val="20"/>
    </w:rPr>
  </w:style>
  <w:style w:type="character" w:customStyle="1" w:styleId="EndnoteTextChar">
    <w:name w:val="Endnote Text Char"/>
    <w:basedOn w:val="DefaultParagraphFont"/>
    <w:link w:val="EndnoteText"/>
    <w:semiHidden/>
    <w:rsid w:val="00737D76"/>
    <w:rPr>
      <w:rFonts w:ascii="Calibri" w:hAnsi="Calibri"/>
    </w:rPr>
  </w:style>
  <w:style w:type="character" w:styleId="EndnoteReference">
    <w:name w:val="endnote reference"/>
    <w:basedOn w:val="DefaultParagraphFont"/>
    <w:semiHidden/>
    <w:unhideWhenUsed/>
    <w:rsid w:val="00737D76"/>
    <w:rPr>
      <w:vertAlign w:val="superscript"/>
    </w:rPr>
  </w:style>
  <w:style w:type="paragraph" w:styleId="NormalWeb">
    <w:name w:val="Normal (Web)"/>
    <w:basedOn w:val="Normal"/>
    <w:uiPriority w:val="99"/>
    <w:unhideWhenUsed/>
    <w:rsid w:val="009F31CF"/>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563621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98730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55631588">
      <w:bodyDiv w:val="1"/>
      <w:marLeft w:val="0"/>
      <w:marRight w:val="0"/>
      <w:marTop w:val="0"/>
      <w:marBottom w:val="0"/>
      <w:divBdr>
        <w:top w:val="none" w:sz="0" w:space="0" w:color="auto"/>
        <w:left w:val="none" w:sz="0" w:space="0" w:color="auto"/>
        <w:bottom w:val="none" w:sz="0" w:space="0" w:color="auto"/>
        <w:right w:val="none" w:sz="0" w:space="0" w:color="auto"/>
      </w:divBdr>
    </w:div>
    <w:div w:id="645933016">
      <w:bodyDiv w:val="1"/>
      <w:marLeft w:val="0"/>
      <w:marRight w:val="0"/>
      <w:marTop w:val="0"/>
      <w:marBottom w:val="0"/>
      <w:divBdr>
        <w:top w:val="none" w:sz="0" w:space="0" w:color="auto"/>
        <w:left w:val="none" w:sz="0" w:space="0" w:color="auto"/>
        <w:bottom w:val="none" w:sz="0" w:space="0" w:color="auto"/>
        <w:right w:val="none" w:sz="0" w:space="0" w:color="auto"/>
      </w:divBdr>
    </w:div>
    <w:div w:id="65523225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8405512">
      <w:bodyDiv w:val="1"/>
      <w:marLeft w:val="0"/>
      <w:marRight w:val="0"/>
      <w:marTop w:val="0"/>
      <w:marBottom w:val="0"/>
      <w:divBdr>
        <w:top w:val="none" w:sz="0" w:space="0" w:color="auto"/>
        <w:left w:val="none" w:sz="0" w:space="0" w:color="auto"/>
        <w:bottom w:val="none" w:sz="0" w:space="0" w:color="auto"/>
        <w:right w:val="none" w:sz="0" w:space="0" w:color="auto"/>
      </w:divBdr>
    </w:div>
    <w:div w:id="80990168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9114098">
      <w:bodyDiv w:val="1"/>
      <w:marLeft w:val="0"/>
      <w:marRight w:val="0"/>
      <w:marTop w:val="0"/>
      <w:marBottom w:val="0"/>
      <w:divBdr>
        <w:top w:val="none" w:sz="0" w:space="0" w:color="auto"/>
        <w:left w:val="none" w:sz="0" w:space="0" w:color="auto"/>
        <w:bottom w:val="none" w:sz="0" w:space="0" w:color="auto"/>
        <w:right w:val="none" w:sz="0" w:space="0" w:color="auto"/>
      </w:divBdr>
    </w:div>
    <w:div w:id="1131679036">
      <w:bodyDiv w:val="1"/>
      <w:marLeft w:val="0"/>
      <w:marRight w:val="0"/>
      <w:marTop w:val="0"/>
      <w:marBottom w:val="0"/>
      <w:divBdr>
        <w:top w:val="none" w:sz="0" w:space="0" w:color="auto"/>
        <w:left w:val="none" w:sz="0" w:space="0" w:color="auto"/>
        <w:bottom w:val="none" w:sz="0" w:space="0" w:color="auto"/>
        <w:right w:val="none" w:sz="0" w:space="0" w:color="auto"/>
      </w:divBdr>
      <w:divsChild>
        <w:div w:id="1248616843">
          <w:marLeft w:val="0"/>
          <w:marRight w:val="0"/>
          <w:marTop w:val="0"/>
          <w:marBottom w:val="0"/>
          <w:divBdr>
            <w:top w:val="none" w:sz="0" w:space="0" w:color="auto"/>
            <w:left w:val="none" w:sz="0" w:space="0" w:color="auto"/>
            <w:bottom w:val="none" w:sz="0" w:space="0" w:color="auto"/>
            <w:right w:val="none" w:sz="0" w:space="0" w:color="auto"/>
          </w:divBdr>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225079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453718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952532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4484589">
      <w:bodyDiv w:val="1"/>
      <w:marLeft w:val="0"/>
      <w:marRight w:val="0"/>
      <w:marTop w:val="0"/>
      <w:marBottom w:val="0"/>
      <w:divBdr>
        <w:top w:val="none" w:sz="0" w:space="0" w:color="auto"/>
        <w:left w:val="none" w:sz="0" w:space="0" w:color="auto"/>
        <w:bottom w:val="none" w:sz="0" w:space="0" w:color="auto"/>
        <w:right w:val="none" w:sz="0" w:space="0" w:color="auto"/>
      </w:divBdr>
    </w:div>
    <w:div w:id="1621376122">
      <w:bodyDiv w:val="1"/>
      <w:marLeft w:val="0"/>
      <w:marRight w:val="0"/>
      <w:marTop w:val="0"/>
      <w:marBottom w:val="0"/>
      <w:divBdr>
        <w:top w:val="none" w:sz="0" w:space="0" w:color="auto"/>
        <w:left w:val="none" w:sz="0" w:space="0" w:color="auto"/>
        <w:bottom w:val="none" w:sz="0" w:space="0" w:color="auto"/>
        <w:right w:val="none" w:sz="0" w:space="0" w:color="auto"/>
      </w:divBdr>
    </w:div>
    <w:div w:id="1633756175">
      <w:bodyDiv w:val="1"/>
      <w:marLeft w:val="0"/>
      <w:marRight w:val="0"/>
      <w:marTop w:val="0"/>
      <w:marBottom w:val="0"/>
      <w:divBdr>
        <w:top w:val="none" w:sz="0" w:space="0" w:color="auto"/>
        <w:left w:val="none" w:sz="0" w:space="0" w:color="auto"/>
        <w:bottom w:val="none" w:sz="0" w:space="0" w:color="auto"/>
        <w:right w:val="none" w:sz="0" w:space="0" w:color="auto"/>
      </w:divBdr>
    </w:div>
    <w:div w:id="166496738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620894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4208033">
      <w:bodyDiv w:val="1"/>
      <w:marLeft w:val="0"/>
      <w:marRight w:val="0"/>
      <w:marTop w:val="0"/>
      <w:marBottom w:val="0"/>
      <w:divBdr>
        <w:top w:val="none" w:sz="0" w:space="0" w:color="auto"/>
        <w:left w:val="none" w:sz="0" w:space="0" w:color="auto"/>
        <w:bottom w:val="none" w:sz="0" w:space="0" w:color="auto"/>
        <w:right w:val="none" w:sz="0" w:space="0" w:color="auto"/>
      </w:divBdr>
    </w:div>
    <w:div w:id="20886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dustry/listing/elements/pbac-meetings/pbac-outcomes/2022-12/Increased-Dispensing-Quantities-List-of-Medicin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9.png@01D987DB.A128E62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books/NBK430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3924</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2023-10-31T04:12:00Z</dcterms:created>
  <dcterms:modified xsi:type="dcterms:W3CDTF">2023-11-07T05:35:00Z</dcterms:modified>
</cp:coreProperties>
</file>