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C9358" w14:textId="36E46B27" w:rsidR="00C15A28" w:rsidRPr="0048462E" w:rsidRDefault="00C516B2" w:rsidP="0048462E">
      <w:pPr>
        <w:pStyle w:val="1-MainHeading"/>
        <w:ind w:left="993" w:hanging="993"/>
      </w:pPr>
      <w:bookmarkStart w:id="0" w:name="_Toc135230121"/>
      <w:r w:rsidRPr="0048462E">
        <w:t>5.02</w:t>
      </w:r>
      <w:r w:rsidR="0048462E">
        <w:tab/>
      </w:r>
      <w:r w:rsidR="00C15A28" w:rsidRPr="0048462E">
        <w:t>AVACOPAN,</w:t>
      </w:r>
      <w:r w:rsidR="00C15A28" w:rsidRPr="0048462E">
        <w:br/>
      </w:r>
      <w:r w:rsidR="00042CE2" w:rsidRPr="0048462E">
        <w:t>C</w:t>
      </w:r>
      <w:r w:rsidR="00C15A28" w:rsidRPr="0048462E">
        <w:t>apsule</w:t>
      </w:r>
      <w:r w:rsidR="00042CE2" w:rsidRPr="0048462E">
        <w:t xml:space="preserve"> 10 mg</w:t>
      </w:r>
      <w:r w:rsidR="00C15A28" w:rsidRPr="0048462E">
        <w:t>,</w:t>
      </w:r>
      <w:r w:rsidR="00C15A28" w:rsidRPr="0048462E">
        <w:br/>
        <w:t>Tavneos®,</w:t>
      </w:r>
      <w:r w:rsidR="00C15A28" w:rsidRPr="0048462E">
        <w:br/>
        <w:t>VIFOR PHARMA PTY LIMITED.</w:t>
      </w:r>
      <w:bookmarkEnd w:id="0"/>
    </w:p>
    <w:p w14:paraId="11C00795" w14:textId="350B03F1" w:rsidR="00B50DB8" w:rsidRPr="0029195A" w:rsidRDefault="00B50DB8" w:rsidP="00042CE2">
      <w:pPr>
        <w:pStyle w:val="2-SectionHeading"/>
        <w:keepLines/>
      </w:pPr>
      <w:bookmarkStart w:id="1" w:name="_Toc135230123"/>
      <w:r w:rsidRPr="0029195A">
        <w:t xml:space="preserve">Purpose of </w:t>
      </w:r>
      <w:r w:rsidR="007A6355">
        <w:t>S</w:t>
      </w:r>
      <w:r w:rsidR="00BB3A45" w:rsidRPr="0029195A">
        <w:t>ubmission</w:t>
      </w:r>
      <w:bookmarkEnd w:id="1"/>
    </w:p>
    <w:p w14:paraId="5F823177" w14:textId="77777777" w:rsidR="00783F74" w:rsidRPr="0029195A" w:rsidRDefault="00783F74" w:rsidP="007A6355">
      <w:pPr>
        <w:pStyle w:val="3-BodyText"/>
      </w:pPr>
      <w:r w:rsidRPr="0029195A">
        <w:t xml:space="preserve">The Category 1 submission requested General Schedule Authority Required listing for avacopan for the treatment of severe active granulomatosis with polyangiitis (GPA) and severe active microscopic polyangiitis (MPA) in combination with rituximab or cyclophosphamide/azathioprine. </w:t>
      </w:r>
    </w:p>
    <w:p w14:paraId="58B6070B" w14:textId="7E5A2A61" w:rsidR="00316EC4" w:rsidRPr="0029195A" w:rsidRDefault="00783F74" w:rsidP="007A6355">
      <w:pPr>
        <w:pStyle w:val="3-BodyText"/>
      </w:pPr>
      <w:r w:rsidRPr="0029195A">
        <w:t xml:space="preserve">Listing was requested on the basis of a cost-effectiveness analysis versus glucocorticoids (GC). </w:t>
      </w:r>
    </w:p>
    <w:p w14:paraId="5A391D31" w14:textId="2CA2C236" w:rsidR="00316EC4" w:rsidRPr="0029195A" w:rsidRDefault="00316EC4" w:rsidP="007A6355">
      <w:pPr>
        <w:pStyle w:val="TableFigureHeading"/>
        <w:rPr>
          <w:rStyle w:val="CommentReference"/>
          <w:b/>
          <w:szCs w:val="24"/>
        </w:rPr>
      </w:pPr>
      <w:r w:rsidRPr="0029195A">
        <w:t xml:space="preserve">Table </w:t>
      </w:r>
      <w:r w:rsidRPr="0029195A">
        <w:fldChar w:fldCharType="begin" w:fldLock="1"/>
      </w:r>
      <w:r w:rsidRPr="0029195A">
        <w:instrText>SEQ Table \* ARABIC</w:instrText>
      </w:r>
      <w:r w:rsidRPr="0029195A">
        <w:fldChar w:fldCharType="separate"/>
      </w:r>
      <w:r w:rsidR="00631406" w:rsidRPr="0029195A">
        <w:t>1</w:t>
      </w:r>
      <w:r w:rsidRPr="0029195A">
        <w:fldChar w:fldCharType="end"/>
      </w:r>
      <w:r w:rsidRPr="0029195A">
        <w:t>:</w:t>
      </w:r>
      <w:r w:rsidRPr="0029195A">
        <w:rPr>
          <w:rStyle w:val="CommentReference"/>
          <w:b/>
          <w:szCs w:val="24"/>
        </w:rPr>
        <w:t xml:space="preserve">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271"/>
        <w:gridCol w:w="7746"/>
      </w:tblGrid>
      <w:tr w:rsidR="00316EC4" w:rsidRPr="0029195A" w14:paraId="482C6375" w14:textId="77777777" w:rsidTr="00CC1A44">
        <w:trPr>
          <w:cantSplit/>
          <w:tblHeader/>
        </w:trPr>
        <w:tc>
          <w:tcPr>
            <w:tcW w:w="705" w:type="pct"/>
            <w:shd w:val="clear" w:color="auto" w:fill="auto"/>
          </w:tcPr>
          <w:p w14:paraId="5C21C5BA" w14:textId="77777777" w:rsidR="00316EC4" w:rsidRPr="0029195A" w:rsidRDefault="00316EC4" w:rsidP="007A6355">
            <w:pPr>
              <w:pStyle w:val="In-tableHeading"/>
              <w:rPr>
                <w:szCs w:val="20"/>
                <w:lang w:val="en-AU"/>
              </w:rPr>
            </w:pPr>
            <w:r w:rsidRPr="0029195A">
              <w:rPr>
                <w:lang w:val="en-AU"/>
              </w:rPr>
              <w:t>Component</w:t>
            </w:r>
          </w:p>
        </w:tc>
        <w:tc>
          <w:tcPr>
            <w:tcW w:w="4295" w:type="pct"/>
            <w:shd w:val="clear" w:color="auto" w:fill="auto"/>
          </w:tcPr>
          <w:p w14:paraId="16AB641D" w14:textId="77777777" w:rsidR="00316EC4" w:rsidRPr="0029195A" w:rsidRDefault="00316EC4" w:rsidP="007A6355">
            <w:pPr>
              <w:pStyle w:val="In-tableHeading"/>
              <w:rPr>
                <w:lang w:val="en-AU"/>
              </w:rPr>
            </w:pPr>
            <w:r w:rsidRPr="0029195A">
              <w:rPr>
                <w:lang w:val="en-AU"/>
              </w:rPr>
              <w:t>Description</w:t>
            </w:r>
          </w:p>
        </w:tc>
      </w:tr>
      <w:tr w:rsidR="00316EC4" w:rsidRPr="0029195A" w14:paraId="483CDCFC" w14:textId="77777777" w:rsidTr="00CC1A44">
        <w:trPr>
          <w:cantSplit/>
        </w:trPr>
        <w:tc>
          <w:tcPr>
            <w:tcW w:w="705" w:type="pct"/>
            <w:shd w:val="clear" w:color="auto" w:fill="auto"/>
          </w:tcPr>
          <w:p w14:paraId="69F05ECF" w14:textId="77777777" w:rsidR="00316EC4" w:rsidRPr="0029195A" w:rsidRDefault="00316EC4" w:rsidP="007A6355">
            <w:pPr>
              <w:pStyle w:val="TableText0"/>
            </w:pPr>
            <w:r w:rsidRPr="0029195A">
              <w:t>Population</w:t>
            </w:r>
          </w:p>
        </w:tc>
        <w:tc>
          <w:tcPr>
            <w:tcW w:w="4295" w:type="pct"/>
            <w:shd w:val="clear" w:color="auto" w:fill="auto"/>
          </w:tcPr>
          <w:p w14:paraId="45722D33" w14:textId="77777777" w:rsidR="00316EC4" w:rsidRPr="0029195A" w:rsidRDefault="00316EC4" w:rsidP="007A6355">
            <w:pPr>
              <w:pStyle w:val="TableText0"/>
              <w:rPr>
                <w:rFonts w:eastAsia="Times New Roman" w:cs="Arial"/>
              </w:rPr>
            </w:pPr>
            <w:r w:rsidRPr="0029195A">
              <w:rPr>
                <w:rFonts w:eastAsia="Times New Roman" w:cs="Arial"/>
              </w:rPr>
              <w:t>Adult patients with newly diagnosed or relapsed ANCA-associated vasculitis severe active granulomatosis with polyangiitis (GPA) and severe active microscopic polyangiitis (MPA) defined as at least one major or three non-major items or at least two renal items of haematuria and proteinuria on the Birmingham Vasculitis Activity Score (BVAS)</w:t>
            </w:r>
          </w:p>
        </w:tc>
      </w:tr>
      <w:tr w:rsidR="00316EC4" w:rsidRPr="0029195A" w14:paraId="29745FA5" w14:textId="77777777" w:rsidTr="00CC1A44">
        <w:trPr>
          <w:cantSplit/>
        </w:trPr>
        <w:tc>
          <w:tcPr>
            <w:tcW w:w="705" w:type="pct"/>
            <w:shd w:val="clear" w:color="auto" w:fill="auto"/>
          </w:tcPr>
          <w:p w14:paraId="61F6991E" w14:textId="77777777" w:rsidR="00316EC4" w:rsidRPr="0029195A" w:rsidRDefault="00316EC4" w:rsidP="007A6355">
            <w:pPr>
              <w:pStyle w:val="TableText0"/>
            </w:pPr>
            <w:r w:rsidRPr="0029195A">
              <w:t>Intervention</w:t>
            </w:r>
          </w:p>
        </w:tc>
        <w:tc>
          <w:tcPr>
            <w:tcW w:w="4295" w:type="pct"/>
            <w:shd w:val="clear" w:color="auto" w:fill="auto"/>
          </w:tcPr>
          <w:p w14:paraId="4C5D117A" w14:textId="10CFC2D7" w:rsidR="00316EC4" w:rsidRPr="0029195A" w:rsidRDefault="00316EC4" w:rsidP="007A6355">
            <w:pPr>
              <w:pStyle w:val="TableText0"/>
            </w:pPr>
            <w:r w:rsidRPr="0029195A">
              <w:rPr>
                <w:rFonts w:eastAsia="Times New Roman" w:cs="Arial"/>
              </w:rPr>
              <w:t>Avacopan in combination with rituximab (</w:t>
            </w:r>
            <w:r w:rsidR="00681AAA" w:rsidRPr="0029195A">
              <w:rPr>
                <w:rFonts w:eastAsia="Times New Roman" w:cs="Arial"/>
              </w:rPr>
              <w:t xml:space="preserve">both </w:t>
            </w:r>
            <w:r w:rsidRPr="0029195A">
              <w:rPr>
                <w:rFonts w:eastAsia="Times New Roman" w:cs="Arial"/>
              </w:rPr>
              <w:t>induction</w:t>
            </w:r>
            <w:r w:rsidR="00681AAA" w:rsidRPr="0029195A">
              <w:rPr>
                <w:rFonts w:eastAsia="Times New Roman" w:cs="Arial"/>
              </w:rPr>
              <w:t xml:space="preserve"> and </w:t>
            </w:r>
            <w:r w:rsidRPr="0029195A">
              <w:rPr>
                <w:rFonts w:eastAsia="Times New Roman" w:cs="Arial"/>
              </w:rPr>
              <w:t>maintenance) or cyclophosphamide (induction) /azathioprine (maintenance)</w:t>
            </w:r>
          </w:p>
        </w:tc>
      </w:tr>
      <w:tr w:rsidR="00316EC4" w:rsidRPr="0029195A" w14:paraId="03AABC17" w14:textId="77777777" w:rsidTr="00CC1A44">
        <w:trPr>
          <w:cantSplit/>
        </w:trPr>
        <w:tc>
          <w:tcPr>
            <w:tcW w:w="705" w:type="pct"/>
            <w:shd w:val="clear" w:color="auto" w:fill="auto"/>
          </w:tcPr>
          <w:p w14:paraId="70860D1D" w14:textId="77777777" w:rsidR="00316EC4" w:rsidRPr="0029195A" w:rsidRDefault="00316EC4" w:rsidP="007A6355">
            <w:pPr>
              <w:pStyle w:val="TableText0"/>
            </w:pPr>
            <w:r w:rsidRPr="0029195A">
              <w:t>Comparator</w:t>
            </w:r>
          </w:p>
        </w:tc>
        <w:tc>
          <w:tcPr>
            <w:tcW w:w="4295" w:type="pct"/>
            <w:shd w:val="clear" w:color="auto" w:fill="auto"/>
          </w:tcPr>
          <w:p w14:paraId="61B1F902" w14:textId="1C268D7C" w:rsidR="00316EC4" w:rsidRPr="0029195A" w:rsidRDefault="00316EC4" w:rsidP="007A6355">
            <w:pPr>
              <w:pStyle w:val="TableText0"/>
              <w:rPr>
                <w:rFonts w:eastAsia="Arial Narrow" w:cs="Arial Narrow"/>
                <w:color w:val="000000" w:themeColor="text1"/>
                <w:szCs w:val="20"/>
              </w:rPr>
            </w:pPr>
            <w:r w:rsidRPr="0029195A">
              <w:rPr>
                <w:rFonts w:eastAsia="Arial Narrow" w:cs="Arial Narrow"/>
                <w:bCs w:val="0"/>
                <w:color w:val="000000" w:themeColor="text1"/>
                <w:szCs w:val="20"/>
              </w:rPr>
              <w:t xml:space="preserve">Glucocorticoids </w:t>
            </w:r>
            <w:r w:rsidR="00681AAA" w:rsidRPr="0029195A">
              <w:rPr>
                <w:rFonts w:eastAsia="Arial Narrow" w:cs="Arial Narrow"/>
                <w:bCs w:val="0"/>
                <w:color w:val="000000" w:themeColor="text1"/>
                <w:szCs w:val="20"/>
              </w:rPr>
              <w:t xml:space="preserve">(GC) </w:t>
            </w:r>
            <w:r w:rsidRPr="0029195A">
              <w:rPr>
                <w:rFonts w:eastAsia="Arial Narrow" w:cs="Arial Narrow"/>
                <w:bCs w:val="0"/>
                <w:color w:val="000000" w:themeColor="text1"/>
                <w:szCs w:val="20"/>
              </w:rPr>
              <w:t xml:space="preserve">which is used as standard of care </w:t>
            </w:r>
            <w:r w:rsidR="00681AAA" w:rsidRPr="0029195A">
              <w:rPr>
                <w:rFonts w:eastAsia="Arial Narrow" w:cs="Arial Narrow"/>
                <w:bCs w:val="0"/>
                <w:color w:val="000000" w:themeColor="text1"/>
                <w:szCs w:val="20"/>
              </w:rPr>
              <w:t xml:space="preserve">(SOC) </w:t>
            </w:r>
            <w:r w:rsidRPr="0029195A">
              <w:rPr>
                <w:rFonts w:eastAsia="Arial Narrow" w:cs="Arial Narrow"/>
                <w:bCs w:val="0"/>
                <w:color w:val="000000" w:themeColor="text1"/>
                <w:szCs w:val="20"/>
              </w:rPr>
              <w:t xml:space="preserve">concomitantly with rituximab or cyclophosphamide /azathioprine </w:t>
            </w:r>
          </w:p>
        </w:tc>
      </w:tr>
      <w:tr w:rsidR="00316EC4" w:rsidRPr="0029195A" w14:paraId="67685E00" w14:textId="77777777" w:rsidTr="00CC1A44">
        <w:trPr>
          <w:cantSplit/>
        </w:trPr>
        <w:tc>
          <w:tcPr>
            <w:tcW w:w="705" w:type="pct"/>
            <w:shd w:val="clear" w:color="auto" w:fill="auto"/>
          </w:tcPr>
          <w:p w14:paraId="47FE6338" w14:textId="77777777" w:rsidR="00316EC4" w:rsidRPr="0029195A" w:rsidRDefault="00316EC4" w:rsidP="007A6355">
            <w:pPr>
              <w:pStyle w:val="TableText0"/>
            </w:pPr>
            <w:r w:rsidRPr="0029195A">
              <w:t>Outcomes</w:t>
            </w:r>
          </w:p>
        </w:tc>
        <w:tc>
          <w:tcPr>
            <w:tcW w:w="4295" w:type="pct"/>
            <w:shd w:val="clear" w:color="auto" w:fill="auto"/>
          </w:tcPr>
          <w:p w14:paraId="05314346" w14:textId="77777777" w:rsidR="00316EC4" w:rsidRPr="0029195A" w:rsidRDefault="00316EC4" w:rsidP="007A6355">
            <w:pPr>
              <w:pStyle w:val="TableText0"/>
              <w:rPr>
                <w:rFonts w:eastAsia="Arial Narrow" w:cs="Arial Narrow"/>
                <w:bCs w:val="0"/>
                <w:color w:val="000000" w:themeColor="text1"/>
                <w:szCs w:val="20"/>
              </w:rPr>
            </w:pPr>
            <w:r w:rsidRPr="0029195A">
              <w:rPr>
                <w:rFonts w:eastAsia="Arial Narrow" w:cs="Arial Narrow"/>
                <w:bCs w:val="0"/>
                <w:color w:val="000000" w:themeColor="text1"/>
                <w:szCs w:val="20"/>
              </w:rPr>
              <w:t>Primary</w:t>
            </w:r>
          </w:p>
          <w:p w14:paraId="4DEE856F" w14:textId="77777777" w:rsidR="00316EC4" w:rsidRPr="0029195A" w:rsidRDefault="00316EC4" w:rsidP="007A6355">
            <w:pPr>
              <w:pStyle w:val="TableText0"/>
              <w:numPr>
                <w:ilvl w:val="0"/>
                <w:numId w:val="9"/>
              </w:numPr>
              <w:rPr>
                <w:rFonts w:eastAsia="Arial Narrow" w:cs="Arial Narrow"/>
                <w:bCs w:val="0"/>
                <w:color w:val="000000" w:themeColor="text1"/>
                <w:szCs w:val="20"/>
              </w:rPr>
            </w:pPr>
            <w:r w:rsidRPr="0029195A">
              <w:rPr>
                <w:rFonts w:eastAsia="Arial Narrow" w:cs="Arial Narrow"/>
                <w:bCs w:val="0"/>
                <w:color w:val="000000" w:themeColor="text1"/>
                <w:szCs w:val="20"/>
              </w:rPr>
              <w:t>Induce and sustain remission</w:t>
            </w:r>
          </w:p>
          <w:p w14:paraId="5281C538" w14:textId="77777777" w:rsidR="00316EC4" w:rsidRPr="0029195A" w:rsidRDefault="00316EC4" w:rsidP="007A6355">
            <w:pPr>
              <w:pStyle w:val="TableText0"/>
              <w:rPr>
                <w:rFonts w:eastAsia="Arial Narrow" w:cs="Arial Narrow"/>
                <w:bCs w:val="0"/>
                <w:color w:val="000000" w:themeColor="text1"/>
                <w:szCs w:val="20"/>
              </w:rPr>
            </w:pPr>
            <w:r w:rsidRPr="0029195A">
              <w:rPr>
                <w:rFonts w:eastAsia="Arial Narrow" w:cs="Arial Narrow"/>
                <w:bCs w:val="0"/>
                <w:color w:val="000000" w:themeColor="text1"/>
                <w:szCs w:val="20"/>
              </w:rPr>
              <w:t>Secondary</w:t>
            </w:r>
          </w:p>
          <w:p w14:paraId="5777E3A3" w14:textId="77777777" w:rsidR="00316EC4" w:rsidRPr="0029195A" w:rsidRDefault="00316EC4" w:rsidP="007A6355">
            <w:pPr>
              <w:pStyle w:val="TableText0"/>
              <w:numPr>
                <w:ilvl w:val="0"/>
                <w:numId w:val="8"/>
              </w:numPr>
              <w:rPr>
                <w:rFonts w:eastAsia="Arial Narrow" w:cs="Arial Narrow"/>
                <w:bCs w:val="0"/>
                <w:color w:val="000000" w:themeColor="text1"/>
                <w:szCs w:val="20"/>
              </w:rPr>
            </w:pPr>
            <w:r w:rsidRPr="0029195A">
              <w:rPr>
                <w:rFonts w:eastAsia="Arial Narrow" w:cs="Arial Narrow"/>
                <w:bCs w:val="0"/>
                <w:color w:val="000000" w:themeColor="text1"/>
                <w:szCs w:val="20"/>
              </w:rPr>
              <w:t>Glucocorticoid-induced toxicity</w:t>
            </w:r>
          </w:p>
          <w:p w14:paraId="2D64CC71" w14:textId="0C8D5AE7" w:rsidR="00316EC4" w:rsidRPr="0029195A" w:rsidRDefault="00316EC4" w:rsidP="007A6355">
            <w:pPr>
              <w:pStyle w:val="TableText0"/>
              <w:numPr>
                <w:ilvl w:val="0"/>
                <w:numId w:val="8"/>
              </w:numPr>
              <w:rPr>
                <w:rFonts w:eastAsia="Arial Narrow" w:cs="Arial Narrow"/>
                <w:bCs w:val="0"/>
                <w:color w:val="000000" w:themeColor="text1"/>
                <w:szCs w:val="20"/>
              </w:rPr>
            </w:pPr>
            <w:r w:rsidRPr="0029195A">
              <w:rPr>
                <w:rFonts w:eastAsia="Arial Narrow" w:cs="Arial Narrow"/>
                <w:bCs w:val="0"/>
                <w:color w:val="000000" w:themeColor="text1"/>
                <w:szCs w:val="20"/>
              </w:rPr>
              <w:t>Evaluate rapidity of response in the avacopan group compared to the prednisone group</w:t>
            </w:r>
          </w:p>
          <w:p w14:paraId="0F03D7EE" w14:textId="77777777" w:rsidR="00316EC4" w:rsidRPr="0029195A" w:rsidRDefault="00316EC4" w:rsidP="007A6355">
            <w:pPr>
              <w:pStyle w:val="TableText0"/>
              <w:numPr>
                <w:ilvl w:val="0"/>
                <w:numId w:val="8"/>
              </w:numPr>
              <w:rPr>
                <w:rFonts w:eastAsia="Arial Narrow" w:cs="Arial Narrow"/>
                <w:bCs w:val="0"/>
                <w:color w:val="000000" w:themeColor="text1"/>
                <w:szCs w:val="20"/>
              </w:rPr>
            </w:pPr>
            <w:r w:rsidRPr="0029195A">
              <w:rPr>
                <w:rFonts w:eastAsia="Arial Narrow" w:cs="Arial Narrow"/>
                <w:bCs w:val="0"/>
                <w:color w:val="000000" w:themeColor="text1"/>
                <w:szCs w:val="20"/>
              </w:rPr>
              <w:t>Evaluate the safety in the avacopan group compared to the prednisone group</w:t>
            </w:r>
          </w:p>
          <w:p w14:paraId="217F86E0" w14:textId="77777777" w:rsidR="00316EC4" w:rsidRPr="0029195A" w:rsidRDefault="00316EC4" w:rsidP="007A6355">
            <w:pPr>
              <w:pStyle w:val="TableText0"/>
              <w:numPr>
                <w:ilvl w:val="0"/>
                <w:numId w:val="8"/>
              </w:numPr>
              <w:rPr>
                <w:rFonts w:eastAsia="Arial Narrow" w:cs="Arial Narrow"/>
                <w:bCs w:val="0"/>
                <w:color w:val="000000" w:themeColor="text1"/>
                <w:szCs w:val="20"/>
              </w:rPr>
            </w:pPr>
            <w:r w:rsidRPr="0029195A">
              <w:rPr>
                <w:rFonts w:eastAsia="Arial Narrow" w:cs="Arial Narrow"/>
                <w:bCs w:val="0"/>
                <w:color w:val="000000" w:themeColor="text1"/>
                <w:szCs w:val="20"/>
              </w:rPr>
              <w:t>Health-related quality of life changes</w:t>
            </w:r>
          </w:p>
          <w:p w14:paraId="346608CE" w14:textId="77777777" w:rsidR="00316EC4" w:rsidRPr="0029195A" w:rsidRDefault="00316EC4" w:rsidP="007A6355">
            <w:pPr>
              <w:pStyle w:val="TableText0"/>
              <w:numPr>
                <w:ilvl w:val="0"/>
                <w:numId w:val="8"/>
              </w:numPr>
              <w:rPr>
                <w:rFonts w:eastAsia="Arial Narrow" w:cs="Arial Narrow"/>
                <w:bCs w:val="0"/>
                <w:color w:val="000000" w:themeColor="text1"/>
                <w:szCs w:val="20"/>
              </w:rPr>
            </w:pPr>
            <w:r w:rsidRPr="0029195A">
              <w:rPr>
                <w:rFonts w:eastAsia="Arial Narrow" w:cs="Arial Narrow"/>
                <w:bCs w:val="0"/>
                <w:color w:val="000000" w:themeColor="text1"/>
                <w:szCs w:val="20"/>
              </w:rPr>
              <w:t>Assess changes in parameters of renal disease</w:t>
            </w:r>
          </w:p>
          <w:p w14:paraId="496CA0F9" w14:textId="77777777" w:rsidR="00316EC4" w:rsidRPr="0029195A" w:rsidRDefault="00316EC4" w:rsidP="007A6355">
            <w:pPr>
              <w:pStyle w:val="TableText0"/>
              <w:numPr>
                <w:ilvl w:val="0"/>
                <w:numId w:val="8"/>
              </w:numPr>
              <w:rPr>
                <w:rFonts w:eastAsia="Arial Narrow" w:cs="Arial Narrow"/>
                <w:color w:val="000000" w:themeColor="text1"/>
                <w:szCs w:val="20"/>
              </w:rPr>
            </w:pPr>
            <w:r w:rsidRPr="0029195A">
              <w:rPr>
                <w:rFonts w:eastAsia="Arial Narrow" w:cs="Arial Narrow"/>
                <w:bCs w:val="0"/>
                <w:color w:val="000000" w:themeColor="text1"/>
                <w:szCs w:val="20"/>
              </w:rPr>
              <w:t>Assess changes in cumulative organ damage</w:t>
            </w:r>
          </w:p>
        </w:tc>
      </w:tr>
      <w:tr w:rsidR="00316EC4" w:rsidRPr="0029195A" w14:paraId="611ACCCA" w14:textId="77777777" w:rsidTr="00CC1A44">
        <w:trPr>
          <w:cantSplit/>
        </w:trPr>
        <w:tc>
          <w:tcPr>
            <w:tcW w:w="705" w:type="pct"/>
            <w:shd w:val="clear" w:color="auto" w:fill="auto"/>
          </w:tcPr>
          <w:p w14:paraId="29EB1545" w14:textId="77777777" w:rsidR="00316EC4" w:rsidRPr="0029195A" w:rsidRDefault="00316EC4" w:rsidP="007A6355">
            <w:pPr>
              <w:pStyle w:val="TableText0"/>
            </w:pPr>
            <w:r w:rsidRPr="0029195A">
              <w:t>Clinical claim</w:t>
            </w:r>
          </w:p>
        </w:tc>
        <w:tc>
          <w:tcPr>
            <w:tcW w:w="4295" w:type="pct"/>
            <w:shd w:val="clear" w:color="auto" w:fill="auto"/>
          </w:tcPr>
          <w:p w14:paraId="3A9BC7CA" w14:textId="77777777" w:rsidR="00316EC4" w:rsidRPr="0029195A" w:rsidRDefault="00316EC4" w:rsidP="007A6355">
            <w:pPr>
              <w:pStyle w:val="TableText0"/>
              <w:rPr>
                <w:rFonts w:eastAsia="Arial Narrow" w:cs="Arial Narrow"/>
                <w:bCs w:val="0"/>
                <w:color w:val="000000" w:themeColor="text1"/>
                <w:szCs w:val="20"/>
              </w:rPr>
            </w:pPr>
            <w:r w:rsidRPr="0029195A">
              <w:rPr>
                <w:rFonts w:eastAsia="Arial Narrow" w:cs="Arial Narrow"/>
                <w:bCs w:val="0"/>
                <w:color w:val="000000" w:themeColor="text1"/>
                <w:szCs w:val="20"/>
              </w:rPr>
              <w:t>Avacopan is superior to standard of care for efficacy</w:t>
            </w:r>
          </w:p>
          <w:p w14:paraId="054C746A" w14:textId="77777777" w:rsidR="00316EC4" w:rsidRPr="0029195A" w:rsidRDefault="00316EC4" w:rsidP="007A6355">
            <w:pPr>
              <w:pStyle w:val="TableText0"/>
              <w:rPr>
                <w:rFonts w:eastAsia="Arial Narrow" w:cs="Arial Narrow"/>
                <w:color w:val="000000" w:themeColor="text1"/>
                <w:szCs w:val="20"/>
              </w:rPr>
            </w:pPr>
            <w:r w:rsidRPr="0029195A">
              <w:rPr>
                <w:rFonts w:eastAsia="Arial Narrow" w:cs="Arial Narrow"/>
                <w:bCs w:val="0"/>
                <w:color w:val="000000" w:themeColor="text1"/>
                <w:szCs w:val="20"/>
              </w:rPr>
              <w:t>Avacopan is superior to standard of care for safety</w:t>
            </w:r>
          </w:p>
        </w:tc>
      </w:tr>
    </w:tbl>
    <w:p w14:paraId="5C2F49C2" w14:textId="77777777" w:rsidR="00316EC4" w:rsidRPr="0029195A" w:rsidRDefault="00316EC4" w:rsidP="007A6355">
      <w:pPr>
        <w:pStyle w:val="FooterTableFigure"/>
        <w:keepNext/>
      </w:pPr>
      <w:r w:rsidRPr="0029195A">
        <w:t>Source: Table 1-1, p26 of the submission.</w:t>
      </w:r>
    </w:p>
    <w:p w14:paraId="1D2D724B" w14:textId="77777777" w:rsidR="00316EC4" w:rsidRPr="0029195A" w:rsidRDefault="00316EC4" w:rsidP="00316EC4">
      <w:pPr>
        <w:pStyle w:val="FooterTableFigure"/>
        <w:rPr>
          <w:sz w:val="20"/>
          <w:szCs w:val="20"/>
        </w:rPr>
      </w:pPr>
      <w:r w:rsidRPr="0029195A">
        <w:t xml:space="preserve">Abbreviations: ANCA, </w:t>
      </w:r>
      <w:r w:rsidRPr="0029195A">
        <w:rPr>
          <w:rFonts w:eastAsia="Calibri" w:cs="Calibri"/>
        </w:rPr>
        <w:t xml:space="preserve">antineutrophil cytoplasmic autoantibody; </w:t>
      </w:r>
      <w:r w:rsidRPr="0029195A">
        <w:t>BVAS, Birmingham Vasculitis Activity Score;</w:t>
      </w:r>
      <w:r w:rsidRPr="0029195A">
        <w:rPr>
          <w:rFonts w:eastAsia="Calibri" w:cs="Calibri"/>
        </w:rPr>
        <w:t xml:space="preserve"> GC,</w:t>
      </w:r>
      <w:r w:rsidRPr="0029195A">
        <w:rPr>
          <w:rFonts w:eastAsia="Arial Narrow" w:cs="Arial Narrow"/>
          <w:color w:val="000000" w:themeColor="text1"/>
          <w:szCs w:val="20"/>
        </w:rPr>
        <w:t xml:space="preserve"> glucocorticoids</w:t>
      </w:r>
      <w:r w:rsidRPr="0029195A">
        <w:rPr>
          <w:rFonts w:eastAsia="Calibri" w:cs="Calibri"/>
        </w:rPr>
        <w:t xml:space="preserve">, GPA, granulomatosis with polyangiitis; MPA, </w:t>
      </w:r>
      <w:r w:rsidRPr="0029195A">
        <w:t xml:space="preserve">microscopic polyangiitis; SOC, standard of care. </w:t>
      </w:r>
    </w:p>
    <w:p w14:paraId="6B4AB6C2" w14:textId="7F01D731" w:rsidR="005C25FF" w:rsidRPr="0029195A" w:rsidRDefault="005C25FF" w:rsidP="004A6040">
      <w:pPr>
        <w:pStyle w:val="2-SectionHeading"/>
      </w:pPr>
      <w:bookmarkStart w:id="2" w:name="_Toc135230124"/>
      <w:r w:rsidRPr="0029195A">
        <w:t>Background</w:t>
      </w:r>
      <w:bookmarkEnd w:id="2"/>
    </w:p>
    <w:p w14:paraId="2C521D6D" w14:textId="78CF03EE" w:rsidR="005C25FF" w:rsidRPr="0029195A" w:rsidRDefault="005C25FF" w:rsidP="004A6040">
      <w:pPr>
        <w:pStyle w:val="4-SubsectionHeading"/>
      </w:pPr>
      <w:bookmarkStart w:id="3" w:name="_Toc22897638"/>
      <w:bookmarkStart w:id="4" w:name="_Toc135230125"/>
      <w:r w:rsidRPr="0029195A">
        <w:t>Registration status</w:t>
      </w:r>
      <w:bookmarkEnd w:id="3"/>
      <w:bookmarkEnd w:id="4"/>
    </w:p>
    <w:p w14:paraId="36150BA8" w14:textId="4BD31F7B" w:rsidR="00395092" w:rsidRPr="0029195A" w:rsidRDefault="00395092" w:rsidP="007A6355">
      <w:pPr>
        <w:pStyle w:val="3-BodyText"/>
        <w:rPr>
          <w:color w:val="0066FF"/>
        </w:rPr>
      </w:pPr>
      <w:bookmarkStart w:id="5" w:name="_Toc22897639"/>
      <w:r w:rsidRPr="0029195A">
        <w:t xml:space="preserve">Avacopan was TGA registered on 17 January 2023 for </w:t>
      </w:r>
      <w:r w:rsidR="00CD2A21" w:rsidRPr="0029195A">
        <w:t>use</w:t>
      </w:r>
      <w:r w:rsidR="004440F8" w:rsidRPr="0029195A">
        <w:t xml:space="preserve"> </w:t>
      </w:r>
      <w:r w:rsidRPr="0029195A">
        <w:t>in combination with a rituximab or cyclophosphamide</w:t>
      </w:r>
      <w:r w:rsidR="00FC3304" w:rsidRPr="0029195A">
        <w:t>-</w:t>
      </w:r>
      <w:r w:rsidRPr="0029195A">
        <w:t>based regimen, for the treatment of adults with anti-neutrophil cytoplasmic autoantibody (ANCA)-associated vasculitis (granulomatosis with polyangiitis [GPA] and microscopic polyangiitis [MPA])</w:t>
      </w:r>
      <w:r w:rsidR="00CD2A21" w:rsidRPr="0029195A">
        <w:t>.</w:t>
      </w:r>
      <w:r w:rsidRPr="0029195A">
        <w:t xml:space="preserve"> </w:t>
      </w:r>
    </w:p>
    <w:p w14:paraId="606CEEA4" w14:textId="454C57AE" w:rsidR="00395092" w:rsidRPr="0029195A" w:rsidRDefault="00395092" w:rsidP="007A6355">
      <w:pPr>
        <w:pStyle w:val="3-BodyText"/>
      </w:pPr>
      <w:r w:rsidRPr="0029195A">
        <w:lastRenderedPageBreak/>
        <w:t xml:space="preserve">Avacopan was approved by the Food and Drug Administration (FDA) of the United States in </w:t>
      </w:r>
      <w:r w:rsidR="0029195A" w:rsidRPr="0029195A">
        <w:t>October 2021 and</w:t>
      </w:r>
      <w:r w:rsidRPr="0029195A">
        <w:t xml:space="preserve"> was authorised for use in the European Union by the European Medicines Agency (EMA) in November 2021. Avacopan was assessed by the United Kingdom National Institute for Health and Care Excellence (NICE) in September 2022. The </w:t>
      </w:r>
      <w:r w:rsidR="00CD2A21" w:rsidRPr="0029195A">
        <w:t xml:space="preserve">NICE </w:t>
      </w:r>
      <w:r w:rsidRPr="0029195A">
        <w:t xml:space="preserve">recommendation was: </w:t>
      </w:r>
      <w:r w:rsidR="00CD2A21" w:rsidRPr="0029195A">
        <w:t>“</w:t>
      </w:r>
      <w:r w:rsidRPr="0029195A">
        <w:t>Avacopan with a cyclophosphamide or rituximab regimen is recommended, within its marketing authorisation, as an option for treating severe active granulomatosis with polyangiitis or microscopic polyangiitis in adults</w:t>
      </w:r>
      <w:r w:rsidRPr="0029195A">
        <w:rPr>
          <w:rStyle w:val="FootnoteReference"/>
        </w:rPr>
        <w:footnoteReference w:id="2"/>
      </w:r>
      <w:r w:rsidR="00CD2A21" w:rsidRPr="0029195A">
        <w:t>”</w:t>
      </w:r>
      <w:r w:rsidRPr="0029195A">
        <w:t>.</w:t>
      </w:r>
    </w:p>
    <w:p w14:paraId="780A8232" w14:textId="33B72559" w:rsidR="0095760D" w:rsidRPr="007A6355" w:rsidRDefault="0095760D" w:rsidP="007A6355">
      <w:pPr>
        <w:pStyle w:val="3-BodyText"/>
        <w:numPr>
          <w:ilvl w:val="0"/>
          <w:numId w:val="0"/>
        </w:numPr>
        <w:ind w:left="720"/>
        <w:rPr>
          <w:i/>
          <w:iCs/>
        </w:rPr>
      </w:pPr>
      <w:bookmarkStart w:id="6" w:name="_Hlk76375324"/>
      <w:r w:rsidRPr="007A6355">
        <w:rPr>
          <w:i/>
          <w:iCs/>
        </w:rPr>
        <w:t xml:space="preserve">For more detail on PBAC’s view, see section 7 PBAC </w:t>
      </w:r>
      <w:r w:rsidR="007A6355" w:rsidRPr="007A6355">
        <w:rPr>
          <w:i/>
          <w:iCs/>
        </w:rPr>
        <w:t>O</w:t>
      </w:r>
      <w:r w:rsidRPr="007A6355">
        <w:rPr>
          <w:i/>
          <w:iCs/>
        </w:rPr>
        <w:t>utcome.</w:t>
      </w:r>
      <w:bookmarkEnd w:id="6"/>
    </w:p>
    <w:p w14:paraId="76E4EF3C" w14:textId="41ABA3AF" w:rsidR="00B60939" w:rsidRPr="0029195A" w:rsidRDefault="00B50DB8" w:rsidP="004E18E9">
      <w:pPr>
        <w:pStyle w:val="2-SectionHeading"/>
      </w:pPr>
      <w:bookmarkStart w:id="7" w:name="_Toc107902078"/>
      <w:bookmarkStart w:id="8" w:name="_Toc135230126"/>
      <w:bookmarkEnd w:id="5"/>
      <w:bookmarkEnd w:id="7"/>
      <w:r w:rsidRPr="0029195A">
        <w:t xml:space="preserve">Requested </w:t>
      </w:r>
      <w:r w:rsidR="007A6355">
        <w:t>L</w:t>
      </w:r>
      <w:r w:rsidRPr="0029195A">
        <w:t>isting</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1779"/>
        <w:gridCol w:w="812"/>
        <w:gridCol w:w="811"/>
        <w:gridCol w:w="812"/>
        <w:gridCol w:w="1831"/>
      </w:tblGrid>
      <w:tr w:rsidR="006D2D9A" w:rsidRPr="0029195A" w14:paraId="6B182B84" w14:textId="77777777">
        <w:trPr>
          <w:cantSplit/>
          <w:trHeight w:val="20"/>
        </w:trPr>
        <w:tc>
          <w:tcPr>
            <w:tcW w:w="2972" w:type="dxa"/>
            <w:vAlign w:val="center"/>
          </w:tcPr>
          <w:p w14:paraId="5F89869C" w14:textId="77777777" w:rsidR="006D2D9A" w:rsidRPr="0029195A" w:rsidRDefault="006D2D9A">
            <w:pPr>
              <w:keepLines/>
              <w:rPr>
                <w:rFonts w:ascii="Arial Narrow" w:hAnsi="Arial Narrow"/>
                <w:b/>
                <w:bCs/>
                <w:sz w:val="20"/>
                <w:szCs w:val="20"/>
              </w:rPr>
            </w:pPr>
            <w:bookmarkStart w:id="9" w:name="_Hlk104809055"/>
            <w:r w:rsidRPr="0029195A">
              <w:rPr>
                <w:rFonts w:ascii="Arial Narrow" w:hAnsi="Arial Narrow"/>
                <w:b/>
                <w:bCs/>
                <w:sz w:val="20"/>
                <w:szCs w:val="20"/>
              </w:rPr>
              <w:t>MEDICINAL PRODUCT</w:t>
            </w:r>
          </w:p>
          <w:p w14:paraId="39FE00B7" w14:textId="77777777" w:rsidR="006D2D9A" w:rsidRPr="0029195A" w:rsidRDefault="006D2D9A">
            <w:pPr>
              <w:keepLines/>
              <w:rPr>
                <w:rFonts w:ascii="Arial Narrow" w:hAnsi="Arial Narrow"/>
                <w:b/>
                <w:sz w:val="20"/>
                <w:szCs w:val="20"/>
              </w:rPr>
            </w:pPr>
            <w:r w:rsidRPr="0029195A">
              <w:rPr>
                <w:rFonts w:ascii="Arial Narrow" w:hAnsi="Arial Narrow"/>
                <w:b/>
                <w:bCs/>
                <w:sz w:val="20"/>
                <w:szCs w:val="20"/>
              </w:rPr>
              <w:t>medicinal product pack</w:t>
            </w:r>
          </w:p>
        </w:tc>
        <w:tc>
          <w:tcPr>
            <w:tcW w:w="1779" w:type="dxa"/>
            <w:vAlign w:val="center"/>
          </w:tcPr>
          <w:p w14:paraId="606E317D" w14:textId="77777777" w:rsidR="006D2D9A" w:rsidRPr="0029195A" w:rsidRDefault="006D2D9A">
            <w:pPr>
              <w:pStyle w:val="TableText0"/>
              <w:rPr>
                <w:b/>
                <w:bCs w:val="0"/>
                <w:szCs w:val="20"/>
              </w:rPr>
            </w:pPr>
            <w:r w:rsidRPr="0029195A">
              <w:rPr>
                <w:b/>
                <w:bCs w:val="0"/>
                <w:snapToGrid w:val="0"/>
              </w:rPr>
              <w:t xml:space="preserve">Dispensed Price for Max. Qty </w:t>
            </w:r>
          </w:p>
        </w:tc>
        <w:tc>
          <w:tcPr>
            <w:tcW w:w="812" w:type="dxa"/>
            <w:vAlign w:val="center"/>
          </w:tcPr>
          <w:p w14:paraId="7E6D6D69" w14:textId="77777777" w:rsidR="006D2D9A" w:rsidRPr="0029195A" w:rsidRDefault="006D2D9A">
            <w:pPr>
              <w:keepLines/>
              <w:jc w:val="center"/>
              <w:rPr>
                <w:rFonts w:ascii="Arial Narrow" w:hAnsi="Arial Narrow"/>
                <w:b/>
                <w:sz w:val="20"/>
                <w:szCs w:val="20"/>
              </w:rPr>
            </w:pPr>
            <w:r w:rsidRPr="0029195A">
              <w:rPr>
                <w:rFonts w:ascii="Arial Narrow" w:hAnsi="Arial Narrow"/>
                <w:b/>
                <w:sz w:val="20"/>
                <w:szCs w:val="20"/>
              </w:rPr>
              <w:t>Max. qty packs</w:t>
            </w:r>
          </w:p>
        </w:tc>
        <w:tc>
          <w:tcPr>
            <w:tcW w:w="811" w:type="dxa"/>
            <w:vAlign w:val="center"/>
          </w:tcPr>
          <w:p w14:paraId="470B4FA7" w14:textId="77777777" w:rsidR="006D2D9A" w:rsidRPr="0029195A" w:rsidRDefault="006D2D9A">
            <w:pPr>
              <w:keepLines/>
              <w:jc w:val="center"/>
              <w:rPr>
                <w:rFonts w:ascii="Arial Narrow" w:hAnsi="Arial Narrow"/>
                <w:b/>
                <w:sz w:val="20"/>
                <w:szCs w:val="20"/>
              </w:rPr>
            </w:pPr>
            <w:r w:rsidRPr="0029195A">
              <w:rPr>
                <w:rFonts w:ascii="Arial Narrow" w:hAnsi="Arial Narrow"/>
                <w:b/>
                <w:sz w:val="20"/>
                <w:szCs w:val="20"/>
              </w:rPr>
              <w:t>Max. qty units</w:t>
            </w:r>
          </w:p>
        </w:tc>
        <w:tc>
          <w:tcPr>
            <w:tcW w:w="812" w:type="dxa"/>
            <w:vAlign w:val="center"/>
          </w:tcPr>
          <w:p w14:paraId="17FB92E9" w14:textId="77777777" w:rsidR="006D2D9A" w:rsidRPr="0029195A" w:rsidRDefault="006D2D9A">
            <w:pPr>
              <w:keepLines/>
              <w:jc w:val="center"/>
              <w:rPr>
                <w:rFonts w:ascii="Arial Narrow" w:hAnsi="Arial Narrow"/>
                <w:b/>
                <w:sz w:val="20"/>
                <w:szCs w:val="20"/>
              </w:rPr>
            </w:pPr>
            <w:r w:rsidRPr="0029195A">
              <w:rPr>
                <w:rFonts w:ascii="Arial Narrow" w:hAnsi="Arial Narrow"/>
                <w:b/>
                <w:sz w:val="20"/>
                <w:szCs w:val="20"/>
              </w:rPr>
              <w:t>№.of</w:t>
            </w:r>
          </w:p>
          <w:p w14:paraId="293FB4EF" w14:textId="77777777" w:rsidR="006D2D9A" w:rsidRPr="0029195A" w:rsidRDefault="006D2D9A">
            <w:pPr>
              <w:keepLines/>
              <w:jc w:val="center"/>
              <w:rPr>
                <w:rFonts w:ascii="Arial Narrow" w:hAnsi="Arial Narrow"/>
                <w:b/>
                <w:sz w:val="20"/>
                <w:szCs w:val="20"/>
              </w:rPr>
            </w:pPr>
            <w:r w:rsidRPr="0029195A">
              <w:rPr>
                <w:rFonts w:ascii="Arial Narrow" w:hAnsi="Arial Narrow"/>
                <w:b/>
                <w:sz w:val="20"/>
                <w:szCs w:val="20"/>
              </w:rPr>
              <w:t>Rpts</w:t>
            </w:r>
          </w:p>
        </w:tc>
        <w:tc>
          <w:tcPr>
            <w:tcW w:w="1831" w:type="dxa"/>
            <w:vAlign w:val="center"/>
          </w:tcPr>
          <w:p w14:paraId="0C0D08D3" w14:textId="77777777" w:rsidR="006D2D9A" w:rsidRPr="0029195A" w:rsidRDefault="006D2D9A">
            <w:pPr>
              <w:keepLines/>
              <w:rPr>
                <w:rFonts w:ascii="Arial Narrow" w:hAnsi="Arial Narrow"/>
                <w:b/>
                <w:sz w:val="20"/>
                <w:szCs w:val="20"/>
              </w:rPr>
            </w:pPr>
            <w:r w:rsidRPr="0029195A">
              <w:rPr>
                <w:rFonts w:ascii="Arial Narrow" w:hAnsi="Arial Narrow"/>
                <w:b/>
                <w:sz w:val="20"/>
                <w:szCs w:val="20"/>
              </w:rPr>
              <w:t>Available brands</w:t>
            </w:r>
          </w:p>
        </w:tc>
      </w:tr>
      <w:tr w:rsidR="006D2D9A" w:rsidRPr="0029195A" w14:paraId="52C0E52E" w14:textId="77777777">
        <w:trPr>
          <w:cantSplit/>
          <w:trHeight w:val="20"/>
        </w:trPr>
        <w:tc>
          <w:tcPr>
            <w:tcW w:w="9017" w:type="dxa"/>
            <w:gridSpan w:val="6"/>
            <w:vAlign w:val="center"/>
          </w:tcPr>
          <w:p w14:paraId="194A4EE2" w14:textId="77777777" w:rsidR="006D2D9A" w:rsidRPr="0029195A" w:rsidRDefault="006D2D9A">
            <w:pPr>
              <w:pStyle w:val="TableText0"/>
              <w:spacing w:line="259" w:lineRule="auto"/>
            </w:pPr>
            <w:r w:rsidRPr="0029195A">
              <w:t>AVACOPAN</w:t>
            </w:r>
          </w:p>
        </w:tc>
      </w:tr>
      <w:tr w:rsidR="006D2D9A" w:rsidRPr="0029195A" w14:paraId="1F988EF9" w14:textId="77777777">
        <w:trPr>
          <w:cantSplit/>
          <w:trHeight w:val="20"/>
        </w:trPr>
        <w:tc>
          <w:tcPr>
            <w:tcW w:w="2972" w:type="dxa"/>
            <w:vAlign w:val="center"/>
          </w:tcPr>
          <w:p w14:paraId="4D24EE93" w14:textId="77777777" w:rsidR="006D2D9A" w:rsidRPr="0029195A" w:rsidRDefault="006D2D9A">
            <w:pPr>
              <w:pStyle w:val="TableText0"/>
              <w:keepLines/>
            </w:pPr>
            <w:r w:rsidRPr="0029195A">
              <w:t>Avacopan 10mg, capsules</w:t>
            </w:r>
          </w:p>
        </w:tc>
        <w:tc>
          <w:tcPr>
            <w:tcW w:w="1779" w:type="dxa"/>
          </w:tcPr>
          <w:p w14:paraId="1CE16794" w14:textId="77777777" w:rsidR="006D2D9A" w:rsidRPr="0029195A" w:rsidRDefault="006D2D9A">
            <w:pPr>
              <w:pStyle w:val="TableText0"/>
              <w:jc w:val="center"/>
            </w:pPr>
            <w:r w:rsidRPr="0029195A">
              <w:t>$10,727.28 published price</w:t>
            </w:r>
          </w:p>
          <w:p w14:paraId="0E4F5B01" w14:textId="638BC29C" w:rsidR="006D2D9A" w:rsidRPr="0029195A" w:rsidRDefault="006D2D9A">
            <w:pPr>
              <w:pStyle w:val="TableText0"/>
              <w:jc w:val="center"/>
            </w:pPr>
            <w:r w:rsidRPr="0029195A">
              <w:t>$</w:t>
            </w:r>
            <w:r w:rsidR="00A26F4F" w:rsidRPr="00A26F4F">
              <w:rPr>
                <w:rFonts w:hint="eastAsia"/>
                <w:color w:val="000000"/>
                <w:w w:val="30"/>
                <w:shd w:val="solid" w:color="000000" w:fill="000000"/>
                <w:fitText w:val="135" w:id="-1168989952"/>
                <w14:textFill>
                  <w14:solidFill>
                    <w14:srgbClr w14:val="000000">
                      <w14:alpha w14:val="100000"/>
                    </w14:srgbClr>
                  </w14:solidFill>
                </w14:textFill>
              </w:rPr>
              <w:t xml:space="preserve">　</w:t>
            </w:r>
            <w:r w:rsidR="00A26F4F" w:rsidRPr="00A26F4F">
              <w:rPr>
                <w:color w:val="000000"/>
                <w:w w:val="30"/>
                <w:shd w:val="solid" w:color="000000" w:fill="000000"/>
                <w:fitText w:val="135" w:id="-1168989952"/>
                <w14:textFill>
                  <w14:solidFill>
                    <w14:srgbClr w14:val="000000">
                      <w14:alpha w14:val="100000"/>
                    </w14:srgbClr>
                  </w14:solidFill>
                </w14:textFill>
              </w:rPr>
              <w:t>|</w:t>
            </w:r>
            <w:r w:rsidR="00A26F4F" w:rsidRPr="00A26F4F">
              <w:rPr>
                <w:rFonts w:hint="eastAsia"/>
                <w:color w:val="000000"/>
                <w:w w:val="30"/>
                <w:shd w:val="solid" w:color="000000" w:fill="000000"/>
                <w:fitText w:val="135" w:id="-1168989952"/>
                <w14:textFill>
                  <w14:solidFill>
                    <w14:srgbClr w14:val="000000">
                      <w14:alpha w14:val="100000"/>
                    </w14:srgbClr>
                  </w14:solidFill>
                </w14:textFill>
              </w:rPr>
              <w:t xml:space="preserve">　</w:t>
            </w:r>
            <w:r w:rsidRPr="0029195A">
              <w:t xml:space="preserve"> effective price</w:t>
            </w:r>
          </w:p>
        </w:tc>
        <w:tc>
          <w:tcPr>
            <w:tcW w:w="812" w:type="dxa"/>
            <w:vAlign w:val="center"/>
          </w:tcPr>
          <w:p w14:paraId="1562FEB9" w14:textId="77777777" w:rsidR="006D2D9A" w:rsidRPr="0029195A" w:rsidRDefault="006D2D9A">
            <w:pPr>
              <w:keepLines/>
              <w:jc w:val="center"/>
              <w:rPr>
                <w:rFonts w:ascii="Arial Narrow" w:hAnsi="Arial Narrow"/>
                <w:sz w:val="20"/>
                <w:szCs w:val="20"/>
              </w:rPr>
            </w:pPr>
            <w:r w:rsidRPr="0029195A">
              <w:rPr>
                <w:rFonts w:ascii="Arial Narrow" w:hAnsi="Arial Narrow"/>
                <w:sz w:val="20"/>
                <w:szCs w:val="20"/>
              </w:rPr>
              <w:t>1</w:t>
            </w:r>
          </w:p>
        </w:tc>
        <w:tc>
          <w:tcPr>
            <w:tcW w:w="811" w:type="dxa"/>
            <w:vAlign w:val="center"/>
          </w:tcPr>
          <w:p w14:paraId="11D2AC04" w14:textId="77777777" w:rsidR="006D2D9A" w:rsidRPr="0029195A" w:rsidRDefault="006D2D9A">
            <w:pPr>
              <w:keepLines/>
              <w:jc w:val="center"/>
              <w:rPr>
                <w:rFonts w:ascii="Arial Narrow" w:hAnsi="Arial Narrow"/>
                <w:sz w:val="20"/>
                <w:szCs w:val="20"/>
              </w:rPr>
            </w:pPr>
            <w:r w:rsidRPr="0029195A">
              <w:rPr>
                <w:rFonts w:ascii="Arial Narrow" w:hAnsi="Arial Narrow"/>
                <w:sz w:val="20"/>
                <w:szCs w:val="20"/>
              </w:rPr>
              <w:t>180</w:t>
            </w:r>
          </w:p>
        </w:tc>
        <w:tc>
          <w:tcPr>
            <w:tcW w:w="812" w:type="dxa"/>
            <w:vAlign w:val="center"/>
          </w:tcPr>
          <w:p w14:paraId="5A1DE0C1" w14:textId="77777777" w:rsidR="006D2D9A" w:rsidRPr="0029195A" w:rsidRDefault="006D2D9A">
            <w:pPr>
              <w:keepLines/>
              <w:jc w:val="center"/>
              <w:rPr>
                <w:rFonts w:ascii="Arial Narrow" w:hAnsi="Arial Narrow"/>
                <w:sz w:val="20"/>
                <w:szCs w:val="20"/>
              </w:rPr>
            </w:pPr>
            <w:r w:rsidRPr="0029195A">
              <w:rPr>
                <w:rFonts w:ascii="Arial Narrow" w:hAnsi="Arial Narrow"/>
                <w:sz w:val="20"/>
                <w:szCs w:val="20"/>
              </w:rPr>
              <w:t>5</w:t>
            </w:r>
          </w:p>
        </w:tc>
        <w:tc>
          <w:tcPr>
            <w:tcW w:w="1831" w:type="dxa"/>
            <w:vAlign w:val="center"/>
          </w:tcPr>
          <w:p w14:paraId="47443B02" w14:textId="547CA79F" w:rsidR="006D2D9A" w:rsidRPr="0029195A" w:rsidRDefault="00DB11CB">
            <w:pPr>
              <w:keepLines/>
              <w:rPr>
                <w:rFonts w:ascii="Arial Narrow" w:hAnsi="Arial Narrow"/>
                <w:sz w:val="20"/>
                <w:szCs w:val="20"/>
              </w:rPr>
            </w:pPr>
            <w:r w:rsidRPr="00E817E3">
              <w:rPr>
                <w:rFonts w:ascii="Arial Narrow" w:hAnsi="Arial Narrow"/>
                <w:sz w:val="20"/>
                <w:szCs w:val="20"/>
              </w:rPr>
              <w:t>T</w:t>
            </w:r>
            <w:r w:rsidR="006D2D9A" w:rsidRPr="00E817E3">
              <w:rPr>
                <w:rFonts w:ascii="Arial Narrow" w:hAnsi="Arial Narrow"/>
                <w:sz w:val="20"/>
                <w:szCs w:val="20"/>
              </w:rPr>
              <w:t>av</w:t>
            </w:r>
            <w:r w:rsidR="006D2D9A" w:rsidRPr="0029195A">
              <w:rPr>
                <w:rFonts w:ascii="Arial Narrow" w:hAnsi="Arial Narrow"/>
                <w:sz w:val="20"/>
                <w:szCs w:val="20"/>
              </w:rPr>
              <w:t xml:space="preserve">neos, CSL </w:t>
            </w:r>
            <w:r w:rsidR="0049481F" w:rsidRPr="0029195A">
              <w:rPr>
                <w:rFonts w:ascii="Arial Narrow" w:hAnsi="Arial Narrow"/>
                <w:sz w:val="20"/>
                <w:szCs w:val="20"/>
              </w:rPr>
              <w:t>Vifor</w:t>
            </w:r>
          </w:p>
        </w:tc>
      </w:tr>
    </w:tbl>
    <w:bookmarkEnd w:id="9"/>
    <w:p w14:paraId="710C08B9" w14:textId="77BD7CA0" w:rsidR="00E65B58" w:rsidRPr="0029195A" w:rsidRDefault="00E65B58" w:rsidP="00365716">
      <w:pPr>
        <w:pStyle w:val="FooterTableFigure"/>
        <w:rPr>
          <w:rFonts w:eastAsia="Arial Narrow"/>
        </w:rPr>
      </w:pPr>
      <w:r w:rsidRPr="0029195A">
        <w:rPr>
          <w:rFonts w:eastAsia="Arial Narrow"/>
        </w:rPr>
        <w:t>Source: Table 1-6, p40 of the submission.</w:t>
      </w:r>
    </w:p>
    <w:p w14:paraId="75B7A7A0" w14:textId="77777777" w:rsidR="00E65B58" w:rsidRPr="0029195A" w:rsidRDefault="00E65B58" w:rsidP="00365716">
      <w:pPr>
        <w:pStyle w:val="FooterTableFigure"/>
        <w:rPr>
          <w:rFonts w:eastAsia="Arial Narrow"/>
        </w:rPr>
      </w:pPr>
      <w:r w:rsidRPr="0029195A">
        <w:rPr>
          <w:rFonts w:eastAsia="Arial Narrow"/>
        </w:rPr>
        <w:t>Abbreviations: Max, maximum; qty, quantity, rpts, repeats.</w:t>
      </w:r>
    </w:p>
    <w:tbl>
      <w:tblPr>
        <w:tblW w:w="9015" w:type="dxa"/>
        <w:tblLayout w:type="fixed"/>
        <w:tblLook w:val="04A0" w:firstRow="1" w:lastRow="0" w:firstColumn="1" w:lastColumn="0" w:noHBand="0" w:noVBand="1"/>
      </w:tblPr>
      <w:tblGrid>
        <w:gridCol w:w="9015"/>
      </w:tblGrid>
      <w:tr w:rsidR="00E65B58" w:rsidRPr="0029195A" w14:paraId="7CB61F21" w14:textId="77777777" w:rsidTr="00C46CB3">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105DE20F" w14:textId="77777777" w:rsidR="00E65B58" w:rsidRPr="0029195A" w:rsidRDefault="00E65B58">
            <w:pPr>
              <w:pStyle w:val="TableText0"/>
              <w:keepLines/>
              <w:rPr>
                <w:rFonts w:eastAsia="Arial Narrow" w:cs="Arial Narrow"/>
                <w:bCs w:val="0"/>
                <w:szCs w:val="20"/>
              </w:rPr>
            </w:pPr>
            <w:bookmarkStart w:id="10" w:name="_Hlk135059553"/>
            <w:r w:rsidRPr="0029195A">
              <w:rPr>
                <w:rFonts w:eastAsia="Arial Narrow" w:cs="Arial Narrow"/>
                <w:b/>
                <w:szCs w:val="20"/>
              </w:rPr>
              <w:t xml:space="preserve">Category / Program: </w:t>
            </w:r>
            <w:r w:rsidRPr="0029195A">
              <w:rPr>
                <w:rFonts w:eastAsia="Arial Narrow" w:cs="Arial Narrow"/>
                <w:bCs w:val="0"/>
                <w:szCs w:val="20"/>
              </w:rPr>
              <w:t>Section 85</w:t>
            </w:r>
          </w:p>
        </w:tc>
      </w:tr>
      <w:tr w:rsidR="00E65B58" w:rsidRPr="0029195A" w14:paraId="1AF92F77" w14:textId="77777777" w:rsidTr="00C46CB3">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71D53257" w14:textId="01461D7C" w:rsidR="00E65B58" w:rsidRPr="0029195A" w:rsidRDefault="00E65B58">
            <w:pPr>
              <w:pStyle w:val="TableText0"/>
              <w:keepLines/>
              <w:rPr>
                <w:rFonts w:eastAsia="Arial Narrow" w:cs="Arial Narrow"/>
                <w:bCs w:val="0"/>
                <w:szCs w:val="20"/>
              </w:rPr>
            </w:pPr>
            <w:r w:rsidRPr="0029195A">
              <w:rPr>
                <w:rFonts w:eastAsia="Arial Narrow" w:cs="Arial Narrow"/>
                <w:b/>
                <w:szCs w:val="20"/>
              </w:rPr>
              <w:t xml:space="preserve">Prescriber type: </w:t>
            </w:r>
            <w:r w:rsidR="00B11C8F" w:rsidRPr="0029195A">
              <w:rPr>
                <w:rFonts w:cs="Arial"/>
                <w:sz w:val="18"/>
                <w:szCs w:val="18"/>
              </w:rPr>
              <w:fldChar w:fldCharType="begin" w:fldLock="1">
                <w:ffData>
                  <w:name w:val=""/>
                  <w:enabled/>
                  <w:calcOnExit w:val="0"/>
                  <w:checkBox>
                    <w:sizeAuto/>
                    <w:default w:val="1"/>
                  </w:checkBox>
                </w:ffData>
              </w:fldChar>
            </w:r>
            <w:r w:rsidR="00B11C8F" w:rsidRPr="0029195A">
              <w:rPr>
                <w:rFonts w:cs="Arial"/>
                <w:sz w:val="18"/>
                <w:szCs w:val="18"/>
              </w:rPr>
              <w:instrText xml:space="preserve"> FORMCHECKBOX </w:instrText>
            </w:r>
            <w:r w:rsidR="00B10578">
              <w:rPr>
                <w:rFonts w:cs="Arial"/>
                <w:sz w:val="18"/>
                <w:szCs w:val="18"/>
              </w:rPr>
            </w:r>
            <w:r w:rsidR="00B10578">
              <w:rPr>
                <w:rFonts w:cs="Arial"/>
                <w:sz w:val="18"/>
                <w:szCs w:val="18"/>
              </w:rPr>
              <w:fldChar w:fldCharType="separate"/>
            </w:r>
            <w:r w:rsidR="00B11C8F" w:rsidRPr="0029195A">
              <w:rPr>
                <w:rFonts w:cs="Arial"/>
                <w:sz w:val="18"/>
                <w:szCs w:val="18"/>
              </w:rPr>
              <w:fldChar w:fldCharType="end"/>
            </w:r>
            <w:r w:rsidRPr="0029195A">
              <w:rPr>
                <w:rFonts w:eastAsia="Arial Narrow" w:cs="Arial Narrow"/>
                <w:bCs w:val="0"/>
                <w:szCs w:val="20"/>
              </w:rPr>
              <w:t>Medical Practitioners</w:t>
            </w:r>
          </w:p>
        </w:tc>
      </w:tr>
      <w:tr w:rsidR="00E65B58" w:rsidRPr="0029195A" w14:paraId="353DEF9D" w14:textId="77777777" w:rsidTr="00C46CB3">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649EA572" w14:textId="77777777" w:rsidR="00E65B58" w:rsidRPr="0029195A" w:rsidRDefault="00E65B58">
            <w:pPr>
              <w:pStyle w:val="TableText0"/>
              <w:keepLines/>
              <w:rPr>
                <w:rFonts w:eastAsia="Arial Narrow" w:cs="Arial Narrow"/>
                <w:bCs w:val="0"/>
                <w:szCs w:val="20"/>
              </w:rPr>
            </w:pPr>
            <w:r w:rsidRPr="0029195A">
              <w:rPr>
                <w:rFonts w:eastAsia="Arial Narrow" w:cs="Arial Narrow"/>
                <w:b/>
                <w:szCs w:val="20"/>
              </w:rPr>
              <w:t xml:space="preserve">Restriction type: </w:t>
            </w:r>
            <w:r w:rsidRPr="0029195A">
              <w:rPr>
                <w:rFonts w:eastAsia="Arial Narrow" w:cs="Arial Narrow"/>
                <w:bCs w:val="0"/>
                <w:szCs w:val="20"/>
              </w:rPr>
              <w:t xml:space="preserve">Authority Required (STREAMLINED) </w:t>
            </w:r>
          </w:p>
        </w:tc>
      </w:tr>
      <w:tr w:rsidR="00E65B58" w:rsidRPr="0029195A" w14:paraId="0C7F0169" w14:textId="77777777" w:rsidTr="00C46CB3">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449E70" w14:textId="77777777" w:rsidR="00E65B58" w:rsidRPr="0029195A" w:rsidRDefault="00E65B58">
            <w:pPr>
              <w:pStyle w:val="TableText0"/>
              <w:keepLines/>
              <w:rPr>
                <w:rFonts w:eastAsia="Arial Narrow" w:cs="Arial Narrow"/>
                <w:bCs w:val="0"/>
                <w:szCs w:val="20"/>
              </w:rPr>
            </w:pPr>
            <w:r w:rsidRPr="0029195A">
              <w:rPr>
                <w:rFonts w:eastAsia="Arial Narrow" w:cs="Arial Narrow"/>
                <w:b/>
                <w:szCs w:val="20"/>
              </w:rPr>
              <w:t xml:space="preserve">Severity: </w:t>
            </w:r>
            <w:r w:rsidRPr="0029195A">
              <w:rPr>
                <w:rFonts w:eastAsia="Arial Narrow" w:cs="Arial Narrow"/>
                <w:bCs w:val="0"/>
                <w:szCs w:val="20"/>
              </w:rPr>
              <w:t>Severe active</w:t>
            </w:r>
          </w:p>
        </w:tc>
      </w:tr>
      <w:tr w:rsidR="00E65B58" w:rsidRPr="0029195A" w14:paraId="02759E43" w14:textId="77777777" w:rsidTr="00C46CB3">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65E0FF" w14:textId="77777777" w:rsidR="00E65B58" w:rsidRPr="0029195A" w:rsidRDefault="00E65B58">
            <w:pPr>
              <w:pStyle w:val="TableText0"/>
              <w:keepLines/>
              <w:rPr>
                <w:rFonts w:eastAsia="Arial Narrow" w:cs="Arial Narrow"/>
                <w:bCs w:val="0"/>
                <w:szCs w:val="20"/>
              </w:rPr>
            </w:pPr>
            <w:r w:rsidRPr="0029195A">
              <w:rPr>
                <w:rFonts w:eastAsia="Arial Narrow" w:cs="Arial Narrow"/>
                <w:b/>
                <w:szCs w:val="20"/>
              </w:rPr>
              <w:t xml:space="preserve">Condition: </w:t>
            </w:r>
            <w:r w:rsidRPr="0029195A">
              <w:rPr>
                <w:rFonts w:eastAsia="Arial Narrow" w:cs="Arial Narrow"/>
                <w:bCs w:val="0"/>
                <w:szCs w:val="20"/>
              </w:rPr>
              <w:t>Granulomatosis with polyangiitis or microscopic polyangiitis</w:t>
            </w:r>
          </w:p>
        </w:tc>
      </w:tr>
      <w:tr w:rsidR="00E65B58" w:rsidRPr="0029195A" w14:paraId="772E6999" w14:textId="77777777" w:rsidTr="00C46CB3">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451B1F" w14:textId="77777777" w:rsidR="00E65B58" w:rsidRPr="0029195A" w:rsidRDefault="00E65B58">
            <w:pPr>
              <w:pStyle w:val="TableText0"/>
              <w:keepLines/>
              <w:rPr>
                <w:rFonts w:eastAsia="Arial Narrow" w:cs="Arial Narrow"/>
                <w:bCs w:val="0"/>
                <w:szCs w:val="20"/>
              </w:rPr>
            </w:pPr>
            <w:r w:rsidRPr="0029195A">
              <w:rPr>
                <w:rFonts w:eastAsia="Arial Narrow" w:cs="Arial Narrow"/>
                <w:b/>
                <w:szCs w:val="20"/>
              </w:rPr>
              <w:t xml:space="preserve">Indication: </w:t>
            </w:r>
            <w:r w:rsidRPr="0029195A">
              <w:rPr>
                <w:rFonts w:eastAsia="Arial Narrow" w:cs="Arial Narrow"/>
                <w:bCs w:val="0"/>
                <w:szCs w:val="20"/>
              </w:rPr>
              <w:t>Severe active granulomatosis with polyangiitis or severe active microscopic polyangiitis</w:t>
            </w:r>
          </w:p>
        </w:tc>
      </w:tr>
      <w:tr w:rsidR="00E65B58" w:rsidRPr="0029195A" w14:paraId="7AA63767" w14:textId="77777777" w:rsidTr="00C46CB3">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9614BB" w14:textId="77777777" w:rsidR="00E65B58" w:rsidRPr="0029195A" w:rsidRDefault="00E65B58">
            <w:pPr>
              <w:pStyle w:val="TableText0"/>
              <w:keepLines/>
              <w:rPr>
                <w:rFonts w:eastAsia="Arial Narrow" w:cs="Arial Narrow"/>
                <w:bCs w:val="0"/>
                <w:szCs w:val="20"/>
              </w:rPr>
            </w:pPr>
            <w:r w:rsidRPr="0029195A">
              <w:rPr>
                <w:rFonts w:eastAsia="Arial Narrow" w:cs="Arial Narrow"/>
                <w:b/>
                <w:szCs w:val="20"/>
              </w:rPr>
              <w:t>Treatment Phase:</w:t>
            </w:r>
            <w:r w:rsidRPr="0029195A">
              <w:rPr>
                <w:rFonts w:eastAsia="Arial Narrow" w:cs="Arial Narrow"/>
                <w:bCs w:val="0"/>
                <w:szCs w:val="20"/>
              </w:rPr>
              <w:t xml:space="preserve"> Induction or reinduction of remission</w:t>
            </w:r>
          </w:p>
        </w:tc>
      </w:tr>
      <w:tr w:rsidR="00E65B58" w:rsidRPr="0029195A" w14:paraId="357A30B1" w14:textId="77777777" w:rsidTr="00C46CB3">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A852B8" w14:textId="77777777" w:rsidR="00E65B58" w:rsidRPr="0029195A" w:rsidRDefault="00E65B58">
            <w:pPr>
              <w:pStyle w:val="TableText0"/>
              <w:keepLines/>
              <w:rPr>
                <w:rFonts w:eastAsia="Arial Narrow" w:cs="Arial Narrow"/>
                <w:bCs w:val="0"/>
                <w:szCs w:val="20"/>
              </w:rPr>
            </w:pPr>
            <w:r w:rsidRPr="0029195A">
              <w:rPr>
                <w:rFonts w:eastAsia="Arial Narrow" w:cs="Arial Narrow"/>
                <w:b/>
                <w:szCs w:val="20"/>
              </w:rPr>
              <w:t>Clinical criteria:</w:t>
            </w:r>
          </w:p>
        </w:tc>
      </w:tr>
      <w:tr w:rsidR="00E65B58" w:rsidRPr="0029195A" w14:paraId="4EB89806" w14:textId="77777777" w:rsidTr="00C46CB3">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AAB398" w14:textId="77777777" w:rsidR="00E65B58" w:rsidRPr="0029195A" w:rsidRDefault="00E65B58">
            <w:pPr>
              <w:rPr>
                <w:rFonts w:ascii="Arial Narrow" w:eastAsia="Arial Narrow" w:hAnsi="Arial Narrow" w:cs="Arial Narrow"/>
                <w:color w:val="333333"/>
                <w:sz w:val="20"/>
                <w:szCs w:val="20"/>
              </w:rPr>
            </w:pPr>
            <w:r w:rsidRPr="0029195A">
              <w:rPr>
                <w:rFonts w:ascii="Arial Narrow" w:eastAsia="Arial Narrow" w:hAnsi="Arial Narrow" w:cs="Arial Narrow"/>
                <w:color w:val="333333"/>
                <w:sz w:val="20"/>
                <w:szCs w:val="20"/>
              </w:rPr>
              <w:t>The treatment must be for the induction or reinduction of remission</w:t>
            </w:r>
          </w:p>
        </w:tc>
      </w:tr>
      <w:tr w:rsidR="00E65B58" w:rsidRPr="0029195A" w14:paraId="78380F0C" w14:textId="77777777" w:rsidTr="00C46CB3">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ACF4CD" w14:textId="77777777" w:rsidR="00E65B58" w:rsidRPr="0029195A" w:rsidRDefault="00E65B58">
            <w:pPr>
              <w:pStyle w:val="TableText0"/>
              <w:keepLines/>
              <w:rPr>
                <w:rFonts w:eastAsia="Arial Narrow" w:cs="Arial Narrow"/>
                <w:bCs w:val="0"/>
                <w:szCs w:val="20"/>
              </w:rPr>
            </w:pPr>
            <w:r w:rsidRPr="0029195A">
              <w:rPr>
                <w:rFonts w:eastAsia="Arial Narrow" w:cs="Arial Narrow"/>
                <w:b/>
                <w:szCs w:val="20"/>
              </w:rPr>
              <w:t>AND</w:t>
            </w:r>
          </w:p>
        </w:tc>
      </w:tr>
      <w:tr w:rsidR="00E65B58" w:rsidRPr="0029195A" w14:paraId="179F8322" w14:textId="77777777" w:rsidTr="00C46CB3">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A63081" w14:textId="77777777" w:rsidR="00E65B58" w:rsidRPr="0029195A" w:rsidRDefault="00E65B58">
            <w:pPr>
              <w:rPr>
                <w:rFonts w:ascii="Arial Narrow" w:eastAsia="Arial Narrow" w:hAnsi="Arial Narrow" w:cs="Arial Narrow"/>
                <w:color w:val="333333"/>
                <w:sz w:val="20"/>
                <w:szCs w:val="20"/>
              </w:rPr>
            </w:pPr>
            <w:r w:rsidRPr="0029195A">
              <w:rPr>
                <w:rFonts w:ascii="Arial Narrow" w:eastAsia="Arial Narrow" w:hAnsi="Arial Narrow" w:cs="Arial Narrow"/>
                <w:color w:val="333333"/>
                <w:sz w:val="20"/>
                <w:szCs w:val="20"/>
              </w:rPr>
              <w:t>The treatment must be in combination with a cyclophosphamide or rituximab regimen,</w:t>
            </w:r>
          </w:p>
        </w:tc>
      </w:tr>
      <w:tr w:rsidR="00E65B58" w:rsidRPr="0029195A" w14:paraId="2166D471" w14:textId="77777777" w:rsidTr="00C46CB3">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7660A7" w14:textId="77777777" w:rsidR="00E65B58" w:rsidRPr="0029195A" w:rsidRDefault="00E65B58">
            <w:pPr>
              <w:pStyle w:val="TableText0"/>
              <w:keepLines/>
              <w:rPr>
                <w:rFonts w:eastAsia="Arial Narrow" w:cs="Arial Narrow"/>
                <w:bCs w:val="0"/>
                <w:szCs w:val="20"/>
              </w:rPr>
            </w:pPr>
            <w:r w:rsidRPr="0029195A">
              <w:rPr>
                <w:rFonts w:eastAsia="Arial Narrow" w:cs="Arial Narrow"/>
                <w:b/>
                <w:szCs w:val="20"/>
              </w:rPr>
              <w:t>AND</w:t>
            </w:r>
          </w:p>
        </w:tc>
      </w:tr>
      <w:tr w:rsidR="00E65B58" w:rsidRPr="0029195A" w14:paraId="2BC9B3DD" w14:textId="77777777" w:rsidTr="00C46CB3">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F0AA80" w14:textId="77777777" w:rsidR="00E65B58" w:rsidRPr="0029195A" w:rsidRDefault="00E65B58" w:rsidP="00365716">
            <w:pPr>
              <w:pStyle w:val="TableText0"/>
            </w:pPr>
            <w:r w:rsidRPr="0029195A">
              <w:t>Patient must have severe, active disease defined as at least one major or three non-major items or at least two renal items of haematuria and proteinuria on the Birmingham Vasculitis Activity Score (BVAS),</w:t>
            </w:r>
          </w:p>
        </w:tc>
      </w:tr>
      <w:tr w:rsidR="00E65B58" w:rsidRPr="0029195A" w14:paraId="210B9A7D" w14:textId="77777777" w:rsidTr="00C46CB3">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05E413" w14:textId="77777777" w:rsidR="00E65B58" w:rsidRPr="0029195A" w:rsidRDefault="00E65B58" w:rsidP="00365716">
            <w:pPr>
              <w:pStyle w:val="TableText0"/>
            </w:pPr>
            <w:r w:rsidRPr="0029195A">
              <w:t>Diagnosis should be made according to the Chapel Hill Consensus Conference Nomenclature of the Vasculitides with anti-neutrophil cytoplasmic antibody (ANCA) positive serology.</w:t>
            </w:r>
          </w:p>
        </w:tc>
      </w:tr>
    </w:tbl>
    <w:p w14:paraId="1AF85E4D" w14:textId="7D713785" w:rsidR="00E65B58" w:rsidRPr="0029195A" w:rsidRDefault="00E65B58" w:rsidP="007A6355">
      <w:pPr>
        <w:pStyle w:val="FooterTableFigure"/>
        <w:spacing w:after="0"/>
        <w:rPr>
          <w:rFonts w:eastAsia="Arial Narrow"/>
        </w:rPr>
      </w:pPr>
      <w:r w:rsidRPr="0029195A" w:rsidDel="009436C3">
        <w:rPr>
          <w:rFonts w:eastAsia="Arial Narrow"/>
        </w:rPr>
        <w:t xml:space="preserve"> </w:t>
      </w:r>
    </w:p>
    <w:tbl>
      <w:tblPr>
        <w:tblW w:w="9015" w:type="dxa"/>
        <w:tblLayout w:type="fixed"/>
        <w:tblLook w:val="04A0" w:firstRow="1" w:lastRow="0" w:firstColumn="1" w:lastColumn="0" w:noHBand="0" w:noVBand="1"/>
      </w:tblPr>
      <w:tblGrid>
        <w:gridCol w:w="9015"/>
      </w:tblGrid>
      <w:tr w:rsidR="00E65B58" w:rsidRPr="0029195A" w14:paraId="5C33E7D9" w14:textId="77777777" w:rsidTr="00B11C8F">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3DBB7994" w14:textId="77777777" w:rsidR="00E65B58" w:rsidRPr="0029195A" w:rsidRDefault="00E65B58">
            <w:pPr>
              <w:pStyle w:val="TableText0"/>
              <w:keepLines/>
              <w:rPr>
                <w:rFonts w:eastAsia="Arial Narrow" w:cs="Arial Narrow"/>
                <w:bCs w:val="0"/>
                <w:szCs w:val="20"/>
              </w:rPr>
            </w:pPr>
            <w:r w:rsidRPr="0029195A">
              <w:rPr>
                <w:rFonts w:eastAsia="Arial Narrow" w:cs="Arial Narrow"/>
                <w:b/>
                <w:szCs w:val="20"/>
              </w:rPr>
              <w:lastRenderedPageBreak/>
              <w:t xml:space="preserve">Category / Program: </w:t>
            </w:r>
            <w:r w:rsidRPr="0029195A">
              <w:rPr>
                <w:rFonts w:eastAsia="Arial Narrow" w:cs="Arial Narrow"/>
                <w:bCs w:val="0"/>
                <w:szCs w:val="20"/>
              </w:rPr>
              <w:t>Section 85</w:t>
            </w:r>
          </w:p>
        </w:tc>
      </w:tr>
      <w:tr w:rsidR="00E65B58" w:rsidRPr="0029195A" w14:paraId="4898BDDC" w14:textId="77777777" w:rsidTr="00B11C8F">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4E525BCE" w14:textId="51D28FAD" w:rsidR="00E65B58" w:rsidRPr="0029195A" w:rsidRDefault="00E65B58">
            <w:pPr>
              <w:pStyle w:val="TableText0"/>
              <w:keepLines/>
              <w:rPr>
                <w:rFonts w:eastAsia="Arial Narrow" w:cs="Arial Narrow"/>
                <w:bCs w:val="0"/>
                <w:szCs w:val="20"/>
              </w:rPr>
            </w:pPr>
            <w:r w:rsidRPr="0029195A">
              <w:rPr>
                <w:rFonts w:eastAsia="Arial Narrow" w:cs="Arial Narrow"/>
                <w:b/>
                <w:szCs w:val="20"/>
              </w:rPr>
              <w:t xml:space="preserve">Prescriber type: </w:t>
            </w:r>
            <w:r w:rsidR="00B11C8F" w:rsidRPr="0029195A">
              <w:rPr>
                <w:rFonts w:cs="Arial"/>
                <w:sz w:val="18"/>
                <w:szCs w:val="18"/>
              </w:rPr>
              <w:fldChar w:fldCharType="begin" w:fldLock="1">
                <w:ffData>
                  <w:name w:val=""/>
                  <w:enabled/>
                  <w:calcOnExit w:val="0"/>
                  <w:checkBox>
                    <w:sizeAuto/>
                    <w:default w:val="1"/>
                  </w:checkBox>
                </w:ffData>
              </w:fldChar>
            </w:r>
            <w:r w:rsidR="00B11C8F" w:rsidRPr="0029195A">
              <w:rPr>
                <w:rFonts w:cs="Arial"/>
                <w:sz w:val="18"/>
                <w:szCs w:val="18"/>
              </w:rPr>
              <w:instrText xml:space="preserve"> FORMCHECKBOX </w:instrText>
            </w:r>
            <w:r w:rsidR="00B10578">
              <w:rPr>
                <w:rFonts w:cs="Arial"/>
                <w:sz w:val="18"/>
                <w:szCs w:val="18"/>
              </w:rPr>
            </w:r>
            <w:r w:rsidR="00B10578">
              <w:rPr>
                <w:rFonts w:cs="Arial"/>
                <w:sz w:val="18"/>
                <w:szCs w:val="18"/>
              </w:rPr>
              <w:fldChar w:fldCharType="separate"/>
            </w:r>
            <w:r w:rsidR="00B11C8F" w:rsidRPr="0029195A">
              <w:rPr>
                <w:rFonts w:cs="Arial"/>
                <w:sz w:val="18"/>
                <w:szCs w:val="18"/>
              </w:rPr>
              <w:fldChar w:fldCharType="end"/>
            </w:r>
            <w:r w:rsidRPr="0029195A">
              <w:rPr>
                <w:rFonts w:eastAsia="Arial Narrow" w:cs="Arial Narrow"/>
                <w:bCs w:val="0"/>
                <w:szCs w:val="20"/>
              </w:rPr>
              <w:t>Medical Practitioners</w:t>
            </w:r>
          </w:p>
        </w:tc>
      </w:tr>
      <w:tr w:rsidR="00E65B58" w:rsidRPr="0029195A" w14:paraId="0E3EDD08" w14:textId="77777777" w:rsidTr="00B11C8F">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26B87A77" w14:textId="77777777" w:rsidR="00E65B58" w:rsidRPr="0029195A" w:rsidRDefault="00E65B58">
            <w:pPr>
              <w:pStyle w:val="TableText0"/>
              <w:keepLines/>
              <w:rPr>
                <w:rFonts w:eastAsia="Arial Narrow" w:cs="Arial Narrow"/>
                <w:bCs w:val="0"/>
                <w:szCs w:val="20"/>
              </w:rPr>
            </w:pPr>
            <w:r w:rsidRPr="0029195A">
              <w:rPr>
                <w:rFonts w:eastAsia="Arial Narrow" w:cs="Arial Narrow"/>
                <w:b/>
                <w:szCs w:val="20"/>
              </w:rPr>
              <w:t xml:space="preserve">Restriction type: </w:t>
            </w:r>
            <w:r w:rsidRPr="0029195A">
              <w:rPr>
                <w:rFonts w:eastAsia="Arial Narrow" w:cs="Arial Narrow"/>
                <w:bCs w:val="0"/>
                <w:szCs w:val="20"/>
              </w:rPr>
              <w:t xml:space="preserve">Authority Required (STREAMLINED) </w:t>
            </w:r>
          </w:p>
        </w:tc>
      </w:tr>
      <w:tr w:rsidR="00E65B58" w:rsidRPr="0029195A" w14:paraId="023DC3FC" w14:textId="77777777" w:rsidTr="00B11C8F">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B19F6B" w14:textId="77777777" w:rsidR="00E65B58" w:rsidRPr="0029195A" w:rsidRDefault="00E65B58">
            <w:pPr>
              <w:pStyle w:val="TableText0"/>
              <w:keepLines/>
              <w:rPr>
                <w:rFonts w:eastAsia="Arial Narrow" w:cs="Arial Narrow"/>
                <w:bCs w:val="0"/>
                <w:szCs w:val="20"/>
              </w:rPr>
            </w:pPr>
            <w:r w:rsidRPr="0029195A">
              <w:rPr>
                <w:rFonts w:eastAsia="Arial Narrow" w:cs="Arial Narrow"/>
                <w:b/>
                <w:szCs w:val="20"/>
              </w:rPr>
              <w:t xml:space="preserve">Severity: </w:t>
            </w:r>
            <w:r w:rsidRPr="0029195A">
              <w:rPr>
                <w:rFonts w:eastAsia="Arial Narrow" w:cs="Arial Narrow"/>
                <w:bCs w:val="0"/>
                <w:szCs w:val="20"/>
              </w:rPr>
              <w:t>Severe active</w:t>
            </w:r>
          </w:p>
        </w:tc>
      </w:tr>
      <w:tr w:rsidR="00E65B58" w:rsidRPr="0029195A" w14:paraId="537C229A" w14:textId="77777777" w:rsidTr="00B11C8F">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94548B" w14:textId="77777777" w:rsidR="00E65B58" w:rsidRPr="0029195A" w:rsidRDefault="00E65B58">
            <w:pPr>
              <w:pStyle w:val="TableText0"/>
              <w:keepLines/>
              <w:rPr>
                <w:rFonts w:eastAsia="Arial Narrow" w:cs="Arial Narrow"/>
                <w:bCs w:val="0"/>
                <w:szCs w:val="20"/>
              </w:rPr>
            </w:pPr>
            <w:r w:rsidRPr="0029195A">
              <w:rPr>
                <w:rFonts w:eastAsia="Arial Narrow" w:cs="Arial Narrow"/>
                <w:b/>
                <w:szCs w:val="20"/>
              </w:rPr>
              <w:t xml:space="preserve">Condition: </w:t>
            </w:r>
            <w:r w:rsidRPr="0029195A">
              <w:rPr>
                <w:rFonts w:eastAsia="Arial Narrow" w:cs="Arial Narrow"/>
                <w:bCs w:val="0"/>
                <w:szCs w:val="20"/>
              </w:rPr>
              <w:t>Granulomatosis with polyangiitis or microscopic polyangiitis</w:t>
            </w:r>
          </w:p>
        </w:tc>
      </w:tr>
      <w:tr w:rsidR="00E65B58" w:rsidRPr="0029195A" w14:paraId="5D5B2BA7" w14:textId="77777777" w:rsidTr="00B11C8F">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485113" w14:textId="77777777" w:rsidR="00E65B58" w:rsidRPr="0029195A" w:rsidRDefault="00E65B58">
            <w:pPr>
              <w:pStyle w:val="TableText0"/>
              <w:keepLines/>
              <w:rPr>
                <w:rFonts w:eastAsia="Arial Narrow" w:cs="Arial Narrow"/>
                <w:bCs w:val="0"/>
                <w:szCs w:val="20"/>
              </w:rPr>
            </w:pPr>
            <w:r w:rsidRPr="0029195A">
              <w:rPr>
                <w:rFonts w:eastAsia="Arial Narrow" w:cs="Arial Narrow"/>
                <w:b/>
                <w:szCs w:val="20"/>
              </w:rPr>
              <w:t xml:space="preserve">Indication: </w:t>
            </w:r>
            <w:r w:rsidRPr="0029195A">
              <w:rPr>
                <w:rFonts w:eastAsia="Arial Narrow" w:cs="Arial Narrow"/>
                <w:bCs w:val="0"/>
                <w:szCs w:val="20"/>
              </w:rPr>
              <w:t>Severe active granulomatosis with polyangiitis or severe active microscopic polyangiitis</w:t>
            </w:r>
          </w:p>
        </w:tc>
      </w:tr>
      <w:tr w:rsidR="00E65B58" w:rsidRPr="0029195A" w14:paraId="4B4D83AB" w14:textId="77777777" w:rsidTr="00B11C8F">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A69923" w14:textId="77777777" w:rsidR="00E65B58" w:rsidRPr="0029195A" w:rsidRDefault="00E65B58">
            <w:pPr>
              <w:pStyle w:val="TableText0"/>
              <w:keepLines/>
              <w:rPr>
                <w:rFonts w:eastAsia="Arial Narrow" w:cs="Arial Narrow"/>
                <w:bCs w:val="0"/>
                <w:szCs w:val="20"/>
              </w:rPr>
            </w:pPr>
            <w:r w:rsidRPr="0029195A">
              <w:rPr>
                <w:rFonts w:eastAsia="Arial Narrow" w:cs="Arial Narrow"/>
                <w:b/>
                <w:szCs w:val="20"/>
              </w:rPr>
              <w:t>Treatment Phase:</w:t>
            </w:r>
            <w:r w:rsidRPr="0029195A">
              <w:rPr>
                <w:rFonts w:eastAsia="Arial Narrow" w:cs="Arial Narrow"/>
                <w:bCs w:val="0"/>
                <w:szCs w:val="20"/>
              </w:rPr>
              <w:t xml:space="preserve"> Maintenance therapy</w:t>
            </w:r>
          </w:p>
        </w:tc>
      </w:tr>
      <w:tr w:rsidR="00E65B58" w:rsidRPr="0029195A" w14:paraId="46246E7C" w14:textId="77777777" w:rsidTr="00B11C8F">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C11A8C" w14:textId="77777777" w:rsidR="00E65B58" w:rsidRPr="0029195A" w:rsidRDefault="00E65B58">
            <w:pPr>
              <w:pStyle w:val="TableText0"/>
              <w:keepLines/>
              <w:rPr>
                <w:rFonts w:eastAsia="Arial Narrow" w:cs="Arial Narrow"/>
                <w:bCs w:val="0"/>
                <w:szCs w:val="20"/>
              </w:rPr>
            </w:pPr>
            <w:r w:rsidRPr="0029195A">
              <w:rPr>
                <w:rFonts w:eastAsia="Arial Narrow" w:cs="Arial Narrow"/>
                <w:b/>
                <w:szCs w:val="20"/>
              </w:rPr>
              <w:t>Clinical criteria:</w:t>
            </w:r>
          </w:p>
        </w:tc>
      </w:tr>
      <w:tr w:rsidR="00E65B58" w:rsidRPr="0029195A" w14:paraId="2B229A1A" w14:textId="77777777" w:rsidTr="00B11C8F">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AF6E2C" w14:textId="77777777" w:rsidR="00E65B58" w:rsidRPr="0029195A" w:rsidRDefault="00E65B58">
            <w:pPr>
              <w:rPr>
                <w:rFonts w:ascii="Arial Narrow" w:eastAsia="Arial Narrow" w:hAnsi="Arial Narrow" w:cs="Arial Narrow"/>
                <w:color w:val="333333"/>
                <w:sz w:val="20"/>
                <w:szCs w:val="20"/>
              </w:rPr>
            </w:pPr>
            <w:r w:rsidRPr="0029195A">
              <w:rPr>
                <w:rFonts w:ascii="Arial Narrow" w:eastAsia="Arial Narrow" w:hAnsi="Arial Narrow" w:cs="Arial Narrow"/>
                <w:color w:val="333333"/>
                <w:sz w:val="20"/>
                <w:szCs w:val="20"/>
              </w:rPr>
              <w:t>The treatment must be for maintenance therapy</w:t>
            </w:r>
          </w:p>
        </w:tc>
      </w:tr>
      <w:tr w:rsidR="00E65B58" w:rsidRPr="0029195A" w14:paraId="3A8124EB" w14:textId="77777777" w:rsidTr="00B11C8F">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7EA4B2" w14:textId="77777777" w:rsidR="00E65B58" w:rsidRPr="0029195A" w:rsidRDefault="00E65B58">
            <w:pPr>
              <w:pStyle w:val="TableText0"/>
              <w:keepLines/>
              <w:rPr>
                <w:rFonts w:eastAsia="Arial Narrow" w:cs="Arial Narrow"/>
                <w:bCs w:val="0"/>
                <w:szCs w:val="20"/>
              </w:rPr>
            </w:pPr>
            <w:r w:rsidRPr="0029195A">
              <w:rPr>
                <w:rFonts w:eastAsia="Arial Narrow" w:cs="Arial Narrow"/>
                <w:b/>
                <w:szCs w:val="20"/>
              </w:rPr>
              <w:t>AND</w:t>
            </w:r>
          </w:p>
        </w:tc>
      </w:tr>
      <w:tr w:rsidR="00E65B58" w:rsidRPr="0029195A" w14:paraId="413E17F6" w14:textId="77777777" w:rsidTr="00B11C8F">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722690" w14:textId="77777777" w:rsidR="00E65B58" w:rsidRPr="0029195A" w:rsidRDefault="00E65B58">
            <w:pPr>
              <w:rPr>
                <w:rFonts w:ascii="Arial Narrow" w:eastAsia="Arial Narrow" w:hAnsi="Arial Narrow" w:cs="Arial Narrow"/>
                <w:color w:val="333333"/>
                <w:sz w:val="20"/>
                <w:szCs w:val="20"/>
              </w:rPr>
            </w:pPr>
            <w:r w:rsidRPr="0029195A">
              <w:rPr>
                <w:rFonts w:ascii="Arial Narrow" w:eastAsia="Arial Narrow" w:hAnsi="Arial Narrow" w:cs="Arial Narrow"/>
                <w:color w:val="333333"/>
                <w:sz w:val="20"/>
                <w:szCs w:val="20"/>
              </w:rPr>
              <w:t>Patient must have previously received this drug for induction of remission for this condition</w:t>
            </w:r>
          </w:p>
        </w:tc>
      </w:tr>
      <w:tr w:rsidR="00E65B58" w:rsidRPr="0029195A" w14:paraId="1759C94F" w14:textId="77777777" w:rsidTr="00B11C8F">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2A144F" w14:textId="77777777" w:rsidR="00E65B58" w:rsidRPr="0029195A" w:rsidRDefault="00E65B58">
            <w:pPr>
              <w:pStyle w:val="TableText0"/>
              <w:keepLines/>
              <w:rPr>
                <w:rFonts w:eastAsia="Arial Narrow" w:cs="Arial Narrow"/>
                <w:bCs w:val="0"/>
                <w:szCs w:val="20"/>
              </w:rPr>
            </w:pPr>
            <w:r w:rsidRPr="0029195A">
              <w:rPr>
                <w:rFonts w:eastAsia="Arial Narrow" w:cs="Arial Narrow"/>
                <w:b/>
                <w:szCs w:val="20"/>
              </w:rPr>
              <w:t>AND</w:t>
            </w:r>
          </w:p>
        </w:tc>
      </w:tr>
      <w:tr w:rsidR="00E65B58" w:rsidRPr="0029195A" w14:paraId="2D40C450" w14:textId="77777777" w:rsidTr="00B11C8F">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8C8E6C" w14:textId="77777777" w:rsidR="00E65B58" w:rsidRPr="0029195A" w:rsidRDefault="00E65B58">
            <w:pPr>
              <w:rPr>
                <w:rFonts w:ascii="Arial Narrow" w:eastAsia="Arial Narrow" w:hAnsi="Arial Narrow" w:cs="Arial Narrow"/>
                <w:color w:val="333333"/>
                <w:sz w:val="20"/>
                <w:szCs w:val="20"/>
              </w:rPr>
            </w:pPr>
            <w:bookmarkStart w:id="11" w:name="_Hlk142053207"/>
            <w:r w:rsidRPr="0029195A">
              <w:rPr>
                <w:rFonts w:ascii="Arial Narrow" w:eastAsia="Arial Narrow" w:hAnsi="Arial Narrow" w:cs="Arial Narrow"/>
                <w:color w:val="333333"/>
                <w:sz w:val="20"/>
                <w:szCs w:val="20"/>
              </w:rPr>
              <w:t>Patient must have responded to this drug for this condition defined as BVAS score of 0</w:t>
            </w:r>
            <w:bookmarkEnd w:id="11"/>
          </w:p>
        </w:tc>
      </w:tr>
    </w:tbl>
    <w:p w14:paraId="37E30D74" w14:textId="79B9D856" w:rsidR="00E65B58" w:rsidRPr="0029195A" w:rsidRDefault="00E65B58" w:rsidP="007A6355">
      <w:pPr>
        <w:pStyle w:val="FooterTableFigure"/>
        <w:spacing w:after="0"/>
        <w:rPr>
          <w:rFonts w:eastAsia="Arial Narrow"/>
        </w:rPr>
      </w:pPr>
    </w:p>
    <w:tbl>
      <w:tblPr>
        <w:tblW w:w="0" w:type="auto"/>
        <w:tblLayout w:type="fixed"/>
        <w:tblLook w:val="04A0" w:firstRow="1" w:lastRow="0" w:firstColumn="1" w:lastColumn="0" w:noHBand="0" w:noVBand="1"/>
      </w:tblPr>
      <w:tblGrid>
        <w:gridCol w:w="9015"/>
      </w:tblGrid>
      <w:tr w:rsidR="00E65B58" w:rsidRPr="0029195A" w14:paraId="2438F09A" w14:textId="77777777">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1C87E3C0" w14:textId="77777777" w:rsidR="00E65B58" w:rsidRPr="0029195A" w:rsidRDefault="00E65B58">
            <w:pPr>
              <w:pStyle w:val="TableText0"/>
              <w:keepLines/>
              <w:rPr>
                <w:rFonts w:eastAsia="Arial Narrow" w:cs="Arial Narrow"/>
                <w:bCs w:val="0"/>
                <w:szCs w:val="20"/>
              </w:rPr>
            </w:pPr>
            <w:r w:rsidRPr="0029195A">
              <w:rPr>
                <w:rFonts w:eastAsia="Arial Narrow" w:cs="Arial Narrow"/>
                <w:b/>
                <w:szCs w:val="20"/>
              </w:rPr>
              <w:t xml:space="preserve">Category / Program: </w:t>
            </w:r>
            <w:r w:rsidRPr="0029195A">
              <w:rPr>
                <w:rFonts w:eastAsia="Arial Narrow" w:cs="Arial Narrow"/>
                <w:bCs w:val="0"/>
                <w:szCs w:val="20"/>
              </w:rPr>
              <w:t>Section 85</w:t>
            </w:r>
          </w:p>
        </w:tc>
      </w:tr>
      <w:tr w:rsidR="00E65B58" w:rsidRPr="0029195A" w14:paraId="548A0DDE" w14:textId="77777777">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37731219" w14:textId="268BFC76" w:rsidR="00E65B58" w:rsidRPr="0029195A" w:rsidRDefault="00E65B58">
            <w:pPr>
              <w:pStyle w:val="TableText0"/>
              <w:keepLines/>
              <w:rPr>
                <w:rFonts w:eastAsia="Arial Narrow" w:cs="Arial Narrow"/>
                <w:bCs w:val="0"/>
                <w:szCs w:val="20"/>
              </w:rPr>
            </w:pPr>
            <w:r w:rsidRPr="0029195A">
              <w:rPr>
                <w:rFonts w:eastAsia="Arial Narrow" w:cs="Arial Narrow"/>
                <w:b/>
                <w:szCs w:val="20"/>
              </w:rPr>
              <w:t xml:space="preserve">Prescriber type: </w:t>
            </w:r>
            <w:r w:rsidR="00B11C8F" w:rsidRPr="0029195A">
              <w:rPr>
                <w:rFonts w:cs="Arial"/>
                <w:sz w:val="18"/>
                <w:szCs w:val="18"/>
              </w:rPr>
              <w:fldChar w:fldCharType="begin" w:fldLock="1">
                <w:ffData>
                  <w:name w:val=""/>
                  <w:enabled/>
                  <w:calcOnExit w:val="0"/>
                  <w:checkBox>
                    <w:sizeAuto/>
                    <w:default w:val="1"/>
                  </w:checkBox>
                </w:ffData>
              </w:fldChar>
            </w:r>
            <w:r w:rsidR="00B11C8F" w:rsidRPr="0029195A">
              <w:rPr>
                <w:rFonts w:cs="Arial"/>
                <w:sz w:val="18"/>
                <w:szCs w:val="18"/>
              </w:rPr>
              <w:instrText xml:space="preserve"> FORMCHECKBOX </w:instrText>
            </w:r>
            <w:r w:rsidR="00B10578">
              <w:rPr>
                <w:rFonts w:cs="Arial"/>
                <w:sz w:val="18"/>
                <w:szCs w:val="18"/>
              </w:rPr>
            </w:r>
            <w:r w:rsidR="00B10578">
              <w:rPr>
                <w:rFonts w:cs="Arial"/>
                <w:sz w:val="18"/>
                <w:szCs w:val="18"/>
              </w:rPr>
              <w:fldChar w:fldCharType="separate"/>
            </w:r>
            <w:r w:rsidR="00B11C8F" w:rsidRPr="0029195A">
              <w:rPr>
                <w:rFonts w:cs="Arial"/>
                <w:sz w:val="18"/>
                <w:szCs w:val="18"/>
              </w:rPr>
              <w:fldChar w:fldCharType="end"/>
            </w:r>
            <w:r w:rsidRPr="0029195A">
              <w:rPr>
                <w:rFonts w:eastAsia="Arial Narrow" w:cs="Arial Narrow"/>
                <w:bCs w:val="0"/>
                <w:szCs w:val="20"/>
              </w:rPr>
              <w:t>Medical Practitioners</w:t>
            </w:r>
          </w:p>
        </w:tc>
      </w:tr>
      <w:tr w:rsidR="00E65B58" w:rsidRPr="0029195A" w14:paraId="50DBF8E5" w14:textId="77777777">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4F42CDBF" w14:textId="77777777" w:rsidR="00E65B58" w:rsidRPr="0029195A" w:rsidRDefault="00E65B58">
            <w:pPr>
              <w:pStyle w:val="TableText0"/>
              <w:keepLines/>
              <w:rPr>
                <w:rFonts w:eastAsia="Arial Narrow" w:cs="Arial Narrow"/>
                <w:bCs w:val="0"/>
                <w:szCs w:val="20"/>
              </w:rPr>
            </w:pPr>
            <w:r w:rsidRPr="0029195A">
              <w:rPr>
                <w:rFonts w:eastAsia="Arial Narrow" w:cs="Arial Narrow"/>
                <w:b/>
                <w:szCs w:val="20"/>
              </w:rPr>
              <w:t xml:space="preserve">Restriction type: </w:t>
            </w:r>
            <w:r w:rsidRPr="0029195A">
              <w:rPr>
                <w:rFonts w:eastAsia="Arial Narrow" w:cs="Arial Narrow"/>
                <w:bCs w:val="0"/>
                <w:szCs w:val="20"/>
              </w:rPr>
              <w:t xml:space="preserve">Authority Required (STREAMLINED) </w:t>
            </w:r>
          </w:p>
        </w:tc>
      </w:tr>
      <w:tr w:rsidR="00E65B58" w:rsidRPr="0029195A" w14:paraId="661B5EAE" w14:textId="77777777">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E8413C" w14:textId="70870621" w:rsidR="00E65B58" w:rsidRPr="0029195A" w:rsidRDefault="00E65B58">
            <w:pPr>
              <w:pStyle w:val="TableText0"/>
              <w:keepLines/>
              <w:rPr>
                <w:rFonts w:eastAsia="Arial Narrow" w:cs="Arial Narrow"/>
                <w:bCs w:val="0"/>
                <w:szCs w:val="20"/>
              </w:rPr>
            </w:pPr>
          </w:p>
        </w:tc>
      </w:tr>
      <w:tr w:rsidR="00E65B58" w:rsidRPr="0029195A" w14:paraId="448545E4" w14:textId="77777777">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0C28C8" w14:textId="77777777" w:rsidR="00E65B58" w:rsidRPr="0029195A" w:rsidRDefault="00E65B58">
            <w:pPr>
              <w:pStyle w:val="TableText0"/>
              <w:keepLines/>
              <w:rPr>
                <w:rFonts w:eastAsia="Arial Narrow" w:cs="Arial Narrow"/>
                <w:bCs w:val="0"/>
                <w:szCs w:val="20"/>
              </w:rPr>
            </w:pPr>
            <w:r w:rsidRPr="0029195A">
              <w:rPr>
                <w:rFonts w:eastAsia="Arial Narrow" w:cs="Arial Narrow"/>
                <w:b/>
                <w:szCs w:val="20"/>
              </w:rPr>
              <w:t xml:space="preserve">Severity: </w:t>
            </w:r>
            <w:r w:rsidRPr="0029195A">
              <w:rPr>
                <w:rFonts w:eastAsia="Arial Narrow" w:cs="Arial Narrow"/>
                <w:bCs w:val="0"/>
                <w:szCs w:val="20"/>
              </w:rPr>
              <w:t>Severe active</w:t>
            </w:r>
          </w:p>
        </w:tc>
      </w:tr>
      <w:tr w:rsidR="00E65B58" w:rsidRPr="0029195A" w14:paraId="20759DA9" w14:textId="77777777">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D70F5F" w14:textId="77777777" w:rsidR="00E65B58" w:rsidRPr="0029195A" w:rsidRDefault="00E65B58">
            <w:pPr>
              <w:pStyle w:val="TableText0"/>
              <w:keepLines/>
              <w:rPr>
                <w:rFonts w:eastAsia="Arial Narrow" w:cs="Arial Narrow"/>
                <w:bCs w:val="0"/>
                <w:szCs w:val="20"/>
              </w:rPr>
            </w:pPr>
            <w:r w:rsidRPr="0029195A">
              <w:rPr>
                <w:rFonts w:eastAsia="Arial Narrow" w:cs="Arial Narrow"/>
                <w:b/>
                <w:szCs w:val="20"/>
              </w:rPr>
              <w:t xml:space="preserve">Condition: </w:t>
            </w:r>
            <w:r w:rsidRPr="0029195A">
              <w:rPr>
                <w:rFonts w:eastAsia="Arial Narrow" w:cs="Arial Narrow"/>
                <w:bCs w:val="0"/>
                <w:szCs w:val="20"/>
              </w:rPr>
              <w:t>Granulomatosis with polyangiitis or microscopic polyangiitis</w:t>
            </w:r>
          </w:p>
        </w:tc>
      </w:tr>
      <w:tr w:rsidR="00E65B58" w:rsidRPr="0029195A" w14:paraId="1134EEE9" w14:textId="77777777">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2E1052" w14:textId="77777777" w:rsidR="00E65B58" w:rsidRPr="0029195A" w:rsidRDefault="00E65B58">
            <w:pPr>
              <w:pStyle w:val="TableText0"/>
              <w:keepLines/>
              <w:rPr>
                <w:rFonts w:eastAsia="Arial Narrow" w:cs="Arial Narrow"/>
                <w:bCs w:val="0"/>
                <w:szCs w:val="20"/>
              </w:rPr>
            </w:pPr>
            <w:r w:rsidRPr="0029195A">
              <w:rPr>
                <w:rFonts w:eastAsia="Arial Narrow" w:cs="Arial Narrow"/>
                <w:b/>
                <w:szCs w:val="20"/>
              </w:rPr>
              <w:t xml:space="preserve">Indication: </w:t>
            </w:r>
            <w:r w:rsidRPr="0029195A">
              <w:rPr>
                <w:rFonts w:eastAsia="Arial Narrow" w:cs="Arial Narrow"/>
                <w:bCs w:val="0"/>
                <w:szCs w:val="20"/>
              </w:rPr>
              <w:t>Severe active granulomatosis with polyangiitis or severe active microscopic polyangiitis</w:t>
            </w:r>
          </w:p>
        </w:tc>
      </w:tr>
      <w:tr w:rsidR="00E65B58" w:rsidRPr="0029195A" w14:paraId="3710A42C" w14:textId="77777777">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BE214F" w14:textId="77777777" w:rsidR="00E65B58" w:rsidRPr="0029195A" w:rsidRDefault="00E65B58">
            <w:pPr>
              <w:pStyle w:val="TableText0"/>
              <w:keepLines/>
              <w:rPr>
                <w:rFonts w:eastAsia="Arial Narrow" w:cs="Arial Narrow"/>
                <w:bCs w:val="0"/>
                <w:szCs w:val="20"/>
              </w:rPr>
            </w:pPr>
            <w:r w:rsidRPr="0029195A">
              <w:rPr>
                <w:rFonts w:eastAsia="Arial Narrow" w:cs="Arial Narrow"/>
                <w:b/>
                <w:szCs w:val="20"/>
              </w:rPr>
              <w:t>Treatment Phase:</w:t>
            </w:r>
            <w:r w:rsidRPr="0029195A">
              <w:rPr>
                <w:rFonts w:eastAsia="Arial Narrow" w:cs="Arial Narrow"/>
                <w:bCs w:val="0"/>
                <w:szCs w:val="20"/>
              </w:rPr>
              <w:t xml:space="preserve"> Transitioning from non-PBS to PBS-subsidised treatment – Grandfather arrangements </w:t>
            </w:r>
          </w:p>
        </w:tc>
      </w:tr>
      <w:tr w:rsidR="00E65B58" w:rsidRPr="0029195A" w14:paraId="359FFBE5" w14:textId="77777777">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7708F9" w14:textId="77777777" w:rsidR="00E65B58" w:rsidRPr="0029195A" w:rsidRDefault="00E65B58">
            <w:pPr>
              <w:pStyle w:val="TableText0"/>
              <w:keepLines/>
              <w:rPr>
                <w:rFonts w:eastAsia="Arial Narrow" w:cs="Arial Narrow"/>
                <w:bCs w:val="0"/>
                <w:szCs w:val="20"/>
              </w:rPr>
            </w:pPr>
            <w:r w:rsidRPr="0029195A">
              <w:rPr>
                <w:rFonts w:eastAsia="Arial Narrow" w:cs="Arial Narrow"/>
                <w:b/>
                <w:szCs w:val="20"/>
              </w:rPr>
              <w:t>Clinical criteria:</w:t>
            </w:r>
          </w:p>
        </w:tc>
      </w:tr>
      <w:tr w:rsidR="00E65B58" w:rsidRPr="0029195A" w14:paraId="747B593C" w14:textId="77777777">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8F45F3" w14:textId="77777777" w:rsidR="00E65B58" w:rsidRPr="0029195A" w:rsidRDefault="00E65B58">
            <w:pPr>
              <w:spacing w:line="259" w:lineRule="auto"/>
              <w:rPr>
                <w:rFonts w:ascii="Arial Narrow" w:eastAsia="Arial Narrow" w:hAnsi="Arial Narrow" w:cs="Arial Narrow"/>
                <w:color w:val="333333"/>
                <w:sz w:val="20"/>
                <w:szCs w:val="20"/>
              </w:rPr>
            </w:pPr>
            <w:r w:rsidRPr="0029195A">
              <w:rPr>
                <w:rFonts w:ascii="Arial Narrow" w:eastAsia="Arial Narrow" w:hAnsi="Arial Narrow" w:cs="Arial Narrow"/>
                <w:color w:val="333333"/>
                <w:sz w:val="20"/>
                <w:szCs w:val="20"/>
              </w:rPr>
              <w:t>Patient must have received non-PBS subsidised treatment with this drug for this condition prior to [PBS listing date]</w:t>
            </w:r>
          </w:p>
        </w:tc>
      </w:tr>
      <w:tr w:rsidR="00E65B58" w:rsidRPr="0029195A" w14:paraId="2104477E" w14:textId="77777777">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1B4A75" w14:textId="77777777" w:rsidR="00E65B58" w:rsidRPr="0029195A" w:rsidRDefault="00E65B58">
            <w:pPr>
              <w:pStyle w:val="TableText0"/>
              <w:keepLines/>
              <w:rPr>
                <w:rFonts w:eastAsia="Arial Narrow" w:cs="Arial Narrow"/>
                <w:bCs w:val="0"/>
                <w:szCs w:val="20"/>
              </w:rPr>
            </w:pPr>
            <w:r w:rsidRPr="0029195A">
              <w:rPr>
                <w:rFonts w:eastAsia="Arial Narrow" w:cs="Arial Narrow"/>
                <w:b/>
                <w:szCs w:val="20"/>
              </w:rPr>
              <w:t>AND</w:t>
            </w:r>
          </w:p>
        </w:tc>
      </w:tr>
      <w:tr w:rsidR="00E65B58" w:rsidRPr="0029195A" w14:paraId="35D88D60" w14:textId="77777777">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377036" w14:textId="77777777" w:rsidR="00E65B58" w:rsidRPr="0029195A" w:rsidRDefault="00E65B58">
            <w:pPr>
              <w:rPr>
                <w:rFonts w:ascii="Arial Narrow" w:eastAsia="Arial Narrow" w:hAnsi="Arial Narrow" w:cs="Arial Narrow"/>
                <w:color w:val="333333"/>
                <w:sz w:val="20"/>
                <w:szCs w:val="20"/>
              </w:rPr>
            </w:pPr>
            <w:r w:rsidRPr="0029195A">
              <w:rPr>
                <w:rFonts w:ascii="Arial Narrow" w:eastAsia="Arial Narrow" w:hAnsi="Arial Narrow" w:cs="Arial Narrow"/>
                <w:color w:val="333333"/>
                <w:sz w:val="20"/>
                <w:szCs w:val="20"/>
              </w:rPr>
              <w:t>The treatment must be for the induction or reinduction of remission</w:t>
            </w:r>
          </w:p>
        </w:tc>
      </w:tr>
      <w:tr w:rsidR="00E65B58" w:rsidRPr="0029195A" w14:paraId="59B2D80A" w14:textId="77777777">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B479D6" w14:textId="77777777" w:rsidR="00E65B58" w:rsidRPr="0029195A" w:rsidRDefault="00E65B58">
            <w:pPr>
              <w:pStyle w:val="TableText0"/>
              <w:keepLines/>
              <w:rPr>
                <w:rFonts w:eastAsia="Arial Narrow" w:cs="Arial Narrow"/>
                <w:bCs w:val="0"/>
                <w:szCs w:val="20"/>
              </w:rPr>
            </w:pPr>
            <w:r w:rsidRPr="0029195A">
              <w:rPr>
                <w:rFonts w:eastAsia="Arial Narrow" w:cs="Arial Narrow"/>
                <w:b/>
                <w:szCs w:val="20"/>
              </w:rPr>
              <w:t>AND</w:t>
            </w:r>
          </w:p>
        </w:tc>
      </w:tr>
      <w:tr w:rsidR="00E65B58" w:rsidRPr="0029195A" w14:paraId="2FE4BB54" w14:textId="77777777">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16D48B" w14:textId="77777777" w:rsidR="00E65B58" w:rsidRPr="0029195A" w:rsidRDefault="00E65B58">
            <w:pPr>
              <w:rPr>
                <w:rFonts w:ascii="Arial Narrow" w:eastAsia="Arial Narrow" w:hAnsi="Arial Narrow" w:cs="Arial Narrow"/>
                <w:color w:val="333333"/>
                <w:sz w:val="20"/>
                <w:szCs w:val="20"/>
              </w:rPr>
            </w:pPr>
            <w:r w:rsidRPr="0029195A">
              <w:rPr>
                <w:rFonts w:ascii="Arial Narrow" w:eastAsia="Arial Narrow" w:hAnsi="Arial Narrow" w:cs="Arial Narrow"/>
                <w:color w:val="333333"/>
                <w:sz w:val="20"/>
                <w:szCs w:val="20"/>
              </w:rPr>
              <w:t>The treatment must be in combination with a cyclophosphamide or rituximab regimen,</w:t>
            </w:r>
          </w:p>
        </w:tc>
      </w:tr>
      <w:tr w:rsidR="00E65B58" w:rsidRPr="0029195A" w14:paraId="3539B347" w14:textId="77777777">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F34F64" w14:textId="77777777" w:rsidR="00E65B58" w:rsidRPr="0029195A" w:rsidRDefault="00E65B58">
            <w:pPr>
              <w:pStyle w:val="TableText0"/>
              <w:keepLines/>
              <w:rPr>
                <w:rFonts w:eastAsia="Arial Narrow" w:cs="Arial Narrow"/>
                <w:bCs w:val="0"/>
                <w:szCs w:val="20"/>
              </w:rPr>
            </w:pPr>
            <w:r w:rsidRPr="0029195A">
              <w:rPr>
                <w:rFonts w:eastAsia="Arial Narrow" w:cs="Arial Narrow"/>
                <w:b/>
                <w:szCs w:val="20"/>
              </w:rPr>
              <w:t>AND</w:t>
            </w:r>
          </w:p>
        </w:tc>
      </w:tr>
      <w:tr w:rsidR="00E65B58" w:rsidRPr="0029195A" w14:paraId="5EF2550F" w14:textId="77777777">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9F7FB1" w14:textId="77777777" w:rsidR="00E65B58" w:rsidRPr="0029195A" w:rsidRDefault="00E65B58">
            <w:pPr>
              <w:rPr>
                <w:rFonts w:ascii="Arial Narrow" w:eastAsia="Arial Narrow" w:hAnsi="Arial Narrow" w:cs="Arial Narrow"/>
                <w:color w:val="333333"/>
                <w:sz w:val="20"/>
                <w:szCs w:val="20"/>
              </w:rPr>
            </w:pPr>
            <w:r w:rsidRPr="0029195A">
              <w:rPr>
                <w:rFonts w:ascii="Arial Narrow" w:eastAsia="Arial Narrow" w:hAnsi="Arial Narrow" w:cs="Arial Narrow"/>
                <w:color w:val="333333"/>
                <w:sz w:val="20"/>
                <w:szCs w:val="20"/>
              </w:rPr>
              <w:t>At the time of non-PBS subsidised treatment initiation, patient must have had severe, active disease defined as at least one major or three non-major items or at least two renal items of haematuria and proteinuria on the Birmingham Vasculitis Activity Score (BVAS)</w:t>
            </w:r>
          </w:p>
        </w:tc>
      </w:tr>
      <w:tr w:rsidR="00E65B58" w:rsidRPr="0029195A" w14:paraId="0DC2C0D9" w14:textId="77777777">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B5FD4A" w14:textId="77777777" w:rsidR="00E65B58" w:rsidRPr="0029195A" w:rsidRDefault="00E65B58">
            <w:pPr>
              <w:rPr>
                <w:rFonts w:ascii="Arial Narrow" w:eastAsia="Arial Narrow" w:hAnsi="Arial Narrow" w:cs="Arial Narrow"/>
                <w:color w:val="333333"/>
                <w:sz w:val="20"/>
                <w:szCs w:val="20"/>
              </w:rPr>
            </w:pPr>
            <w:r w:rsidRPr="0029195A">
              <w:rPr>
                <w:rFonts w:ascii="Arial Narrow" w:eastAsia="Arial Narrow" w:hAnsi="Arial Narrow" w:cs="Arial Narrow"/>
                <w:color w:val="333333"/>
                <w:sz w:val="20"/>
                <w:szCs w:val="20"/>
              </w:rPr>
              <w:t>Diagnosis should be made according to the Chapel Hill Consensus Conference Nomenclature of the Vasculitides with anti-neutrophil cytoplasmic antibody (ANCA) positive serology.</w:t>
            </w:r>
          </w:p>
        </w:tc>
      </w:tr>
      <w:tr w:rsidR="00E65B58" w:rsidRPr="0029195A" w14:paraId="0944C06E" w14:textId="77777777">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6D0AD2" w14:textId="77777777" w:rsidR="00E65B58" w:rsidRPr="0029195A" w:rsidRDefault="00E65B58">
            <w:pPr>
              <w:rPr>
                <w:rFonts w:ascii="Arial Narrow" w:eastAsia="Arial Narrow" w:hAnsi="Arial Narrow" w:cs="Arial Narrow"/>
                <w:color w:val="333333"/>
                <w:sz w:val="20"/>
                <w:szCs w:val="20"/>
              </w:rPr>
            </w:pPr>
            <w:r w:rsidRPr="0029195A">
              <w:rPr>
                <w:rFonts w:ascii="Arial Narrow" w:eastAsia="Arial Narrow" w:hAnsi="Arial Narrow" w:cs="Arial Narrow"/>
                <w:b/>
                <w:bCs/>
                <w:color w:val="333333"/>
                <w:sz w:val="20"/>
                <w:szCs w:val="20"/>
              </w:rPr>
              <w:t xml:space="preserve">Treatment criteria: </w:t>
            </w:r>
            <w:r w:rsidRPr="0029195A">
              <w:rPr>
                <w:rFonts w:ascii="Arial Narrow" w:eastAsia="Arial Narrow" w:hAnsi="Arial Narrow" w:cs="Arial Narrow"/>
                <w:color w:val="333333"/>
                <w:sz w:val="20"/>
                <w:szCs w:val="20"/>
              </w:rPr>
              <w:t xml:space="preserve">Patient must be undergoing continuing treatment with this drug where non-PBS subsidised treatment was for induction or reinduction of remission </w:t>
            </w:r>
          </w:p>
        </w:tc>
      </w:tr>
    </w:tbl>
    <w:p w14:paraId="150A2F3B" w14:textId="1210698F" w:rsidR="00E65B58" w:rsidRPr="0029195A" w:rsidRDefault="00E65B58" w:rsidP="007A6355">
      <w:pPr>
        <w:pStyle w:val="FooterTableFigure"/>
        <w:spacing w:after="0"/>
        <w:rPr>
          <w:rFonts w:eastAsia="Arial Narrow"/>
        </w:rPr>
      </w:pPr>
    </w:p>
    <w:tbl>
      <w:tblPr>
        <w:tblW w:w="0" w:type="auto"/>
        <w:tblLayout w:type="fixed"/>
        <w:tblLook w:val="04A0" w:firstRow="1" w:lastRow="0" w:firstColumn="1" w:lastColumn="0" w:noHBand="0" w:noVBand="1"/>
      </w:tblPr>
      <w:tblGrid>
        <w:gridCol w:w="9015"/>
      </w:tblGrid>
      <w:tr w:rsidR="00E65B58" w:rsidRPr="0029195A" w14:paraId="3EF46808" w14:textId="77777777">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42C29C56" w14:textId="77777777" w:rsidR="00E65B58" w:rsidRPr="0029195A" w:rsidRDefault="00E65B58">
            <w:pPr>
              <w:pStyle w:val="TableText0"/>
              <w:keepLines/>
              <w:rPr>
                <w:rFonts w:eastAsia="Arial Narrow" w:cs="Arial Narrow"/>
                <w:bCs w:val="0"/>
                <w:szCs w:val="20"/>
              </w:rPr>
            </w:pPr>
            <w:r w:rsidRPr="0029195A">
              <w:rPr>
                <w:rFonts w:eastAsia="Arial Narrow" w:cs="Arial Narrow"/>
                <w:b/>
                <w:szCs w:val="20"/>
              </w:rPr>
              <w:t xml:space="preserve">Category / Program: </w:t>
            </w:r>
            <w:r w:rsidRPr="0029195A">
              <w:rPr>
                <w:rFonts w:eastAsia="Arial Narrow" w:cs="Arial Narrow"/>
                <w:bCs w:val="0"/>
                <w:szCs w:val="20"/>
              </w:rPr>
              <w:t>Section 85</w:t>
            </w:r>
          </w:p>
        </w:tc>
      </w:tr>
      <w:tr w:rsidR="00E65B58" w:rsidRPr="0029195A" w14:paraId="7D20C4E4" w14:textId="77777777">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4147DE1D" w14:textId="582E953C" w:rsidR="00E65B58" w:rsidRPr="0029195A" w:rsidRDefault="00E65B58">
            <w:pPr>
              <w:pStyle w:val="TableText0"/>
              <w:keepLines/>
              <w:rPr>
                <w:rFonts w:eastAsia="Arial Narrow" w:cs="Arial Narrow"/>
                <w:bCs w:val="0"/>
                <w:szCs w:val="20"/>
              </w:rPr>
            </w:pPr>
            <w:r w:rsidRPr="0029195A">
              <w:rPr>
                <w:rFonts w:eastAsia="Arial Narrow" w:cs="Arial Narrow"/>
                <w:b/>
                <w:szCs w:val="20"/>
              </w:rPr>
              <w:t xml:space="preserve">Prescriber type: </w:t>
            </w:r>
            <w:r w:rsidR="00B11C8F" w:rsidRPr="0029195A">
              <w:rPr>
                <w:rFonts w:cs="Arial"/>
                <w:sz w:val="18"/>
                <w:szCs w:val="18"/>
              </w:rPr>
              <w:fldChar w:fldCharType="begin" w:fldLock="1">
                <w:ffData>
                  <w:name w:val=""/>
                  <w:enabled/>
                  <w:calcOnExit w:val="0"/>
                  <w:checkBox>
                    <w:sizeAuto/>
                    <w:default w:val="1"/>
                  </w:checkBox>
                </w:ffData>
              </w:fldChar>
            </w:r>
            <w:r w:rsidR="00B11C8F" w:rsidRPr="0029195A">
              <w:rPr>
                <w:rFonts w:cs="Arial"/>
                <w:sz w:val="18"/>
                <w:szCs w:val="18"/>
              </w:rPr>
              <w:instrText xml:space="preserve"> FORMCHECKBOX </w:instrText>
            </w:r>
            <w:r w:rsidR="00B10578">
              <w:rPr>
                <w:rFonts w:cs="Arial"/>
                <w:sz w:val="18"/>
                <w:szCs w:val="18"/>
              </w:rPr>
            </w:r>
            <w:r w:rsidR="00B10578">
              <w:rPr>
                <w:rFonts w:cs="Arial"/>
                <w:sz w:val="18"/>
                <w:szCs w:val="18"/>
              </w:rPr>
              <w:fldChar w:fldCharType="separate"/>
            </w:r>
            <w:r w:rsidR="00B11C8F" w:rsidRPr="0029195A">
              <w:rPr>
                <w:rFonts w:cs="Arial"/>
                <w:sz w:val="18"/>
                <w:szCs w:val="18"/>
              </w:rPr>
              <w:fldChar w:fldCharType="end"/>
            </w:r>
            <w:r w:rsidRPr="0029195A">
              <w:rPr>
                <w:rFonts w:eastAsia="Arial Narrow" w:cs="Arial Narrow"/>
                <w:bCs w:val="0"/>
                <w:szCs w:val="20"/>
              </w:rPr>
              <w:t>Medical Practitioners</w:t>
            </w:r>
          </w:p>
        </w:tc>
      </w:tr>
      <w:tr w:rsidR="00E65B58" w:rsidRPr="0029195A" w14:paraId="2479C4D4" w14:textId="77777777">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6D2E4E2B" w14:textId="77777777" w:rsidR="00E65B58" w:rsidRPr="0029195A" w:rsidRDefault="00E65B58">
            <w:pPr>
              <w:pStyle w:val="TableText0"/>
              <w:keepLines/>
              <w:rPr>
                <w:rFonts w:eastAsia="Arial Narrow" w:cs="Arial Narrow"/>
                <w:bCs w:val="0"/>
                <w:szCs w:val="20"/>
              </w:rPr>
            </w:pPr>
            <w:r w:rsidRPr="0029195A">
              <w:rPr>
                <w:rFonts w:eastAsia="Arial Narrow" w:cs="Arial Narrow"/>
                <w:b/>
                <w:szCs w:val="20"/>
              </w:rPr>
              <w:t xml:space="preserve">Restriction type: </w:t>
            </w:r>
            <w:r w:rsidRPr="0029195A">
              <w:rPr>
                <w:rFonts w:eastAsia="Arial Narrow" w:cs="Arial Narrow"/>
                <w:bCs w:val="0"/>
                <w:szCs w:val="20"/>
              </w:rPr>
              <w:t xml:space="preserve">Authority Required (STREAMLINED) </w:t>
            </w:r>
          </w:p>
        </w:tc>
      </w:tr>
      <w:tr w:rsidR="00E65B58" w:rsidRPr="0029195A" w14:paraId="5C688CC9" w14:textId="77777777">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80C092" w14:textId="7F17B326" w:rsidR="00E65B58" w:rsidRPr="0029195A" w:rsidRDefault="00E65B58">
            <w:pPr>
              <w:pStyle w:val="TableText0"/>
              <w:keepLines/>
              <w:rPr>
                <w:rFonts w:eastAsia="Arial Narrow" w:cs="Arial Narrow"/>
                <w:bCs w:val="0"/>
                <w:szCs w:val="20"/>
              </w:rPr>
            </w:pPr>
          </w:p>
        </w:tc>
      </w:tr>
      <w:tr w:rsidR="00E65B58" w:rsidRPr="0029195A" w14:paraId="0D36C026" w14:textId="77777777">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EDDCA7" w14:textId="77777777" w:rsidR="00E65B58" w:rsidRPr="0029195A" w:rsidRDefault="00E65B58">
            <w:pPr>
              <w:pStyle w:val="TableText0"/>
              <w:keepLines/>
              <w:rPr>
                <w:rFonts w:eastAsia="Arial Narrow" w:cs="Arial Narrow"/>
                <w:bCs w:val="0"/>
                <w:szCs w:val="20"/>
              </w:rPr>
            </w:pPr>
            <w:r w:rsidRPr="0029195A">
              <w:rPr>
                <w:rFonts w:eastAsia="Arial Narrow" w:cs="Arial Narrow"/>
                <w:b/>
                <w:szCs w:val="20"/>
              </w:rPr>
              <w:t xml:space="preserve">Severity: </w:t>
            </w:r>
            <w:r w:rsidRPr="0029195A">
              <w:rPr>
                <w:rFonts w:eastAsia="Arial Narrow" w:cs="Arial Narrow"/>
                <w:bCs w:val="0"/>
                <w:szCs w:val="20"/>
              </w:rPr>
              <w:t>Severe active</w:t>
            </w:r>
          </w:p>
        </w:tc>
      </w:tr>
      <w:tr w:rsidR="00E65B58" w:rsidRPr="0029195A" w14:paraId="3672D8FC" w14:textId="77777777">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761E3E" w14:textId="77777777" w:rsidR="00E65B58" w:rsidRPr="0029195A" w:rsidRDefault="00E65B58">
            <w:pPr>
              <w:pStyle w:val="TableText0"/>
              <w:keepLines/>
              <w:rPr>
                <w:rFonts w:eastAsia="Arial Narrow" w:cs="Arial Narrow"/>
                <w:bCs w:val="0"/>
                <w:szCs w:val="20"/>
              </w:rPr>
            </w:pPr>
            <w:r w:rsidRPr="0029195A">
              <w:rPr>
                <w:rFonts w:eastAsia="Arial Narrow" w:cs="Arial Narrow"/>
                <w:b/>
                <w:szCs w:val="20"/>
              </w:rPr>
              <w:t xml:space="preserve">Condition: </w:t>
            </w:r>
            <w:r w:rsidRPr="0029195A">
              <w:rPr>
                <w:rFonts w:eastAsia="Arial Narrow" w:cs="Arial Narrow"/>
                <w:bCs w:val="0"/>
                <w:szCs w:val="20"/>
              </w:rPr>
              <w:t>Granulomatosis with polyangiitis or microscopic polyangiitis</w:t>
            </w:r>
          </w:p>
        </w:tc>
      </w:tr>
      <w:tr w:rsidR="00E65B58" w:rsidRPr="0029195A" w14:paraId="31EEC2F3" w14:textId="77777777">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FB18AE" w14:textId="77777777" w:rsidR="00E65B58" w:rsidRPr="0029195A" w:rsidRDefault="00E65B58">
            <w:pPr>
              <w:pStyle w:val="TableText0"/>
              <w:keepLines/>
              <w:rPr>
                <w:rFonts w:eastAsia="Arial Narrow" w:cs="Arial Narrow"/>
                <w:bCs w:val="0"/>
                <w:szCs w:val="20"/>
              </w:rPr>
            </w:pPr>
            <w:r w:rsidRPr="0029195A">
              <w:rPr>
                <w:rFonts w:eastAsia="Arial Narrow" w:cs="Arial Narrow"/>
                <w:b/>
                <w:szCs w:val="20"/>
              </w:rPr>
              <w:t xml:space="preserve">Indication: </w:t>
            </w:r>
            <w:r w:rsidRPr="0029195A">
              <w:rPr>
                <w:rFonts w:eastAsia="Arial Narrow" w:cs="Arial Narrow"/>
                <w:bCs w:val="0"/>
                <w:szCs w:val="20"/>
              </w:rPr>
              <w:t>Severe active granulomatosis with polyangiitis or severe active microscopic polyangiitis</w:t>
            </w:r>
          </w:p>
        </w:tc>
      </w:tr>
      <w:tr w:rsidR="00E65B58" w:rsidRPr="0029195A" w14:paraId="7F868731" w14:textId="77777777">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B9A1F2" w14:textId="77777777" w:rsidR="00E65B58" w:rsidRPr="0029195A" w:rsidRDefault="00E65B58">
            <w:pPr>
              <w:pStyle w:val="TableText0"/>
              <w:keepLines/>
              <w:rPr>
                <w:rFonts w:eastAsia="Arial Narrow" w:cs="Arial Narrow"/>
                <w:bCs w:val="0"/>
                <w:szCs w:val="20"/>
              </w:rPr>
            </w:pPr>
            <w:r w:rsidRPr="0029195A">
              <w:rPr>
                <w:rFonts w:eastAsia="Arial Narrow" w:cs="Arial Narrow"/>
                <w:b/>
                <w:szCs w:val="20"/>
              </w:rPr>
              <w:t>Treatment Phase:</w:t>
            </w:r>
            <w:r w:rsidRPr="0029195A">
              <w:rPr>
                <w:rFonts w:eastAsia="Arial Narrow" w:cs="Arial Narrow"/>
                <w:bCs w:val="0"/>
                <w:szCs w:val="20"/>
              </w:rPr>
              <w:t xml:space="preserve"> Transitioning from non-PBS to PBS-subsidised treatment – Grandfather arrangements </w:t>
            </w:r>
          </w:p>
        </w:tc>
      </w:tr>
      <w:tr w:rsidR="00E65B58" w:rsidRPr="0029195A" w14:paraId="23F99606" w14:textId="77777777">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FD718A" w14:textId="77777777" w:rsidR="00E65B58" w:rsidRPr="0029195A" w:rsidRDefault="00E65B58">
            <w:pPr>
              <w:pStyle w:val="TableText0"/>
              <w:keepLines/>
              <w:rPr>
                <w:rFonts w:eastAsia="Arial Narrow" w:cs="Arial Narrow"/>
                <w:bCs w:val="0"/>
                <w:szCs w:val="20"/>
              </w:rPr>
            </w:pPr>
            <w:r w:rsidRPr="0029195A">
              <w:rPr>
                <w:rFonts w:eastAsia="Arial Narrow" w:cs="Arial Narrow"/>
                <w:b/>
                <w:szCs w:val="20"/>
              </w:rPr>
              <w:t>Clinical criteria:</w:t>
            </w:r>
          </w:p>
        </w:tc>
      </w:tr>
      <w:tr w:rsidR="00E65B58" w:rsidRPr="0029195A" w14:paraId="626723D8" w14:textId="77777777">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FD2452" w14:textId="77777777" w:rsidR="00E65B58" w:rsidRPr="0029195A" w:rsidRDefault="00E65B58">
            <w:pPr>
              <w:pStyle w:val="TableText0"/>
              <w:rPr>
                <w:rFonts w:eastAsia="Arial Narrow" w:cs="Arial Narrow"/>
                <w:bCs w:val="0"/>
                <w:szCs w:val="20"/>
              </w:rPr>
            </w:pPr>
            <w:r w:rsidRPr="0029195A">
              <w:rPr>
                <w:rFonts w:eastAsia="Arial Narrow" w:cs="Arial Narrow"/>
                <w:bCs w:val="0"/>
                <w:szCs w:val="20"/>
              </w:rPr>
              <w:t>Patient must have received non-PBS subsidised treatment with this drug for this condition prior to [PBS listing date]</w:t>
            </w:r>
          </w:p>
        </w:tc>
      </w:tr>
      <w:tr w:rsidR="00E65B58" w:rsidRPr="0029195A" w14:paraId="3A72E426" w14:textId="77777777">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D70F4E" w14:textId="77777777" w:rsidR="00E65B58" w:rsidRPr="0029195A" w:rsidRDefault="00E65B58">
            <w:pPr>
              <w:pStyle w:val="TableText0"/>
              <w:rPr>
                <w:rFonts w:eastAsia="Arial Narrow" w:cs="Arial Narrow"/>
                <w:bCs w:val="0"/>
                <w:szCs w:val="20"/>
              </w:rPr>
            </w:pPr>
            <w:r w:rsidRPr="0029195A">
              <w:rPr>
                <w:rFonts w:eastAsia="Arial Narrow" w:cs="Arial Narrow"/>
                <w:b/>
                <w:szCs w:val="20"/>
              </w:rPr>
              <w:t>AND</w:t>
            </w:r>
          </w:p>
        </w:tc>
      </w:tr>
      <w:tr w:rsidR="00E65B58" w:rsidRPr="0029195A" w14:paraId="04BC66BA" w14:textId="77777777">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A76436" w14:textId="77777777" w:rsidR="00E65B58" w:rsidRPr="0029195A" w:rsidRDefault="00E65B58">
            <w:pPr>
              <w:rPr>
                <w:rFonts w:ascii="Arial Narrow" w:eastAsia="Arial Narrow" w:hAnsi="Arial Narrow" w:cs="Arial Narrow"/>
                <w:color w:val="333333"/>
                <w:sz w:val="20"/>
                <w:szCs w:val="20"/>
              </w:rPr>
            </w:pPr>
            <w:r w:rsidRPr="0029195A">
              <w:rPr>
                <w:rFonts w:ascii="Arial Narrow" w:eastAsia="Arial Narrow" w:hAnsi="Arial Narrow" w:cs="Arial Narrow"/>
                <w:color w:val="333333"/>
                <w:sz w:val="20"/>
                <w:szCs w:val="20"/>
              </w:rPr>
              <w:t>The treatment must be for maintenance therapy</w:t>
            </w:r>
          </w:p>
        </w:tc>
      </w:tr>
      <w:tr w:rsidR="00E65B58" w:rsidRPr="0029195A" w14:paraId="6A591E30" w14:textId="77777777">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BDB1C1" w14:textId="77777777" w:rsidR="00E65B58" w:rsidRPr="0029195A" w:rsidRDefault="00E65B58">
            <w:pPr>
              <w:pStyle w:val="TableText0"/>
              <w:keepLines/>
              <w:rPr>
                <w:rFonts w:eastAsia="Arial Narrow" w:cs="Arial Narrow"/>
                <w:bCs w:val="0"/>
                <w:szCs w:val="20"/>
              </w:rPr>
            </w:pPr>
            <w:r w:rsidRPr="0029195A">
              <w:rPr>
                <w:rFonts w:eastAsia="Arial Narrow" w:cs="Arial Narrow"/>
                <w:b/>
                <w:szCs w:val="20"/>
              </w:rPr>
              <w:t>AND</w:t>
            </w:r>
          </w:p>
        </w:tc>
      </w:tr>
      <w:tr w:rsidR="00E65B58" w:rsidRPr="0029195A" w14:paraId="1E109E0E" w14:textId="77777777">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E818E9" w14:textId="77777777" w:rsidR="00E65B58" w:rsidRPr="0029195A" w:rsidRDefault="00E65B58">
            <w:pPr>
              <w:rPr>
                <w:rFonts w:ascii="Arial Narrow" w:eastAsia="Arial Narrow" w:hAnsi="Arial Narrow" w:cs="Arial Narrow"/>
                <w:color w:val="333333"/>
                <w:sz w:val="20"/>
                <w:szCs w:val="20"/>
              </w:rPr>
            </w:pPr>
            <w:r w:rsidRPr="0029195A">
              <w:rPr>
                <w:rFonts w:ascii="Arial Narrow" w:eastAsia="Arial Narrow" w:hAnsi="Arial Narrow" w:cs="Arial Narrow"/>
                <w:color w:val="333333"/>
                <w:sz w:val="20"/>
                <w:szCs w:val="20"/>
              </w:rPr>
              <w:t>Patient must have previously received this drug for induction of remission for this condition</w:t>
            </w:r>
          </w:p>
        </w:tc>
      </w:tr>
      <w:tr w:rsidR="00E65B58" w:rsidRPr="0029195A" w14:paraId="646E051E" w14:textId="77777777">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8C38DA" w14:textId="77777777" w:rsidR="00E65B58" w:rsidRPr="0029195A" w:rsidRDefault="00E65B58">
            <w:pPr>
              <w:pStyle w:val="TableText0"/>
              <w:keepLines/>
              <w:rPr>
                <w:rFonts w:eastAsia="Arial Narrow" w:cs="Arial Narrow"/>
                <w:bCs w:val="0"/>
                <w:szCs w:val="20"/>
              </w:rPr>
            </w:pPr>
            <w:r w:rsidRPr="0029195A">
              <w:rPr>
                <w:rFonts w:eastAsia="Arial Narrow" w:cs="Arial Narrow"/>
                <w:b/>
                <w:szCs w:val="20"/>
              </w:rPr>
              <w:lastRenderedPageBreak/>
              <w:t>AND</w:t>
            </w:r>
          </w:p>
        </w:tc>
      </w:tr>
      <w:tr w:rsidR="00E65B58" w:rsidRPr="0029195A" w14:paraId="582AC92F" w14:textId="77777777">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C74EE6" w14:textId="77777777" w:rsidR="00E65B58" w:rsidRPr="0029195A" w:rsidRDefault="00E65B58">
            <w:pPr>
              <w:rPr>
                <w:rFonts w:ascii="Arial Narrow" w:eastAsia="Arial Narrow" w:hAnsi="Arial Narrow" w:cs="Arial Narrow"/>
                <w:color w:val="333333"/>
                <w:sz w:val="20"/>
                <w:szCs w:val="20"/>
              </w:rPr>
            </w:pPr>
            <w:r w:rsidRPr="0029195A">
              <w:rPr>
                <w:rFonts w:ascii="Arial Narrow" w:eastAsia="Arial Narrow" w:hAnsi="Arial Narrow" w:cs="Arial Narrow"/>
                <w:color w:val="333333"/>
                <w:sz w:val="20"/>
                <w:szCs w:val="20"/>
              </w:rPr>
              <w:t>Patient must have responded to this drug for this condition defined as BVAS score of 0</w:t>
            </w:r>
          </w:p>
        </w:tc>
      </w:tr>
      <w:tr w:rsidR="00E65B58" w:rsidRPr="0029195A" w14:paraId="3054D89B" w14:textId="77777777">
        <w:trPr>
          <w:trHeight w:val="1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75052F" w14:textId="77777777" w:rsidR="00E65B58" w:rsidRPr="0029195A" w:rsidRDefault="00E65B58">
            <w:pPr>
              <w:rPr>
                <w:rFonts w:ascii="Arial Narrow" w:eastAsia="Arial Narrow" w:hAnsi="Arial Narrow" w:cs="Arial Narrow"/>
                <w:color w:val="333333"/>
                <w:sz w:val="20"/>
                <w:szCs w:val="20"/>
              </w:rPr>
            </w:pPr>
            <w:r w:rsidRPr="0029195A">
              <w:rPr>
                <w:rFonts w:ascii="Arial Narrow" w:eastAsia="Arial Narrow" w:hAnsi="Arial Narrow" w:cs="Arial Narrow"/>
                <w:b/>
                <w:bCs/>
                <w:sz w:val="20"/>
                <w:szCs w:val="20"/>
              </w:rPr>
              <w:t xml:space="preserve">Treatment criteria: </w:t>
            </w:r>
            <w:r w:rsidRPr="0029195A">
              <w:rPr>
                <w:rFonts w:ascii="Arial Narrow" w:eastAsia="Arial Narrow" w:hAnsi="Arial Narrow" w:cs="Arial Narrow"/>
                <w:color w:val="333333"/>
                <w:sz w:val="20"/>
                <w:szCs w:val="20"/>
              </w:rPr>
              <w:t xml:space="preserve">Patient must be undergoing continuing treatment with this drug where non-PBS subsidised treatment was for maintenance therapy </w:t>
            </w:r>
          </w:p>
        </w:tc>
      </w:tr>
    </w:tbl>
    <w:bookmarkEnd w:id="10"/>
    <w:p w14:paraId="420687F4" w14:textId="3D8959CF" w:rsidR="00E65B58" w:rsidRPr="0029195A" w:rsidRDefault="00E65B58" w:rsidP="00365716">
      <w:pPr>
        <w:pStyle w:val="FooterTableFigure"/>
        <w:rPr>
          <w:rFonts w:eastAsia="Arial Narrow"/>
        </w:rPr>
      </w:pPr>
      <w:r w:rsidRPr="0029195A">
        <w:rPr>
          <w:rFonts w:eastAsia="Arial Narrow"/>
        </w:rPr>
        <w:t>Source: Table</w:t>
      </w:r>
      <w:r w:rsidR="00B16009" w:rsidRPr="0029195A">
        <w:rPr>
          <w:rFonts w:eastAsia="Arial Narrow"/>
        </w:rPr>
        <w:t>s</w:t>
      </w:r>
      <w:r w:rsidRPr="0029195A">
        <w:rPr>
          <w:rFonts w:eastAsia="Arial Narrow"/>
        </w:rPr>
        <w:t xml:space="preserve"> 1-</w:t>
      </w:r>
      <w:r w:rsidR="00B16009" w:rsidRPr="0029195A">
        <w:rPr>
          <w:rFonts w:eastAsia="Arial Narrow"/>
        </w:rPr>
        <w:t>7 to 1-</w:t>
      </w:r>
      <w:r w:rsidRPr="0029195A">
        <w:rPr>
          <w:rFonts w:eastAsia="Arial Narrow"/>
        </w:rPr>
        <w:t>10, p</w:t>
      </w:r>
      <w:r w:rsidR="00B16009" w:rsidRPr="0029195A">
        <w:rPr>
          <w:rFonts w:eastAsia="Arial Narrow"/>
        </w:rPr>
        <w:t>p41</w:t>
      </w:r>
      <w:r w:rsidR="00B16009" w:rsidRPr="0029195A">
        <w:rPr>
          <w:rFonts w:eastAsia="Arial Narrow"/>
        </w:rPr>
        <w:noBreakHyphen/>
      </w:r>
      <w:r w:rsidRPr="0029195A">
        <w:rPr>
          <w:rFonts w:eastAsia="Arial Narrow"/>
        </w:rPr>
        <w:t>43 of the submission</w:t>
      </w:r>
    </w:p>
    <w:p w14:paraId="0F9A66B9" w14:textId="77777777" w:rsidR="00E65B58" w:rsidRPr="0029195A" w:rsidRDefault="00E65B58" w:rsidP="00365716">
      <w:pPr>
        <w:pStyle w:val="FooterTableFigure"/>
        <w:rPr>
          <w:rFonts w:eastAsia="Arial Narrow"/>
        </w:rPr>
      </w:pPr>
      <w:r w:rsidRPr="0029195A">
        <w:rPr>
          <w:rFonts w:eastAsia="Arial Narrow"/>
        </w:rPr>
        <w:t>Abbreviations: BVAS, Birmingham Vasculitis Activity Score; PBS, Pharmaceutical Benefits Scheme</w:t>
      </w:r>
    </w:p>
    <w:p w14:paraId="2D375122" w14:textId="2700E30B" w:rsidR="00254B6F" w:rsidRPr="0029195A" w:rsidRDefault="00254B6F" w:rsidP="007A6355">
      <w:pPr>
        <w:pStyle w:val="3-BodyText"/>
      </w:pPr>
      <w:r w:rsidRPr="0029195A">
        <w:t xml:space="preserve">The submission has proposed a special pricing arrangement (SPA) with an effective price that </w:t>
      </w:r>
      <w:r w:rsidRPr="00411269">
        <w:t xml:space="preserve">is </w:t>
      </w:r>
      <w:r w:rsidR="00A26F4F" w:rsidRPr="00B10578">
        <w:rPr>
          <w:color w:val="000000"/>
          <w:w w:val="15"/>
          <w:shd w:val="solid" w:color="000000" w:fill="000000"/>
          <w:fitText w:val="-20" w:id="-1168989951"/>
          <w14:textFill>
            <w14:solidFill>
              <w14:srgbClr w14:val="000000">
                <w14:alpha w14:val="100000"/>
              </w14:srgbClr>
            </w14:solidFill>
          </w14:textFill>
        </w:rPr>
        <w:t xml:space="preserve">|  </w:t>
      </w:r>
      <w:r w:rsidR="00A26F4F" w:rsidRPr="00B10578">
        <w:rPr>
          <w:color w:val="000000"/>
          <w:spacing w:val="-69"/>
          <w:w w:val="15"/>
          <w:shd w:val="solid" w:color="000000" w:fill="000000"/>
          <w:fitText w:val="-20" w:id="-1168989951"/>
          <w14:textFill>
            <w14:solidFill>
              <w14:srgbClr w14:val="000000">
                <w14:alpha w14:val="100000"/>
              </w14:srgbClr>
            </w14:solidFill>
          </w14:textFill>
        </w:rPr>
        <w:t>|</w:t>
      </w:r>
      <w:r w:rsidRPr="00411269">
        <w:t>% lower</w:t>
      </w:r>
      <w:r w:rsidRPr="0029195A">
        <w:t xml:space="preserve"> than the published price. The effective AEMP and DPMQ prices of avacopan are $</w:t>
      </w:r>
      <w:r w:rsidR="00A26F4F" w:rsidRPr="00B10578">
        <w:rPr>
          <w:color w:val="000000"/>
          <w:w w:val="15"/>
          <w:shd w:val="solid" w:color="000000" w:fill="000000"/>
          <w:fitText w:val="-20" w:id="-1168989950"/>
          <w14:textFill>
            <w14:solidFill>
              <w14:srgbClr w14:val="000000">
                <w14:alpha w14:val="100000"/>
              </w14:srgbClr>
            </w14:solidFill>
          </w14:textFill>
        </w:rPr>
        <w:t xml:space="preserve">|  </w:t>
      </w:r>
      <w:r w:rsidR="00A26F4F" w:rsidRPr="00B10578">
        <w:rPr>
          <w:color w:val="000000"/>
          <w:spacing w:val="-69"/>
          <w:w w:val="15"/>
          <w:shd w:val="solid" w:color="000000" w:fill="000000"/>
          <w:fitText w:val="-20" w:id="-1168989950"/>
          <w14:textFill>
            <w14:solidFill>
              <w14:srgbClr w14:val="000000">
                <w14:alpha w14:val="100000"/>
              </w14:srgbClr>
            </w14:solidFill>
          </w14:textFill>
        </w:rPr>
        <w:t>|</w:t>
      </w:r>
      <w:r w:rsidRPr="0029195A">
        <w:t xml:space="preserve"> and $</w:t>
      </w:r>
      <w:r w:rsidR="00A26F4F" w:rsidRPr="00B10578">
        <w:rPr>
          <w:color w:val="000000"/>
          <w:w w:val="15"/>
          <w:shd w:val="solid" w:color="000000" w:fill="000000"/>
          <w:fitText w:val="-20" w:id="-1168989949"/>
          <w14:textFill>
            <w14:solidFill>
              <w14:srgbClr w14:val="000000">
                <w14:alpha w14:val="100000"/>
              </w14:srgbClr>
            </w14:solidFill>
          </w14:textFill>
        </w:rPr>
        <w:t xml:space="preserve">|  </w:t>
      </w:r>
      <w:r w:rsidR="00A26F4F" w:rsidRPr="00B10578">
        <w:rPr>
          <w:color w:val="000000"/>
          <w:spacing w:val="-69"/>
          <w:w w:val="15"/>
          <w:shd w:val="solid" w:color="000000" w:fill="000000"/>
          <w:fitText w:val="-20" w:id="-1168989949"/>
          <w14:textFill>
            <w14:solidFill>
              <w14:srgbClr w14:val="000000">
                <w14:alpha w14:val="100000"/>
              </w14:srgbClr>
            </w14:solidFill>
          </w14:textFill>
        </w:rPr>
        <w:t>|</w:t>
      </w:r>
      <w:r w:rsidRPr="0029195A">
        <w:t>, respectively.</w:t>
      </w:r>
    </w:p>
    <w:p w14:paraId="107A308F" w14:textId="1D6E0ABB" w:rsidR="005801D5" w:rsidRPr="0029195A" w:rsidRDefault="005801D5" w:rsidP="007A6355">
      <w:pPr>
        <w:pStyle w:val="3-BodyText"/>
        <w:rPr>
          <w:i/>
          <w:iCs/>
        </w:rPr>
      </w:pPr>
      <w:bookmarkStart w:id="12" w:name="_Ref141700424"/>
      <w:bookmarkStart w:id="13" w:name="_Hlk133580779"/>
      <w:r w:rsidRPr="0029195A">
        <w:t>The proposed PBS listing for induction treatment does not specify a limit on the number of times avacopan can be used for reinduction following relapse. Until longer-term safety and efficacy data for avacopan are available for multiple relapsed ANCA-associated vasculitis</w:t>
      </w:r>
      <w:r w:rsidR="00D056B1" w:rsidRPr="0029195A">
        <w:t>,</w:t>
      </w:r>
      <w:r w:rsidRPr="0029195A">
        <w:t xml:space="preserve"> </w:t>
      </w:r>
      <w:r w:rsidR="00822BDC" w:rsidRPr="0029195A">
        <w:t xml:space="preserve">the evaluation questioned whether </w:t>
      </w:r>
      <w:r w:rsidR="006E7249" w:rsidRPr="0029195A">
        <w:t xml:space="preserve">multiple inductions </w:t>
      </w:r>
      <w:r w:rsidR="00822BDC" w:rsidRPr="0029195A">
        <w:t xml:space="preserve">would </w:t>
      </w:r>
      <w:r w:rsidR="006E7249" w:rsidRPr="0029195A">
        <w:t>be appropriate.</w:t>
      </w:r>
      <w:r w:rsidR="00F33F18" w:rsidRPr="0029195A">
        <w:t xml:space="preserve"> The Pre-Sub-Committee Response (PSCR) argued that incremental improvements in treatment have meant GPA and MPA have evolved into chronic, relapsing conditions that are treated with reinduction of previously efficacious therapy</w:t>
      </w:r>
      <w:r w:rsidR="006F2788" w:rsidRPr="0029195A">
        <w:t>. The ESC considered that, on balance, avacopan would likely be suitable for re-induction therapy based on the mechanism of action.</w:t>
      </w:r>
      <w:bookmarkEnd w:id="12"/>
    </w:p>
    <w:p w14:paraId="7139A026" w14:textId="2BE3E72D" w:rsidR="00331129" w:rsidRPr="0029195A" w:rsidRDefault="005801D5" w:rsidP="007A6355">
      <w:pPr>
        <w:pStyle w:val="3-BodyText"/>
      </w:pPr>
      <w:r w:rsidRPr="0029195A">
        <w:t>The proposed PBS listing for maintenance treatment does not state that avacopan should be used in combination with other treatments, despite the TGA approved indication stat</w:t>
      </w:r>
      <w:r w:rsidR="00BA05D0" w:rsidRPr="0029195A">
        <w:t>ing</w:t>
      </w:r>
      <w:r w:rsidRPr="0029195A">
        <w:t xml:space="preserve"> that avacopan should be used ‘in combination with a rituximab or cyclophosphamide-based regimen’.</w:t>
      </w:r>
      <w:r w:rsidR="7A34A920" w:rsidRPr="0029195A">
        <w:t xml:space="preserve"> The TGA approved indication does not specify which phase of treatment avacopan should be used for (induction, reinduction or maintenance). </w:t>
      </w:r>
      <w:r w:rsidR="006F2788" w:rsidRPr="0029195A">
        <w:t>The PSCR contends that the PBS restriction requested (induction and maintenance) is aligned to use in the clinical trial and r</w:t>
      </w:r>
      <w:r w:rsidR="00DE1552" w:rsidRPr="0029195A">
        <w:t xml:space="preserve">ecent </w:t>
      </w:r>
      <w:r w:rsidR="006F2788" w:rsidRPr="0029195A">
        <w:t>EULAR guidelines</w:t>
      </w:r>
      <w:r w:rsidR="00DE1552" w:rsidRPr="0029195A">
        <w:t xml:space="preserve"> (Hellmich et al. 2022)</w:t>
      </w:r>
      <w:r w:rsidR="006F2788" w:rsidRPr="0029195A">
        <w:t xml:space="preserve">. </w:t>
      </w:r>
      <w:r w:rsidR="00DE1552" w:rsidRPr="0029195A">
        <w:t xml:space="preserve">The ESC </w:t>
      </w:r>
      <w:r w:rsidR="00344DAC" w:rsidRPr="0029195A">
        <w:t>disagreed with the PSCR and</w:t>
      </w:r>
      <w:r w:rsidR="004F74F1" w:rsidRPr="0029195A">
        <w:t xml:space="preserve"> advised</w:t>
      </w:r>
      <w:r w:rsidR="00344DAC" w:rsidRPr="0029195A">
        <w:t xml:space="preserve"> that that use of avacopan as monotherapy was not consistent with TGA approval, international guidelines </w:t>
      </w:r>
      <w:r w:rsidR="004F74F1" w:rsidRPr="0029195A">
        <w:t xml:space="preserve">(see paragraph </w:t>
      </w:r>
      <w:r w:rsidR="004F74F1" w:rsidRPr="0029195A">
        <w:fldChar w:fldCharType="begin" w:fldLock="1"/>
      </w:r>
      <w:r w:rsidR="004F74F1" w:rsidRPr="0029195A">
        <w:instrText xml:space="preserve"> REF _Ref137641837 \r \h </w:instrText>
      </w:r>
      <w:r w:rsidR="000A4378" w:rsidRPr="0029195A">
        <w:instrText xml:space="preserve"> \* MERGEFORMAT </w:instrText>
      </w:r>
      <w:r w:rsidR="004F74F1" w:rsidRPr="0029195A">
        <w:fldChar w:fldCharType="separate"/>
      </w:r>
      <w:r w:rsidR="00740D9D">
        <w:t>4.4</w:t>
      </w:r>
      <w:r w:rsidR="004F74F1" w:rsidRPr="0029195A">
        <w:fldChar w:fldCharType="end"/>
      </w:r>
      <w:r w:rsidR="004F74F1" w:rsidRPr="0029195A">
        <w:t xml:space="preserve">) </w:t>
      </w:r>
      <w:r w:rsidR="00344DAC" w:rsidRPr="0029195A">
        <w:t>nor the evidence presented in the submission (see</w:t>
      </w:r>
      <w:r w:rsidR="0061340C" w:rsidRPr="0029195A">
        <w:t xml:space="preserve"> paragraph </w:t>
      </w:r>
      <w:r w:rsidR="0061340C" w:rsidRPr="0029195A">
        <w:fldChar w:fldCharType="begin" w:fldLock="1"/>
      </w:r>
      <w:r w:rsidR="0061340C" w:rsidRPr="0029195A">
        <w:instrText xml:space="preserve"> REF _Ref141693428 \r \h </w:instrText>
      </w:r>
      <w:r w:rsidR="0061340C" w:rsidRPr="0029195A">
        <w:fldChar w:fldCharType="separate"/>
      </w:r>
      <w:r w:rsidR="00740D9D">
        <w:t>6.21</w:t>
      </w:r>
      <w:r w:rsidR="0061340C" w:rsidRPr="0029195A">
        <w:fldChar w:fldCharType="end"/>
      </w:r>
      <w:r w:rsidR="00344DAC" w:rsidRPr="0029195A">
        <w:t>).</w:t>
      </w:r>
    </w:p>
    <w:p w14:paraId="74812324" w14:textId="4105D9FE" w:rsidR="00331129" w:rsidRPr="0029195A" w:rsidRDefault="00331129" w:rsidP="007A6355">
      <w:pPr>
        <w:pStyle w:val="3-BodyText"/>
      </w:pPr>
      <w:bookmarkStart w:id="14" w:name="_Ref141701135"/>
      <w:r w:rsidRPr="0029195A">
        <w:t xml:space="preserve">The listing </w:t>
      </w:r>
      <w:r w:rsidR="0015739F">
        <w:t xml:space="preserve">proposed </w:t>
      </w:r>
      <w:r w:rsidR="00E56A94">
        <w:t>refe</w:t>
      </w:r>
      <w:r w:rsidR="008A2947">
        <w:t>r</w:t>
      </w:r>
      <w:r w:rsidR="00E56A94">
        <w:t>r</w:t>
      </w:r>
      <w:r w:rsidR="008A2947">
        <w:t xml:space="preserve">ing PBS eligibility to </w:t>
      </w:r>
      <w:r w:rsidR="00E56A94">
        <w:t>two documents that are not authored by the PBAC nor the Australian Government</w:t>
      </w:r>
      <w:r w:rsidR="0029195A">
        <w:t xml:space="preserve">. </w:t>
      </w:r>
      <w:r w:rsidRPr="0029195A">
        <w:t xml:space="preserve">These </w:t>
      </w:r>
      <w:r w:rsidR="0015739F">
        <w:t>we</w:t>
      </w:r>
      <w:r w:rsidRPr="0029195A">
        <w:t>re: (1) the Chapel Hill Consensus Conference (CHCC) Nomenclature of the Vasculitides’ and (2) the Birmingham Vasculitis Activity Score (BVAS).</w:t>
      </w:r>
      <w:bookmarkEnd w:id="14"/>
      <w:r w:rsidR="0015739F">
        <w:t xml:space="preserve"> </w:t>
      </w:r>
      <w:r w:rsidR="00E56A94">
        <w:t>The effect of this would be to delegate</w:t>
      </w:r>
      <w:r w:rsidR="00B660B2">
        <w:t xml:space="preserve"> the determination of</w:t>
      </w:r>
      <w:r w:rsidR="00E56A94">
        <w:t xml:space="preserve"> PBS eligibility, in part, to an organisation that is not Government. </w:t>
      </w:r>
      <w:r w:rsidR="00B660B2">
        <w:t>T</w:t>
      </w:r>
      <w:r w:rsidR="0015739F">
        <w:t xml:space="preserve">he Secretariat advised that where reference to external documents is proposed, consideration to whether the reference is </w:t>
      </w:r>
      <w:r w:rsidR="00E56A94">
        <w:t>avoidable</w:t>
      </w:r>
      <w:r w:rsidR="0015739F">
        <w:t xml:space="preserve"> should be undertaken</w:t>
      </w:r>
      <w:r w:rsidR="00E56A94">
        <w:t xml:space="preserve"> before a reference is made</w:t>
      </w:r>
      <w:r w:rsidR="0015739F">
        <w:t>. For example, in the proposed maintenance therapy restriction, there was the requirement that the p</w:t>
      </w:r>
      <w:r w:rsidR="0015739F" w:rsidRPr="0015739F">
        <w:t xml:space="preserve">atient must have responded to this drug for this condition defined as BVAS score of </w:t>
      </w:r>
      <w:r w:rsidR="0015739F">
        <w:t xml:space="preserve">zero – consideration should be given to describing in simple language what a BVAS score of zero says about the patient or condition instead of referring to a BVAS score. If it is determined that it is not possible to provide a simple translation as to what the BVAS score says about the patient or condition, then the listing needs to be clear on: (i) the version or edition of the BVAS instrument </w:t>
      </w:r>
      <w:r w:rsidR="0015739F">
        <w:lastRenderedPageBreak/>
        <w:t xml:space="preserve">being referred to, (ii) the source or location of the BVAS instrument, and (iii) access to the BVAS instrument for prescribers and anybody who is not a prescriber. This </w:t>
      </w:r>
      <w:r w:rsidR="00E56A94">
        <w:t>also applies to any other instrument, document, index, scoring system</w:t>
      </w:r>
      <w:r w:rsidR="003E489F">
        <w:t xml:space="preserve"> or </w:t>
      </w:r>
      <w:r w:rsidR="00E56A94">
        <w:t>guideline that is proposed in the listing.</w:t>
      </w:r>
    </w:p>
    <w:p w14:paraId="033C5835" w14:textId="437D7F07" w:rsidR="0095760D" w:rsidRPr="007A6355" w:rsidRDefault="0095760D" w:rsidP="007A6355">
      <w:pPr>
        <w:pStyle w:val="3-BodyText"/>
        <w:numPr>
          <w:ilvl w:val="0"/>
          <w:numId w:val="0"/>
        </w:numPr>
        <w:ind w:left="709"/>
        <w:rPr>
          <w:i/>
          <w:iCs/>
        </w:rPr>
      </w:pPr>
      <w:r w:rsidRPr="007A6355">
        <w:rPr>
          <w:i/>
          <w:iCs/>
        </w:rPr>
        <w:t xml:space="preserve">For more detail on PBAC’s view, see section 7 PBAC </w:t>
      </w:r>
      <w:r w:rsidR="007A6355" w:rsidRPr="007A6355">
        <w:rPr>
          <w:i/>
          <w:iCs/>
        </w:rPr>
        <w:t>O</w:t>
      </w:r>
      <w:r w:rsidRPr="007A6355">
        <w:rPr>
          <w:i/>
          <w:iCs/>
        </w:rPr>
        <w:t>utcome.</w:t>
      </w:r>
    </w:p>
    <w:p w14:paraId="7075B85C" w14:textId="2AFDF8E1" w:rsidR="00B50DB8" w:rsidRPr="0029195A" w:rsidDel="00195452" w:rsidRDefault="00203181" w:rsidP="004E18E9">
      <w:pPr>
        <w:pStyle w:val="2-SectionHeading"/>
      </w:pPr>
      <w:bookmarkStart w:id="15" w:name="_Toc135230127"/>
      <w:bookmarkEnd w:id="13"/>
      <w:r w:rsidRPr="0029195A" w:rsidDel="00195452">
        <w:t xml:space="preserve">Population and </w:t>
      </w:r>
      <w:r w:rsidR="007A6355">
        <w:t>D</w:t>
      </w:r>
      <w:r w:rsidRPr="0029195A" w:rsidDel="00195452">
        <w:t>isease</w:t>
      </w:r>
      <w:bookmarkEnd w:id="15"/>
    </w:p>
    <w:p w14:paraId="734CC8CB" w14:textId="12623A65" w:rsidR="009A046C" w:rsidRPr="0029195A" w:rsidRDefault="009A046C" w:rsidP="007A6355">
      <w:pPr>
        <w:pStyle w:val="3-BodyText"/>
      </w:pPr>
      <w:r w:rsidRPr="0029195A">
        <w:t>ANCA-associated vasculitis (AAVs</w:t>
      </w:r>
      <w:r w:rsidR="007A6355">
        <w:t>)</w:t>
      </w:r>
      <w:r w:rsidRPr="0029195A">
        <w:t xml:space="preserve"> are a collection of relatively rare autoimmune diseases characterised by inflammatory cell infiltration causing necrosis of blood vessels. AAVs are classified based on antibody status or clinical phenotype: status of PR3-ANCA+ is linked to granulomatosis with polyangiitis (GPA) whereas MPO-ANCA+ is linked to microscopic polyangiitis (MPA). AAVs can involve many organs, with the kidneys, respiratory tract, nose/sinuses, eyes, skin, and nervous system most commonly affected. Respiratory and kidney failure can occur in patients with very severe active disease. Other complications of the disease include hearing loss, nasal bridge collapse, and subglottic tracheal stenosis. If left untreated, 80% of patients with GPA or MPA die within 2 years of disease onset. AAVs can present at any age, with diagnosis commonly occurring between the age of 55 to 74.</w:t>
      </w:r>
    </w:p>
    <w:p w14:paraId="705A82F6" w14:textId="0EB7EA2F" w:rsidR="1D6C72CF" w:rsidRPr="0029195A" w:rsidRDefault="360E6F80" w:rsidP="007A6355">
      <w:pPr>
        <w:pStyle w:val="3-BodyText"/>
      </w:pPr>
      <w:r w:rsidRPr="0029195A">
        <w:t xml:space="preserve">Treatment phases for AAV are induction, </w:t>
      </w:r>
      <w:r w:rsidR="62ACADE1" w:rsidRPr="0029195A">
        <w:t xml:space="preserve">which </w:t>
      </w:r>
      <w:r w:rsidR="7FC08F69" w:rsidRPr="0029195A">
        <w:t>a</w:t>
      </w:r>
      <w:r w:rsidR="5A24FE10" w:rsidRPr="0029195A">
        <w:t>im</w:t>
      </w:r>
      <w:r w:rsidR="0625FFEF" w:rsidRPr="0029195A">
        <w:t>s</w:t>
      </w:r>
      <w:r w:rsidR="5A24FE10" w:rsidRPr="0029195A">
        <w:t xml:space="preserve"> to induce disease remission, </w:t>
      </w:r>
      <w:r w:rsidRPr="0029195A">
        <w:t>maintenance</w:t>
      </w:r>
      <w:r w:rsidR="5A24FE10" w:rsidRPr="0029195A">
        <w:t xml:space="preserve">, </w:t>
      </w:r>
      <w:r w:rsidR="074B30EB" w:rsidRPr="0029195A">
        <w:t xml:space="preserve">which aims </w:t>
      </w:r>
      <w:r w:rsidR="439EAA1D" w:rsidRPr="0029195A">
        <w:t>to</w:t>
      </w:r>
      <w:r w:rsidR="5A24FE10" w:rsidRPr="0029195A">
        <w:t xml:space="preserve"> prevent disease relapse and further organ damage</w:t>
      </w:r>
      <w:r w:rsidR="57E5D0E8" w:rsidRPr="0029195A">
        <w:t>, and reinduction, which aims to reinduce remission following disease relapse</w:t>
      </w:r>
      <w:r w:rsidR="745CD944" w:rsidRPr="0029195A">
        <w:t>.</w:t>
      </w:r>
      <w:r w:rsidRPr="0029195A">
        <w:t xml:space="preserve"> </w:t>
      </w:r>
      <w:r w:rsidR="740B6583" w:rsidRPr="0029195A">
        <w:t>For induction treatment, e</w:t>
      </w:r>
      <w:r w:rsidRPr="0029195A">
        <w:t xml:space="preserve">ither cyclophosphamide plus glucocorticoids or rituximab plus glucocorticoids are considered the </w:t>
      </w:r>
      <w:r w:rsidR="3B7F9627" w:rsidRPr="0029195A">
        <w:t>standard of care (SOC)</w:t>
      </w:r>
      <w:r w:rsidRPr="0029195A">
        <w:t xml:space="preserve">. </w:t>
      </w:r>
      <w:r w:rsidR="0D500989" w:rsidRPr="0029195A">
        <w:t xml:space="preserve">For maintenance treatment, </w:t>
      </w:r>
      <w:r w:rsidR="57DB7729" w:rsidRPr="0029195A">
        <w:t>tapered glucocorticoids in combination with either rituximab or azathioprine</w:t>
      </w:r>
      <w:r w:rsidR="7B237B64" w:rsidRPr="0029195A">
        <w:t xml:space="preserve"> are used.</w:t>
      </w:r>
      <w:r w:rsidR="09D9D484" w:rsidRPr="0029195A">
        <w:t xml:space="preserve"> </w:t>
      </w:r>
      <w:r w:rsidR="1A9AD77D" w:rsidRPr="0029195A">
        <w:t>These treatments reduce mortality but are not curative and over one-third of patients will experience a relapse within 18 months of induction of remission</w:t>
      </w:r>
      <w:r w:rsidR="6AB03D30" w:rsidRPr="0029195A">
        <w:rPr>
          <w:rStyle w:val="FootnoteReference"/>
        </w:rPr>
        <w:footnoteReference w:id="3"/>
      </w:r>
      <w:r w:rsidR="1A9AD77D" w:rsidRPr="0029195A">
        <w:t xml:space="preserve">. </w:t>
      </w:r>
      <w:r w:rsidR="09D9D484" w:rsidRPr="0029195A">
        <w:t xml:space="preserve">For patients in remission who have a subsequent relapse, treatment consists of reinduction </w:t>
      </w:r>
      <w:r w:rsidR="00466CD3" w:rsidRPr="0029195A">
        <w:t xml:space="preserve">with </w:t>
      </w:r>
      <w:r w:rsidR="09D9D484" w:rsidRPr="0029195A">
        <w:t xml:space="preserve">rituximab or cyclophosphamide </w:t>
      </w:r>
      <w:r w:rsidR="518352FE" w:rsidRPr="0029195A">
        <w:t xml:space="preserve">(limited by its cumulative </w:t>
      </w:r>
      <w:r w:rsidR="5EC2AAAE" w:rsidRPr="0029195A">
        <w:t xml:space="preserve">lifetime </w:t>
      </w:r>
      <w:r w:rsidR="518352FE" w:rsidRPr="0029195A">
        <w:t>toxicity)</w:t>
      </w:r>
      <w:r w:rsidR="43E7F7FE" w:rsidRPr="0029195A">
        <w:t xml:space="preserve"> </w:t>
      </w:r>
      <w:r w:rsidR="09D9D484" w:rsidRPr="0029195A">
        <w:t>in combination with high dose glucocorticoids</w:t>
      </w:r>
      <w:r w:rsidR="2DCAD5D2" w:rsidRPr="0029195A">
        <w:t>.</w:t>
      </w:r>
    </w:p>
    <w:p w14:paraId="63C018E4" w14:textId="1D3AE34F" w:rsidR="009A046C" w:rsidRPr="0029195A" w:rsidRDefault="009A046C" w:rsidP="007A6355">
      <w:pPr>
        <w:pStyle w:val="3-BodyText"/>
      </w:pPr>
      <w:r w:rsidRPr="0029195A">
        <w:t xml:space="preserve">Avacopan is proposed to be used concomitantly with other immunosuppressive therapy (rituximab, cyclophosphamide or azathioprine), in a similar manner to glucocorticoids. </w:t>
      </w:r>
    </w:p>
    <w:p w14:paraId="57DA1D20" w14:textId="06CC0809" w:rsidR="009A1BA1" w:rsidRPr="0029195A" w:rsidRDefault="009A1BA1" w:rsidP="007A6355">
      <w:pPr>
        <w:pStyle w:val="3-BodyText"/>
      </w:pPr>
      <w:bookmarkStart w:id="16" w:name="_Ref137641837"/>
      <w:r w:rsidRPr="0029195A">
        <w:t>The ESC noted that the EULAR 2022 recommendations for the management of ANCA-associated vasculitis (AAVs) stated that:</w:t>
      </w:r>
      <w:bookmarkEnd w:id="16"/>
    </w:p>
    <w:p w14:paraId="659C4A56" w14:textId="77777777" w:rsidR="009A1BA1" w:rsidRPr="0029195A" w:rsidRDefault="009A1BA1" w:rsidP="007A6355">
      <w:pPr>
        <w:pStyle w:val="ListParagraph"/>
      </w:pPr>
      <w:r w:rsidRPr="0029195A">
        <w:lastRenderedPageBreak/>
        <w:t xml:space="preserve">Avacopan in combination with rituximab or cyclophosphamide may be considered for induction of remission in GPA or MPA, as part of a strategy to substantially reduce exposure to glucocorticoids. </w:t>
      </w:r>
    </w:p>
    <w:p w14:paraId="37DCACCB" w14:textId="5C5CE48F" w:rsidR="009A1BA1" w:rsidRPr="0029195A" w:rsidRDefault="009A1BA1" w:rsidP="007A6355">
      <w:pPr>
        <w:pStyle w:val="ListParagraph"/>
      </w:pPr>
      <w:r w:rsidRPr="0029195A">
        <w:t>For maintenance of remission of GPA and MPA, after induction of remission with either rituximab or cyclophosphamide, we recommend treatment with rituximab. Azathioprine or methotrexate may be considered as alternatives.</w:t>
      </w:r>
    </w:p>
    <w:p w14:paraId="772F0B36" w14:textId="327B1D30" w:rsidR="009A1BA1" w:rsidRPr="0029195A" w:rsidRDefault="009A1BA1" w:rsidP="007A6355">
      <w:pPr>
        <w:pStyle w:val="3-BodyText"/>
        <w:numPr>
          <w:ilvl w:val="0"/>
          <w:numId w:val="0"/>
        </w:numPr>
        <w:ind w:left="720"/>
      </w:pPr>
      <w:r w:rsidRPr="0029195A">
        <w:t>The ESC noted that the EULAR 2022 recommendation favouring use of rituximab for maintenance treatment w</w:t>
      </w:r>
      <w:r w:rsidR="004F74F1" w:rsidRPr="0029195A">
        <w:t>as</w:t>
      </w:r>
      <w:r w:rsidRPr="0029195A">
        <w:t xml:space="preserve"> based on the results of the MAINRITSAN and RITAZAREM trials. </w:t>
      </w:r>
      <w:r w:rsidR="00516CF9" w:rsidRPr="0029195A">
        <w:t xml:space="preserve">Regular 6 monthly dosing of rituximab was used in </w:t>
      </w:r>
      <w:r w:rsidRPr="0029195A">
        <w:t xml:space="preserve">the MAINRITSAN trial </w:t>
      </w:r>
      <w:r w:rsidR="00516CF9" w:rsidRPr="0029195A">
        <w:t xml:space="preserve">with the ESC noting that </w:t>
      </w:r>
      <w:r w:rsidR="004F74F1" w:rsidRPr="0029195A">
        <w:t>the</w:t>
      </w:r>
      <w:r w:rsidR="00516CF9" w:rsidRPr="0029195A">
        <w:t xml:space="preserve"> guidelines also referred to tailored dosing of rituximab based on biomarkers. </w:t>
      </w:r>
      <w:r w:rsidR="00197119" w:rsidRPr="0029195A">
        <w:t>The ESC considered that there was no indication in the EULAR 2022 guidelines that avacopan should be used as monotherapy</w:t>
      </w:r>
      <w:r w:rsidR="00546459" w:rsidRPr="0029195A">
        <w:t xml:space="preserve"> in a maintenance setting</w:t>
      </w:r>
      <w:r w:rsidR="00197119" w:rsidRPr="0029195A">
        <w:t xml:space="preserve">. </w:t>
      </w:r>
      <w:r w:rsidR="004F74F1" w:rsidRPr="0029195A">
        <w:t>In addition, t</w:t>
      </w:r>
      <w:r w:rsidR="00050DC4" w:rsidRPr="0029195A">
        <w:t xml:space="preserve">he ESC noted that the EULAR 2022 guidelines </w:t>
      </w:r>
      <w:r w:rsidR="004F74F1" w:rsidRPr="0029195A">
        <w:t>provide</w:t>
      </w:r>
      <w:r w:rsidR="00050DC4" w:rsidRPr="0029195A">
        <w:t xml:space="preserve"> evidence for reduced-dose prednisolone regimens</w:t>
      </w:r>
      <w:r w:rsidR="004F74F1" w:rsidRPr="0029195A">
        <w:t xml:space="preserve"> as part of regimens for induction of remission. </w:t>
      </w:r>
    </w:p>
    <w:p w14:paraId="7B206CBA" w14:textId="623D9821" w:rsidR="007A375B" w:rsidRPr="0029195A" w:rsidRDefault="009A046C" w:rsidP="007A6355">
      <w:pPr>
        <w:pStyle w:val="3-BodyText"/>
      </w:pPr>
      <w:r w:rsidRPr="0029195A">
        <w:t>Avacopan is a selective antagonist of the human complement 5a receptor (C5aR1 or CD88) and competitively inhibits the interaction between C5aR1 and the anaphylatoxin C5a. The specific and selective blockade of C5aR1 by avacopan reduces the pro-inflammatory effects of C5a, which include neutrophil activation and migration, and decreases adherence to sites of small blood vessel inflammation, and vascular endothelial cell retraction and increased permeability</w:t>
      </w:r>
      <w:r w:rsidR="00861FE0" w:rsidRPr="0029195A">
        <w:t>.</w:t>
      </w:r>
    </w:p>
    <w:p w14:paraId="700212CF" w14:textId="45AA9FCA" w:rsidR="00E62A8C" w:rsidRPr="0029195A" w:rsidRDefault="00E62A8C" w:rsidP="00F81E0A">
      <w:pPr>
        <w:ind w:firstLine="709"/>
        <w:rPr>
          <w:rFonts w:eastAsia="Calibri"/>
          <w:i/>
          <w:iCs/>
        </w:rPr>
      </w:pPr>
      <w:r w:rsidRPr="0029195A">
        <w:rPr>
          <w:rFonts w:eastAsia="Calibri"/>
          <w:i/>
          <w:iCs/>
        </w:rPr>
        <w:t xml:space="preserve">For more detail on PBAC’s view, see section 7 PBAC </w:t>
      </w:r>
      <w:r w:rsidR="007A6355">
        <w:rPr>
          <w:rFonts w:eastAsia="Calibri"/>
          <w:i/>
          <w:iCs/>
        </w:rPr>
        <w:t>O</w:t>
      </w:r>
      <w:r w:rsidRPr="0029195A">
        <w:rPr>
          <w:rFonts w:eastAsia="Calibri"/>
          <w:i/>
          <w:iCs/>
        </w:rPr>
        <w:t>utcome.</w:t>
      </w:r>
    </w:p>
    <w:p w14:paraId="51E5AE96" w14:textId="136A63B1" w:rsidR="00B50DB8" w:rsidRPr="0029195A" w:rsidRDefault="00B50DB8" w:rsidP="004E18E9">
      <w:pPr>
        <w:pStyle w:val="2-SectionHeading"/>
      </w:pPr>
      <w:bookmarkStart w:id="17" w:name="_Toc135230128"/>
      <w:r w:rsidRPr="0029195A">
        <w:t>Comparator</w:t>
      </w:r>
      <w:bookmarkEnd w:id="17"/>
    </w:p>
    <w:p w14:paraId="03B58582" w14:textId="54091709" w:rsidR="00934C4B" w:rsidRPr="0029195A" w:rsidRDefault="00934C4B" w:rsidP="007A6355">
      <w:pPr>
        <w:pStyle w:val="3-BodyText"/>
        <w:rPr>
          <w:color w:val="000000" w:themeColor="text1"/>
        </w:rPr>
      </w:pPr>
      <w:bookmarkStart w:id="18" w:name="_Toc22897640"/>
      <w:r w:rsidRPr="0029195A">
        <w:rPr>
          <w:color w:val="000000" w:themeColor="text1"/>
        </w:rPr>
        <w:t xml:space="preserve">The submission nominated glucocorticoids as the comparator. </w:t>
      </w:r>
      <w:r w:rsidR="003D511B" w:rsidRPr="0029195A">
        <w:t>The submission suggested that to induce remission, avacopan should be administered with concomitant therapy (either rituximab or cyclophosphamide) at the choice of the treating physician to reduce or replace glucocorticoids. To sustain remission, avacopan could be used as a monotherapy or used concomitantly with maintenance regimen (typically azathioprine, rituximab or glucocorticoids at reduced doses).</w:t>
      </w:r>
    </w:p>
    <w:p w14:paraId="65CF7AAE" w14:textId="17E4DBA7" w:rsidR="00934C4B" w:rsidRPr="0029195A" w:rsidRDefault="00934C4B" w:rsidP="007A6355">
      <w:pPr>
        <w:pStyle w:val="3-BodyText"/>
      </w:pPr>
      <w:r w:rsidRPr="0029195A">
        <w:t>The</w:t>
      </w:r>
      <w:r w:rsidR="004F74F1" w:rsidRPr="0029195A">
        <w:t xml:space="preserve"> ESC agreed with the evaluation that the</w:t>
      </w:r>
      <w:r w:rsidRPr="0029195A">
        <w:t xml:space="preserve"> nominated comparator glucocorticoids </w:t>
      </w:r>
      <w:r w:rsidR="00681AAA" w:rsidRPr="0029195A">
        <w:t>wa</w:t>
      </w:r>
      <w:r w:rsidRPr="0029195A">
        <w:t xml:space="preserve">s </w:t>
      </w:r>
      <w:r w:rsidR="008D3BB6" w:rsidRPr="0029195A">
        <w:t xml:space="preserve">considered </w:t>
      </w:r>
      <w:r w:rsidRPr="0029195A">
        <w:t xml:space="preserve">appropriate in the induction phase. </w:t>
      </w:r>
    </w:p>
    <w:p w14:paraId="63A256BA" w14:textId="7B98705A" w:rsidR="00934C4B" w:rsidRPr="0029195A" w:rsidRDefault="003D511B" w:rsidP="007A6355">
      <w:pPr>
        <w:pStyle w:val="3-BodyText"/>
      </w:pPr>
      <w:r w:rsidRPr="0029195A">
        <w:t xml:space="preserve">The appropriateness of </w:t>
      </w:r>
      <w:bookmarkStart w:id="19" w:name="_Hlk141347882"/>
      <w:r w:rsidRPr="0029195A">
        <w:t>glucocorticoid</w:t>
      </w:r>
      <w:bookmarkEnd w:id="19"/>
      <w:r w:rsidRPr="0029195A">
        <w:t xml:space="preserve">s as the nominated comparator in the maintenance phase will depend on whether avacopan is used in combination or as monotherapy. </w:t>
      </w:r>
      <w:r w:rsidR="00934C4B" w:rsidRPr="0029195A">
        <w:t xml:space="preserve">The </w:t>
      </w:r>
      <w:r w:rsidR="0023091B" w:rsidRPr="0029195A">
        <w:t xml:space="preserve">TGA approved </w:t>
      </w:r>
      <w:r w:rsidR="00934C4B" w:rsidRPr="0029195A">
        <w:t xml:space="preserve">Product Information and PICO statement </w:t>
      </w:r>
      <w:r w:rsidRPr="0029195A">
        <w:t xml:space="preserve">only </w:t>
      </w:r>
      <w:r w:rsidR="00934C4B" w:rsidRPr="0029195A">
        <w:t>describe avacopan used as combination therapy</w:t>
      </w:r>
      <w:r w:rsidRPr="0029195A">
        <w:t>,</w:t>
      </w:r>
      <w:r w:rsidR="00934C4B" w:rsidRPr="0029195A">
        <w:t xml:space="preserve"> whereas the proposed clinical algorithm </w:t>
      </w:r>
      <w:r w:rsidRPr="0029195A">
        <w:t xml:space="preserve">and PBS </w:t>
      </w:r>
      <w:r w:rsidR="00731336" w:rsidRPr="0029195A">
        <w:t>restriction</w:t>
      </w:r>
      <w:r w:rsidRPr="0029195A">
        <w:t xml:space="preserve"> </w:t>
      </w:r>
      <w:r w:rsidR="00934C4B" w:rsidRPr="0029195A">
        <w:t>permits monotherapy</w:t>
      </w:r>
      <w:r w:rsidRPr="0029195A">
        <w:t xml:space="preserve"> in maintenance phase</w:t>
      </w:r>
      <w:r w:rsidR="00934C4B" w:rsidRPr="0029195A">
        <w:t>. If avacopan monotherapy is deemed appropriate for maintenance treatment</w:t>
      </w:r>
      <w:r w:rsidR="008518F7" w:rsidRPr="0029195A">
        <w:t>,</w:t>
      </w:r>
      <w:r w:rsidR="00934C4B" w:rsidRPr="0029195A">
        <w:t xml:space="preserve"> then other comparators will be relevant (such as tapered glucocorticoids plus azathioprine, tapered glucocorticoids plus methotrexate, and tapered glucocorticoids plus rituximab).</w:t>
      </w:r>
      <w:r w:rsidR="00E83559" w:rsidRPr="0029195A">
        <w:t xml:space="preserve"> The ESC advised that a comparison with ‘no treatment’ in the maintenance </w:t>
      </w:r>
      <w:r w:rsidR="00E83559" w:rsidRPr="0029195A">
        <w:lastRenderedPageBreak/>
        <w:t>setting was not consistent with clinical practice nor international guidelines (EULAR</w:t>
      </w:r>
      <w:r w:rsidR="007A6355">
        <w:t> </w:t>
      </w:r>
      <w:r w:rsidR="00E83559" w:rsidRPr="0029195A">
        <w:t>2022), and hence was not appropriate.</w:t>
      </w:r>
    </w:p>
    <w:p w14:paraId="530F10D1" w14:textId="2CAD8B21" w:rsidR="00E62A8C" w:rsidRPr="0029195A" w:rsidRDefault="00E62A8C" w:rsidP="0095080B">
      <w:pPr>
        <w:ind w:firstLine="709"/>
        <w:rPr>
          <w:rFonts w:eastAsia="Calibri"/>
          <w:i/>
          <w:iCs/>
        </w:rPr>
      </w:pPr>
      <w:r w:rsidRPr="0029195A">
        <w:rPr>
          <w:rFonts w:eastAsia="Calibri"/>
          <w:i/>
          <w:iCs/>
        </w:rPr>
        <w:t xml:space="preserve">For more detail on PBAC’s view, see section 7 PBAC </w:t>
      </w:r>
      <w:r w:rsidR="007A6355">
        <w:rPr>
          <w:rFonts w:eastAsia="Calibri"/>
          <w:i/>
          <w:iCs/>
        </w:rPr>
        <w:t>O</w:t>
      </w:r>
      <w:r w:rsidRPr="0029195A">
        <w:rPr>
          <w:rFonts w:eastAsia="Calibri"/>
          <w:i/>
          <w:iCs/>
        </w:rPr>
        <w:t>utcome.</w:t>
      </w:r>
    </w:p>
    <w:p w14:paraId="7F9C27C8" w14:textId="2D726BAE" w:rsidR="00223D5A" w:rsidRPr="0029195A" w:rsidRDefault="00223D5A" w:rsidP="00935C0C">
      <w:pPr>
        <w:pStyle w:val="2-SectionHeading"/>
        <w:numPr>
          <w:ilvl w:val="0"/>
          <w:numId w:val="1"/>
        </w:numPr>
      </w:pPr>
      <w:bookmarkStart w:id="20" w:name="_Toc135230129"/>
      <w:r w:rsidRPr="0029195A">
        <w:t xml:space="preserve">Consideration of the </w:t>
      </w:r>
      <w:r w:rsidR="007A6355">
        <w:t>E</w:t>
      </w:r>
      <w:r w:rsidRPr="0029195A">
        <w:t>vidence</w:t>
      </w:r>
      <w:bookmarkEnd w:id="20"/>
    </w:p>
    <w:p w14:paraId="69B9E9C1" w14:textId="77777777" w:rsidR="00411EDA" w:rsidRPr="0029195A" w:rsidRDefault="00411EDA" w:rsidP="00411EDA">
      <w:pPr>
        <w:pStyle w:val="3-SubsectionHeading"/>
        <w:rPr>
          <w:lang w:eastAsia="en-AU"/>
        </w:rPr>
      </w:pPr>
      <w:bookmarkStart w:id="21" w:name="_Hlk76375935"/>
      <w:bookmarkStart w:id="22" w:name="_Toc135230130"/>
      <w:r w:rsidRPr="0029195A">
        <w:rPr>
          <w:lang w:eastAsia="en-AU"/>
        </w:rPr>
        <w:t>Sponsor hearing</w:t>
      </w:r>
    </w:p>
    <w:p w14:paraId="1C499331" w14:textId="221B1F56" w:rsidR="00411EDA" w:rsidRPr="0029195A" w:rsidRDefault="00411EDA" w:rsidP="00411EDA">
      <w:pPr>
        <w:widowControl w:val="0"/>
        <w:numPr>
          <w:ilvl w:val="1"/>
          <w:numId w:val="1"/>
        </w:numPr>
        <w:spacing w:after="120"/>
        <w:ind w:left="720"/>
        <w:rPr>
          <w:rFonts w:asciiTheme="minorHAnsi" w:hAnsiTheme="minorHAnsi"/>
          <w:bCs/>
          <w:snapToGrid w:val="0"/>
        </w:rPr>
      </w:pPr>
      <w:bookmarkStart w:id="23" w:name="_Hlk76382586"/>
      <w:r w:rsidRPr="0029195A">
        <w:rPr>
          <w:rFonts w:asciiTheme="minorHAnsi" w:hAnsiTheme="minorHAnsi"/>
          <w:bCs/>
          <w:snapToGrid w:val="0"/>
        </w:rPr>
        <w:t>The sponsor requested a hearing for this item</w:t>
      </w:r>
      <w:r w:rsidR="0029195A">
        <w:rPr>
          <w:rFonts w:asciiTheme="minorHAnsi" w:hAnsiTheme="minorHAnsi"/>
          <w:bCs/>
          <w:snapToGrid w:val="0"/>
        </w:rPr>
        <w:t xml:space="preserve">. </w:t>
      </w:r>
      <w:r w:rsidRPr="0029195A">
        <w:rPr>
          <w:rFonts w:asciiTheme="minorHAnsi" w:hAnsiTheme="minorHAnsi"/>
          <w:bCs/>
          <w:snapToGrid w:val="0"/>
        </w:rPr>
        <w:t xml:space="preserve">The clinician discussed the </w:t>
      </w:r>
      <w:r w:rsidR="00F74808" w:rsidRPr="0029195A">
        <w:rPr>
          <w:rFonts w:asciiTheme="minorHAnsi" w:hAnsiTheme="minorHAnsi"/>
          <w:bCs/>
          <w:snapToGrid w:val="0"/>
        </w:rPr>
        <w:t xml:space="preserve">relapsing nature of the disease and the impact of a relapse on renal function. The clinician </w:t>
      </w:r>
      <w:r w:rsidR="003469D2" w:rsidRPr="0029195A">
        <w:rPr>
          <w:rFonts w:asciiTheme="minorHAnsi" w:hAnsiTheme="minorHAnsi"/>
          <w:bCs/>
          <w:snapToGrid w:val="0"/>
        </w:rPr>
        <w:t xml:space="preserve">described the significance of a decrement of </w:t>
      </w:r>
      <w:r w:rsidR="00F74808" w:rsidRPr="0029195A">
        <w:rPr>
          <w:rFonts w:asciiTheme="minorHAnsi" w:hAnsiTheme="minorHAnsi"/>
          <w:bCs/>
          <w:snapToGrid w:val="0"/>
        </w:rPr>
        <w:t>10</w:t>
      </w:r>
      <w:r w:rsidR="007A6355">
        <w:rPr>
          <w:rFonts w:asciiTheme="minorHAnsi" w:hAnsiTheme="minorHAnsi"/>
          <w:bCs/>
          <w:snapToGrid w:val="0"/>
        </w:rPr>
        <w:t> </w:t>
      </w:r>
      <w:r w:rsidR="00F74808" w:rsidRPr="0029195A">
        <w:rPr>
          <w:rFonts w:asciiTheme="minorHAnsi" w:hAnsiTheme="minorHAnsi"/>
          <w:bCs/>
          <w:snapToGrid w:val="0"/>
        </w:rPr>
        <w:t xml:space="preserve">mL/min </w:t>
      </w:r>
      <w:r w:rsidR="003469D2" w:rsidRPr="0029195A">
        <w:rPr>
          <w:rFonts w:asciiTheme="minorHAnsi" w:hAnsiTheme="minorHAnsi"/>
          <w:bCs/>
          <w:snapToGrid w:val="0"/>
        </w:rPr>
        <w:t xml:space="preserve">in eGFR </w:t>
      </w:r>
      <w:r w:rsidR="00A20A6F" w:rsidRPr="0029195A">
        <w:rPr>
          <w:rFonts w:asciiTheme="minorHAnsi" w:hAnsiTheme="minorHAnsi"/>
          <w:bCs/>
          <w:snapToGrid w:val="0"/>
        </w:rPr>
        <w:t xml:space="preserve">and the risk of dialysis </w:t>
      </w:r>
      <w:r w:rsidR="003469D2" w:rsidRPr="0029195A">
        <w:rPr>
          <w:rFonts w:asciiTheme="minorHAnsi" w:hAnsiTheme="minorHAnsi"/>
          <w:bCs/>
          <w:snapToGrid w:val="0"/>
        </w:rPr>
        <w:t>that can occur with a relapse. The clinician indicated that rituximab maintenance is now commonly used in clinical practice. The clinician outlined</w:t>
      </w:r>
      <w:r w:rsidRPr="0029195A">
        <w:rPr>
          <w:rFonts w:asciiTheme="minorHAnsi" w:hAnsiTheme="minorHAnsi"/>
          <w:bCs/>
          <w:snapToGrid w:val="0"/>
        </w:rPr>
        <w:t xml:space="preserve"> how </w:t>
      </w:r>
      <w:r w:rsidR="003469D2" w:rsidRPr="0029195A">
        <w:rPr>
          <w:rFonts w:asciiTheme="minorHAnsi" w:hAnsiTheme="minorHAnsi"/>
          <w:bCs/>
          <w:snapToGrid w:val="0"/>
        </w:rPr>
        <w:t>avacopan</w:t>
      </w:r>
      <w:r w:rsidRPr="0029195A">
        <w:rPr>
          <w:rFonts w:asciiTheme="minorHAnsi" w:hAnsiTheme="minorHAnsi"/>
          <w:bCs/>
          <w:snapToGrid w:val="0"/>
        </w:rPr>
        <w:t xml:space="preserve"> would </w:t>
      </w:r>
      <w:r w:rsidR="00A20A6F" w:rsidRPr="0029195A">
        <w:rPr>
          <w:rFonts w:asciiTheme="minorHAnsi" w:hAnsiTheme="minorHAnsi"/>
          <w:bCs/>
          <w:snapToGrid w:val="0"/>
        </w:rPr>
        <w:t xml:space="preserve">likely </w:t>
      </w:r>
      <w:r w:rsidRPr="0029195A">
        <w:rPr>
          <w:rFonts w:asciiTheme="minorHAnsi" w:hAnsiTheme="minorHAnsi"/>
          <w:bCs/>
          <w:snapToGrid w:val="0"/>
        </w:rPr>
        <w:t>be used in practice</w:t>
      </w:r>
      <w:r w:rsidR="003469D2" w:rsidRPr="0029195A">
        <w:rPr>
          <w:rFonts w:asciiTheme="minorHAnsi" w:hAnsiTheme="minorHAnsi"/>
          <w:bCs/>
          <w:snapToGrid w:val="0"/>
        </w:rPr>
        <w:t xml:space="preserve"> </w:t>
      </w:r>
      <w:r w:rsidRPr="0029195A">
        <w:rPr>
          <w:rFonts w:asciiTheme="minorHAnsi" w:hAnsiTheme="minorHAnsi"/>
          <w:bCs/>
          <w:snapToGrid w:val="0"/>
        </w:rPr>
        <w:t xml:space="preserve">and </w:t>
      </w:r>
      <w:r w:rsidR="00A20A6F" w:rsidRPr="0029195A">
        <w:rPr>
          <w:rFonts w:asciiTheme="minorHAnsi" w:hAnsiTheme="minorHAnsi"/>
          <w:bCs/>
          <w:snapToGrid w:val="0"/>
        </w:rPr>
        <w:t xml:space="preserve">the preference </w:t>
      </w:r>
      <w:r w:rsidR="00162507" w:rsidRPr="0029195A">
        <w:rPr>
          <w:rFonts w:asciiTheme="minorHAnsi" w:hAnsiTheme="minorHAnsi"/>
          <w:bCs/>
          <w:snapToGrid w:val="0"/>
        </w:rPr>
        <w:t>f</w:t>
      </w:r>
      <w:r w:rsidR="00A20A6F" w:rsidRPr="0029195A">
        <w:rPr>
          <w:rFonts w:asciiTheme="minorHAnsi" w:hAnsiTheme="minorHAnsi"/>
          <w:bCs/>
          <w:snapToGrid w:val="0"/>
        </w:rPr>
        <w:t xml:space="preserve">or clinician discretion in determining duration of therapy and reinduction. </w:t>
      </w:r>
      <w:r w:rsidR="00162507" w:rsidRPr="0029195A">
        <w:rPr>
          <w:rFonts w:asciiTheme="minorHAnsi" w:hAnsiTheme="minorHAnsi"/>
          <w:bCs/>
          <w:snapToGrid w:val="0"/>
        </w:rPr>
        <w:t xml:space="preserve">The clinician emphasised </w:t>
      </w:r>
      <w:r w:rsidR="003469D2" w:rsidRPr="0029195A">
        <w:rPr>
          <w:rFonts w:asciiTheme="minorHAnsi" w:hAnsiTheme="minorHAnsi"/>
          <w:bCs/>
          <w:snapToGrid w:val="0"/>
        </w:rPr>
        <w:t xml:space="preserve">the importance of reducing the adverse effects associated with </w:t>
      </w:r>
      <w:r w:rsidR="003469D2" w:rsidRPr="0029195A">
        <w:t>glucocorticoid use</w:t>
      </w:r>
      <w:r w:rsidR="00162507" w:rsidRPr="0029195A">
        <w:t xml:space="preserve"> and the availability of alternative treatment options for patients that do not tolerate currently available therapies</w:t>
      </w:r>
      <w:r w:rsidR="003469D2" w:rsidRPr="0029195A">
        <w:t>.</w:t>
      </w:r>
      <w:r w:rsidRPr="0029195A">
        <w:rPr>
          <w:rFonts w:asciiTheme="minorHAnsi" w:hAnsiTheme="minorHAnsi"/>
          <w:bCs/>
          <w:snapToGrid w:val="0"/>
        </w:rPr>
        <w:t xml:space="preserve"> The PBAC considered that the hearing was informative as it provided a clinical perspective on treating this uncommon disease.</w:t>
      </w:r>
      <w:r w:rsidR="00F40A00" w:rsidRPr="0029195A">
        <w:rPr>
          <w:rFonts w:asciiTheme="minorHAnsi" w:hAnsiTheme="minorHAnsi"/>
          <w:bCs/>
          <w:snapToGrid w:val="0"/>
        </w:rPr>
        <w:t xml:space="preserve"> The PBAC confirmed that the trial design which included the rapid weaning of study supply of GC after week 20 did not reflect clinical practice. </w:t>
      </w:r>
    </w:p>
    <w:bookmarkEnd w:id="23"/>
    <w:p w14:paraId="415B2F40" w14:textId="77777777" w:rsidR="00411EDA" w:rsidRPr="0029195A" w:rsidRDefault="00411EDA" w:rsidP="00411EDA">
      <w:pPr>
        <w:pStyle w:val="3-SubsectionHeading"/>
        <w:rPr>
          <w:lang w:eastAsia="en-AU"/>
        </w:rPr>
      </w:pPr>
      <w:r w:rsidRPr="0029195A">
        <w:rPr>
          <w:lang w:eastAsia="en-AU"/>
        </w:rPr>
        <w:t>Consumer comments</w:t>
      </w:r>
    </w:p>
    <w:p w14:paraId="3CFA0573" w14:textId="4EA8C945" w:rsidR="000B4034" w:rsidRPr="0029195A" w:rsidRDefault="00411EDA" w:rsidP="000B4034">
      <w:pPr>
        <w:widowControl w:val="0"/>
        <w:numPr>
          <w:ilvl w:val="1"/>
          <w:numId w:val="1"/>
        </w:numPr>
        <w:spacing w:after="120"/>
        <w:ind w:left="720"/>
        <w:rPr>
          <w:rFonts w:asciiTheme="minorHAnsi" w:hAnsiTheme="minorHAnsi"/>
          <w:bCs/>
          <w:snapToGrid w:val="0"/>
        </w:rPr>
      </w:pPr>
      <w:bookmarkStart w:id="24" w:name="_Hlk76382618"/>
      <w:r w:rsidRPr="0029195A">
        <w:rPr>
          <w:rFonts w:asciiTheme="minorHAnsi" w:hAnsiTheme="minorHAnsi"/>
          <w:bCs/>
          <w:snapToGrid w:val="0"/>
        </w:rPr>
        <w:t>The PBAC noted and welcomed the input from health care professionals (1) and organisations (</w:t>
      </w:r>
      <w:r w:rsidR="003469D2" w:rsidRPr="0029195A">
        <w:rPr>
          <w:rFonts w:asciiTheme="minorHAnsi" w:hAnsiTheme="minorHAnsi"/>
          <w:bCs/>
          <w:snapToGrid w:val="0"/>
        </w:rPr>
        <w:t>3</w:t>
      </w:r>
      <w:r w:rsidRPr="0029195A">
        <w:rPr>
          <w:rFonts w:asciiTheme="minorHAnsi" w:hAnsiTheme="minorHAnsi"/>
          <w:bCs/>
          <w:snapToGrid w:val="0"/>
        </w:rPr>
        <w:t>) via the Consumer Comments facility on the PBS website</w:t>
      </w:r>
      <w:r w:rsidR="0029195A">
        <w:rPr>
          <w:rFonts w:asciiTheme="minorHAnsi" w:hAnsiTheme="minorHAnsi"/>
          <w:bCs/>
          <w:snapToGrid w:val="0"/>
        </w:rPr>
        <w:t xml:space="preserve">. </w:t>
      </w:r>
      <w:r w:rsidRPr="0029195A">
        <w:rPr>
          <w:rFonts w:asciiTheme="minorHAnsi" w:hAnsiTheme="minorHAnsi"/>
          <w:bCs/>
          <w:snapToGrid w:val="0"/>
        </w:rPr>
        <w:t xml:space="preserve">The </w:t>
      </w:r>
      <w:r w:rsidR="003469D2" w:rsidRPr="0029195A">
        <w:rPr>
          <w:rFonts w:asciiTheme="minorHAnsi" w:hAnsiTheme="minorHAnsi"/>
          <w:bCs/>
          <w:snapToGrid w:val="0"/>
        </w:rPr>
        <w:t xml:space="preserve">health </w:t>
      </w:r>
      <w:r w:rsidR="00507CCE" w:rsidRPr="0029195A">
        <w:rPr>
          <w:rFonts w:asciiTheme="minorHAnsi" w:hAnsiTheme="minorHAnsi"/>
          <w:bCs/>
          <w:snapToGrid w:val="0"/>
        </w:rPr>
        <w:t xml:space="preserve">care </w:t>
      </w:r>
      <w:r w:rsidR="003469D2" w:rsidRPr="0029195A">
        <w:rPr>
          <w:rFonts w:asciiTheme="minorHAnsi" w:hAnsiTheme="minorHAnsi"/>
          <w:bCs/>
          <w:snapToGrid w:val="0"/>
        </w:rPr>
        <w:t xml:space="preserve">professional </w:t>
      </w:r>
      <w:r w:rsidRPr="0029195A">
        <w:rPr>
          <w:rFonts w:asciiTheme="minorHAnsi" w:hAnsiTheme="minorHAnsi"/>
          <w:bCs/>
          <w:snapToGrid w:val="0"/>
        </w:rPr>
        <w:t xml:space="preserve">comments described </w:t>
      </w:r>
      <w:r w:rsidR="00507CCE" w:rsidRPr="0029195A">
        <w:rPr>
          <w:rFonts w:asciiTheme="minorHAnsi" w:hAnsiTheme="minorHAnsi"/>
          <w:bCs/>
          <w:snapToGrid w:val="0"/>
        </w:rPr>
        <w:t xml:space="preserve">the benefits of using avacopan combined with </w:t>
      </w:r>
      <w:bookmarkStart w:id="25" w:name="_Hlk141353164"/>
      <w:r w:rsidR="00507CCE" w:rsidRPr="0029195A">
        <w:rPr>
          <w:rFonts w:asciiTheme="minorHAnsi" w:hAnsiTheme="minorHAnsi"/>
          <w:bCs/>
          <w:snapToGrid w:val="0"/>
        </w:rPr>
        <w:t xml:space="preserve">rituximab or cyclophosphamide </w:t>
      </w:r>
      <w:bookmarkEnd w:id="25"/>
      <w:r w:rsidR="00507CCE" w:rsidRPr="0029195A">
        <w:rPr>
          <w:rFonts w:asciiTheme="minorHAnsi" w:hAnsiTheme="minorHAnsi"/>
          <w:bCs/>
          <w:snapToGrid w:val="0"/>
        </w:rPr>
        <w:t xml:space="preserve">in terms of a reduction in </w:t>
      </w:r>
      <w:r w:rsidR="00326E4B" w:rsidRPr="0029195A">
        <w:t>glucocorticoid</w:t>
      </w:r>
      <w:r w:rsidR="00507CCE" w:rsidRPr="0029195A">
        <w:rPr>
          <w:rFonts w:asciiTheme="minorHAnsi" w:hAnsiTheme="minorHAnsi"/>
          <w:bCs/>
          <w:snapToGrid w:val="0"/>
        </w:rPr>
        <w:t xml:space="preserve"> adverse effects</w:t>
      </w:r>
      <w:r w:rsidR="000B4034" w:rsidRPr="0029195A">
        <w:rPr>
          <w:rFonts w:asciiTheme="minorHAnsi" w:hAnsiTheme="minorHAnsi"/>
          <w:bCs/>
          <w:snapToGrid w:val="0"/>
        </w:rPr>
        <w:t xml:space="preserve">. The health care professional input also recommended avacopan should only be available via a specialist experienced in the treatment of vasculitis such as a nephrologist, immunologist or rheumatologist. </w:t>
      </w:r>
    </w:p>
    <w:p w14:paraId="0F817A9B" w14:textId="43A215AE" w:rsidR="00526239" w:rsidRPr="0029195A" w:rsidRDefault="00526239" w:rsidP="00526239">
      <w:pPr>
        <w:widowControl w:val="0"/>
        <w:numPr>
          <w:ilvl w:val="1"/>
          <w:numId w:val="1"/>
        </w:numPr>
        <w:spacing w:after="120"/>
        <w:ind w:left="720"/>
        <w:rPr>
          <w:rFonts w:asciiTheme="minorHAnsi" w:hAnsiTheme="minorHAnsi"/>
          <w:bCs/>
          <w:snapToGrid w:val="0"/>
        </w:rPr>
      </w:pPr>
      <w:r w:rsidRPr="0029195A">
        <w:rPr>
          <w:rFonts w:asciiTheme="minorHAnsi" w:hAnsiTheme="minorHAnsi"/>
          <w:bCs/>
          <w:snapToGrid w:val="0"/>
        </w:rPr>
        <w:t xml:space="preserve">The PBAC noted the advice received from the Australasian Society of Clinical Immunology and Allergy (ASCIA) regarding the limitations of current treatments used to manage patients with vasculitis disorders including GPA and MPA. ASCIA noted that there are considerable costs to patients and the healthcare system due to delayed or inadequate treatment of severe GPA and MPA. </w:t>
      </w:r>
    </w:p>
    <w:p w14:paraId="1D22912E" w14:textId="46AE2941" w:rsidR="00526239" w:rsidRPr="0029195A" w:rsidRDefault="00526239" w:rsidP="00526239">
      <w:pPr>
        <w:widowControl w:val="0"/>
        <w:numPr>
          <w:ilvl w:val="1"/>
          <w:numId w:val="1"/>
        </w:numPr>
        <w:spacing w:after="120"/>
        <w:ind w:left="720"/>
        <w:rPr>
          <w:rFonts w:asciiTheme="minorHAnsi" w:hAnsiTheme="minorHAnsi"/>
          <w:bCs/>
          <w:snapToGrid w:val="0"/>
        </w:rPr>
      </w:pPr>
      <w:r w:rsidRPr="0029195A">
        <w:rPr>
          <w:rFonts w:asciiTheme="minorHAnsi" w:hAnsiTheme="minorHAnsi"/>
          <w:bCs/>
          <w:snapToGrid w:val="0"/>
        </w:rPr>
        <w:t xml:space="preserve">The PBAC noted the advice received from the Australian Rheumatology Association (ARA) which stated there is a great demand for additional therapies for AAV patients with inadequately controlled disease. The ARA highlighted that the goal of treatment is the induction and maintenance of long-term remission, as this is not a curable condition. The ARA stated that much of the treatment related morbidity in induction therapy can be attributed to </w:t>
      </w:r>
      <w:r w:rsidRPr="0029195A">
        <w:t xml:space="preserve">glucocorticoids. The ARA indicated the potential benefits of avacopan after one year of treatment are: superior sustained remission compared with standard of care; improvement in kidney function and delayed time to diagnosis; </w:t>
      </w:r>
      <w:r w:rsidRPr="0029195A">
        <w:lastRenderedPageBreak/>
        <w:t xml:space="preserve">and improved quality of life and reduced toxicity compared to standard of care. </w:t>
      </w:r>
    </w:p>
    <w:p w14:paraId="34EE21FB" w14:textId="39B935D6" w:rsidR="008C791E" w:rsidRPr="0029195A" w:rsidRDefault="008C791E" w:rsidP="008C791E">
      <w:pPr>
        <w:widowControl w:val="0"/>
        <w:numPr>
          <w:ilvl w:val="1"/>
          <w:numId w:val="1"/>
        </w:numPr>
        <w:spacing w:after="120"/>
        <w:ind w:left="720"/>
        <w:rPr>
          <w:rFonts w:asciiTheme="minorHAnsi" w:hAnsiTheme="minorHAnsi"/>
          <w:bCs/>
          <w:snapToGrid w:val="0"/>
        </w:rPr>
      </w:pPr>
      <w:r w:rsidRPr="0029195A">
        <w:rPr>
          <w:rFonts w:asciiTheme="minorHAnsi" w:hAnsiTheme="minorHAnsi"/>
          <w:bCs/>
          <w:snapToGrid w:val="0"/>
        </w:rPr>
        <w:t xml:space="preserve">The PBAC noted the </w:t>
      </w:r>
      <w:r w:rsidR="00526239" w:rsidRPr="0029195A">
        <w:rPr>
          <w:rFonts w:asciiTheme="minorHAnsi" w:hAnsiTheme="minorHAnsi"/>
          <w:bCs/>
          <w:snapToGrid w:val="0"/>
        </w:rPr>
        <w:t>advice</w:t>
      </w:r>
      <w:r w:rsidRPr="0029195A">
        <w:rPr>
          <w:rFonts w:asciiTheme="minorHAnsi" w:hAnsiTheme="minorHAnsi"/>
          <w:bCs/>
          <w:snapToGrid w:val="0"/>
        </w:rPr>
        <w:t xml:space="preserve"> received from the Australian and New Zealand Vasculitis Society (ANZVASC)</w:t>
      </w:r>
      <w:r w:rsidR="00890B76" w:rsidRPr="0029195A">
        <w:rPr>
          <w:rFonts w:asciiTheme="minorHAnsi" w:hAnsiTheme="minorHAnsi"/>
          <w:bCs/>
          <w:snapToGrid w:val="0"/>
        </w:rPr>
        <w:t xml:space="preserve"> that severe </w:t>
      </w:r>
      <w:r w:rsidR="00890B76" w:rsidRPr="0029195A">
        <w:t>glucocorticoid</w:t>
      </w:r>
      <w:r w:rsidR="00890B76" w:rsidRPr="0029195A">
        <w:rPr>
          <w:rFonts w:asciiTheme="minorHAnsi" w:hAnsiTheme="minorHAnsi"/>
          <w:bCs/>
          <w:snapToGrid w:val="0"/>
        </w:rPr>
        <w:t xml:space="preserve"> adverse effects are common in the treatment of severe AAV due to the need for high doses of these agents. ANZVASC </w:t>
      </w:r>
      <w:r w:rsidR="000D3A88" w:rsidRPr="0029195A">
        <w:rPr>
          <w:rFonts w:asciiTheme="minorHAnsi" w:hAnsiTheme="minorHAnsi"/>
          <w:bCs/>
          <w:snapToGrid w:val="0"/>
        </w:rPr>
        <w:t xml:space="preserve">described the use of lower dose protocols to </w:t>
      </w:r>
      <w:r w:rsidR="00890B76" w:rsidRPr="0029195A">
        <w:rPr>
          <w:rFonts w:asciiTheme="minorHAnsi" w:hAnsiTheme="minorHAnsi"/>
          <w:bCs/>
          <w:snapToGrid w:val="0"/>
        </w:rPr>
        <w:t>minimis</w:t>
      </w:r>
      <w:r w:rsidR="000D3A88" w:rsidRPr="0029195A">
        <w:rPr>
          <w:rFonts w:asciiTheme="minorHAnsi" w:hAnsiTheme="minorHAnsi"/>
          <w:bCs/>
          <w:snapToGrid w:val="0"/>
        </w:rPr>
        <w:t>e</w:t>
      </w:r>
      <w:r w:rsidR="00890B76" w:rsidRPr="0029195A">
        <w:rPr>
          <w:rFonts w:asciiTheme="minorHAnsi" w:hAnsiTheme="minorHAnsi"/>
          <w:bCs/>
          <w:snapToGrid w:val="0"/>
        </w:rPr>
        <w:t xml:space="preserve"> exposure to high-dose glucocorticoids, but </w:t>
      </w:r>
      <w:r w:rsidR="000D3A88" w:rsidRPr="0029195A">
        <w:rPr>
          <w:rFonts w:asciiTheme="minorHAnsi" w:hAnsiTheme="minorHAnsi"/>
          <w:bCs/>
          <w:snapToGrid w:val="0"/>
        </w:rPr>
        <w:t>stated that many patients still experience severe steroid adverse effects. The ANZVASC stated the complete wean off prednisolone by week 21 in the ADVOCATE trial was faster than steroid weans in prior trials including PEXIVAS and was not consistent with general clinical practice in Australia where prednisolone is stopped around 12 months in the majority of AAV patients. ANZVASC stated this may have led to more relapses in the control arm by 12 months</w:t>
      </w:r>
      <w:r w:rsidR="00526239" w:rsidRPr="0029195A">
        <w:rPr>
          <w:rFonts w:asciiTheme="minorHAnsi" w:hAnsiTheme="minorHAnsi"/>
          <w:bCs/>
          <w:snapToGrid w:val="0"/>
        </w:rPr>
        <w:t xml:space="preserve"> in the ADVOCATE trial. ANZVASC highlighted that treatment with avacopan in the trial was associated with lower glucocorticoid adverse events and complications. ANZVASC highlighted that patients in the advocate arm received 37%, not 0% of the cumulative amount of glucocorticoids </w:t>
      </w:r>
      <w:r w:rsidR="00CE7192" w:rsidRPr="0029195A">
        <w:rPr>
          <w:rFonts w:asciiTheme="minorHAnsi" w:hAnsiTheme="minorHAnsi"/>
          <w:bCs/>
          <w:snapToGrid w:val="0"/>
        </w:rPr>
        <w:t xml:space="preserve">that patients in the prednisolone arm received. As such, ANZVASC stated it is not known how patients with severe disease might fare if they are treated with avacopan alone. In addition, ANZVASC indicated the safety and clinical effects of avacopan beyond 52 weeks were not addressed in the trial and therefore its role in maintenance therapy remains unclear. ANZVASC stated that the ability to treat AAV with avacopan combined with rituximab or cyclophosphamide, thereby allowing avoidance of high, cumulative glucocorticoids would be an advantage to a subgroup of patients with this condition. </w:t>
      </w:r>
    </w:p>
    <w:p w14:paraId="11531834" w14:textId="3B93F490" w:rsidR="00162507" w:rsidRPr="007A6355" w:rsidRDefault="00162507" w:rsidP="007A6355">
      <w:pPr>
        <w:widowControl w:val="0"/>
        <w:numPr>
          <w:ilvl w:val="1"/>
          <w:numId w:val="1"/>
        </w:numPr>
        <w:ind w:left="720"/>
        <w:rPr>
          <w:rFonts w:asciiTheme="minorHAnsi" w:hAnsiTheme="minorHAnsi"/>
          <w:bCs/>
          <w:snapToGrid w:val="0"/>
        </w:rPr>
      </w:pPr>
      <w:r w:rsidRPr="0029195A">
        <w:rPr>
          <w:rFonts w:asciiTheme="minorHAnsi" w:hAnsiTheme="minorHAnsi"/>
          <w:bCs/>
          <w:snapToGrid w:val="0"/>
        </w:rPr>
        <w:t>The PBAC noted that the advice from organisations was supportive of the evidence provided in the submission regarding the potential benefits of avacopan in reducing GC use, however, the PBAC remained concerned the comparative evidence for treatment beyond 6 months was not sufficient to support other claims regarding significant benefits in remission and improvements in renal function.</w:t>
      </w:r>
      <w:r w:rsidR="00780149" w:rsidRPr="0029195A">
        <w:rPr>
          <w:rFonts w:asciiTheme="minorHAnsi" w:hAnsiTheme="minorHAnsi"/>
          <w:bCs/>
          <w:snapToGrid w:val="0"/>
        </w:rPr>
        <w:t xml:space="preserve"> </w:t>
      </w:r>
    </w:p>
    <w:bookmarkEnd w:id="21"/>
    <w:bookmarkEnd w:id="24"/>
    <w:p w14:paraId="391D3235" w14:textId="1BFCB5F5" w:rsidR="001248DA" w:rsidRPr="0029195A" w:rsidRDefault="00B60939" w:rsidP="00426708">
      <w:pPr>
        <w:pStyle w:val="4-SubsectionHeading"/>
      </w:pPr>
      <w:r w:rsidRPr="0029195A">
        <w:t>Clinical trials</w:t>
      </w:r>
      <w:bookmarkStart w:id="26" w:name="_Toc22897641"/>
      <w:bookmarkEnd w:id="18"/>
      <w:bookmarkEnd w:id="22"/>
    </w:p>
    <w:p w14:paraId="6993256C" w14:textId="1B412BC6" w:rsidR="001248DA" w:rsidRPr="0029195A" w:rsidRDefault="00FA097A" w:rsidP="007A6355">
      <w:pPr>
        <w:pStyle w:val="3-BodyText"/>
        <w:rPr>
          <w:i/>
          <w:iCs/>
        </w:rPr>
      </w:pPr>
      <w:bookmarkStart w:id="27" w:name="_Ref137665780"/>
      <w:r w:rsidRPr="0029195A">
        <w:t>The submission was based on one head-to-head trial (ADVOCATE) comparing avacopan + SOC to prednisone + SOC in patients with severe active GPA or MPA (N=331). All patients received one of three SOC regimens including IV or oral cyclophosphamide followed by azathioprine or mycophenolate mofetil from Week</w:t>
      </w:r>
      <w:r w:rsidR="007A6355">
        <w:t> </w:t>
      </w:r>
      <w:r w:rsidRPr="0029195A">
        <w:t>15 onwards or weekly IV rituximab for the first 4 weeks</w:t>
      </w:r>
      <w:r w:rsidR="00426708" w:rsidRPr="0029195A">
        <w:t xml:space="preserve"> followed by </w:t>
      </w:r>
      <w:r w:rsidR="00E83559" w:rsidRPr="0029195A">
        <w:t>no treatment</w:t>
      </w:r>
      <w:r w:rsidRPr="0029195A">
        <w:t>.</w:t>
      </w:r>
      <w:r w:rsidR="00426708" w:rsidRPr="0029195A">
        <w:rPr>
          <w:i/>
          <w:iCs/>
        </w:rPr>
        <w:t xml:space="preserve"> </w:t>
      </w:r>
      <w:r w:rsidR="00426708" w:rsidRPr="0029195A">
        <w:t>Although discouraged, the ADVOCATE trial protocol permitted the use of non-study supplied GCs (i.e., GC use other than the prednisone/prednisone-matching placebo provided under the protocol) in certain clinical situations. The GC used in the clinical trial was prednisone.</w:t>
      </w:r>
      <w:r w:rsidRPr="0029195A">
        <w:t xml:space="preserve"> </w:t>
      </w:r>
      <w:r w:rsidR="00426708" w:rsidRPr="0029195A">
        <w:t xml:space="preserve">The ESC </w:t>
      </w:r>
      <w:r w:rsidR="00E83559" w:rsidRPr="0029195A">
        <w:t xml:space="preserve">noted </w:t>
      </w:r>
      <w:r w:rsidR="00426708" w:rsidRPr="0029195A">
        <w:t xml:space="preserve">the ADVOCATE trial compared avacopan + SOC with prednisolone + SOC for induction only as the use of study supplied prednisolone was rapidly weaned over  20 weeks. </w:t>
      </w:r>
      <w:r w:rsidR="000314DE" w:rsidRPr="0029195A">
        <w:t xml:space="preserve">The ESC considered that in the induction phase, avacopan was being used as part of a strategy to reduce exposure to glucocorticoids. </w:t>
      </w:r>
      <w:r w:rsidR="001A302B" w:rsidRPr="0029195A">
        <w:t xml:space="preserve">The ESC agreed with the PSCR  that the ADVOCATE trial included a maintenance phase </w:t>
      </w:r>
      <w:r w:rsidR="001A302B" w:rsidRPr="0029195A">
        <w:lastRenderedPageBreak/>
        <w:t>and noted this included a comparison with patients who were on a background of either azathioprine/mycophenolate mofetil (following cyclophosphamide) or no further treatment (following rituximab induction). The ESC considered the latter was not consistent with clinical practice, nor international guidelines (EULAR 2022) and, therefore, had no relevance to the current submission.</w:t>
      </w:r>
      <w:bookmarkEnd w:id="27"/>
    </w:p>
    <w:p w14:paraId="74AF43F1" w14:textId="3C3E415F" w:rsidR="00B25859" w:rsidRPr="0029195A" w:rsidRDefault="000C36A3" w:rsidP="007A6355">
      <w:pPr>
        <w:pStyle w:val="3-BodyText"/>
      </w:pPr>
      <w:r w:rsidRPr="0029195A">
        <w:t xml:space="preserve">The submission used the study results of the CLEAR and CLASSIC trials as additional evidence to support the clinical claims presented in the ADVOCATE trial. The CLEAR and CLASSIC trials were phase 2 randomised trials with a duration of 12 weeks and study populations N&lt;100. </w:t>
      </w:r>
      <w:r w:rsidR="006473D3" w:rsidRPr="0029195A">
        <w:t>The results of these trials were generally consistent with the pivotal trial and are not reported on further in the ESC advice</w:t>
      </w:r>
      <w:r w:rsidR="0029195A">
        <w:t xml:space="preserve">. </w:t>
      </w:r>
    </w:p>
    <w:p w14:paraId="455C9578" w14:textId="1EC00A87" w:rsidR="005B3D24" w:rsidRPr="0029195A" w:rsidRDefault="00122FE8" w:rsidP="007A6355">
      <w:pPr>
        <w:pStyle w:val="3-BodyText"/>
      </w:pPr>
      <w:r w:rsidRPr="0029195A">
        <w:t>Details of the</w:t>
      </w:r>
      <w:r w:rsidR="001E3E2C" w:rsidRPr="0029195A">
        <w:t xml:space="preserve"> ADVOCATE</w:t>
      </w:r>
      <w:r w:rsidRPr="0029195A">
        <w:t xml:space="preserve"> trial presented in the submission are provided in </w:t>
      </w:r>
      <w:r w:rsidRPr="0029195A">
        <w:fldChar w:fldCharType="begin" w:fldLock="1"/>
      </w:r>
      <w:r w:rsidRPr="0029195A">
        <w:instrText xml:space="preserve"> REF _Ref104803956 \h </w:instrText>
      </w:r>
      <w:r w:rsidR="005B3D24" w:rsidRPr="0029195A">
        <w:instrText xml:space="preserve"> \* MERGEFORMAT </w:instrText>
      </w:r>
      <w:r w:rsidRPr="0029195A">
        <w:fldChar w:fldCharType="separate"/>
      </w:r>
      <w:r w:rsidR="00107C51" w:rsidRPr="0029195A">
        <w:t>Table 2</w:t>
      </w:r>
      <w:r w:rsidRPr="0029195A">
        <w:fldChar w:fldCharType="end"/>
      </w:r>
      <w:r w:rsidRPr="0029195A">
        <w:t>.</w:t>
      </w:r>
    </w:p>
    <w:p w14:paraId="315AB37D" w14:textId="0510FF5C" w:rsidR="00122FE8" w:rsidRPr="0029195A" w:rsidRDefault="00122FE8" w:rsidP="007933FF">
      <w:pPr>
        <w:pStyle w:val="TableFigureHeading"/>
        <w:rPr>
          <w:rStyle w:val="CommentReference"/>
          <w:b/>
          <w:szCs w:val="24"/>
        </w:rPr>
      </w:pPr>
      <w:bookmarkStart w:id="28" w:name="_Ref104803956"/>
      <w:r w:rsidRPr="0029195A">
        <w:t xml:space="preserve">Table </w:t>
      </w:r>
      <w:r w:rsidRPr="0029195A">
        <w:fldChar w:fldCharType="begin" w:fldLock="1"/>
      </w:r>
      <w:r w:rsidRPr="0029195A">
        <w:instrText>SEQ Table \* ARABIC</w:instrText>
      </w:r>
      <w:r w:rsidRPr="0029195A">
        <w:fldChar w:fldCharType="separate"/>
      </w:r>
      <w:r w:rsidR="00631406" w:rsidRPr="0029195A">
        <w:t>2</w:t>
      </w:r>
      <w:r w:rsidRPr="0029195A">
        <w:fldChar w:fldCharType="end"/>
      </w:r>
      <w:bookmarkEnd w:id="28"/>
      <w:r w:rsidRPr="0029195A">
        <w:t>:</w:t>
      </w:r>
      <w:r w:rsidRPr="0029195A">
        <w:rPr>
          <w:rStyle w:val="CommentReference"/>
          <w:b/>
          <w:szCs w:val="24"/>
        </w:rPr>
        <w:t xml:space="preserve"> Trial and associated reports presented in the submission</w:t>
      </w:r>
    </w:p>
    <w:tbl>
      <w:tblPr>
        <w:tblpPr w:leftFromText="181" w:rightFromText="18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122FE8" w:rsidRPr="0029195A" w14:paraId="054E564F" w14:textId="77777777" w:rsidTr="002F31FC">
        <w:trPr>
          <w:tblHeader/>
        </w:trPr>
        <w:tc>
          <w:tcPr>
            <w:tcW w:w="796" w:type="pct"/>
          </w:tcPr>
          <w:p w14:paraId="7FA489AA" w14:textId="77777777" w:rsidR="00122FE8" w:rsidRPr="0029195A" w:rsidRDefault="00122FE8">
            <w:pPr>
              <w:pStyle w:val="In-tableHeading"/>
              <w:jc w:val="center"/>
              <w:rPr>
                <w:lang w:val="en-AU"/>
              </w:rPr>
            </w:pPr>
            <w:r w:rsidRPr="0029195A">
              <w:rPr>
                <w:lang w:val="en-AU"/>
              </w:rPr>
              <w:t>Trial ID</w:t>
            </w:r>
          </w:p>
        </w:tc>
        <w:tc>
          <w:tcPr>
            <w:tcW w:w="3027" w:type="pct"/>
          </w:tcPr>
          <w:p w14:paraId="664234FE" w14:textId="77777777" w:rsidR="00122FE8" w:rsidRPr="0029195A" w:rsidRDefault="00122FE8">
            <w:pPr>
              <w:pStyle w:val="In-tableHeading"/>
              <w:rPr>
                <w:lang w:val="en-AU"/>
              </w:rPr>
            </w:pPr>
            <w:r w:rsidRPr="0029195A">
              <w:rPr>
                <w:lang w:val="en-AU"/>
              </w:rPr>
              <w:t>Protocol title/ Publication title</w:t>
            </w:r>
          </w:p>
        </w:tc>
        <w:tc>
          <w:tcPr>
            <w:tcW w:w="1177" w:type="pct"/>
          </w:tcPr>
          <w:p w14:paraId="14F7E664" w14:textId="77777777" w:rsidR="00122FE8" w:rsidRPr="0029195A" w:rsidRDefault="00122FE8">
            <w:pPr>
              <w:pStyle w:val="In-tableHeading"/>
              <w:rPr>
                <w:lang w:val="en-AU"/>
              </w:rPr>
            </w:pPr>
            <w:r w:rsidRPr="0029195A">
              <w:rPr>
                <w:lang w:val="en-AU"/>
              </w:rPr>
              <w:t>Publication citation</w:t>
            </w:r>
          </w:p>
        </w:tc>
      </w:tr>
      <w:tr w:rsidR="00122FE8" w:rsidRPr="0029195A" w14:paraId="06D1EB20" w14:textId="77777777" w:rsidTr="002F31FC">
        <w:tc>
          <w:tcPr>
            <w:tcW w:w="796" w:type="pct"/>
            <w:vMerge w:val="restart"/>
          </w:tcPr>
          <w:p w14:paraId="2951CF38" w14:textId="77777777" w:rsidR="00122FE8" w:rsidRPr="0029195A" w:rsidRDefault="00122FE8">
            <w:pPr>
              <w:pStyle w:val="TableText0"/>
              <w:jc w:val="center"/>
            </w:pPr>
            <w:r w:rsidRPr="0029195A">
              <w:t>ADVOCATE</w:t>
            </w:r>
          </w:p>
          <w:p w14:paraId="42876BDD" w14:textId="77777777" w:rsidR="00122FE8" w:rsidRPr="0029195A" w:rsidRDefault="00122FE8">
            <w:pPr>
              <w:pStyle w:val="TableText0"/>
              <w:jc w:val="center"/>
            </w:pPr>
            <w:r w:rsidRPr="0029195A">
              <w:t>NCT02994927</w:t>
            </w:r>
          </w:p>
        </w:tc>
        <w:tc>
          <w:tcPr>
            <w:tcW w:w="3027" w:type="pct"/>
            <w:tcBorders>
              <w:bottom w:val="nil"/>
            </w:tcBorders>
          </w:tcPr>
          <w:p w14:paraId="6041D2ED" w14:textId="77777777" w:rsidR="00122FE8" w:rsidRPr="0029195A" w:rsidRDefault="00122FE8">
            <w:pPr>
              <w:pStyle w:val="TableText0"/>
              <w:rPr>
                <w:szCs w:val="18"/>
              </w:rPr>
            </w:pPr>
            <w:r w:rsidRPr="0029195A">
              <w:rPr>
                <w:szCs w:val="18"/>
              </w:rPr>
              <w:t>A Randomized, Double-blind, Active-controlled, Phase 3 study to Evaluate the Safety and Efficacy of CCX168 (Avacopan) in Patients with Anti-Neutrophil Cytoplasmic Antibody (ANCA)-Associated Vasculitis Treated Concomitantly with Rituximab or Cyclophosphamide/Azathioprine.</w:t>
            </w:r>
          </w:p>
        </w:tc>
        <w:tc>
          <w:tcPr>
            <w:tcW w:w="1177" w:type="pct"/>
            <w:tcBorders>
              <w:bottom w:val="nil"/>
            </w:tcBorders>
          </w:tcPr>
          <w:p w14:paraId="5845BF8A" w14:textId="77777777" w:rsidR="00122FE8" w:rsidRPr="0029195A" w:rsidRDefault="00122FE8">
            <w:pPr>
              <w:pStyle w:val="TableText0"/>
            </w:pPr>
            <w:r w:rsidRPr="0029195A">
              <w:t>June 2020</w:t>
            </w:r>
          </w:p>
        </w:tc>
      </w:tr>
      <w:tr w:rsidR="00122FE8" w:rsidRPr="0029195A" w14:paraId="682101B8" w14:textId="77777777" w:rsidTr="002F31FC">
        <w:tc>
          <w:tcPr>
            <w:tcW w:w="796" w:type="pct"/>
            <w:vMerge/>
          </w:tcPr>
          <w:p w14:paraId="3E35E3DF" w14:textId="77777777" w:rsidR="00122FE8" w:rsidRPr="0029195A" w:rsidRDefault="00122FE8">
            <w:pPr>
              <w:pStyle w:val="TableText0"/>
              <w:jc w:val="center"/>
            </w:pPr>
          </w:p>
        </w:tc>
        <w:tc>
          <w:tcPr>
            <w:tcW w:w="3027" w:type="pct"/>
            <w:tcBorders>
              <w:bottom w:val="single" w:sz="4" w:space="0" w:color="auto"/>
            </w:tcBorders>
          </w:tcPr>
          <w:p w14:paraId="3473B329" w14:textId="77777777" w:rsidR="00122FE8" w:rsidRPr="0029195A" w:rsidRDefault="00122FE8">
            <w:pPr>
              <w:pStyle w:val="TableText0"/>
              <w:rPr>
                <w:szCs w:val="18"/>
              </w:rPr>
            </w:pPr>
            <w:r w:rsidRPr="0029195A">
              <w:t xml:space="preserve">Cortazar FB, Niles JL, Jayne DRW et al. Renal recovery for patients with antineutrophil cytoplasmic autoantibody-associated vasculitis and low estimated GFR in the ADVOCATE trial of avacopan. </w:t>
            </w:r>
          </w:p>
        </w:tc>
        <w:tc>
          <w:tcPr>
            <w:tcW w:w="1177" w:type="pct"/>
            <w:tcBorders>
              <w:bottom w:val="single" w:sz="4" w:space="0" w:color="auto"/>
            </w:tcBorders>
          </w:tcPr>
          <w:p w14:paraId="55ACFADE" w14:textId="77777777" w:rsidR="00122FE8" w:rsidRPr="0029195A" w:rsidRDefault="00122FE8">
            <w:pPr>
              <w:pStyle w:val="TableText0"/>
            </w:pPr>
            <w:r w:rsidRPr="0029195A">
              <w:rPr>
                <w:i/>
                <w:iCs/>
                <w:szCs w:val="18"/>
              </w:rPr>
              <w:t xml:space="preserve">Kidney Int Rep </w:t>
            </w:r>
            <w:r w:rsidRPr="0029195A">
              <w:rPr>
                <w:szCs w:val="18"/>
              </w:rPr>
              <w:t>2023 (in press)</w:t>
            </w:r>
          </w:p>
        </w:tc>
      </w:tr>
      <w:tr w:rsidR="00122FE8" w:rsidRPr="0029195A" w14:paraId="5E9C6E9E" w14:textId="77777777" w:rsidTr="00B35094">
        <w:tc>
          <w:tcPr>
            <w:tcW w:w="796" w:type="pct"/>
            <w:vMerge/>
          </w:tcPr>
          <w:p w14:paraId="554BDF56" w14:textId="77777777" w:rsidR="00122FE8" w:rsidRPr="0029195A" w:rsidRDefault="00122FE8">
            <w:pPr>
              <w:pStyle w:val="TableText0"/>
              <w:jc w:val="center"/>
            </w:pPr>
          </w:p>
        </w:tc>
        <w:tc>
          <w:tcPr>
            <w:tcW w:w="3027" w:type="pct"/>
          </w:tcPr>
          <w:p w14:paraId="5AC3CADF" w14:textId="77777777" w:rsidR="00122FE8" w:rsidRPr="0029195A" w:rsidRDefault="00122FE8">
            <w:pPr>
              <w:pStyle w:val="TableText0"/>
              <w:rPr>
                <w:szCs w:val="18"/>
              </w:rPr>
            </w:pPr>
            <w:r w:rsidRPr="0029195A">
              <w:rPr>
                <w:szCs w:val="18"/>
              </w:rPr>
              <w:t>Jayne DRW, Merkel PA, Schall TJ et al. Avacopan for the treatment of ANCA-associated vasculitis.</w:t>
            </w:r>
          </w:p>
        </w:tc>
        <w:tc>
          <w:tcPr>
            <w:tcW w:w="1177" w:type="pct"/>
          </w:tcPr>
          <w:p w14:paraId="244AA4AE" w14:textId="77777777" w:rsidR="00122FE8" w:rsidRPr="0029195A" w:rsidRDefault="00122FE8">
            <w:pPr>
              <w:pStyle w:val="TableText0"/>
              <w:rPr>
                <w:i/>
                <w:iCs/>
              </w:rPr>
            </w:pPr>
            <w:r w:rsidRPr="0029195A">
              <w:rPr>
                <w:i/>
                <w:szCs w:val="18"/>
              </w:rPr>
              <w:t xml:space="preserve">NEJM </w:t>
            </w:r>
            <w:r w:rsidRPr="0029195A">
              <w:rPr>
                <w:iCs/>
                <w:szCs w:val="18"/>
              </w:rPr>
              <w:t>2021; 384:599-609</w:t>
            </w:r>
          </w:p>
        </w:tc>
      </w:tr>
      <w:tr w:rsidR="00C61B6E" w:rsidRPr="0029195A" w14:paraId="6D15CEAB" w14:textId="77777777" w:rsidTr="00B35094">
        <w:tc>
          <w:tcPr>
            <w:tcW w:w="796" w:type="pct"/>
          </w:tcPr>
          <w:p w14:paraId="0E4D4D31" w14:textId="77777777" w:rsidR="00C61B6E" w:rsidRPr="0029195A" w:rsidRDefault="00C61B6E" w:rsidP="00C61B6E">
            <w:pPr>
              <w:pStyle w:val="TableText0"/>
              <w:jc w:val="center"/>
            </w:pPr>
            <w:r w:rsidRPr="0029195A">
              <w:t>CLEAR</w:t>
            </w:r>
          </w:p>
          <w:p w14:paraId="4B5E6E9F" w14:textId="541B4C2C" w:rsidR="00C61B6E" w:rsidRPr="0029195A" w:rsidRDefault="00C61B6E" w:rsidP="00C61B6E">
            <w:pPr>
              <w:pStyle w:val="TableText0"/>
              <w:jc w:val="center"/>
            </w:pPr>
            <w:r w:rsidRPr="0029195A">
              <w:rPr>
                <w:b/>
              </w:rPr>
              <w:t>(</w:t>
            </w:r>
            <w:r w:rsidRPr="0029195A">
              <w:t>NCT01363388)</w:t>
            </w:r>
            <w:r w:rsidRPr="0029195A">
              <w:br/>
              <w:t>Excluded as phase 2 trial</w:t>
            </w:r>
          </w:p>
        </w:tc>
        <w:tc>
          <w:tcPr>
            <w:tcW w:w="3027" w:type="pct"/>
          </w:tcPr>
          <w:p w14:paraId="00C6B164" w14:textId="28FD22B8" w:rsidR="00C61B6E" w:rsidRPr="0029195A" w:rsidRDefault="00C61B6E" w:rsidP="00C61B6E">
            <w:pPr>
              <w:pStyle w:val="TableText0"/>
              <w:rPr>
                <w:szCs w:val="18"/>
              </w:rPr>
            </w:pPr>
            <w:r w:rsidRPr="0029195A">
              <w:t>CLEAR CSR: Avacopan in combination with CYC or RTX without GCs or avacopan in combination with CYC or RTX with two thirds reduced starting dose of GCs versus placebo in combination with CYC or RTX with full starting dose of GCs in adults with newly diagnosed or relapsing MPA or GPA</w:t>
            </w:r>
          </w:p>
        </w:tc>
        <w:tc>
          <w:tcPr>
            <w:tcW w:w="1177" w:type="pct"/>
          </w:tcPr>
          <w:p w14:paraId="619004D2" w14:textId="7320EA2B" w:rsidR="00C61B6E" w:rsidRPr="0029195A" w:rsidRDefault="00C61B6E" w:rsidP="00C61B6E">
            <w:pPr>
              <w:pStyle w:val="TableText0"/>
              <w:rPr>
                <w:i/>
                <w:szCs w:val="18"/>
              </w:rPr>
            </w:pPr>
            <w:r w:rsidRPr="0029195A">
              <w:rPr>
                <w:i/>
                <w:szCs w:val="18"/>
              </w:rPr>
              <w:t>CSR_CL002_168</w:t>
            </w:r>
          </w:p>
        </w:tc>
      </w:tr>
      <w:tr w:rsidR="00C61B6E" w:rsidRPr="0029195A" w14:paraId="29C69041" w14:textId="77777777" w:rsidTr="002F31FC">
        <w:tc>
          <w:tcPr>
            <w:tcW w:w="796" w:type="pct"/>
          </w:tcPr>
          <w:p w14:paraId="66DAA334" w14:textId="77777777" w:rsidR="00C61B6E" w:rsidRPr="0029195A" w:rsidRDefault="00C61B6E" w:rsidP="00C61B6E">
            <w:pPr>
              <w:pStyle w:val="TableText0"/>
              <w:jc w:val="center"/>
            </w:pPr>
            <w:r w:rsidRPr="0029195A">
              <w:t>CLASSIC</w:t>
            </w:r>
          </w:p>
          <w:p w14:paraId="6CB3E5B1" w14:textId="6768D5B5" w:rsidR="00C61B6E" w:rsidRPr="0029195A" w:rsidRDefault="00C61B6E" w:rsidP="00C61B6E">
            <w:pPr>
              <w:pStyle w:val="TableText0"/>
              <w:jc w:val="center"/>
            </w:pPr>
            <w:r w:rsidRPr="0029195A">
              <w:t>(NCT02222155)</w:t>
            </w:r>
          </w:p>
          <w:p w14:paraId="38F7777D" w14:textId="4C7FB568" w:rsidR="00C61B6E" w:rsidRPr="0029195A" w:rsidRDefault="00C61B6E" w:rsidP="00C61B6E">
            <w:pPr>
              <w:pStyle w:val="TableText0"/>
              <w:jc w:val="center"/>
            </w:pPr>
            <w:r w:rsidRPr="0029195A">
              <w:t>Excluded as phase 2 trial</w:t>
            </w:r>
          </w:p>
        </w:tc>
        <w:tc>
          <w:tcPr>
            <w:tcW w:w="3027" w:type="pct"/>
            <w:tcBorders>
              <w:bottom w:val="single" w:sz="4" w:space="0" w:color="auto"/>
            </w:tcBorders>
          </w:tcPr>
          <w:p w14:paraId="08AFDA71" w14:textId="5A5F253B" w:rsidR="00C61B6E" w:rsidRPr="0029195A" w:rsidRDefault="00C61B6E" w:rsidP="00C61B6E">
            <w:pPr>
              <w:pStyle w:val="TableText0"/>
              <w:rPr>
                <w:szCs w:val="18"/>
              </w:rPr>
            </w:pPr>
            <w:r w:rsidRPr="0029195A">
              <w:t>CLASSIC CSR: Low-dose avacopan in combination with CYC or RTX (with or without GCs) or high-dose avacopan in combination with CYC or RTX (with or without GCs) versus placebo in combination with CYC or RTX in adults with newly diagnosed or relapsing MPA or GPA</w:t>
            </w:r>
          </w:p>
        </w:tc>
        <w:tc>
          <w:tcPr>
            <w:tcW w:w="1177" w:type="pct"/>
            <w:tcBorders>
              <w:bottom w:val="single" w:sz="4" w:space="0" w:color="auto"/>
            </w:tcBorders>
          </w:tcPr>
          <w:p w14:paraId="5D5BE755" w14:textId="1D2AB90B" w:rsidR="00C61B6E" w:rsidRPr="0029195A" w:rsidRDefault="00C61B6E" w:rsidP="00C61B6E">
            <w:pPr>
              <w:pStyle w:val="TableText0"/>
              <w:rPr>
                <w:i/>
                <w:szCs w:val="18"/>
              </w:rPr>
            </w:pPr>
            <w:r w:rsidRPr="0029195A">
              <w:rPr>
                <w:i/>
                <w:szCs w:val="18"/>
              </w:rPr>
              <w:t>CSR_CL003_168</w:t>
            </w:r>
          </w:p>
        </w:tc>
      </w:tr>
    </w:tbl>
    <w:p w14:paraId="324C8136" w14:textId="77777777" w:rsidR="00122FE8" w:rsidRPr="0029195A" w:rsidRDefault="00122FE8" w:rsidP="00122FE8">
      <w:pPr>
        <w:pStyle w:val="FooterTableFigure"/>
      </w:pPr>
      <w:r w:rsidRPr="0029195A">
        <w:t xml:space="preserve">Source: Table 2.3, p47 of the submission. </w:t>
      </w:r>
    </w:p>
    <w:p w14:paraId="3C05B7FA" w14:textId="77777777" w:rsidR="00122FE8" w:rsidRPr="0029195A" w:rsidRDefault="00122FE8" w:rsidP="00122FE8">
      <w:pPr>
        <w:pStyle w:val="FooterTableFigure"/>
        <w:rPr>
          <w:sz w:val="20"/>
        </w:rPr>
      </w:pPr>
      <w:r w:rsidRPr="0029195A">
        <w:t xml:space="preserve">Abbreviations: ANCA, </w:t>
      </w:r>
      <w:r w:rsidRPr="0029195A">
        <w:rPr>
          <w:szCs w:val="18"/>
        </w:rPr>
        <w:t>Anti-Neutrophil Cytoplasmic Antibody; GFR, glomerular filtration rate.</w:t>
      </w:r>
    </w:p>
    <w:p w14:paraId="426FD6F9" w14:textId="5BFAF859" w:rsidR="00122FE8" w:rsidRPr="0029195A" w:rsidRDefault="00122FE8" w:rsidP="007A6355">
      <w:pPr>
        <w:pStyle w:val="3-BodyText"/>
        <w:rPr>
          <w:color w:val="0066FF"/>
        </w:rPr>
      </w:pPr>
      <w:r w:rsidRPr="0029195A">
        <w:t xml:space="preserve">The key features of the direct randomised trial are summarised in </w:t>
      </w:r>
      <w:r w:rsidRPr="0029195A">
        <w:fldChar w:fldCharType="begin" w:fldLock="1"/>
      </w:r>
      <w:r w:rsidRPr="0029195A">
        <w:instrText xml:space="preserve"> REF _Ref104804098 \h  \* MERGEFORMAT </w:instrText>
      </w:r>
      <w:r w:rsidRPr="0029195A">
        <w:fldChar w:fldCharType="separate"/>
      </w:r>
      <w:r w:rsidR="00107C51" w:rsidRPr="0029195A">
        <w:rPr>
          <w:rFonts w:eastAsiaTheme="majorEastAsia"/>
        </w:rPr>
        <w:t>Table 3</w:t>
      </w:r>
      <w:r w:rsidRPr="0029195A">
        <w:fldChar w:fldCharType="end"/>
      </w:r>
      <w:r w:rsidRPr="0029195A">
        <w:t>.</w:t>
      </w:r>
    </w:p>
    <w:p w14:paraId="5796F089" w14:textId="106A3179" w:rsidR="00122FE8" w:rsidRPr="0029195A" w:rsidRDefault="00122FE8" w:rsidP="00122FE8">
      <w:pPr>
        <w:pStyle w:val="Caption"/>
        <w:rPr>
          <w:rStyle w:val="CommentReference"/>
          <w:rFonts w:eastAsiaTheme="majorEastAsia" w:cstheme="majorBidi"/>
          <w:b/>
          <w:szCs w:val="24"/>
        </w:rPr>
      </w:pPr>
      <w:bookmarkStart w:id="29" w:name="_Ref104804098"/>
      <w:r w:rsidRPr="0029195A">
        <w:rPr>
          <w:rStyle w:val="CommentReference"/>
          <w:rFonts w:eastAsiaTheme="majorEastAsia" w:cstheme="majorBidi"/>
          <w:b/>
          <w:szCs w:val="24"/>
        </w:rPr>
        <w:t xml:space="preserve">Table </w:t>
      </w:r>
      <w:r w:rsidRPr="0029195A">
        <w:rPr>
          <w:rStyle w:val="CommentReference"/>
          <w:rFonts w:eastAsiaTheme="majorEastAsia" w:cstheme="majorBidi"/>
          <w:b/>
          <w:szCs w:val="24"/>
        </w:rPr>
        <w:fldChar w:fldCharType="begin" w:fldLock="1"/>
      </w:r>
      <w:r w:rsidRPr="0029195A">
        <w:rPr>
          <w:rStyle w:val="CommentReference"/>
          <w:rFonts w:eastAsiaTheme="majorEastAsia" w:cstheme="majorBidi"/>
          <w:b/>
          <w:szCs w:val="24"/>
        </w:rPr>
        <w:instrText xml:space="preserve"> SEQ Table \* ARABIC </w:instrText>
      </w:r>
      <w:r w:rsidRPr="0029195A">
        <w:rPr>
          <w:rStyle w:val="CommentReference"/>
          <w:rFonts w:eastAsiaTheme="majorEastAsia" w:cstheme="majorBidi"/>
          <w:b/>
          <w:szCs w:val="24"/>
        </w:rPr>
        <w:fldChar w:fldCharType="separate"/>
      </w:r>
      <w:r w:rsidR="00631406" w:rsidRPr="0029195A">
        <w:rPr>
          <w:rStyle w:val="CommentReference"/>
          <w:rFonts w:eastAsiaTheme="majorEastAsia" w:cstheme="majorBidi"/>
          <w:b/>
          <w:szCs w:val="24"/>
        </w:rPr>
        <w:t>3</w:t>
      </w:r>
      <w:r w:rsidRPr="0029195A">
        <w:rPr>
          <w:rStyle w:val="CommentReference"/>
          <w:rFonts w:eastAsiaTheme="majorEastAsia" w:cstheme="majorBidi"/>
          <w:b/>
          <w:szCs w:val="24"/>
        </w:rPr>
        <w:fldChar w:fldCharType="end"/>
      </w:r>
      <w:bookmarkEnd w:id="29"/>
      <w:r w:rsidRPr="0029195A">
        <w:rPr>
          <w:rStyle w:val="CommentReference"/>
          <w:rFonts w:eastAsiaTheme="majorEastAsia" w:cstheme="majorBidi"/>
          <w:b/>
          <w:szCs w:val="24"/>
        </w:rPr>
        <w:t>: Key features of the included evidence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59"/>
        <w:gridCol w:w="330"/>
        <w:gridCol w:w="1400"/>
        <w:gridCol w:w="2340"/>
        <w:gridCol w:w="964"/>
        <w:gridCol w:w="3024"/>
      </w:tblGrid>
      <w:tr w:rsidR="00706A1F" w:rsidRPr="0029195A" w14:paraId="2DBD1430" w14:textId="77777777" w:rsidTr="00706A1F">
        <w:trPr>
          <w:cantSplit/>
          <w:tblHeader/>
        </w:trPr>
        <w:tc>
          <w:tcPr>
            <w:tcW w:w="0" w:type="auto"/>
            <w:shd w:val="clear" w:color="auto" w:fill="auto"/>
            <w:vAlign w:val="center"/>
          </w:tcPr>
          <w:p w14:paraId="5496AF0E" w14:textId="77777777" w:rsidR="00122FE8" w:rsidRPr="0029195A" w:rsidRDefault="00122FE8">
            <w:pPr>
              <w:pStyle w:val="In-tableHeading"/>
              <w:rPr>
                <w:lang w:val="en-AU"/>
              </w:rPr>
            </w:pPr>
            <w:r w:rsidRPr="0029195A">
              <w:rPr>
                <w:lang w:val="en-AU"/>
              </w:rPr>
              <w:t>Trial</w:t>
            </w:r>
          </w:p>
        </w:tc>
        <w:tc>
          <w:tcPr>
            <w:tcW w:w="0" w:type="auto"/>
            <w:shd w:val="clear" w:color="auto" w:fill="auto"/>
            <w:vAlign w:val="center"/>
          </w:tcPr>
          <w:p w14:paraId="33C68C85" w14:textId="77777777" w:rsidR="00122FE8" w:rsidRPr="0029195A" w:rsidRDefault="00122FE8">
            <w:pPr>
              <w:pStyle w:val="In-tableHeading"/>
              <w:jc w:val="center"/>
              <w:rPr>
                <w:lang w:val="en-AU"/>
              </w:rPr>
            </w:pPr>
            <w:r w:rsidRPr="0029195A">
              <w:rPr>
                <w:lang w:val="en-AU"/>
              </w:rPr>
              <w:t>N</w:t>
            </w:r>
          </w:p>
        </w:tc>
        <w:tc>
          <w:tcPr>
            <w:tcW w:w="1400" w:type="dxa"/>
            <w:shd w:val="clear" w:color="auto" w:fill="auto"/>
            <w:vAlign w:val="center"/>
          </w:tcPr>
          <w:p w14:paraId="63099B63" w14:textId="77777777" w:rsidR="00122FE8" w:rsidRPr="0029195A" w:rsidRDefault="00122FE8">
            <w:pPr>
              <w:pStyle w:val="In-tableHeading"/>
              <w:jc w:val="center"/>
              <w:rPr>
                <w:lang w:val="en-AU"/>
              </w:rPr>
            </w:pPr>
            <w:r w:rsidRPr="0029195A">
              <w:rPr>
                <w:lang w:val="en-AU"/>
              </w:rPr>
              <w:t>Design/duration</w:t>
            </w:r>
          </w:p>
        </w:tc>
        <w:tc>
          <w:tcPr>
            <w:tcW w:w="2340" w:type="dxa"/>
            <w:shd w:val="clear" w:color="auto" w:fill="auto"/>
            <w:vAlign w:val="center"/>
          </w:tcPr>
          <w:p w14:paraId="029B1357" w14:textId="77777777" w:rsidR="00122FE8" w:rsidRPr="0029195A" w:rsidRDefault="00122FE8">
            <w:pPr>
              <w:pStyle w:val="In-tableHeading"/>
              <w:jc w:val="center"/>
              <w:rPr>
                <w:lang w:val="en-AU"/>
              </w:rPr>
            </w:pPr>
            <w:r w:rsidRPr="0029195A">
              <w:rPr>
                <w:lang w:val="en-AU"/>
              </w:rPr>
              <w:t>Risk of bias</w:t>
            </w:r>
          </w:p>
        </w:tc>
        <w:tc>
          <w:tcPr>
            <w:tcW w:w="964" w:type="dxa"/>
            <w:shd w:val="clear" w:color="auto" w:fill="auto"/>
            <w:vAlign w:val="center"/>
          </w:tcPr>
          <w:p w14:paraId="12419313" w14:textId="77777777" w:rsidR="00122FE8" w:rsidRPr="0029195A" w:rsidRDefault="00122FE8">
            <w:pPr>
              <w:pStyle w:val="In-tableHeading"/>
              <w:jc w:val="center"/>
              <w:rPr>
                <w:lang w:val="en-AU"/>
              </w:rPr>
            </w:pPr>
            <w:r w:rsidRPr="0029195A">
              <w:rPr>
                <w:lang w:val="en-AU"/>
              </w:rPr>
              <w:t>Patient population</w:t>
            </w:r>
          </w:p>
        </w:tc>
        <w:tc>
          <w:tcPr>
            <w:tcW w:w="3024" w:type="dxa"/>
            <w:shd w:val="clear" w:color="auto" w:fill="auto"/>
            <w:vAlign w:val="center"/>
          </w:tcPr>
          <w:p w14:paraId="78B408A8" w14:textId="77777777" w:rsidR="00122FE8" w:rsidRPr="0029195A" w:rsidRDefault="00122FE8">
            <w:pPr>
              <w:pStyle w:val="In-tableHeading"/>
              <w:jc w:val="center"/>
              <w:rPr>
                <w:lang w:val="en-AU"/>
              </w:rPr>
            </w:pPr>
            <w:r w:rsidRPr="0029195A">
              <w:rPr>
                <w:lang w:val="en-AU"/>
              </w:rPr>
              <w:t>Outcome(s)</w:t>
            </w:r>
          </w:p>
        </w:tc>
      </w:tr>
      <w:tr w:rsidR="00122FE8" w:rsidRPr="0029195A" w14:paraId="53E49A62" w14:textId="77777777" w:rsidTr="00706A1F">
        <w:trPr>
          <w:cantSplit/>
        </w:trPr>
        <w:tc>
          <w:tcPr>
            <w:tcW w:w="0" w:type="auto"/>
            <w:gridSpan w:val="6"/>
            <w:shd w:val="clear" w:color="auto" w:fill="auto"/>
            <w:vAlign w:val="center"/>
          </w:tcPr>
          <w:p w14:paraId="49BC325B" w14:textId="77777777" w:rsidR="00122FE8" w:rsidRPr="0029195A" w:rsidRDefault="00122FE8">
            <w:pPr>
              <w:pStyle w:val="TableText0"/>
            </w:pPr>
            <w:r w:rsidRPr="0029195A">
              <w:rPr>
                <w:b/>
                <w:bCs w:val="0"/>
              </w:rPr>
              <w:t>Avacopan + SOC vs. prednisone + SOC</w:t>
            </w:r>
          </w:p>
        </w:tc>
      </w:tr>
      <w:tr w:rsidR="00706A1F" w:rsidRPr="0029195A" w14:paraId="1905E2D7" w14:textId="77777777" w:rsidTr="00706A1F">
        <w:trPr>
          <w:cantSplit/>
        </w:trPr>
        <w:tc>
          <w:tcPr>
            <w:tcW w:w="0" w:type="auto"/>
            <w:shd w:val="clear" w:color="auto" w:fill="auto"/>
            <w:vAlign w:val="center"/>
          </w:tcPr>
          <w:p w14:paraId="04038CD4" w14:textId="77777777" w:rsidR="00122FE8" w:rsidRPr="0029195A" w:rsidRDefault="00122FE8">
            <w:pPr>
              <w:pStyle w:val="TableText0"/>
            </w:pPr>
            <w:r w:rsidRPr="0029195A">
              <w:t>ADVOCATE</w:t>
            </w:r>
          </w:p>
        </w:tc>
        <w:tc>
          <w:tcPr>
            <w:tcW w:w="0" w:type="auto"/>
            <w:shd w:val="clear" w:color="auto" w:fill="auto"/>
            <w:vAlign w:val="center"/>
          </w:tcPr>
          <w:p w14:paraId="173E51B9" w14:textId="77777777" w:rsidR="00122FE8" w:rsidRPr="0029195A" w:rsidRDefault="00122FE8">
            <w:pPr>
              <w:pStyle w:val="TableText0"/>
              <w:jc w:val="center"/>
            </w:pPr>
            <w:r w:rsidRPr="0029195A">
              <w:t>331</w:t>
            </w:r>
          </w:p>
        </w:tc>
        <w:tc>
          <w:tcPr>
            <w:tcW w:w="1400" w:type="dxa"/>
            <w:shd w:val="clear" w:color="auto" w:fill="auto"/>
            <w:vAlign w:val="center"/>
          </w:tcPr>
          <w:p w14:paraId="4CD1DC3B" w14:textId="77777777" w:rsidR="00122FE8" w:rsidRPr="0029195A" w:rsidRDefault="00122FE8">
            <w:pPr>
              <w:pStyle w:val="TableText0"/>
              <w:jc w:val="center"/>
              <w:rPr>
                <w:rFonts w:ascii="Arial" w:hAnsi="Arial" w:cs="Arial"/>
                <w:sz w:val="36"/>
                <w:szCs w:val="36"/>
              </w:rPr>
            </w:pPr>
            <w:r w:rsidRPr="0029195A">
              <w:t>R, DB, DD, AC, MC</w:t>
            </w:r>
          </w:p>
          <w:p w14:paraId="29FA9BDA" w14:textId="77777777" w:rsidR="00122FE8" w:rsidRPr="0029195A" w:rsidRDefault="00122FE8">
            <w:pPr>
              <w:pStyle w:val="TableText0"/>
              <w:jc w:val="center"/>
            </w:pPr>
            <w:r w:rsidRPr="0029195A">
              <w:t>52-week treatment period</w:t>
            </w:r>
          </w:p>
        </w:tc>
        <w:tc>
          <w:tcPr>
            <w:tcW w:w="2340" w:type="dxa"/>
            <w:shd w:val="clear" w:color="auto" w:fill="auto"/>
          </w:tcPr>
          <w:p w14:paraId="0E39BA90" w14:textId="7A6BFCB7" w:rsidR="00122FE8" w:rsidRPr="0029195A" w:rsidRDefault="00122FE8">
            <w:pPr>
              <w:pStyle w:val="TableText0"/>
              <w:jc w:val="center"/>
            </w:pPr>
            <w:r w:rsidRPr="0029195A">
              <w:t>Low/</w:t>
            </w:r>
            <w:r w:rsidR="00D00556" w:rsidRPr="0029195A">
              <w:t>some concerns</w:t>
            </w:r>
          </w:p>
        </w:tc>
        <w:tc>
          <w:tcPr>
            <w:tcW w:w="964" w:type="dxa"/>
            <w:shd w:val="clear" w:color="auto" w:fill="auto"/>
          </w:tcPr>
          <w:p w14:paraId="57B6DAE9" w14:textId="77777777" w:rsidR="00122FE8" w:rsidRPr="0029195A" w:rsidRDefault="00122FE8">
            <w:pPr>
              <w:pStyle w:val="TableText0"/>
              <w:jc w:val="center"/>
            </w:pPr>
            <w:r w:rsidRPr="0029195A">
              <w:t>Severe active GPA or MPA</w:t>
            </w:r>
          </w:p>
        </w:tc>
        <w:tc>
          <w:tcPr>
            <w:tcW w:w="3024" w:type="dxa"/>
            <w:shd w:val="clear" w:color="auto" w:fill="auto"/>
          </w:tcPr>
          <w:p w14:paraId="4CF39AB4" w14:textId="5D08F444" w:rsidR="00122FE8" w:rsidRPr="0029195A" w:rsidRDefault="002C2DEF" w:rsidP="002C2DEF">
            <w:pPr>
              <w:pStyle w:val="TableText0"/>
            </w:pPr>
            <w:r w:rsidRPr="0029195A">
              <w:t xml:space="preserve">Primary: </w:t>
            </w:r>
            <w:r w:rsidR="00122FE8" w:rsidRPr="0029195A">
              <w:t>Disease remission (Week 26) and sustained remission (Week 52)</w:t>
            </w:r>
          </w:p>
          <w:p w14:paraId="7811390D" w14:textId="77777777" w:rsidR="002C2DEF" w:rsidRPr="0029195A" w:rsidRDefault="002C2DEF" w:rsidP="002C2DEF">
            <w:pPr>
              <w:pStyle w:val="TableText0"/>
            </w:pPr>
          </w:p>
          <w:p w14:paraId="1CF90A1E" w14:textId="1492A9E8" w:rsidR="00122FE8" w:rsidRPr="0029195A" w:rsidRDefault="002C2DEF" w:rsidP="002C2DEF">
            <w:pPr>
              <w:pStyle w:val="TableText0"/>
              <w:rPr>
                <w:lang w:eastAsia="en-GB"/>
              </w:rPr>
            </w:pPr>
            <w:r w:rsidRPr="0029195A">
              <w:t xml:space="preserve">Secondary: </w:t>
            </w:r>
            <w:r w:rsidRPr="0029195A">
              <w:rPr>
                <w:lang w:eastAsia="en-GB"/>
              </w:rPr>
              <w:t xml:space="preserve">GC-induced toxicity (Week 13 and Week 26), rapidity of response (Week 4), HRQoL (Week 13 and Week 26), relapse (Week 52), changes in parameters of renal disease (Week 13, Week 26 and Week 52) and </w:t>
            </w:r>
            <w:r w:rsidR="002C5417" w:rsidRPr="0029195A">
              <w:rPr>
                <w:lang w:eastAsia="en-GB"/>
              </w:rPr>
              <w:t xml:space="preserve">changes in cumulative organ damage (Week 52). </w:t>
            </w:r>
          </w:p>
        </w:tc>
      </w:tr>
    </w:tbl>
    <w:p w14:paraId="11DBFF97" w14:textId="77777777" w:rsidR="00122FE8" w:rsidRPr="0029195A" w:rsidRDefault="00122FE8" w:rsidP="00122FE8">
      <w:pPr>
        <w:pStyle w:val="FooterTableFigure"/>
      </w:pPr>
      <w:r w:rsidRPr="0029195A">
        <w:t>Source: Table 2.7, p55 of the submission, and Attachment 8.</w:t>
      </w:r>
    </w:p>
    <w:p w14:paraId="3FE90126" w14:textId="44529231" w:rsidR="00122FE8" w:rsidRPr="0029195A" w:rsidRDefault="00122FE8" w:rsidP="00122FE8">
      <w:pPr>
        <w:pStyle w:val="FooterTableFigure"/>
      </w:pPr>
      <w:r w:rsidRPr="0029195A">
        <w:lastRenderedPageBreak/>
        <w:t xml:space="preserve">Abbreviations: AC, active-controlled; DB, double-blind; DD, double-dummy; </w:t>
      </w:r>
      <w:r w:rsidR="002C5417" w:rsidRPr="0029195A">
        <w:t xml:space="preserve">GC, glucocorticoids; </w:t>
      </w:r>
      <w:r w:rsidRPr="0029195A">
        <w:t xml:space="preserve">GPA, granulomatosis with polyangiitis; </w:t>
      </w:r>
      <w:r w:rsidR="002C5417" w:rsidRPr="0029195A">
        <w:t xml:space="preserve">HRQoL, health-related quality-of-life; </w:t>
      </w:r>
      <w:r w:rsidRPr="0029195A">
        <w:t xml:space="preserve">MC, multicentre; MPA, microscopic polyangiitis; R, randomised. </w:t>
      </w:r>
    </w:p>
    <w:p w14:paraId="1341F15F" w14:textId="0E4071A3" w:rsidR="00FA097A" w:rsidRPr="0029195A" w:rsidRDefault="00FA097A" w:rsidP="007A6355">
      <w:pPr>
        <w:pStyle w:val="3-BodyText"/>
        <w:rPr>
          <w:i/>
          <w:iCs/>
        </w:rPr>
      </w:pPr>
      <w:r w:rsidRPr="0029195A">
        <w:rPr>
          <w:lang w:eastAsia="en-GB"/>
        </w:rPr>
        <w:t>The submission claimed that there was an overall low risk of bias from the ADVOCATE trial. However, an overall low/some concerns rating for the risk of bias from the ADVOCATE trial is more appropriate given there were some concerns for risk of attrition bias.</w:t>
      </w:r>
    </w:p>
    <w:p w14:paraId="5AC59770" w14:textId="4099F62E" w:rsidR="00122FE8" w:rsidRPr="0029195A" w:rsidRDefault="0005274D" w:rsidP="007A6355">
      <w:pPr>
        <w:pStyle w:val="3-BodyText"/>
        <w:rPr>
          <w:lang w:eastAsia="en-GB"/>
        </w:rPr>
      </w:pPr>
      <w:r w:rsidRPr="0029195A">
        <w:t>Primary efficacy outcomes of the ADVOCATE trial included disease remission at Week</w:t>
      </w:r>
      <w:r w:rsidR="007A6355">
        <w:t> </w:t>
      </w:r>
      <w:r w:rsidRPr="0029195A">
        <w:t>26 and sustained remission at Week 52. Disease remission at Week 26 was defined as a Birmingham Vasculitis Activity Score (BVAS) score of 0 and not taking GCs for AAV within 4 weeks prior to Week 26. Sustained remission at Week 52 was defined as disease remission at Week 26 and disease remission at Week 52 (i.e., BVAS of 0 and not taking GCs for AAV for 4 weeks prior to Week 52) without disease relapse between Week 26 and Week 52.</w:t>
      </w:r>
    </w:p>
    <w:p w14:paraId="694F93DA" w14:textId="2E390483" w:rsidR="00122FE8" w:rsidRPr="0029195A" w:rsidRDefault="00122FE8" w:rsidP="007A6355">
      <w:pPr>
        <w:pStyle w:val="3-BodyText"/>
        <w:rPr>
          <w:lang w:eastAsia="en-GB"/>
        </w:rPr>
      </w:pPr>
      <w:r w:rsidRPr="0029195A">
        <w:rPr>
          <w:lang w:eastAsia="en-GB"/>
        </w:rPr>
        <w:t xml:space="preserve">The proposed PBS listing for avacopan differs from the ADVOCATE trial eligibility criteria in two ways: the eGFR threshold and the use of prior therapies. The ADVOCATE trial included patients with an eGFR above </w:t>
      </w:r>
      <w:r w:rsidRPr="0029195A">
        <w:t>15 mL/minute/1.73 m</w:t>
      </w:r>
      <w:r w:rsidRPr="0029195A">
        <w:rPr>
          <w:vertAlign w:val="superscript"/>
        </w:rPr>
        <w:t>2</w:t>
      </w:r>
      <w:r w:rsidRPr="0029195A">
        <w:rPr>
          <w:lang w:eastAsia="en-GB"/>
        </w:rPr>
        <w:t xml:space="preserve">, while the PBS listing does not stipulate a specific threshold. The impact of this difference is minimal as patients with an eGFR below </w:t>
      </w:r>
      <w:r w:rsidRPr="0029195A">
        <w:t>15 mL/minute/1.73 m</w:t>
      </w:r>
      <w:r w:rsidRPr="0029195A">
        <w:rPr>
          <w:vertAlign w:val="superscript"/>
        </w:rPr>
        <w:t>2</w:t>
      </w:r>
      <w:r w:rsidRPr="0029195A">
        <w:t xml:space="preserve"> </w:t>
      </w:r>
      <w:r w:rsidR="002914C2" w:rsidRPr="0029195A">
        <w:t>(</w:t>
      </w:r>
      <w:r w:rsidR="00E33A8B" w:rsidRPr="0029195A">
        <w:t>presumed</w:t>
      </w:r>
      <w:r w:rsidR="002914C2" w:rsidRPr="0029195A">
        <w:t xml:space="preserve"> </w:t>
      </w:r>
      <w:r w:rsidR="001B09DB" w:rsidRPr="0029195A">
        <w:t xml:space="preserve">to be </w:t>
      </w:r>
      <w:r w:rsidR="00E33A8B" w:rsidRPr="0029195A">
        <w:t>experiencing kidney failure</w:t>
      </w:r>
      <w:r w:rsidR="005417DF" w:rsidRPr="0029195A">
        <w:t xml:space="preserve"> and/or on dialysis, in need of dialysis or plasma exchange</w:t>
      </w:r>
      <w:r w:rsidR="00E33A8B" w:rsidRPr="0029195A">
        <w:t xml:space="preserve">) </w:t>
      </w:r>
      <w:r w:rsidRPr="0029195A">
        <w:rPr>
          <w:lang w:eastAsia="en-GB"/>
        </w:rPr>
        <w:t>are not likely appropriate candidates for avacopan + SOC therapy</w:t>
      </w:r>
      <w:r w:rsidR="00AD309E" w:rsidRPr="0029195A">
        <w:rPr>
          <w:lang w:eastAsia="en-GB"/>
        </w:rPr>
        <w:t xml:space="preserve">. This is </w:t>
      </w:r>
      <w:r w:rsidR="001B09DB" w:rsidRPr="0029195A">
        <w:rPr>
          <w:lang w:eastAsia="en-GB"/>
        </w:rPr>
        <w:t xml:space="preserve">in </w:t>
      </w:r>
      <w:r w:rsidR="00AD309E" w:rsidRPr="0029195A">
        <w:rPr>
          <w:lang w:eastAsia="en-GB"/>
        </w:rPr>
        <w:t xml:space="preserve">accordance with the </w:t>
      </w:r>
      <w:r w:rsidR="005417DF" w:rsidRPr="0029195A">
        <w:rPr>
          <w:lang w:eastAsia="en-GB"/>
        </w:rPr>
        <w:t xml:space="preserve">PI </w:t>
      </w:r>
      <w:r w:rsidR="00AD309E" w:rsidRPr="0029195A">
        <w:rPr>
          <w:lang w:eastAsia="en-GB"/>
        </w:rPr>
        <w:t xml:space="preserve">which states that avacopan </w:t>
      </w:r>
      <w:r w:rsidR="00520413" w:rsidRPr="0029195A">
        <w:rPr>
          <w:lang w:eastAsia="en-GB"/>
        </w:rPr>
        <w:t>“</w:t>
      </w:r>
      <w:r w:rsidR="00AD309E" w:rsidRPr="0029195A">
        <w:rPr>
          <w:lang w:eastAsia="en-GB"/>
        </w:rPr>
        <w:t>has not been evaluated in ANCA-associated vasculitis patients with an estimated glomerular filtration rate (eGFR) below 15</w:t>
      </w:r>
      <w:r w:rsidR="007A6355">
        <w:rPr>
          <w:lang w:eastAsia="en-GB"/>
        </w:rPr>
        <w:t> </w:t>
      </w:r>
      <w:r w:rsidR="00AD309E" w:rsidRPr="0029195A">
        <w:rPr>
          <w:lang w:eastAsia="en-GB"/>
        </w:rPr>
        <w:t>mL/min/1.73</w:t>
      </w:r>
      <w:r w:rsidR="007A6355">
        <w:rPr>
          <w:lang w:eastAsia="en-GB"/>
        </w:rPr>
        <w:t> </w:t>
      </w:r>
      <w:r w:rsidR="00AD309E" w:rsidRPr="0029195A">
        <w:rPr>
          <w:lang w:eastAsia="en-GB"/>
        </w:rPr>
        <w:t>m², who are on dialysis, in need of dialysis, or plasma exchange”</w:t>
      </w:r>
      <w:r w:rsidR="005417DF" w:rsidRPr="0029195A">
        <w:rPr>
          <w:lang w:eastAsia="en-GB"/>
        </w:rPr>
        <w:t xml:space="preserve"> (Tavn</w:t>
      </w:r>
      <w:r w:rsidR="00107C51" w:rsidRPr="0029195A">
        <w:rPr>
          <w:lang w:eastAsia="en-GB"/>
        </w:rPr>
        <w:t>e</w:t>
      </w:r>
      <w:r w:rsidR="005417DF" w:rsidRPr="0029195A">
        <w:rPr>
          <w:lang w:eastAsia="en-GB"/>
        </w:rPr>
        <w:t>os PI).</w:t>
      </w:r>
      <w:r w:rsidRPr="0029195A">
        <w:rPr>
          <w:lang w:eastAsia="en-GB"/>
        </w:rPr>
        <w:t xml:space="preserve"> The ADVOCATE trial excluded patients based on their </w:t>
      </w:r>
      <w:r w:rsidR="00DB60C2" w:rsidRPr="0029195A">
        <w:rPr>
          <w:lang w:eastAsia="en-GB"/>
        </w:rPr>
        <w:t xml:space="preserve">high </w:t>
      </w:r>
      <w:r w:rsidRPr="0029195A">
        <w:rPr>
          <w:lang w:eastAsia="en-GB"/>
        </w:rPr>
        <w:t xml:space="preserve">use and timing of other medications or treatment, such as GCs, immunosuppressants, dialysis, and kidney transplant. There are no restrictions on prior </w:t>
      </w:r>
      <w:r w:rsidR="008A1586" w:rsidRPr="0029195A">
        <w:rPr>
          <w:lang w:eastAsia="en-GB"/>
        </w:rPr>
        <w:t xml:space="preserve">medications or treatments </w:t>
      </w:r>
      <w:r w:rsidRPr="0029195A">
        <w:rPr>
          <w:lang w:eastAsia="en-GB"/>
        </w:rPr>
        <w:t xml:space="preserve">in the proposed PBS listing. </w:t>
      </w:r>
    </w:p>
    <w:p w14:paraId="5D9B0A49" w14:textId="16FDE68F" w:rsidR="00122FE8" w:rsidRPr="0029195A" w:rsidRDefault="00587A4B" w:rsidP="007A6355">
      <w:pPr>
        <w:pStyle w:val="3-BodyText"/>
      </w:pPr>
      <w:bookmarkStart w:id="30" w:name="_Ref141712003"/>
      <w:r w:rsidRPr="0029195A">
        <w:rPr>
          <w:lang w:eastAsia="en-GB"/>
        </w:rPr>
        <w:t xml:space="preserve">During the </w:t>
      </w:r>
      <w:r w:rsidR="00894D6A" w:rsidRPr="0029195A">
        <w:rPr>
          <w:lang w:eastAsia="en-GB"/>
        </w:rPr>
        <w:t>2-week</w:t>
      </w:r>
      <w:r w:rsidRPr="0029195A">
        <w:rPr>
          <w:lang w:eastAsia="en-GB"/>
        </w:rPr>
        <w:t xml:space="preserve"> screening period in the ADVOCATE trial, the avacopan + SOC group had a lower percentage of patients with prior </w:t>
      </w:r>
      <w:r w:rsidR="00A92B08" w:rsidRPr="0029195A">
        <w:rPr>
          <w:lang w:eastAsia="en-GB"/>
        </w:rPr>
        <w:t xml:space="preserve">GC </w:t>
      </w:r>
      <w:r w:rsidRPr="0029195A">
        <w:rPr>
          <w:lang w:eastAsia="en-GB"/>
        </w:rPr>
        <w:t xml:space="preserve">use (75.3%) compared to the prednisone + SOC group (82.3%). The total prednisone-equivalent dose administered during  </w:t>
      </w:r>
      <w:r w:rsidR="00FD5CD7" w:rsidRPr="0029195A">
        <w:rPr>
          <w:lang w:eastAsia="en-GB"/>
        </w:rPr>
        <w:t xml:space="preserve">the 2-week screening </w:t>
      </w:r>
      <w:r w:rsidRPr="0029195A">
        <w:rPr>
          <w:lang w:eastAsia="en-GB"/>
        </w:rPr>
        <w:t>period was 907.3 mg for the avacopan + SOC group and 978.0 mg for the prednisone + SOC group.</w:t>
      </w:r>
      <w:r w:rsidRPr="0029195A">
        <w:rPr>
          <w:i/>
          <w:iCs/>
        </w:rPr>
        <w:t xml:space="preserve"> </w:t>
      </w:r>
      <w:r w:rsidR="000D66EC" w:rsidRPr="0029195A">
        <w:t>This represents a relatively small clinical difference in GC use and patients with high GC use in the 4 to 6 weeks preceding the trial were excluded</w:t>
      </w:r>
      <w:r w:rsidRPr="0029195A">
        <w:t xml:space="preserve">. </w:t>
      </w:r>
      <w:r w:rsidR="00367055" w:rsidRPr="0029195A">
        <w:t>The ESC noted that in the pre-screening period (i.e. during the 12</w:t>
      </w:r>
      <w:r w:rsidR="007A6355">
        <w:t> </w:t>
      </w:r>
      <w:r w:rsidR="00367055" w:rsidRPr="0029195A">
        <w:t>months prior to the study) that the mean total prednisolone-equivalent was 340.2</w:t>
      </w:r>
      <w:r w:rsidR="007A6355">
        <w:t> </w:t>
      </w:r>
      <w:r w:rsidR="00367055" w:rsidRPr="0029195A">
        <w:t>mg for the avacopan + SOC group and 485.9 mg for the prednisolone + SOC group. The ESC considered that patients randomized to prednisolone +SOC were likely more dependent on GCs</w:t>
      </w:r>
      <w:r w:rsidR="00B321D6" w:rsidRPr="0029195A">
        <w:t xml:space="preserve"> given this difference was already present before they started the trial</w:t>
      </w:r>
      <w:bookmarkEnd w:id="30"/>
      <w:r w:rsidR="0029195A">
        <w:t>.</w:t>
      </w:r>
    </w:p>
    <w:p w14:paraId="4A4FE085" w14:textId="1C5613CC" w:rsidR="00B60939" w:rsidRPr="0029195A" w:rsidRDefault="00B60939" w:rsidP="00EC5836">
      <w:pPr>
        <w:pStyle w:val="4-SubsectionHeading"/>
      </w:pPr>
      <w:bookmarkStart w:id="31" w:name="_Toc135230131"/>
      <w:r w:rsidRPr="0029195A">
        <w:lastRenderedPageBreak/>
        <w:t>Comparative effectiveness</w:t>
      </w:r>
      <w:bookmarkEnd w:id="26"/>
      <w:bookmarkEnd w:id="31"/>
    </w:p>
    <w:p w14:paraId="66AACFF0" w14:textId="3D687461" w:rsidR="00C53F27" w:rsidRPr="0029195A" w:rsidRDefault="00C53F27" w:rsidP="007A6355">
      <w:pPr>
        <w:pStyle w:val="3-BodyText"/>
      </w:pPr>
      <w:r w:rsidRPr="0029195A">
        <w:t>The submission used a</w:t>
      </w:r>
      <w:r w:rsidR="005C10E5" w:rsidRPr="0029195A">
        <w:t xml:space="preserve"> prespecified</w:t>
      </w:r>
      <w:r w:rsidRPr="0029195A">
        <w:t xml:space="preserve"> ‘sequential, gatekeeping procedure’ to establish the clinical superiority claims of avacopan + SOC over prednisone + SOC. This was accomplished by meeting pre-defined criteria for non-inferiority and subsequently superiority based on primary outcome results from the ADVOCATE trial.</w:t>
      </w:r>
    </w:p>
    <w:p w14:paraId="41F8152F" w14:textId="64557827" w:rsidR="00C53F27" w:rsidRPr="0029195A" w:rsidRDefault="00C53F27" w:rsidP="007A6355">
      <w:pPr>
        <w:pStyle w:val="3-BodyText"/>
      </w:pPr>
      <w:r w:rsidRPr="0029195A">
        <w:t xml:space="preserve">The primary efficacy outcomes of the ADVOCATE trial were </w:t>
      </w:r>
      <w:r w:rsidR="000947DE" w:rsidRPr="0029195A">
        <w:t xml:space="preserve">the proportion of patients with </w:t>
      </w:r>
      <w:r w:rsidRPr="0029195A">
        <w:t xml:space="preserve">disease remission at Week 26 and </w:t>
      </w:r>
      <w:r w:rsidR="000947DE" w:rsidRPr="0029195A">
        <w:t xml:space="preserve">the proportion of patients with </w:t>
      </w:r>
      <w:r w:rsidRPr="0029195A">
        <w:t>sustained remission at Week 52. The submission proposed a non-inferiority margin of -0.20 to compare avacopan + SOC with prednisone + SOC</w:t>
      </w:r>
      <w:r w:rsidR="00F06467" w:rsidRPr="0029195A">
        <w:t>;</w:t>
      </w:r>
      <w:r w:rsidR="000947DE" w:rsidRPr="0029195A">
        <w:t xml:space="preserve"> i.e., avacopan + SOC would be considered no</w:t>
      </w:r>
      <w:r w:rsidR="001B09DB" w:rsidRPr="0029195A">
        <w:t>n-</w:t>
      </w:r>
      <w:r w:rsidR="000947DE" w:rsidRPr="0029195A">
        <w:t>inferior to prednisone + SOC if the</w:t>
      </w:r>
      <w:r w:rsidR="000D41EB" w:rsidRPr="0029195A">
        <w:t xml:space="preserve"> </w:t>
      </w:r>
      <w:r w:rsidR="000947DE" w:rsidRPr="0029195A">
        <w:t xml:space="preserve">difference in the </w:t>
      </w:r>
      <w:r w:rsidR="004715E4" w:rsidRPr="0029195A">
        <w:t xml:space="preserve">proportion of patients with either </w:t>
      </w:r>
      <w:r w:rsidR="009B3598" w:rsidRPr="0029195A">
        <w:t>remission</w:t>
      </w:r>
      <w:r w:rsidR="004715E4" w:rsidRPr="0029195A">
        <w:t xml:space="preserve"> or sustained</w:t>
      </w:r>
      <w:r w:rsidR="000947DE" w:rsidRPr="0029195A">
        <w:t xml:space="preserve"> remission had a low</w:t>
      </w:r>
      <w:r w:rsidR="00CE146F" w:rsidRPr="0029195A">
        <w:t>er</w:t>
      </w:r>
      <w:r w:rsidR="000947DE" w:rsidRPr="0029195A">
        <w:t xml:space="preserve"> </w:t>
      </w:r>
      <w:r w:rsidR="00CE146F" w:rsidRPr="0029195A">
        <w:t>bound</w:t>
      </w:r>
      <w:r w:rsidR="000947DE" w:rsidRPr="0029195A">
        <w:t xml:space="preserve"> of the two-sided 95% CI greater than 20 percentage points</w:t>
      </w:r>
      <w:r w:rsidR="0029195A">
        <w:t xml:space="preserve">. </w:t>
      </w:r>
    </w:p>
    <w:p w14:paraId="65519499" w14:textId="37E37A89" w:rsidR="00C53F27" w:rsidRPr="0029195A" w:rsidRDefault="00C53F27" w:rsidP="007A6355">
      <w:pPr>
        <w:pStyle w:val="3-BodyText"/>
      </w:pPr>
      <w:r w:rsidRPr="0029195A">
        <w:rPr>
          <w:lang w:eastAsia="en-GB"/>
        </w:rPr>
        <w:t xml:space="preserve">Secondary efficacy outcomes </w:t>
      </w:r>
      <w:r w:rsidR="00712CBA" w:rsidRPr="0029195A">
        <w:rPr>
          <w:lang w:eastAsia="en-GB"/>
        </w:rPr>
        <w:t xml:space="preserve">such as </w:t>
      </w:r>
      <w:r w:rsidRPr="0029195A">
        <w:rPr>
          <w:lang w:eastAsia="en-GB"/>
        </w:rPr>
        <w:t>GC-induced toxicity, health-related quality of life, proportion of patients experiencing relapse and time to relapse,</w:t>
      </w:r>
      <w:r w:rsidR="00712CBA" w:rsidRPr="0029195A">
        <w:rPr>
          <w:lang w:eastAsia="en-GB"/>
        </w:rPr>
        <w:t xml:space="preserve"> and</w:t>
      </w:r>
      <w:r w:rsidRPr="0029195A">
        <w:rPr>
          <w:lang w:eastAsia="en-GB"/>
        </w:rPr>
        <w:t xml:space="preserve"> changes in parameters of renal disease</w:t>
      </w:r>
      <w:r w:rsidR="00712CBA" w:rsidRPr="0029195A">
        <w:rPr>
          <w:lang w:eastAsia="en-GB"/>
        </w:rPr>
        <w:t xml:space="preserve"> </w:t>
      </w:r>
      <w:r w:rsidRPr="0029195A">
        <w:rPr>
          <w:lang w:eastAsia="en-GB"/>
        </w:rPr>
        <w:t>were evaluated at different weeks throughout the ADVOCATE trial, with some measured at Week 13, Week 26, and Week 52. The only secondary efficacy outcome with a</w:t>
      </w:r>
      <w:r w:rsidR="000947DE" w:rsidRPr="0029195A">
        <w:rPr>
          <w:lang w:eastAsia="en-GB"/>
        </w:rPr>
        <w:t xml:space="preserve"> nominat</w:t>
      </w:r>
      <w:r w:rsidRPr="0029195A">
        <w:rPr>
          <w:lang w:eastAsia="en-GB"/>
        </w:rPr>
        <w:t xml:space="preserve">ed minimal clinically important difference (MCID) was GC-induced toxicity </w:t>
      </w:r>
      <w:r w:rsidRPr="0029195A">
        <w:t>based on Glucocorticoid Toxicity Index Cumulative Worsening Score (GTI-CWS) and Glucocorticoid Toxicity Index Aggregate Improvement Score (GTI-AIS) at Week 13 and Week 26</w:t>
      </w:r>
      <w:r w:rsidRPr="0029195A">
        <w:rPr>
          <w:lang w:eastAsia="en-GB"/>
        </w:rPr>
        <w:t>. The submission proposed a GTI MCID of 10 points. However, the MCID may be more applicable to GTI-AIS as opposed to GTI-CWS since the data used to calculate the MCID was based on GTI-AIS assessments.</w:t>
      </w:r>
    </w:p>
    <w:p w14:paraId="5EFC0247" w14:textId="41505D86" w:rsidR="00565ECF" w:rsidRPr="0029195A" w:rsidRDefault="008E5DB2" w:rsidP="007A6355">
      <w:pPr>
        <w:pStyle w:val="3-BodyText"/>
        <w:rPr>
          <w:lang w:eastAsia="en-GB"/>
        </w:rPr>
      </w:pPr>
      <w:r w:rsidRPr="0029195A">
        <w:t>The primary and secondary efficacy analyses were based on the ITT population (all randomly assigned patients who received at least one dose of blinded study drug</w:t>
      </w:r>
      <w:r w:rsidR="003E2AE5" w:rsidRPr="0029195A">
        <w:t>/placebo</w:t>
      </w:r>
      <w:r w:rsidR="1D3E1A96" w:rsidRPr="0029195A">
        <w:t xml:space="preserve">). </w:t>
      </w:r>
    </w:p>
    <w:p w14:paraId="05BE9A56" w14:textId="2054887F" w:rsidR="00C53F27" w:rsidRPr="0029195A" w:rsidRDefault="00C53F27" w:rsidP="007A6355">
      <w:pPr>
        <w:pStyle w:val="3-BodyText"/>
      </w:pPr>
      <w:r w:rsidRPr="0029195A">
        <w:rPr>
          <w:lang w:eastAsia="en-GB"/>
        </w:rPr>
        <w:fldChar w:fldCharType="begin" w:fldLock="1"/>
      </w:r>
      <w:r w:rsidRPr="0029195A">
        <w:rPr>
          <w:lang w:eastAsia="en-GB"/>
        </w:rPr>
        <w:instrText xml:space="preserve"> REF _Ref132295158 \h </w:instrText>
      </w:r>
      <w:r w:rsidRPr="0029195A">
        <w:rPr>
          <w:lang w:eastAsia="en-GB"/>
        </w:rPr>
      </w:r>
      <w:r w:rsidRPr="0029195A">
        <w:rPr>
          <w:lang w:eastAsia="en-GB"/>
        </w:rPr>
        <w:fldChar w:fldCharType="separate"/>
      </w:r>
      <w:r w:rsidR="00107C51" w:rsidRPr="0029195A">
        <w:t>Table 4</w:t>
      </w:r>
      <w:r w:rsidRPr="0029195A">
        <w:rPr>
          <w:lang w:eastAsia="en-GB"/>
        </w:rPr>
        <w:fldChar w:fldCharType="end"/>
      </w:r>
      <w:r w:rsidRPr="0029195A">
        <w:rPr>
          <w:lang w:eastAsia="en-GB"/>
        </w:rPr>
        <w:t xml:space="preserve"> </w:t>
      </w:r>
      <w:r w:rsidRPr="0029195A">
        <w:t>presents the results of the primary efficacy outcomes, disease remission and sustained remission, from the ADVOCATE trial.</w:t>
      </w:r>
      <w:r w:rsidR="004E2375" w:rsidRPr="0029195A">
        <w:t xml:space="preserve"> </w:t>
      </w:r>
      <w:r w:rsidR="00173BEA" w:rsidRPr="0029195A">
        <w:t>The ESC considered that the week</w:t>
      </w:r>
      <w:r w:rsidR="007A6355">
        <w:t> </w:t>
      </w:r>
      <w:r w:rsidR="00173BEA" w:rsidRPr="0029195A">
        <w:t xml:space="preserve">26 and week 52 results were relevant to induction </w:t>
      </w:r>
      <w:r w:rsidR="008C33D8" w:rsidRPr="0029195A">
        <w:t xml:space="preserve">therapy </w:t>
      </w:r>
      <w:r w:rsidR="00173BEA" w:rsidRPr="0029195A">
        <w:t xml:space="preserve">and maintenance therapy respectively. </w:t>
      </w:r>
    </w:p>
    <w:p w14:paraId="7C33862B" w14:textId="0AB202A6" w:rsidR="00C53F27" w:rsidRPr="0029195A" w:rsidRDefault="00C53F27" w:rsidP="00C53F27">
      <w:pPr>
        <w:pStyle w:val="Caption"/>
        <w:jc w:val="left"/>
        <w:rPr>
          <w:rStyle w:val="CommentReference"/>
          <w:b/>
          <w:szCs w:val="18"/>
        </w:rPr>
      </w:pPr>
      <w:bookmarkStart w:id="32" w:name="_Ref132295158"/>
      <w:r w:rsidRPr="0029195A">
        <w:lastRenderedPageBreak/>
        <w:t xml:space="preserve">Table </w:t>
      </w:r>
      <w:r w:rsidRPr="0029195A">
        <w:fldChar w:fldCharType="begin" w:fldLock="1"/>
      </w:r>
      <w:r w:rsidRPr="0029195A">
        <w:instrText>SEQ Table \* ARABIC</w:instrText>
      </w:r>
      <w:r w:rsidRPr="0029195A">
        <w:fldChar w:fldCharType="separate"/>
      </w:r>
      <w:r w:rsidR="00631406" w:rsidRPr="0029195A">
        <w:t>4</w:t>
      </w:r>
      <w:r w:rsidRPr="0029195A">
        <w:fldChar w:fldCharType="end"/>
      </w:r>
      <w:bookmarkEnd w:id="32"/>
      <w:r w:rsidRPr="0029195A">
        <w:rPr>
          <w:rStyle w:val="CommentReference"/>
          <w:b/>
          <w:szCs w:val="24"/>
        </w:rPr>
        <w:t xml:space="preserve">: Results of primary outcomes in the ADVOCATE trial (ITT population)  </w:t>
      </w:r>
    </w:p>
    <w:tbl>
      <w:tblPr>
        <w:tblStyle w:val="TableGrid"/>
        <w:tblW w:w="0" w:type="auto"/>
        <w:tblLook w:val="04A0" w:firstRow="1" w:lastRow="0" w:firstColumn="1" w:lastColumn="0" w:noHBand="0" w:noVBand="1"/>
      </w:tblPr>
      <w:tblGrid>
        <w:gridCol w:w="946"/>
        <w:gridCol w:w="922"/>
        <w:gridCol w:w="1020"/>
        <w:gridCol w:w="1217"/>
        <w:gridCol w:w="1349"/>
        <w:gridCol w:w="963"/>
        <w:gridCol w:w="963"/>
        <w:gridCol w:w="814"/>
        <w:gridCol w:w="823"/>
      </w:tblGrid>
      <w:tr w:rsidR="00B513AB" w:rsidRPr="0029195A" w14:paraId="158807E1" w14:textId="77777777" w:rsidTr="001318E0">
        <w:trPr>
          <w:trHeight w:val="515"/>
        </w:trPr>
        <w:tc>
          <w:tcPr>
            <w:tcW w:w="0" w:type="auto"/>
            <w:vMerge w:val="restart"/>
            <w:vAlign w:val="center"/>
          </w:tcPr>
          <w:p w14:paraId="5FAF10E9" w14:textId="77777777" w:rsidR="001A579B" w:rsidRPr="0029195A" w:rsidRDefault="001A579B">
            <w:pPr>
              <w:pStyle w:val="TableText0"/>
              <w:rPr>
                <w:b/>
                <w:bCs w:val="0"/>
                <w:sz w:val="18"/>
                <w:szCs w:val="18"/>
              </w:rPr>
            </w:pPr>
            <w:r w:rsidRPr="0029195A">
              <w:rPr>
                <w:b/>
                <w:bCs w:val="0"/>
                <w:sz w:val="18"/>
                <w:szCs w:val="18"/>
              </w:rPr>
              <w:t>Outcome</w:t>
            </w:r>
          </w:p>
        </w:tc>
        <w:tc>
          <w:tcPr>
            <w:tcW w:w="0" w:type="auto"/>
            <w:vMerge w:val="restart"/>
            <w:vAlign w:val="center"/>
          </w:tcPr>
          <w:p w14:paraId="5A28AD0F" w14:textId="77777777" w:rsidR="001A579B" w:rsidRPr="0029195A" w:rsidRDefault="001A579B">
            <w:pPr>
              <w:pStyle w:val="TableText0"/>
              <w:jc w:val="center"/>
              <w:rPr>
                <w:rFonts w:eastAsia="MS Gothic"/>
                <w:b/>
                <w:bCs w:val="0"/>
                <w:sz w:val="18"/>
                <w:szCs w:val="18"/>
              </w:rPr>
            </w:pPr>
            <w:r w:rsidRPr="0029195A">
              <w:rPr>
                <w:b/>
                <w:bCs w:val="0"/>
                <w:sz w:val="18"/>
                <w:szCs w:val="18"/>
              </w:rPr>
              <w:t>Avacopan + SOC</w:t>
            </w:r>
          </w:p>
          <w:p w14:paraId="6584004C" w14:textId="57B7CFAC" w:rsidR="001A579B" w:rsidRPr="0029195A" w:rsidRDefault="001A579B">
            <w:pPr>
              <w:pStyle w:val="TableText0"/>
              <w:jc w:val="center"/>
              <w:rPr>
                <w:b/>
                <w:bCs w:val="0"/>
                <w:sz w:val="18"/>
                <w:szCs w:val="18"/>
              </w:rPr>
            </w:pPr>
            <w:r w:rsidRPr="0029195A">
              <w:rPr>
                <w:b/>
                <w:bCs w:val="0"/>
                <w:sz w:val="18"/>
                <w:szCs w:val="18"/>
              </w:rPr>
              <w:t>n/N</w:t>
            </w:r>
          </w:p>
        </w:tc>
        <w:tc>
          <w:tcPr>
            <w:tcW w:w="1018" w:type="dxa"/>
            <w:vMerge w:val="restart"/>
            <w:vAlign w:val="center"/>
          </w:tcPr>
          <w:p w14:paraId="140C5A60" w14:textId="77777777" w:rsidR="001A579B" w:rsidRPr="0029195A" w:rsidRDefault="001A579B">
            <w:pPr>
              <w:pStyle w:val="TableText0"/>
              <w:jc w:val="center"/>
              <w:rPr>
                <w:rFonts w:eastAsia="MS Gothic"/>
                <w:b/>
                <w:bCs w:val="0"/>
                <w:sz w:val="18"/>
                <w:szCs w:val="18"/>
              </w:rPr>
            </w:pPr>
            <w:r w:rsidRPr="0029195A">
              <w:rPr>
                <w:b/>
                <w:bCs w:val="0"/>
                <w:sz w:val="18"/>
                <w:szCs w:val="18"/>
              </w:rPr>
              <w:t>Prednisone + SOC</w:t>
            </w:r>
          </w:p>
          <w:p w14:paraId="38F3C488" w14:textId="13D47110" w:rsidR="001A579B" w:rsidRPr="0029195A" w:rsidRDefault="001A579B">
            <w:pPr>
              <w:pStyle w:val="TableText0"/>
              <w:jc w:val="center"/>
              <w:rPr>
                <w:b/>
                <w:bCs w:val="0"/>
                <w:sz w:val="18"/>
                <w:szCs w:val="18"/>
              </w:rPr>
            </w:pPr>
            <w:r w:rsidRPr="0029195A">
              <w:rPr>
                <w:b/>
                <w:bCs w:val="0"/>
                <w:sz w:val="18"/>
                <w:szCs w:val="18"/>
              </w:rPr>
              <w:t xml:space="preserve">n/N </w:t>
            </w:r>
          </w:p>
        </w:tc>
        <w:tc>
          <w:tcPr>
            <w:tcW w:w="2579" w:type="dxa"/>
            <w:gridSpan w:val="2"/>
            <w:vAlign w:val="center"/>
          </w:tcPr>
          <w:p w14:paraId="01956D9C" w14:textId="7A4C4B13" w:rsidR="001A579B" w:rsidRPr="0029195A" w:rsidRDefault="001A579B">
            <w:pPr>
              <w:pStyle w:val="TableText0"/>
              <w:jc w:val="center"/>
              <w:rPr>
                <w:b/>
                <w:bCs w:val="0"/>
                <w:sz w:val="18"/>
                <w:szCs w:val="18"/>
              </w:rPr>
            </w:pPr>
            <w:r w:rsidRPr="0029195A">
              <w:rPr>
                <w:b/>
                <w:bCs w:val="0"/>
                <w:sz w:val="18"/>
                <w:szCs w:val="18"/>
              </w:rPr>
              <w:t>Event rate/100 patients</w:t>
            </w:r>
          </w:p>
        </w:tc>
        <w:tc>
          <w:tcPr>
            <w:tcW w:w="0" w:type="auto"/>
            <w:vMerge w:val="restart"/>
            <w:vAlign w:val="center"/>
          </w:tcPr>
          <w:p w14:paraId="7AC75CF6" w14:textId="64148093" w:rsidR="001A579B" w:rsidRPr="0029195A" w:rsidRDefault="001A579B">
            <w:pPr>
              <w:pStyle w:val="TableText0"/>
              <w:jc w:val="center"/>
              <w:rPr>
                <w:b/>
                <w:bCs w:val="0"/>
                <w:sz w:val="18"/>
                <w:szCs w:val="18"/>
              </w:rPr>
            </w:pPr>
            <w:r w:rsidRPr="0029195A">
              <w:rPr>
                <w:b/>
                <w:bCs w:val="0"/>
                <w:sz w:val="18"/>
                <w:szCs w:val="18"/>
              </w:rPr>
              <w:t>Risk difference, % (95% CI)</w:t>
            </w:r>
          </w:p>
        </w:tc>
        <w:tc>
          <w:tcPr>
            <w:tcW w:w="0" w:type="auto"/>
            <w:vMerge w:val="restart"/>
            <w:vAlign w:val="center"/>
          </w:tcPr>
          <w:p w14:paraId="4D46351D" w14:textId="77777777" w:rsidR="001A579B" w:rsidRPr="0029195A" w:rsidRDefault="001A579B">
            <w:pPr>
              <w:pStyle w:val="TableText0"/>
              <w:jc w:val="center"/>
              <w:rPr>
                <w:b/>
                <w:bCs w:val="0"/>
                <w:sz w:val="18"/>
                <w:szCs w:val="18"/>
                <w:vertAlign w:val="superscript"/>
              </w:rPr>
            </w:pPr>
            <w:r w:rsidRPr="0029195A">
              <w:rPr>
                <w:b/>
                <w:bCs w:val="0"/>
                <w:sz w:val="18"/>
                <w:szCs w:val="18"/>
              </w:rPr>
              <w:t>Estimate of common difference, % (95% CI)</w:t>
            </w:r>
            <w:r w:rsidRPr="0029195A">
              <w:rPr>
                <w:b/>
                <w:bCs w:val="0"/>
                <w:sz w:val="18"/>
                <w:szCs w:val="18"/>
                <w:vertAlign w:val="superscript"/>
              </w:rPr>
              <w:t>a</w:t>
            </w:r>
          </w:p>
        </w:tc>
        <w:tc>
          <w:tcPr>
            <w:tcW w:w="812" w:type="dxa"/>
            <w:vMerge w:val="restart"/>
            <w:vAlign w:val="center"/>
          </w:tcPr>
          <w:p w14:paraId="19707B2B" w14:textId="77777777" w:rsidR="001A579B" w:rsidRPr="0029195A" w:rsidRDefault="001A579B">
            <w:pPr>
              <w:pStyle w:val="TableText0"/>
              <w:jc w:val="center"/>
              <w:rPr>
                <w:b/>
                <w:bCs w:val="0"/>
                <w:sz w:val="18"/>
                <w:szCs w:val="18"/>
              </w:rPr>
            </w:pPr>
            <w:r w:rsidRPr="0029195A">
              <w:rPr>
                <w:b/>
                <w:bCs w:val="0"/>
                <w:sz w:val="18"/>
                <w:szCs w:val="18"/>
              </w:rPr>
              <w:t>Non-inferior p-value</w:t>
            </w:r>
          </w:p>
        </w:tc>
        <w:tc>
          <w:tcPr>
            <w:tcW w:w="821" w:type="dxa"/>
            <w:vMerge w:val="restart"/>
            <w:vAlign w:val="center"/>
          </w:tcPr>
          <w:p w14:paraId="0B31EE1A" w14:textId="77777777" w:rsidR="001A579B" w:rsidRPr="0029195A" w:rsidRDefault="001A579B">
            <w:pPr>
              <w:pStyle w:val="TableText0"/>
              <w:jc w:val="center"/>
              <w:rPr>
                <w:b/>
                <w:bCs w:val="0"/>
                <w:sz w:val="18"/>
                <w:szCs w:val="18"/>
              </w:rPr>
            </w:pPr>
            <w:r w:rsidRPr="0029195A">
              <w:rPr>
                <w:b/>
                <w:bCs w:val="0"/>
                <w:sz w:val="18"/>
                <w:szCs w:val="18"/>
              </w:rPr>
              <w:t>Superior p-value</w:t>
            </w:r>
          </w:p>
        </w:tc>
      </w:tr>
      <w:tr w:rsidR="00B513AB" w:rsidRPr="0029195A" w14:paraId="224462CA" w14:textId="77777777" w:rsidTr="001318E0">
        <w:trPr>
          <w:trHeight w:val="514"/>
        </w:trPr>
        <w:tc>
          <w:tcPr>
            <w:tcW w:w="0" w:type="auto"/>
            <w:vMerge/>
            <w:vAlign w:val="center"/>
          </w:tcPr>
          <w:p w14:paraId="514CC9C8" w14:textId="77777777" w:rsidR="001A579B" w:rsidRPr="0029195A" w:rsidRDefault="001A579B">
            <w:pPr>
              <w:pStyle w:val="TableText0"/>
              <w:rPr>
                <w:b/>
                <w:bCs w:val="0"/>
                <w:sz w:val="18"/>
                <w:szCs w:val="18"/>
              </w:rPr>
            </w:pPr>
          </w:p>
        </w:tc>
        <w:tc>
          <w:tcPr>
            <w:tcW w:w="0" w:type="auto"/>
            <w:vMerge/>
            <w:vAlign w:val="center"/>
          </w:tcPr>
          <w:p w14:paraId="09E5E390" w14:textId="77777777" w:rsidR="001A579B" w:rsidRPr="0029195A" w:rsidRDefault="001A579B">
            <w:pPr>
              <w:pStyle w:val="TableText0"/>
              <w:jc w:val="center"/>
              <w:rPr>
                <w:b/>
                <w:bCs w:val="0"/>
                <w:sz w:val="18"/>
                <w:szCs w:val="18"/>
              </w:rPr>
            </w:pPr>
          </w:p>
        </w:tc>
        <w:tc>
          <w:tcPr>
            <w:tcW w:w="1018" w:type="dxa"/>
            <w:vMerge/>
            <w:vAlign w:val="center"/>
          </w:tcPr>
          <w:p w14:paraId="5357BFFC" w14:textId="77777777" w:rsidR="001A579B" w:rsidRPr="0029195A" w:rsidRDefault="001A579B">
            <w:pPr>
              <w:pStyle w:val="TableText0"/>
              <w:jc w:val="center"/>
              <w:rPr>
                <w:b/>
                <w:bCs w:val="0"/>
                <w:sz w:val="18"/>
                <w:szCs w:val="18"/>
              </w:rPr>
            </w:pPr>
          </w:p>
        </w:tc>
        <w:tc>
          <w:tcPr>
            <w:tcW w:w="1223" w:type="dxa"/>
            <w:vAlign w:val="center"/>
          </w:tcPr>
          <w:p w14:paraId="686D1AFC" w14:textId="0F2CB997" w:rsidR="001A579B" w:rsidRPr="0029195A" w:rsidRDefault="007B50B3">
            <w:pPr>
              <w:pStyle w:val="TableText0"/>
              <w:jc w:val="center"/>
              <w:rPr>
                <w:b/>
                <w:bCs w:val="0"/>
                <w:sz w:val="18"/>
                <w:szCs w:val="18"/>
              </w:rPr>
            </w:pPr>
            <w:r w:rsidRPr="0029195A">
              <w:rPr>
                <w:b/>
                <w:bCs w:val="0"/>
                <w:sz w:val="18"/>
                <w:szCs w:val="18"/>
              </w:rPr>
              <w:t>Avacopan + SOC</w:t>
            </w:r>
          </w:p>
        </w:tc>
        <w:tc>
          <w:tcPr>
            <w:tcW w:w="1356" w:type="dxa"/>
            <w:vAlign w:val="center"/>
          </w:tcPr>
          <w:p w14:paraId="3CB119BA" w14:textId="01D9597D" w:rsidR="001A579B" w:rsidRPr="0029195A" w:rsidRDefault="007B50B3">
            <w:pPr>
              <w:pStyle w:val="TableText0"/>
              <w:jc w:val="center"/>
              <w:rPr>
                <w:b/>
                <w:bCs w:val="0"/>
                <w:sz w:val="18"/>
                <w:szCs w:val="18"/>
              </w:rPr>
            </w:pPr>
            <w:r w:rsidRPr="0029195A">
              <w:rPr>
                <w:b/>
                <w:bCs w:val="0"/>
                <w:sz w:val="18"/>
                <w:szCs w:val="18"/>
              </w:rPr>
              <w:t>Prednisone + SOC</w:t>
            </w:r>
          </w:p>
        </w:tc>
        <w:tc>
          <w:tcPr>
            <w:tcW w:w="0" w:type="auto"/>
            <w:vMerge/>
            <w:vAlign w:val="center"/>
          </w:tcPr>
          <w:p w14:paraId="7134C8C9" w14:textId="77777777" w:rsidR="001A579B" w:rsidRPr="0029195A" w:rsidRDefault="001A579B">
            <w:pPr>
              <w:pStyle w:val="TableText0"/>
              <w:jc w:val="center"/>
              <w:rPr>
                <w:b/>
                <w:bCs w:val="0"/>
                <w:sz w:val="18"/>
                <w:szCs w:val="18"/>
              </w:rPr>
            </w:pPr>
          </w:p>
        </w:tc>
        <w:tc>
          <w:tcPr>
            <w:tcW w:w="0" w:type="auto"/>
            <w:vMerge/>
            <w:vAlign w:val="center"/>
          </w:tcPr>
          <w:p w14:paraId="1107CD85" w14:textId="77777777" w:rsidR="001A579B" w:rsidRPr="0029195A" w:rsidRDefault="001A579B">
            <w:pPr>
              <w:pStyle w:val="TableText0"/>
              <w:jc w:val="center"/>
              <w:rPr>
                <w:b/>
                <w:bCs w:val="0"/>
                <w:sz w:val="18"/>
                <w:szCs w:val="18"/>
              </w:rPr>
            </w:pPr>
          </w:p>
        </w:tc>
        <w:tc>
          <w:tcPr>
            <w:tcW w:w="812" w:type="dxa"/>
            <w:vMerge/>
            <w:vAlign w:val="center"/>
          </w:tcPr>
          <w:p w14:paraId="73641C96" w14:textId="77777777" w:rsidR="001A579B" w:rsidRPr="0029195A" w:rsidRDefault="001A579B">
            <w:pPr>
              <w:pStyle w:val="TableText0"/>
              <w:jc w:val="center"/>
              <w:rPr>
                <w:b/>
                <w:bCs w:val="0"/>
                <w:sz w:val="18"/>
                <w:szCs w:val="18"/>
              </w:rPr>
            </w:pPr>
          </w:p>
        </w:tc>
        <w:tc>
          <w:tcPr>
            <w:tcW w:w="821" w:type="dxa"/>
            <w:vMerge/>
            <w:vAlign w:val="center"/>
          </w:tcPr>
          <w:p w14:paraId="62A9AC50" w14:textId="77777777" w:rsidR="001A579B" w:rsidRPr="0029195A" w:rsidRDefault="001A579B">
            <w:pPr>
              <w:pStyle w:val="TableText0"/>
              <w:jc w:val="center"/>
              <w:rPr>
                <w:b/>
                <w:bCs w:val="0"/>
                <w:sz w:val="18"/>
                <w:szCs w:val="18"/>
              </w:rPr>
            </w:pPr>
          </w:p>
        </w:tc>
      </w:tr>
      <w:tr w:rsidR="00B513AB" w:rsidRPr="0029195A" w14:paraId="00F16860" w14:textId="77777777" w:rsidTr="001318E0">
        <w:tc>
          <w:tcPr>
            <w:tcW w:w="0" w:type="auto"/>
            <w:vAlign w:val="center"/>
          </w:tcPr>
          <w:p w14:paraId="1EA31191" w14:textId="77777777" w:rsidR="003A2ABC" w:rsidRPr="0029195A" w:rsidRDefault="003A2ABC">
            <w:pPr>
              <w:pStyle w:val="TableText0"/>
              <w:rPr>
                <w:bCs w:val="0"/>
              </w:rPr>
            </w:pPr>
            <w:r w:rsidRPr="0029195A">
              <w:rPr>
                <w:bCs w:val="0"/>
              </w:rPr>
              <w:t xml:space="preserve">Disease remission (Week 26) </w:t>
            </w:r>
          </w:p>
        </w:tc>
        <w:tc>
          <w:tcPr>
            <w:tcW w:w="0" w:type="auto"/>
            <w:vAlign w:val="center"/>
          </w:tcPr>
          <w:p w14:paraId="70E59E72" w14:textId="32E396CD" w:rsidR="003A2ABC" w:rsidRPr="0029195A" w:rsidRDefault="003A2ABC">
            <w:pPr>
              <w:pStyle w:val="TableText0"/>
              <w:jc w:val="center"/>
              <w:rPr>
                <w:bCs w:val="0"/>
              </w:rPr>
            </w:pPr>
            <w:r w:rsidRPr="0029195A">
              <w:rPr>
                <w:bCs w:val="0"/>
              </w:rPr>
              <w:t xml:space="preserve">120/166 </w:t>
            </w:r>
          </w:p>
        </w:tc>
        <w:tc>
          <w:tcPr>
            <w:tcW w:w="1018" w:type="dxa"/>
            <w:vAlign w:val="center"/>
          </w:tcPr>
          <w:p w14:paraId="33FC7327" w14:textId="601CFBC8" w:rsidR="003A2ABC" w:rsidRPr="0029195A" w:rsidRDefault="003A2ABC">
            <w:pPr>
              <w:pStyle w:val="TableText0"/>
              <w:jc w:val="center"/>
              <w:rPr>
                <w:bCs w:val="0"/>
              </w:rPr>
            </w:pPr>
            <w:r w:rsidRPr="0029195A">
              <w:rPr>
                <w:bCs w:val="0"/>
              </w:rPr>
              <w:t xml:space="preserve">115/164 </w:t>
            </w:r>
          </w:p>
        </w:tc>
        <w:tc>
          <w:tcPr>
            <w:tcW w:w="1223" w:type="dxa"/>
            <w:vAlign w:val="center"/>
          </w:tcPr>
          <w:p w14:paraId="049D3940" w14:textId="1CB968D0" w:rsidR="003A2ABC" w:rsidRPr="0029195A" w:rsidRDefault="0027232E">
            <w:pPr>
              <w:pStyle w:val="TableText0"/>
              <w:jc w:val="center"/>
              <w:rPr>
                <w:bCs w:val="0"/>
              </w:rPr>
            </w:pPr>
            <w:r w:rsidRPr="0029195A">
              <w:rPr>
                <w:bCs w:val="0"/>
              </w:rPr>
              <w:t>72.3</w:t>
            </w:r>
          </w:p>
        </w:tc>
        <w:tc>
          <w:tcPr>
            <w:tcW w:w="1356" w:type="dxa"/>
            <w:vAlign w:val="center"/>
          </w:tcPr>
          <w:p w14:paraId="638B4069" w14:textId="7A198D43" w:rsidR="003A2ABC" w:rsidRPr="0029195A" w:rsidRDefault="0027232E">
            <w:pPr>
              <w:pStyle w:val="TableText0"/>
              <w:jc w:val="center"/>
              <w:rPr>
                <w:bCs w:val="0"/>
              </w:rPr>
            </w:pPr>
            <w:r w:rsidRPr="0029195A">
              <w:rPr>
                <w:bCs w:val="0"/>
              </w:rPr>
              <w:t>70.1</w:t>
            </w:r>
          </w:p>
        </w:tc>
        <w:tc>
          <w:tcPr>
            <w:tcW w:w="0" w:type="auto"/>
            <w:vAlign w:val="center"/>
          </w:tcPr>
          <w:p w14:paraId="4FFD1A8F" w14:textId="77777777" w:rsidR="002D3EF7" w:rsidRPr="0029195A" w:rsidRDefault="003A2ABC">
            <w:pPr>
              <w:pStyle w:val="TableText0"/>
              <w:jc w:val="center"/>
              <w:rPr>
                <w:bCs w:val="0"/>
              </w:rPr>
            </w:pPr>
            <w:r w:rsidRPr="0029195A">
              <w:rPr>
                <w:bCs w:val="0"/>
              </w:rPr>
              <w:t xml:space="preserve">2.2 </w:t>
            </w:r>
          </w:p>
          <w:p w14:paraId="76DA5CD5" w14:textId="617B3DC2" w:rsidR="003A2ABC" w:rsidRPr="0029195A" w:rsidRDefault="003A2ABC">
            <w:pPr>
              <w:pStyle w:val="TableText0"/>
              <w:jc w:val="center"/>
              <w:rPr>
                <w:bCs w:val="0"/>
              </w:rPr>
            </w:pPr>
            <w:r w:rsidRPr="0029195A">
              <w:t>(-</w:t>
            </w:r>
            <w:r w:rsidRPr="0029195A">
              <w:rPr>
                <w:bCs w:val="0"/>
              </w:rPr>
              <w:t>7.</w:t>
            </w:r>
            <w:r w:rsidRPr="0029195A">
              <w:t>6</w:t>
            </w:r>
            <w:r w:rsidRPr="0029195A">
              <w:rPr>
                <w:bCs w:val="0"/>
              </w:rPr>
              <w:t>, 11.9</w:t>
            </w:r>
            <w:r w:rsidRPr="0029195A">
              <w:t>)</w:t>
            </w:r>
          </w:p>
        </w:tc>
        <w:tc>
          <w:tcPr>
            <w:tcW w:w="0" w:type="auto"/>
            <w:vAlign w:val="center"/>
          </w:tcPr>
          <w:p w14:paraId="7C2130A7" w14:textId="77777777" w:rsidR="002D3EF7" w:rsidRPr="0029195A" w:rsidRDefault="003A2ABC">
            <w:pPr>
              <w:pStyle w:val="TableText0"/>
              <w:jc w:val="center"/>
              <w:rPr>
                <w:bCs w:val="0"/>
              </w:rPr>
            </w:pPr>
            <w:r w:rsidRPr="0029195A">
              <w:rPr>
                <w:bCs w:val="0"/>
              </w:rPr>
              <w:t xml:space="preserve">3.4 </w:t>
            </w:r>
          </w:p>
          <w:p w14:paraId="32284407" w14:textId="6366DC60" w:rsidR="003A2ABC" w:rsidRPr="0029195A" w:rsidRDefault="003A2ABC">
            <w:pPr>
              <w:pStyle w:val="TableText0"/>
              <w:jc w:val="center"/>
              <w:rPr>
                <w:bCs w:val="0"/>
              </w:rPr>
            </w:pPr>
            <w:r w:rsidRPr="0029195A">
              <w:rPr>
                <w:bCs w:val="0"/>
              </w:rPr>
              <w:t>(−6.0, 12.8)</w:t>
            </w:r>
          </w:p>
        </w:tc>
        <w:tc>
          <w:tcPr>
            <w:tcW w:w="812" w:type="dxa"/>
            <w:vAlign w:val="center"/>
          </w:tcPr>
          <w:p w14:paraId="4DC682B4" w14:textId="77777777" w:rsidR="003A2ABC" w:rsidRPr="0029195A" w:rsidRDefault="003A2ABC">
            <w:pPr>
              <w:pStyle w:val="TableText0"/>
              <w:jc w:val="center"/>
              <w:rPr>
                <w:bCs w:val="0"/>
              </w:rPr>
            </w:pPr>
            <w:r w:rsidRPr="0029195A">
              <w:rPr>
                <w:bCs w:val="0"/>
              </w:rPr>
              <w:t>&lt;0.0001</w:t>
            </w:r>
          </w:p>
        </w:tc>
        <w:tc>
          <w:tcPr>
            <w:tcW w:w="821" w:type="dxa"/>
            <w:vAlign w:val="center"/>
          </w:tcPr>
          <w:p w14:paraId="53911C24" w14:textId="77777777" w:rsidR="003A2ABC" w:rsidRPr="0029195A" w:rsidRDefault="003A2ABC">
            <w:pPr>
              <w:pStyle w:val="TableText0"/>
              <w:jc w:val="center"/>
              <w:rPr>
                <w:bCs w:val="0"/>
              </w:rPr>
            </w:pPr>
            <w:r w:rsidRPr="0029195A">
              <w:rPr>
                <w:bCs w:val="0"/>
              </w:rPr>
              <w:t>0.2387</w:t>
            </w:r>
          </w:p>
        </w:tc>
      </w:tr>
      <w:tr w:rsidR="00B513AB" w:rsidRPr="0029195A" w14:paraId="65023A12" w14:textId="77777777" w:rsidTr="001318E0">
        <w:tc>
          <w:tcPr>
            <w:tcW w:w="0" w:type="auto"/>
            <w:vAlign w:val="center"/>
          </w:tcPr>
          <w:p w14:paraId="483DCF71" w14:textId="77777777" w:rsidR="003A2ABC" w:rsidRPr="0029195A" w:rsidRDefault="003A2ABC">
            <w:pPr>
              <w:pStyle w:val="TableText0"/>
              <w:rPr>
                <w:bCs w:val="0"/>
              </w:rPr>
            </w:pPr>
            <w:r w:rsidRPr="0029195A">
              <w:rPr>
                <w:bCs w:val="0"/>
              </w:rPr>
              <w:t xml:space="preserve">Sustained remission (Week 52) </w:t>
            </w:r>
          </w:p>
        </w:tc>
        <w:tc>
          <w:tcPr>
            <w:tcW w:w="0" w:type="auto"/>
            <w:vAlign w:val="center"/>
          </w:tcPr>
          <w:p w14:paraId="064BEE1C" w14:textId="5C2CBF71" w:rsidR="003A2ABC" w:rsidRPr="0029195A" w:rsidRDefault="003A2ABC">
            <w:pPr>
              <w:pStyle w:val="TableText0"/>
              <w:jc w:val="center"/>
              <w:rPr>
                <w:bCs w:val="0"/>
              </w:rPr>
            </w:pPr>
            <w:r w:rsidRPr="0029195A">
              <w:rPr>
                <w:bCs w:val="0"/>
              </w:rPr>
              <w:t xml:space="preserve">109/166 </w:t>
            </w:r>
          </w:p>
        </w:tc>
        <w:tc>
          <w:tcPr>
            <w:tcW w:w="1018" w:type="dxa"/>
            <w:vAlign w:val="center"/>
          </w:tcPr>
          <w:p w14:paraId="29FA4EC3" w14:textId="3BB940DF" w:rsidR="003A2ABC" w:rsidRPr="0029195A" w:rsidRDefault="003A2ABC">
            <w:pPr>
              <w:pStyle w:val="TableText0"/>
              <w:jc w:val="center"/>
              <w:rPr>
                <w:bCs w:val="0"/>
              </w:rPr>
            </w:pPr>
            <w:r w:rsidRPr="0029195A">
              <w:rPr>
                <w:bCs w:val="0"/>
              </w:rPr>
              <w:t xml:space="preserve">90/164 </w:t>
            </w:r>
          </w:p>
        </w:tc>
        <w:tc>
          <w:tcPr>
            <w:tcW w:w="1223" w:type="dxa"/>
            <w:vAlign w:val="center"/>
          </w:tcPr>
          <w:p w14:paraId="7B750D96" w14:textId="08CB6A42" w:rsidR="003A2ABC" w:rsidRPr="0029195A" w:rsidRDefault="0027232E">
            <w:pPr>
              <w:pStyle w:val="TableText0"/>
              <w:jc w:val="center"/>
              <w:rPr>
                <w:bCs w:val="0"/>
              </w:rPr>
            </w:pPr>
            <w:r w:rsidRPr="0029195A">
              <w:rPr>
                <w:bCs w:val="0"/>
              </w:rPr>
              <w:t>65.7</w:t>
            </w:r>
          </w:p>
        </w:tc>
        <w:tc>
          <w:tcPr>
            <w:tcW w:w="1356" w:type="dxa"/>
            <w:vAlign w:val="center"/>
          </w:tcPr>
          <w:p w14:paraId="409835B1" w14:textId="4CC5F600" w:rsidR="003A2ABC" w:rsidRPr="0029195A" w:rsidRDefault="0027232E">
            <w:pPr>
              <w:pStyle w:val="TableText0"/>
              <w:jc w:val="center"/>
              <w:rPr>
                <w:bCs w:val="0"/>
              </w:rPr>
            </w:pPr>
            <w:r w:rsidRPr="0029195A">
              <w:rPr>
                <w:bCs w:val="0"/>
              </w:rPr>
              <w:t>54.9</w:t>
            </w:r>
          </w:p>
        </w:tc>
        <w:tc>
          <w:tcPr>
            <w:tcW w:w="0" w:type="auto"/>
            <w:vAlign w:val="center"/>
          </w:tcPr>
          <w:p w14:paraId="1FF70AD2" w14:textId="77777777" w:rsidR="002D3EF7" w:rsidRPr="0029195A" w:rsidRDefault="003A2ABC">
            <w:pPr>
              <w:pStyle w:val="TableText0"/>
              <w:jc w:val="center"/>
              <w:rPr>
                <w:bCs w:val="0"/>
              </w:rPr>
            </w:pPr>
            <w:r w:rsidRPr="0029195A">
              <w:rPr>
                <w:bCs w:val="0"/>
              </w:rPr>
              <w:t xml:space="preserve">10.8 </w:t>
            </w:r>
          </w:p>
          <w:p w14:paraId="02AC573A" w14:textId="3BF0CD0C" w:rsidR="003A2ABC" w:rsidRPr="0029195A" w:rsidRDefault="003A2ABC">
            <w:pPr>
              <w:pStyle w:val="TableText0"/>
              <w:jc w:val="center"/>
              <w:rPr>
                <w:bCs w:val="0"/>
              </w:rPr>
            </w:pPr>
            <w:r w:rsidRPr="0029195A">
              <w:rPr>
                <w:bCs w:val="0"/>
              </w:rPr>
              <w:t>(0.3, 21</w:t>
            </w:r>
            <w:r w:rsidRPr="0029195A">
              <w:t>.3)</w:t>
            </w:r>
          </w:p>
        </w:tc>
        <w:tc>
          <w:tcPr>
            <w:tcW w:w="0" w:type="auto"/>
            <w:vAlign w:val="center"/>
          </w:tcPr>
          <w:p w14:paraId="639D77F7" w14:textId="77777777" w:rsidR="002D3EF7" w:rsidRPr="0029195A" w:rsidRDefault="003A2ABC">
            <w:pPr>
              <w:pStyle w:val="TableText0"/>
              <w:jc w:val="center"/>
              <w:rPr>
                <w:bCs w:val="0"/>
              </w:rPr>
            </w:pPr>
            <w:r w:rsidRPr="0029195A">
              <w:rPr>
                <w:bCs w:val="0"/>
              </w:rPr>
              <w:t xml:space="preserve">12.5 </w:t>
            </w:r>
          </w:p>
          <w:p w14:paraId="289AEB04" w14:textId="20547872" w:rsidR="003A2ABC" w:rsidRPr="0029195A" w:rsidRDefault="003A2ABC">
            <w:pPr>
              <w:pStyle w:val="TableText0"/>
              <w:jc w:val="center"/>
              <w:rPr>
                <w:bCs w:val="0"/>
              </w:rPr>
            </w:pPr>
            <w:r w:rsidRPr="0029195A">
              <w:rPr>
                <w:bCs w:val="0"/>
              </w:rPr>
              <w:t>(2.6, 22.3)</w:t>
            </w:r>
          </w:p>
        </w:tc>
        <w:tc>
          <w:tcPr>
            <w:tcW w:w="812" w:type="dxa"/>
            <w:vAlign w:val="center"/>
          </w:tcPr>
          <w:p w14:paraId="5A36D2F8" w14:textId="77777777" w:rsidR="003A2ABC" w:rsidRPr="0029195A" w:rsidRDefault="003A2ABC">
            <w:pPr>
              <w:pStyle w:val="TableText0"/>
              <w:jc w:val="center"/>
              <w:rPr>
                <w:bCs w:val="0"/>
              </w:rPr>
            </w:pPr>
            <w:r w:rsidRPr="0029195A">
              <w:rPr>
                <w:bCs w:val="0"/>
              </w:rPr>
              <w:t>&lt;0.0001</w:t>
            </w:r>
          </w:p>
        </w:tc>
        <w:tc>
          <w:tcPr>
            <w:tcW w:w="821" w:type="dxa"/>
            <w:vAlign w:val="center"/>
          </w:tcPr>
          <w:p w14:paraId="04484EC3" w14:textId="77777777" w:rsidR="003A2ABC" w:rsidRPr="0029195A" w:rsidRDefault="003A2ABC">
            <w:pPr>
              <w:pStyle w:val="TableText0"/>
              <w:jc w:val="center"/>
              <w:rPr>
                <w:bCs w:val="0"/>
              </w:rPr>
            </w:pPr>
            <w:r w:rsidRPr="0029195A">
              <w:rPr>
                <w:bCs w:val="0"/>
              </w:rPr>
              <w:t>0.0066</w:t>
            </w:r>
          </w:p>
        </w:tc>
      </w:tr>
    </w:tbl>
    <w:p w14:paraId="217ABD53" w14:textId="3DEF6090" w:rsidR="00C53F27" w:rsidRPr="0029195A" w:rsidRDefault="00C53F27" w:rsidP="00C53F27">
      <w:pPr>
        <w:pStyle w:val="FooterTableFigure"/>
        <w:rPr>
          <w:sz w:val="20"/>
        </w:rPr>
      </w:pPr>
      <w:r w:rsidRPr="0029195A">
        <w:t>Source: Table 2.21, p77 of the submission, Table 2.22, p78 of the submission, Table 13, p88 of the ADVOCATE CSR and Table 15, p90 of the ADVOCATE CSR, and</w:t>
      </w:r>
      <w:r w:rsidRPr="0029195A">
        <w:rPr>
          <w:i/>
          <w:iCs/>
        </w:rPr>
        <w:t xml:space="preserve"> </w:t>
      </w:r>
      <w:r w:rsidRPr="0029195A">
        <w:t>calculated during the evaluation</w:t>
      </w:r>
      <w:r w:rsidR="0029195A">
        <w:t xml:space="preserve">. </w:t>
      </w:r>
    </w:p>
    <w:p w14:paraId="7CBDEB7F" w14:textId="77777777" w:rsidR="00C53F27" w:rsidRPr="0029195A" w:rsidRDefault="00C53F27" w:rsidP="00C53F27">
      <w:pPr>
        <w:pStyle w:val="FooterTableFigure"/>
        <w:rPr>
          <w:rFonts w:eastAsia="Calibri"/>
        </w:rPr>
      </w:pPr>
      <w:r w:rsidRPr="0029195A">
        <w:rPr>
          <w:rFonts w:eastAsia="Calibri"/>
        </w:rPr>
        <w:t xml:space="preserve">Abbreviations: CI, confidence interval; SOC, standard of care. </w:t>
      </w:r>
    </w:p>
    <w:p w14:paraId="1D0058E1" w14:textId="77777777" w:rsidR="00C53F27" w:rsidRPr="0029195A" w:rsidRDefault="00C53F27" w:rsidP="00C53F27">
      <w:pPr>
        <w:pStyle w:val="FooterTableFigure"/>
        <w:rPr>
          <w:rFonts w:eastAsia="Calibri"/>
        </w:rPr>
      </w:pPr>
      <w:r w:rsidRPr="0029195A">
        <w:rPr>
          <w:rFonts w:eastAsia="Calibri"/>
          <w:vertAlign w:val="superscript"/>
        </w:rPr>
        <w:t>a</w:t>
      </w:r>
      <w:r w:rsidRPr="0029195A">
        <w:rPr>
          <w:rFonts w:eastAsia="Calibri"/>
        </w:rPr>
        <w:t xml:space="preserve"> Summary score estimate of the common difference in remission rates by using inverse-variance stratum weights. </w:t>
      </w:r>
    </w:p>
    <w:p w14:paraId="0EF2E703" w14:textId="5C6EF2E9" w:rsidR="008C33D8" w:rsidRPr="0029195A" w:rsidRDefault="00C53F27" w:rsidP="007A6355">
      <w:pPr>
        <w:pStyle w:val="3-BodyText"/>
      </w:pPr>
      <w:bookmarkStart w:id="33" w:name="_Ref137672153"/>
      <w:r w:rsidRPr="0029195A">
        <w:t>At Week 26, avacopan + SOC was non-inferior to prednisone + SOC in achieving disease remission</w:t>
      </w:r>
      <w:r w:rsidR="00F01F5D" w:rsidRPr="0029195A">
        <w:t xml:space="preserve">, however </w:t>
      </w:r>
      <w:r w:rsidR="00233ECB" w:rsidRPr="0029195A">
        <w:t>superiority was not demonstrated</w:t>
      </w:r>
      <w:r w:rsidRPr="0029195A">
        <w:t xml:space="preserve">. </w:t>
      </w:r>
      <w:r w:rsidR="008C33D8" w:rsidRPr="0029195A">
        <w:t xml:space="preserve">The PSCR  noted that while the remission is achieved at a rate similar to a prednisolone taper regimen at </w:t>
      </w:r>
      <w:r w:rsidR="003A60E1" w:rsidRPr="0029195A">
        <w:t>26 weeks, a reduction in total steroid burden was evident. The ESC agreed with the PSCR that the total study and non-study supplied GC dosage required during the induction period was lower in avacopan + SOC group (1373.7 mg) relative to prednisone + SOC group (3364.0 mg).</w:t>
      </w:r>
      <w:bookmarkEnd w:id="33"/>
      <w:r w:rsidR="003A60E1" w:rsidRPr="0029195A">
        <w:t xml:space="preserve"> </w:t>
      </w:r>
    </w:p>
    <w:p w14:paraId="315E7F63" w14:textId="696531A9" w:rsidR="00C53F27" w:rsidRPr="0029195A" w:rsidRDefault="00F01F5D" w:rsidP="007A6355">
      <w:pPr>
        <w:pStyle w:val="3-BodyText"/>
      </w:pPr>
      <w:bookmarkStart w:id="34" w:name="_Ref141693428"/>
      <w:r w:rsidRPr="0029195A">
        <w:t>A</w:t>
      </w:r>
      <w:r w:rsidR="00C53F27" w:rsidRPr="0029195A">
        <w:t xml:space="preserve">t Week 52, avacopan + SOC </w:t>
      </w:r>
      <w:r w:rsidR="00CE4953" w:rsidRPr="0029195A">
        <w:t>demonstrated superiority</w:t>
      </w:r>
      <w:r w:rsidR="00C53F27" w:rsidRPr="0029195A">
        <w:t xml:space="preserve"> to prednisone + SOC in achieving sustained remission with a 12.5% estimate of common difference in the proportion of patients achieving remission (95% CI: 2.6% to 22.3%; p=0.0066 for superiority).</w:t>
      </w:r>
      <w:r w:rsidR="00C0076B" w:rsidRPr="0029195A">
        <w:t xml:space="preserve"> The ESC noted that neither arm ha</w:t>
      </w:r>
      <w:r w:rsidR="001E6368" w:rsidRPr="0029195A">
        <w:t>d</w:t>
      </w:r>
      <w:r w:rsidR="00C0076B" w:rsidRPr="0029195A">
        <w:t xml:space="preserve"> study allocated prednisolone beyond 20 weeks. In addition, the ESC noted the sustained remission outcome included patients who were on a background of either azathioprine or mycophenolate mofetil for maintenance (following cyclophosphamide) or no further treatment (following rituximab induction). As outlined in paragraph </w:t>
      </w:r>
      <w:r w:rsidR="00C0076B" w:rsidRPr="0029195A">
        <w:fldChar w:fldCharType="begin" w:fldLock="1"/>
      </w:r>
      <w:r w:rsidR="00C0076B" w:rsidRPr="0029195A">
        <w:instrText xml:space="preserve"> REF _Ref137665780 \r \h </w:instrText>
      </w:r>
      <w:r w:rsidR="000A4378" w:rsidRPr="0029195A">
        <w:instrText xml:space="preserve"> \* MERGEFORMAT </w:instrText>
      </w:r>
      <w:r w:rsidR="00C0076B" w:rsidRPr="0029195A">
        <w:fldChar w:fldCharType="separate"/>
      </w:r>
      <w:r w:rsidR="00740D9D">
        <w:t>6.7</w:t>
      </w:r>
      <w:r w:rsidR="00C0076B" w:rsidRPr="0029195A">
        <w:fldChar w:fldCharType="end"/>
      </w:r>
      <w:r w:rsidR="00C0076B" w:rsidRPr="0029195A">
        <w:t>, the ESC considered the latter</w:t>
      </w:r>
      <w:r w:rsidR="00F10394" w:rsidRPr="0029195A">
        <w:t xml:space="preserve"> </w:t>
      </w:r>
      <w:r w:rsidR="00C0076B" w:rsidRPr="0029195A">
        <w:t>is not consistent with clinical practice, nor international guidelines (EULAR 2022).</w:t>
      </w:r>
      <w:bookmarkEnd w:id="34"/>
      <w:r w:rsidR="00C0076B" w:rsidRPr="0029195A">
        <w:t xml:space="preserve"> </w:t>
      </w:r>
    </w:p>
    <w:p w14:paraId="10982F88" w14:textId="208EFC32" w:rsidR="00937D0F" w:rsidRPr="0029195A" w:rsidRDefault="00C53F27" w:rsidP="007A6355">
      <w:pPr>
        <w:pStyle w:val="3-BodyText"/>
      </w:pPr>
      <w:r w:rsidRPr="0029195A">
        <w:t xml:space="preserve">The use of non-study supplied GCs is a potential confounder of remission </w:t>
      </w:r>
      <w:r w:rsidR="006B701E" w:rsidRPr="0029195A">
        <w:t xml:space="preserve">and sustained </w:t>
      </w:r>
      <w:r w:rsidRPr="0029195A">
        <w:t xml:space="preserve">remission outcomes. The avacopan + SOC group received a higher average cumulative dose of non-study supplied GCs (1675.5 mg) compared to the prednisone + SOC group (1457.6 mg) during the 52-week treatment period. </w:t>
      </w:r>
      <w:r w:rsidR="001F7EC6" w:rsidRPr="0029195A">
        <w:t>The overall greater use of non-study supplied GCs was driven by differences observed during the first 26</w:t>
      </w:r>
      <w:r w:rsidR="007A6355">
        <w:t> </w:t>
      </w:r>
      <w:r w:rsidR="001F7EC6" w:rsidRPr="0029195A">
        <w:t xml:space="preserve">weeks of treatment, where the avacopan + SOC group had a mean cumulative dose of 1373.7 mg compared to 974.8 mg in the prednisone + SOC group. The PSCR  stated that with the presence of active disease during the first 26 weeks, it </w:t>
      </w:r>
      <w:r w:rsidR="006473D3" w:rsidRPr="0029195A">
        <w:t>wa</w:t>
      </w:r>
      <w:r w:rsidR="001F7EC6" w:rsidRPr="0029195A">
        <w:t>s not surprising that the use of rescue GC is higher in the avacopan arm as the comparator is GC-based.</w:t>
      </w:r>
      <w:r w:rsidR="001E6368" w:rsidRPr="0029195A">
        <w:t xml:space="preserve"> The PSCR  argued that overall, avacopan presents a corticosteroid-sparing treatment option, which will reduce long-term GC use</w:t>
      </w:r>
      <w:r w:rsidR="00DF0F1F" w:rsidRPr="0029195A">
        <w:t>.</w:t>
      </w:r>
      <w:r w:rsidR="001F7EC6" w:rsidRPr="0029195A">
        <w:t xml:space="preserve"> </w:t>
      </w:r>
    </w:p>
    <w:p w14:paraId="58A494F2" w14:textId="6F16C45B" w:rsidR="00C53F27" w:rsidRPr="0029195A" w:rsidRDefault="00C53F27" w:rsidP="007A6355">
      <w:pPr>
        <w:pStyle w:val="3-BodyText"/>
      </w:pPr>
      <w:r w:rsidRPr="0029195A">
        <w:lastRenderedPageBreak/>
        <w:t>In the ADVOCATE trial</w:t>
      </w:r>
      <w:r w:rsidR="00947D8A" w:rsidRPr="0029195A">
        <w:t xml:space="preserve"> analysis</w:t>
      </w:r>
      <w:r w:rsidRPr="0029195A">
        <w:t>, a sensitivity analysis was performed to exclude patients who had high non-study supplied GCs (defined as more than 560</w:t>
      </w:r>
      <w:r w:rsidR="008515B4">
        <w:t> </w:t>
      </w:r>
      <w:r w:rsidRPr="0029195A">
        <w:t xml:space="preserve">mg prednisone equivalent from Week 26 through Week 52) from the sustained remission analysis. The results of the sensitivity analysis are summarised in </w:t>
      </w:r>
      <w:r w:rsidRPr="0029195A">
        <w:fldChar w:fldCharType="begin" w:fldLock="1"/>
      </w:r>
      <w:r w:rsidRPr="0029195A">
        <w:instrText xml:space="preserve"> REF _Ref132295190 \h </w:instrText>
      </w:r>
      <w:r w:rsidRPr="0029195A">
        <w:fldChar w:fldCharType="separate"/>
      </w:r>
      <w:r w:rsidR="00107C51" w:rsidRPr="0029195A">
        <w:t>Table 5</w:t>
      </w:r>
      <w:r w:rsidRPr="0029195A">
        <w:fldChar w:fldCharType="end"/>
      </w:r>
      <w:r w:rsidRPr="0029195A">
        <w:t xml:space="preserve">. </w:t>
      </w:r>
    </w:p>
    <w:p w14:paraId="3CF2EFEA" w14:textId="797DF048" w:rsidR="00C53F27" w:rsidRPr="0029195A" w:rsidRDefault="00C53F27" w:rsidP="00C53F27">
      <w:pPr>
        <w:pStyle w:val="Caption"/>
        <w:jc w:val="left"/>
        <w:rPr>
          <w:rStyle w:val="CommentReference"/>
          <w:b/>
          <w:szCs w:val="18"/>
        </w:rPr>
      </w:pPr>
      <w:bookmarkStart w:id="35" w:name="_Ref132295190"/>
      <w:r w:rsidRPr="0029195A">
        <w:t xml:space="preserve">Table </w:t>
      </w:r>
      <w:r w:rsidRPr="0029195A">
        <w:fldChar w:fldCharType="begin" w:fldLock="1"/>
      </w:r>
      <w:r w:rsidRPr="0029195A">
        <w:instrText>SEQ Table \* ARABIC</w:instrText>
      </w:r>
      <w:r w:rsidRPr="0029195A">
        <w:fldChar w:fldCharType="separate"/>
      </w:r>
      <w:r w:rsidR="00631406" w:rsidRPr="0029195A">
        <w:t>5</w:t>
      </w:r>
      <w:r w:rsidRPr="0029195A">
        <w:fldChar w:fldCharType="end"/>
      </w:r>
      <w:bookmarkEnd w:id="35"/>
      <w:r w:rsidRPr="0029195A">
        <w:rPr>
          <w:rStyle w:val="CommentReference"/>
          <w:b/>
          <w:szCs w:val="24"/>
        </w:rPr>
        <w:t xml:space="preserve">: </w:t>
      </w:r>
      <w:r w:rsidR="006377BC" w:rsidRPr="0029195A">
        <w:rPr>
          <w:rStyle w:val="CommentReference"/>
          <w:b/>
          <w:szCs w:val="24"/>
        </w:rPr>
        <w:t>Pre-specified s</w:t>
      </w:r>
      <w:r w:rsidRPr="0029195A">
        <w:rPr>
          <w:rStyle w:val="CommentReference"/>
          <w:b/>
          <w:szCs w:val="24"/>
        </w:rPr>
        <w:t xml:space="preserve">ensitivity analysis of the proportion of subjects with sustained disease remission excluding subjects with high non-study supplied GC use in the ADVOCATE trial (ITT population)  </w:t>
      </w:r>
    </w:p>
    <w:tbl>
      <w:tblPr>
        <w:tblStyle w:val="TableGrid"/>
        <w:tblW w:w="0" w:type="auto"/>
        <w:tblLook w:val="04A0" w:firstRow="1" w:lastRow="0" w:firstColumn="1" w:lastColumn="0" w:noHBand="0" w:noVBand="1"/>
      </w:tblPr>
      <w:tblGrid>
        <w:gridCol w:w="1129"/>
        <w:gridCol w:w="1417"/>
        <w:gridCol w:w="1418"/>
        <w:gridCol w:w="1418"/>
        <w:gridCol w:w="1417"/>
        <w:gridCol w:w="1109"/>
        <w:gridCol w:w="1109"/>
      </w:tblGrid>
      <w:tr w:rsidR="00C53F27" w:rsidRPr="0029195A" w14:paraId="5B0CD7A8" w14:textId="77777777">
        <w:tc>
          <w:tcPr>
            <w:tcW w:w="1129" w:type="dxa"/>
            <w:vAlign w:val="center"/>
          </w:tcPr>
          <w:p w14:paraId="4EEAC258" w14:textId="77777777" w:rsidR="00C53F27" w:rsidRPr="0029195A" w:rsidRDefault="00C53F27">
            <w:pPr>
              <w:pStyle w:val="TableText0"/>
              <w:rPr>
                <w:b/>
                <w:bCs w:val="0"/>
                <w:sz w:val="18"/>
                <w:szCs w:val="18"/>
              </w:rPr>
            </w:pPr>
            <w:r w:rsidRPr="0029195A">
              <w:rPr>
                <w:b/>
                <w:bCs w:val="0"/>
                <w:sz w:val="18"/>
                <w:szCs w:val="18"/>
              </w:rPr>
              <w:t>Outcome</w:t>
            </w:r>
          </w:p>
        </w:tc>
        <w:tc>
          <w:tcPr>
            <w:tcW w:w="1417" w:type="dxa"/>
            <w:vAlign w:val="center"/>
          </w:tcPr>
          <w:p w14:paraId="1F2E77BF" w14:textId="77777777" w:rsidR="00C53F27" w:rsidRPr="0029195A" w:rsidRDefault="00C53F27">
            <w:pPr>
              <w:pStyle w:val="TableText0"/>
              <w:jc w:val="center"/>
              <w:rPr>
                <w:rFonts w:eastAsia="MS Gothic"/>
                <w:b/>
                <w:bCs w:val="0"/>
                <w:sz w:val="18"/>
                <w:szCs w:val="18"/>
              </w:rPr>
            </w:pPr>
            <w:r w:rsidRPr="0029195A">
              <w:rPr>
                <w:b/>
                <w:bCs w:val="0"/>
                <w:sz w:val="18"/>
                <w:szCs w:val="18"/>
              </w:rPr>
              <w:t>Avacopan + SOC</w:t>
            </w:r>
          </w:p>
          <w:p w14:paraId="54B4A2B1" w14:textId="77777777" w:rsidR="00C53F27" w:rsidRPr="0029195A" w:rsidRDefault="00C53F27">
            <w:pPr>
              <w:pStyle w:val="TableText0"/>
              <w:jc w:val="center"/>
              <w:rPr>
                <w:b/>
                <w:bCs w:val="0"/>
                <w:sz w:val="18"/>
                <w:szCs w:val="18"/>
              </w:rPr>
            </w:pPr>
            <w:r w:rsidRPr="0029195A">
              <w:rPr>
                <w:b/>
                <w:bCs w:val="0"/>
                <w:sz w:val="18"/>
                <w:szCs w:val="18"/>
              </w:rPr>
              <w:t>n/N (%)</w:t>
            </w:r>
          </w:p>
        </w:tc>
        <w:tc>
          <w:tcPr>
            <w:tcW w:w="1418" w:type="dxa"/>
            <w:vAlign w:val="center"/>
          </w:tcPr>
          <w:p w14:paraId="30D24501" w14:textId="77777777" w:rsidR="00C53F27" w:rsidRPr="0029195A" w:rsidRDefault="00C53F27">
            <w:pPr>
              <w:pStyle w:val="TableText0"/>
              <w:jc w:val="center"/>
              <w:rPr>
                <w:rFonts w:eastAsia="MS Gothic"/>
                <w:b/>
                <w:bCs w:val="0"/>
                <w:sz w:val="18"/>
                <w:szCs w:val="18"/>
              </w:rPr>
            </w:pPr>
            <w:r w:rsidRPr="0029195A">
              <w:rPr>
                <w:b/>
                <w:bCs w:val="0"/>
                <w:sz w:val="18"/>
                <w:szCs w:val="18"/>
              </w:rPr>
              <w:t>Prednisone + SOC</w:t>
            </w:r>
          </w:p>
          <w:p w14:paraId="0DAE1600" w14:textId="77777777" w:rsidR="00C53F27" w:rsidRPr="0029195A" w:rsidRDefault="00C53F27">
            <w:pPr>
              <w:pStyle w:val="TableText0"/>
              <w:jc w:val="center"/>
              <w:rPr>
                <w:b/>
                <w:bCs w:val="0"/>
                <w:sz w:val="18"/>
                <w:szCs w:val="18"/>
              </w:rPr>
            </w:pPr>
            <w:r w:rsidRPr="0029195A">
              <w:rPr>
                <w:b/>
                <w:bCs w:val="0"/>
                <w:sz w:val="18"/>
                <w:szCs w:val="18"/>
              </w:rPr>
              <w:t>n/N (%)</w:t>
            </w:r>
          </w:p>
        </w:tc>
        <w:tc>
          <w:tcPr>
            <w:tcW w:w="1418" w:type="dxa"/>
            <w:vAlign w:val="center"/>
          </w:tcPr>
          <w:p w14:paraId="6A8EC149" w14:textId="77777777" w:rsidR="00C53F27" w:rsidRPr="0029195A" w:rsidRDefault="00C53F27">
            <w:pPr>
              <w:pStyle w:val="TableText0"/>
              <w:jc w:val="center"/>
              <w:rPr>
                <w:b/>
                <w:bCs w:val="0"/>
                <w:sz w:val="18"/>
                <w:szCs w:val="18"/>
              </w:rPr>
            </w:pPr>
            <w:r w:rsidRPr="0029195A">
              <w:rPr>
                <w:b/>
                <w:bCs w:val="0"/>
                <w:sz w:val="18"/>
                <w:szCs w:val="18"/>
              </w:rPr>
              <w:t>Risk difference, % (95% CI)</w:t>
            </w:r>
          </w:p>
        </w:tc>
        <w:tc>
          <w:tcPr>
            <w:tcW w:w="1417" w:type="dxa"/>
            <w:vAlign w:val="center"/>
          </w:tcPr>
          <w:p w14:paraId="0199EBB5" w14:textId="77777777" w:rsidR="00C53F27" w:rsidRPr="0029195A" w:rsidRDefault="00C53F27">
            <w:pPr>
              <w:pStyle w:val="TableText0"/>
              <w:jc w:val="center"/>
              <w:rPr>
                <w:b/>
                <w:bCs w:val="0"/>
                <w:sz w:val="18"/>
                <w:szCs w:val="18"/>
                <w:vertAlign w:val="superscript"/>
              </w:rPr>
            </w:pPr>
            <w:r w:rsidRPr="0029195A">
              <w:rPr>
                <w:b/>
                <w:bCs w:val="0"/>
                <w:sz w:val="18"/>
                <w:szCs w:val="18"/>
              </w:rPr>
              <w:t>Estimate of common difference, % (95% CI)</w:t>
            </w:r>
            <w:r w:rsidRPr="0029195A">
              <w:rPr>
                <w:b/>
                <w:bCs w:val="0"/>
                <w:sz w:val="18"/>
                <w:szCs w:val="18"/>
                <w:vertAlign w:val="superscript"/>
              </w:rPr>
              <w:t>a</w:t>
            </w:r>
          </w:p>
        </w:tc>
        <w:tc>
          <w:tcPr>
            <w:tcW w:w="1109" w:type="dxa"/>
            <w:vAlign w:val="center"/>
          </w:tcPr>
          <w:p w14:paraId="08F43E99" w14:textId="77777777" w:rsidR="00C53F27" w:rsidRPr="0029195A" w:rsidRDefault="00C53F27">
            <w:pPr>
              <w:pStyle w:val="TableText0"/>
              <w:jc w:val="center"/>
              <w:rPr>
                <w:b/>
                <w:bCs w:val="0"/>
                <w:sz w:val="18"/>
                <w:szCs w:val="18"/>
              </w:rPr>
            </w:pPr>
            <w:r w:rsidRPr="0029195A">
              <w:rPr>
                <w:b/>
                <w:bCs w:val="0"/>
                <w:sz w:val="18"/>
                <w:szCs w:val="18"/>
              </w:rPr>
              <w:t>Non-inferior p-value</w:t>
            </w:r>
          </w:p>
        </w:tc>
        <w:tc>
          <w:tcPr>
            <w:tcW w:w="1109" w:type="dxa"/>
            <w:vAlign w:val="center"/>
          </w:tcPr>
          <w:p w14:paraId="1D121DC5" w14:textId="77777777" w:rsidR="00C53F27" w:rsidRPr="0029195A" w:rsidRDefault="00C53F27">
            <w:pPr>
              <w:pStyle w:val="TableText0"/>
              <w:jc w:val="center"/>
              <w:rPr>
                <w:b/>
                <w:bCs w:val="0"/>
                <w:sz w:val="18"/>
                <w:szCs w:val="18"/>
              </w:rPr>
            </w:pPr>
            <w:r w:rsidRPr="0029195A">
              <w:rPr>
                <w:b/>
                <w:bCs w:val="0"/>
                <w:sz w:val="18"/>
                <w:szCs w:val="18"/>
              </w:rPr>
              <w:t>Superior p-value</w:t>
            </w:r>
          </w:p>
        </w:tc>
      </w:tr>
      <w:tr w:rsidR="00C53F27" w:rsidRPr="0029195A" w14:paraId="6DC0AD51" w14:textId="77777777">
        <w:tc>
          <w:tcPr>
            <w:tcW w:w="1129" w:type="dxa"/>
          </w:tcPr>
          <w:p w14:paraId="16BA3C5C" w14:textId="77777777" w:rsidR="00C53F27" w:rsidRPr="0029195A" w:rsidRDefault="00C53F27">
            <w:pPr>
              <w:pStyle w:val="TableText0"/>
              <w:rPr>
                <w:bCs w:val="0"/>
              </w:rPr>
            </w:pPr>
            <w:r w:rsidRPr="0029195A">
              <w:rPr>
                <w:bCs w:val="0"/>
              </w:rPr>
              <w:t xml:space="preserve">Sustained remission (Week 52) </w:t>
            </w:r>
          </w:p>
        </w:tc>
        <w:tc>
          <w:tcPr>
            <w:tcW w:w="1417" w:type="dxa"/>
            <w:vAlign w:val="center"/>
          </w:tcPr>
          <w:p w14:paraId="01AA5C02" w14:textId="77777777" w:rsidR="00C53F27" w:rsidRPr="0029195A" w:rsidRDefault="00C53F27">
            <w:pPr>
              <w:pStyle w:val="TableText0"/>
              <w:jc w:val="center"/>
              <w:rPr>
                <w:bCs w:val="0"/>
              </w:rPr>
            </w:pPr>
            <w:r w:rsidRPr="0029195A">
              <w:rPr>
                <w:bCs w:val="0"/>
              </w:rPr>
              <w:t>1</w:t>
            </w:r>
            <w:r w:rsidRPr="0029195A">
              <w:t>04/138 (75.4)</w:t>
            </w:r>
          </w:p>
        </w:tc>
        <w:tc>
          <w:tcPr>
            <w:tcW w:w="1418" w:type="dxa"/>
            <w:vAlign w:val="center"/>
          </w:tcPr>
          <w:p w14:paraId="7F98703F" w14:textId="77777777" w:rsidR="00C53F27" w:rsidRPr="0029195A" w:rsidRDefault="00C53F27">
            <w:pPr>
              <w:pStyle w:val="TableText0"/>
              <w:jc w:val="center"/>
              <w:rPr>
                <w:bCs w:val="0"/>
              </w:rPr>
            </w:pPr>
            <w:r w:rsidRPr="0029195A">
              <w:rPr>
                <w:bCs w:val="0"/>
              </w:rPr>
              <w:t>8</w:t>
            </w:r>
            <w:r w:rsidRPr="0029195A">
              <w:t>6/119 (72.3)</w:t>
            </w:r>
          </w:p>
        </w:tc>
        <w:tc>
          <w:tcPr>
            <w:tcW w:w="1418" w:type="dxa"/>
            <w:vAlign w:val="center"/>
          </w:tcPr>
          <w:p w14:paraId="16171195" w14:textId="2F3ADA1B" w:rsidR="00C53F27" w:rsidRPr="0029195A" w:rsidRDefault="002B00B3">
            <w:pPr>
              <w:pStyle w:val="TableText0"/>
              <w:jc w:val="center"/>
              <w:rPr>
                <w:iCs/>
              </w:rPr>
            </w:pPr>
            <w:r w:rsidRPr="0029195A">
              <w:rPr>
                <w:iCs/>
              </w:rPr>
              <w:t xml:space="preserve">3.1 </w:t>
            </w:r>
            <w:r w:rsidR="00C53F27" w:rsidRPr="0029195A">
              <w:rPr>
                <w:iCs/>
              </w:rPr>
              <w:t>(-7.7, 13.9)</w:t>
            </w:r>
          </w:p>
        </w:tc>
        <w:tc>
          <w:tcPr>
            <w:tcW w:w="1417" w:type="dxa"/>
            <w:vAlign w:val="center"/>
          </w:tcPr>
          <w:p w14:paraId="0E0A4757" w14:textId="77777777" w:rsidR="00C53F27" w:rsidRPr="0029195A" w:rsidRDefault="00C53F27">
            <w:pPr>
              <w:pStyle w:val="TableText0"/>
              <w:jc w:val="center"/>
              <w:rPr>
                <w:bCs w:val="0"/>
              </w:rPr>
            </w:pPr>
            <w:r w:rsidRPr="0029195A">
              <w:rPr>
                <w:bCs w:val="0"/>
              </w:rPr>
              <w:t>5</w:t>
            </w:r>
            <w:r w:rsidRPr="0029195A">
              <w:t>.0 (-5.6, 15.5)</w:t>
            </w:r>
          </w:p>
        </w:tc>
        <w:tc>
          <w:tcPr>
            <w:tcW w:w="1109" w:type="dxa"/>
            <w:vAlign w:val="center"/>
          </w:tcPr>
          <w:p w14:paraId="3B5F8FA6" w14:textId="77777777" w:rsidR="00C53F27" w:rsidRPr="0029195A" w:rsidRDefault="00C53F27">
            <w:pPr>
              <w:pStyle w:val="TableText0"/>
              <w:jc w:val="center"/>
              <w:rPr>
                <w:bCs w:val="0"/>
              </w:rPr>
            </w:pPr>
            <w:r w:rsidRPr="0029195A">
              <w:rPr>
                <w:bCs w:val="0"/>
              </w:rPr>
              <w:t>&lt;</w:t>
            </w:r>
            <w:r w:rsidRPr="0029195A">
              <w:t>0.0001</w:t>
            </w:r>
          </w:p>
        </w:tc>
        <w:tc>
          <w:tcPr>
            <w:tcW w:w="1109" w:type="dxa"/>
            <w:vAlign w:val="center"/>
          </w:tcPr>
          <w:p w14:paraId="5C16B23D" w14:textId="77777777" w:rsidR="00C53F27" w:rsidRPr="0029195A" w:rsidRDefault="00C53F27">
            <w:pPr>
              <w:pStyle w:val="TableText0"/>
              <w:jc w:val="center"/>
              <w:rPr>
                <w:bCs w:val="0"/>
              </w:rPr>
            </w:pPr>
            <w:r w:rsidRPr="0029195A">
              <w:rPr>
                <w:bCs w:val="0"/>
              </w:rPr>
              <w:t>0</w:t>
            </w:r>
            <w:r w:rsidRPr="0029195A">
              <w:t>.1772</w:t>
            </w:r>
          </w:p>
        </w:tc>
      </w:tr>
    </w:tbl>
    <w:p w14:paraId="13C5F07E" w14:textId="23583979" w:rsidR="00C53F27" w:rsidRPr="0029195A" w:rsidRDefault="00C53F27" w:rsidP="00C53F27">
      <w:pPr>
        <w:pStyle w:val="FooterTableFigure"/>
        <w:rPr>
          <w:sz w:val="20"/>
        </w:rPr>
      </w:pPr>
      <w:r w:rsidRPr="0029195A">
        <w:t>Source: Table 14.2.2.4, p336 of Attachment 9</w:t>
      </w:r>
      <w:r w:rsidR="00143626" w:rsidRPr="0029195A">
        <w:t>,</w:t>
      </w:r>
      <w:r w:rsidRPr="0029195A">
        <w:t xml:space="preserve"> and calculated during the evaluation</w:t>
      </w:r>
      <w:r w:rsidR="0029195A">
        <w:t xml:space="preserve">. </w:t>
      </w:r>
    </w:p>
    <w:p w14:paraId="2BA7D330" w14:textId="77777777" w:rsidR="00C53F27" w:rsidRPr="0029195A" w:rsidRDefault="00C53F27" w:rsidP="00C53F27">
      <w:pPr>
        <w:pStyle w:val="FooterTableFigure"/>
        <w:rPr>
          <w:rFonts w:eastAsia="Calibri"/>
        </w:rPr>
      </w:pPr>
      <w:r w:rsidRPr="0029195A">
        <w:rPr>
          <w:rFonts w:eastAsia="Calibri"/>
        </w:rPr>
        <w:t xml:space="preserve">Abbreviations: CI, confidence interval; SOC, standard of care. </w:t>
      </w:r>
    </w:p>
    <w:p w14:paraId="605DA1DE" w14:textId="77777777" w:rsidR="00C53F27" w:rsidRPr="0029195A" w:rsidRDefault="00C53F27" w:rsidP="00C53F27">
      <w:pPr>
        <w:pStyle w:val="FooterTableFigure"/>
        <w:rPr>
          <w:rFonts w:eastAsia="Calibri"/>
        </w:rPr>
      </w:pPr>
      <w:r w:rsidRPr="0029195A">
        <w:rPr>
          <w:rFonts w:eastAsia="Calibri"/>
          <w:vertAlign w:val="superscript"/>
        </w:rPr>
        <w:t>a</w:t>
      </w:r>
      <w:r w:rsidRPr="0029195A">
        <w:rPr>
          <w:rFonts w:eastAsia="Calibri"/>
        </w:rPr>
        <w:t xml:space="preserve"> Summary score estimate of the common difference in remission rates by using inverse-variance stratum weights. </w:t>
      </w:r>
    </w:p>
    <w:p w14:paraId="5D859295" w14:textId="0AA1A38A" w:rsidR="00C53F27" w:rsidRPr="0029195A" w:rsidRDefault="00C53F27" w:rsidP="007A6355">
      <w:pPr>
        <w:pStyle w:val="3-BodyText"/>
      </w:pPr>
      <w:r w:rsidRPr="0029195A">
        <w:t xml:space="preserve">The </w:t>
      </w:r>
      <w:r w:rsidR="006377BC" w:rsidRPr="0029195A">
        <w:t>pre-specified</w:t>
      </w:r>
      <w:r w:rsidR="006B701E" w:rsidRPr="0029195A">
        <w:t xml:space="preserve"> </w:t>
      </w:r>
      <w:r w:rsidRPr="0029195A">
        <w:t xml:space="preserve">sensitivity analysis showed that avacopan + SOC was non-inferior but not superior to prednisone + SOC at 52 weeks, with an estimated common difference of 5.0 percentage points (95% CI: -5.6 to 15.5; p&lt;0.0001 for non-inferiority, p=0.1772 for superiority). This suggested that the use of non-study supplied GCs </w:t>
      </w:r>
      <w:r w:rsidR="00167096" w:rsidRPr="0029195A">
        <w:t xml:space="preserve">was </w:t>
      </w:r>
      <w:r w:rsidRPr="0029195A">
        <w:t xml:space="preserve">important for the clinical effect of avacopan + SOC and that </w:t>
      </w:r>
      <w:r w:rsidR="00167096" w:rsidRPr="0029195A">
        <w:t xml:space="preserve">interpretation of the results was confounded by the permitted use of non-study supplied </w:t>
      </w:r>
      <w:r w:rsidR="00CE146F" w:rsidRPr="0029195A">
        <w:t>GCs</w:t>
      </w:r>
      <w:r w:rsidR="00167096" w:rsidRPr="0029195A">
        <w:t xml:space="preserve"> in all treatment groups</w:t>
      </w:r>
      <w:r w:rsidR="001E6368" w:rsidRPr="0029195A">
        <w:rPr>
          <w:i/>
          <w:iCs/>
        </w:rPr>
        <w:t xml:space="preserve">. </w:t>
      </w:r>
      <w:r w:rsidR="001E6368" w:rsidRPr="0029195A">
        <w:t>The ESC agreed with the evaluation that the treatment effect observed in the ADVOCATE trial for avacopan + SOC should be interpreted with consideration of this combination use of GCs</w:t>
      </w:r>
      <w:r w:rsidR="0029195A">
        <w:t xml:space="preserve">. </w:t>
      </w:r>
      <w:r w:rsidR="00F10394" w:rsidRPr="0029195A">
        <w:t>The ESC considered the value of the drug would be the more favourable safety profile for avacopan given fewer steroid related adverse events from the overall lower corticosteroid dose.</w:t>
      </w:r>
      <w:r w:rsidRPr="0029195A">
        <w:t xml:space="preserve"> </w:t>
      </w:r>
    </w:p>
    <w:p w14:paraId="7AC74B8C" w14:textId="134A016D" w:rsidR="00F52194" w:rsidRPr="0029195A" w:rsidRDefault="00F52194" w:rsidP="008515B4">
      <w:pPr>
        <w:pStyle w:val="5-SubsectionSubheading"/>
      </w:pPr>
      <w:r w:rsidRPr="0029195A">
        <w:t>Subgroup analysis</w:t>
      </w:r>
    </w:p>
    <w:p w14:paraId="685544DA" w14:textId="698A8F32" w:rsidR="00C53F27" w:rsidRPr="0029195A" w:rsidRDefault="00C53F27" w:rsidP="007A6355">
      <w:pPr>
        <w:pStyle w:val="3-BodyText"/>
        <w:rPr>
          <w:i/>
          <w:iCs/>
        </w:rPr>
      </w:pPr>
      <w:r w:rsidRPr="0029195A">
        <w:fldChar w:fldCharType="begin" w:fldLock="1"/>
      </w:r>
      <w:r w:rsidRPr="0029195A">
        <w:instrText xml:space="preserve"> REF _Ref132295226 \h </w:instrText>
      </w:r>
      <w:r w:rsidRPr="0029195A">
        <w:fldChar w:fldCharType="separate"/>
      </w:r>
      <w:r w:rsidR="00107C51" w:rsidRPr="0029195A">
        <w:t>Table 6</w:t>
      </w:r>
      <w:r w:rsidRPr="0029195A">
        <w:fldChar w:fldCharType="end"/>
      </w:r>
      <w:r w:rsidRPr="0029195A">
        <w:t xml:space="preserve"> presents the results of several </w:t>
      </w:r>
      <w:r w:rsidR="00A87281" w:rsidRPr="0029195A">
        <w:t xml:space="preserve">pre-specified </w:t>
      </w:r>
      <w:r w:rsidRPr="0029195A">
        <w:t>subgroup analyses of the primary efficacy outcome of sustained remission at Week 52 from the ADVOCATE trial.</w:t>
      </w:r>
      <w:r w:rsidRPr="0029195A">
        <w:rPr>
          <w:i/>
          <w:iCs/>
        </w:rPr>
        <w:t xml:space="preserve"> </w:t>
      </w:r>
    </w:p>
    <w:p w14:paraId="205B8207" w14:textId="77777777" w:rsidR="00B10578" w:rsidRDefault="00B10578">
      <w:pPr>
        <w:jc w:val="left"/>
        <w:rPr>
          <w:rFonts w:ascii="Arial Narrow" w:hAnsi="Arial Narrow"/>
          <w:b/>
          <w:bCs/>
          <w:sz w:val="20"/>
          <w:szCs w:val="18"/>
        </w:rPr>
      </w:pPr>
      <w:bookmarkStart w:id="36" w:name="_Ref132295226"/>
      <w:r>
        <w:br w:type="page"/>
      </w:r>
    </w:p>
    <w:p w14:paraId="2A3F6086" w14:textId="0244B189" w:rsidR="00C53F27" w:rsidRPr="0029195A" w:rsidRDefault="00C53F27" w:rsidP="00C53F27">
      <w:pPr>
        <w:pStyle w:val="Caption"/>
        <w:jc w:val="left"/>
        <w:rPr>
          <w:rStyle w:val="CommentReference"/>
          <w:b/>
          <w:szCs w:val="18"/>
        </w:rPr>
      </w:pPr>
      <w:r w:rsidRPr="0029195A">
        <w:lastRenderedPageBreak/>
        <w:t xml:space="preserve">Table </w:t>
      </w:r>
      <w:r w:rsidRPr="0029195A">
        <w:fldChar w:fldCharType="begin" w:fldLock="1"/>
      </w:r>
      <w:r w:rsidRPr="0029195A">
        <w:instrText>SEQ Table \* ARABIC</w:instrText>
      </w:r>
      <w:r w:rsidRPr="0029195A">
        <w:fldChar w:fldCharType="separate"/>
      </w:r>
      <w:r w:rsidR="00631406" w:rsidRPr="0029195A">
        <w:t>6</w:t>
      </w:r>
      <w:r w:rsidRPr="0029195A">
        <w:fldChar w:fldCharType="end"/>
      </w:r>
      <w:bookmarkEnd w:id="36"/>
      <w:r w:rsidRPr="0029195A">
        <w:rPr>
          <w:rStyle w:val="CommentReference"/>
          <w:b/>
          <w:szCs w:val="24"/>
        </w:rPr>
        <w:t xml:space="preserve">: Results of </w:t>
      </w:r>
      <w:r w:rsidR="00A87281" w:rsidRPr="0029195A">
        <w:rPr>
          <w:rStyle w:val="CommentReference"/>
          <w:b/>
          <w:szCs w:val="24"/>
        </w:rPr>
        <w:t xml:space="preserve">pre-specified </w:t>
      </w:r>
      <w:r w:rsidRPr="0029195A">
        <w:rPr>
          <w:rStyle w:val="CommentReference"/>
          <w:b/>
          <w:szCs w:val="24"/>
        </w:rPr>
        <w:t xml:space="preserve">subgroup analysis for </w:t>
      </w:r>
      <w:r w:rsidR="00A87281" w:rsidRPr="0029195A">
        <w:rPr>
          <w:rStyle w:val="CommentReference"/>
          <w:b/>
          <w:szCs w:val="24"/>
        </w:rPr>
        <w:t>sustained remission (week 52)</w:t>
      </w:r>
      <w:r w:rsidRPr="0029195A">
        <w:rPr>
          <w:rStyle w:val="CommentReference"/>
          <w:b/>
          <w:szCs w:val="24"/>
        </w:rPr>
        <w:t xml:space="preserve"> in ADVOCATE trial (ITT population)</w:t>
      </w:r>
    </w:p>
    <w:tbl>
      <w:tblPr>
        <w:tblStyle w:val="HTATableshaded"/>
        <w:tblpPr w:leftFromText="180" w:rightFromText="180" w:vertAnchor="text" w:tblpY="1"/>
        <w:tblOverlap w:val="never"/>
        <w:tblW w:w="0" w:type="auto"/>
        <w:tblLook w:val="04A0" w:firstRow="1" w:lastRow="0" w:firstColumn="1" w:lastColumn="0" w:noHBand="0" w:noVBand="1"/>
      </w:tblPr>
      <w:tblGrid>
        <w:gridCol w:w="1413"/>
        <w:gridCol w:w="1843"/>
        <w:gridCol w:w="1842"/>
        <w:gridCol w:w="1843"/>
        <w:gridCol w:w="2076"/>
      </w:tblGrid>
      <w:tr w:rsidR="00C53F27" w:rsidRPr="0029195A" w14:paraId="4601E56A" w14:textId="77777777" w:rsidTr="00533453">
        <w:trPr>
          <w:cnfStyle w:val="100000000000" w:firstRow="1" w:lastRow="0" w:firstColumn="0" w:lastColumn="0" w:oddVBand="0" w:evenVBand="0" w:oddHBand="0" w:evenHBand="0" w:firstRowFirstColumn="0" w:firstRowLastColumn="0" w:lastRowFirstColumn="0" w:lastRowLastColumn="0"/>
          <w:trHeight w:val="130"/>
        </w:trPr>
        <w:tc>
          <w:tcPr>
            <w:tcW w:w="1413" w:type="dxa"/>
            <w:shd w:val="clear" w:color="auto" w:fill="auto"/>
          </w:tcPr>
          <w:p w14:paraId="5C66BBC9" w14:textId="77777777" w:rsidR="00C53F27" w:rsidRPr="0029195A" w:rsidRDefault="00C53F27">
            <w:pPr>
              <w:pStyle w:val="Tabletextleft"/>
              <w:jc w:val="left"/>
              <w:rPr>
                <w:rFonts w:ascii="Arial Narrow" w:hAnsi="Arial Narrow"/>
                <w:b/>
                <w:bCs/>
                <w:sz w:val="20"/>
              </w:rPr>
            </w:pPr>
            <w:r w:rsidRPr="0029195A">
              <w:rPr>
                <w:rFonts w:ascii="Arial Narrow" w:hAnsi="Arial Narrow"/>
                <w:b/>
                <w:bCs/>
                <w:sz w:val="20"/>
              </w:rPr>
              <w:t>Outcome</w:t>
            </w:r>
          </w:p>
        </w:tc>
        <w:tc>
          <w:tcPr>
            <w:tcW w:w="1843" w:type="dxa"/>
            <w:shd w:val="clear" w:color="auto" w:fill="auto"/>
          </w:tcPr>
          <w:p w14:paraId="6C3EF651" w14:textId="77777777" w:rsidR="00C53F27" w:rsidRPr="0029195A" w:rsidRDefault="00C53F27">
            <w:pPr>
              <w:pStyle w:val="Tabletextleft"/>
              <w:jc w:val="left"/>
              <w:rPr>
                <w:rFonts w:ascii="Arial Narrow" w:hAnsi="Arial Narrow"/>
                <w:b/>
                <w:bCs/>
                <w:sz w:val="20"/>
              </w:rPr>
            </w:pPr>
            <w:r w:rsidRPr="0029195A">
              <w:rPr>
                <w:rFonts w:ascii="Arial Narrow" w:hAnsi="Arial Narrow"/>
                <w:b/>
                <w:bCs/>
                <w:sz w:val="20"/>
              </w:rPr>
              <w:t>Patient subgroup</w:t>
            </w:r>
          </w:p>
        </w:tc>
        <w:tc>
          <w:tcPr>
            <w:tcW w:w="1842" w:type="dxa"/>
            <w:shd w:val="clear" w:color="auto" w:fill="auto"/>
          </w:tcPr>
          <w:p w14:paraId="467C7BA2" w14:textId="77777777" w:rsidR="00C53F27" w:rsidRPr="0029195A" w:rsidRDefault="00C53F27">
            <w:pPr>
              <w:pStyle w:val="TableText0"/>
              <w:jc w:val="center"/>
              <w:rPr>
                <w:b/>
                <w:sz w:val="20"/>
                <w:szCs w:val="20"/>
              </w:rPr>
            </w:pPr>
            <w:r w:rsidRPr="0029195A">
              <w:rPr>
                <w:b/>
                <w:sz w:val="20"/>
                <w:szCs w:val="20"/>
              </w:rPr>
              <w:t>Avacopan + SOC</w:t>
            </w:r>
            <w:r w:rsidRPr="0029195A">
              <w:rPr>
                <w:b/>
                <w:sz w:val="20"/>
                <w:szCs w:val="20"/>
              </w:rPr>
              <w:br/>
              <w:t>n/N (%)</w:t>
            </w:r>
          </w:p>
        </w:tc>
        <w:tc>
          <w:tcPr>
            <w:tcW w:w="1843" w:type="dxa"/>
            <w:shd w:val="clear" w:color="auto" w:fill="auto"/>
          </w:tcPr>
          <w:p w14:paraId="309FD995" w14:textId="77777777" w:rsidR="00C53F27" w:rsidRPr="0029195A" w:rsidRDefault="00C53F27">
            <w:pPr>
              <w:pStyle w:val="TableText0"/>
              <w:jc w:val="center"/>
              <w:rPr>
                <w:rFonts w:eastAsia="MS Gothic"/>
                <w:b/>
                <w:sz w:val="20"/>
                <w:szCs w:val="20"/>
              </w:rPr>
            </w:pPr>
            <w:r w:rsidRPr="0029195A">
              <w:rPr>
                <w:b/>
                <w:sz w:val="20"/>
                <w:szCs w:val="20"/>
              </w:rPr>
              <w:t>Prednisone + SOC</w:t>
            </w:r>
            <w:r w:rsidRPr="0029195A">
              <w:rPr>
                <w:b/>
                <w:sz w:val="20"/>
                <w:szCs w:val="20"/>
              </w:rPr>
              <w:br/>
              <w:t>n/N (%)</w:t>
            </w:r>
          </w:p>
        </w:tc>
        <w:tc>
          <w:tcPr>
            <w:tcW w:w="2076" w:type="dxa"/>
            <w:shd w:val="clear" w:color="auto" w:fill="auto"/>
            <w:vAlign w:val="center"/>
          </w:tcPr>
          <w:p w14:paraId="7F6AF9E6" w14:textId="77777777" w:rsidR="00C53F27" w:rsidRPr="0029195A" w:rsidRDefault="00C53F27">
            <w:pPr>
              <w:pStyle w:val="TableText0"/>
              <w:jc w:val="center"/>
              <w:rPr>
                <w:b/>
                <w:sz w:val="20"/>
                <w:szCs w:val="20"/>
              </w:rPr>
            </w:pPr>
            <w:r w:rsidRPr="0029195A">
              <w:rPr>
                <w:b/>
                <w:sz w:val="20"/>
                <w:szCs w:val="20"/>
              </w:rPr>
              <w:t>Estimate of common difference, % (95% CI)</w:t>
            </w:r>
          </w:p>
        </w:tc>
      </w:tr>
      <w:tr w:rsidR="00C53F27" w:rsidRPr="0029195A" w14:paraId="43E5E4DA" w14:textId="77777777" w:rsidTr="00533453">
        <w:trPr>
          <w:trHeight w:val="130"/>
        </w:trPr>
        <w:tc>
          <w:tcPr>
            <w:tcW w:w="1413" w:type="dxa"/>
            <w:vMerge w:val="restart"/>
            <w:shd w:val="clear" w:color="auto" w:fill="auto"/>
          </w:tcPr>
          <w:p w14:paraId="51CAECE6" w14:textId="77777777" w:rsidR="00C53F27" w:rsidRPr="0029195A" w:rsidRDefault="00C53F27">
            <w:pPr>
              <w:pStyle w:val="TableText0"/>
              <w:rPr>
                <w:szCs w:val="20"/>
              </w:rPr>
            </w:pPr>
            <w:r w:rsidRPr="0029195A">
              <w:rPr>
                <w:sz w:val="20"/>
                <w:szCs w:val="20"/>
              </w:rPr>
              <w:t>Sustained remission (Week 52)</w:t>
            </w:r>
          </w:p>
        </w:tc>
        <w:tc>
          <w:tcPr>
            <w:tcW w:w="1843" w:type="dxa"/>
            <w:shd w:val="clear" w:color="auto" w:fill="auto"/>
          </w:tcPr>
          <w:p w14:paraId="70EF01C7" w14:textId="77777777" w:rsidR="00C53F27" w:rsidRPr="0029195A" w:rsidRDefault="00C53F27">
            <w:pPr>
              <w:pStyle w:val="TableText0"/>
              <w:rPr>
                <w:sz w:val="20"/>
                <w:szCs w:val="28"/>
              </w:rPr>
            </w:pPr>
            <w:r w:rsidRPr="0029195A">
              <w:rPr>
                <w:sz w:val="20"/>
                <w:szCs w:val="28"/>
              </w:rPr>
              <w:t>All patients</w:t>
            </w:r>
          </w:p>
        </w:tc>
        <w:tc>
          <w:tcPr>
            <w:tcW w:w="1842" w:type="dxa"/>
            <w:shd w:val="clear" w:color="auto" w:fill="auto"/>
          </w:tcPr>
          <w:p w14:paraId="1C242169" w14:textId="77777777" w:rsidR="00C53F27" w:rsidRPr="0029195A" w:rsidRDefault="00C53F27">
            <w:pPr>
              <w:pStyle w:val="TableText0"/>
              <w:jc w:val="center"/>
              <w:rPr>
                <w:sz w:val="20"/>
                <w:szCs w:val="28"/>
              </w:rPr>
            </w:pPr>
            <w:r w:rsidRPr="0029195A">
              <w:rPr>
                <w:sz w:val="20"/>
                <w:szCs w:val="28"/>
              </w:rPr>
              <w:t>109/166 (65.7)</w:t>
            </w:r>
          </w:p>
        </w:tc>
        <w:tc>
          <w:tcPr>
            <w:tcW w:w="1843" w:type="dxa"/>
            <w:shd w:val="clear" w:color="auto" w:fill="auto"/>
          </w:tcPr>
          <w:p w14:paraId="31228533" w14:textId="77777777" w:rsidR="00C53F27" w:rsidRPr="0029195A" w:rsidRDefault="00C53F27">
            <w:pPr>
              <w:pStyle w:val="TableText0"/>
              <w:jc w:val="center"/>
              <w:rPr>
                <w:sz w:val="20"/>
                <w:szCs w:val="28"/>
              </w:rPr>
            </w:pPr>
            <w:r w:rsidRPr="0029195A">
              <w:rPr>
                <w:sz w:val="20"/>
                <w:szCs w:val="28"/>
              </w:rPr>
              <w:t>90/164 (54.9)</w:t>
            </w:r>
          </w:p>
        </w:tc>
        <w:tc>
          <w:tcPr>
            <w:tcW w:w="2076" w:type="dxa"/>
            <w:shd w:val="clear" w:color="auto" w:fill="auto"/>
            <w:vAlign w:val="center"/>
          </w:tcPr>
          <w:p w14:paraId="145CB705" w14:textId="1C3A85B3" w:rsidR="00C53F27" w:rsidRPr="0029195A" w:rsidRDefault="00F10394">
            <w:pPr>
              <w:pStyle w:val="TableText0"/>
              <w:jc w:val="center"/>
              <w:rPr>
                <w:sz w:val="20"/>
                <w:szCs w:val="28"/>
              </w:rPr>
            </w:pPr>
            <w:r w:rsidRPr="0029195A">
              <w:rPr>
                <w:sz w:val="20"/>
                <w:szCs w:val="28"/>
              </w:rPr>
              <w:t>12.5</w:t>
            </w:r>
            <w:r w:rsidR="00C53F27" w:rsidRPr="0029195A">
              <w:rPr>
                <w:sz w:val="20"/>
                <w:szCs w:val="28"/>
              </w:rPr>
              <w:t xml:space="preserve"> (2.6, 22.3)</w:t>
            </w:r>
          </w:p>
        </w:tc>
      </w:tr>
      <w:tr w:rsidR="00C53F27" w:rsidRPr="0029195A" w14:paraId="18170185" w14:textId="77777777" w:rsidTr="00785385">
        <w:trPr>
          <w:trHeight w:val="130"/>
        </w:trPr>
        <w:tc>
          <w:tcPr>
            <w:tcW w:w="1413" w:type="dxa"/>
            <w:vMerge/>
            <w:shd w:val="clear" w:color="auto" w:fill="auto"/>
          </w:tcPr>
          <w:p w14:paraId="65895536" w14:textId="77777777" w:rsidR="00C53F27" w:rsidRPr="0029195A" w:rsidRDefault="00C53F27">
            <w:pPr>
              <w:pStyle w:val="TableText0"/>
              <w:rPr>
                <w:sz w:val="20"/>
                <w:szCs w:val="20"/>
              </w:rPr>
            </w:pPr>
          </w:p>
        </w:tc>
        <w:tc>
          <w:tcPr>
            <w:tcW w:w="7604" w:type="dxa"/>
            <w:gridSpan w:val="4"/>
            <w:shd w:val="clear" w:color="auto" w:fill="auto"/>
          </w:tcPr>
          <w:p w14:paraId="6096E689" w14:textId="77777777" w:rsidR="00C53F27" w:rsidRPr="0029195A" w:rsidRDefault="00C53F27">
            <w:pPr>
              <w:pStyle w:val="TableText0"/>
              <w:rPr>
                <w:sz w:val="20"/>
                <w:szCs w:val="28"/>
              </w:rPr>
            </w:pPr>
            <w:r w:rsidRPr="0029195A">
              <w:rPr>
                <w:sz w:val="20"/>
                <w:szCs w:val="28"/>
              </w:rPr>
              <w:t>SOC treatment</w:t>
            </w:r>
          </w:p>
        </w:tc>
      </w:tr>
      <w:tr w:rsidR="00C53F27" w:rsidRPr="0029195A" w14:paraId="4B70FD49" w14:textId="77777777" w:rsidTr="00533453">
        <w:trPr>
          <w:trHeight w:val="130"/>
        </w:trPr>
        <w:tc>
          <w:tcPr>
            <w:tcW w:w="1413" w:type="dxa"/>
            <w:vMerge/>
            <w:shd w:val="clear" w:color="auto" w:fill="auto"/>
          </w:tcPr>
          <w:p w14:paraId="45A2066F" w14:textId="77777777" w:rsidR="00C53F27" w:rsidRPr="0029195A" w:rsidRDefault="00C53F27">
            <w:pPr>
              <w:pStyle w:val="Tabletextleft"/>
              <w:rPr>
                <w:rFonts w:ascii="Arial Narrow" w:hAnsi="Arial Narrow"/>
                <w:sz w:val="20"/>
              </w:rPr>
            </w:pPr>
          </w:p>
        </w:tc>
        <w:tc>
          <w:tcPr>
            <w:tcW w:w="1843" w:type="dxa"/>
            <w:shd w:val="clear" w:color="auto" w:fill="auto"/>
          </w:tcPr>
          <w:p w14:paraId="73DDB639" w14:textId="77777777" w:rsidR="00C53F27" w:rsidRPr="0029195A" w:rsidRDefault="00C53F27">
            <w:pPr>
              <w:pStyle w:val="TableText0"/>
              <w:rPr>
                <w:sz w:val="20"/>
                <w:szCs w:val="28"/>
              </w:rPr>
            </w:pPr>
            <w:r w:rsidRPr="0029195A">
              <w:rPr>
                <w:sz w:val="20"/>
                <w:szCs w:val="28"/>
              </w:rPr>
              <w:t>Rituximab</w:t>
            </w:r>
          </w:p>
        </w:tc>
        <w:tc>
          <w:tcPr>
            <w:tcW w:w="1842" w:type="dxa"/>
            <w:shd w:val="clear" w:color="auto" w:fill="auto"/>
          </w:tcPr>
          <w:p w14:paraId="1BA4AA1C" w14:textId="77777777" w:rsidR="00C53F27" w:rsidRPr="0029195A" w:rsidRDefault="00C53F27">
            <w:pPr>
              <w:pStyle w:val="TableText0"/>
              <w:jc w:val="center"/>
              <w:rPr>
                <w:sz w:val="20"/>
                <w:szCs w:val="28"/>
              </w:rPr>
            </w:pPr>
            <w:r w:rsidRPr="0029195A">
              <w:rPr>
                <w:sz w:val="20"/>
                <w:szCs w:val="28"/>
              </w:rPr>
              <w:t>76/107 (71.0)</w:t>
            </w:r>
          </w:p>
        </w:tc>
        <w:tc>
          <w:tcPr>
            <w:tcW w:w="1843" w:type="dxa"/>
            <w:shd w:val="clear" w:color="auto" w:fill="auto"/>
          </w:tcPr>
          <w:p w14:paraId="171EC253" w14:textId="77777777" w:rsidR="00C53F27" w:rsidRPr="0029195A" w:rsidRDefault="00C53F27">
            <w:pPr>
              <w:pStyle w:val="TableText0"/>
              <w:jc w:val="center"/>
              <w:rPr>
                <w:sz w:val="20"/>
                <w:szCs w:val="28"/>
              </w:rPr>
            </w:pPr>
            <w:r w:rsidRPr="0029195A">
              <w:rPr>
                <w:sz w:val="20"/>
                <w:szCs w:val="28"/>
              </w:rPr>
              <w:t>60/107 (56.1)</w:t>
            </w:r>
          </w:p>
        </w:tc>
        <w:tc>
          <w:tcPr>
            <w:tcW w:w="2076" w:type="dxa"/>
            <w:shd w:val="clear" w:color="auto" w:fill="auto"/>
            <w:vAlign w:val="center"/>
          </w:tcPr>
          <w:p w14:paraId="1211AEF1" w14:textId="77777777" w:rsidR="00C53F27" w:rsidRPr="0029195A" w:rsidRDefault="00C53F27">
            <w:pPr>
              <w:pStyle w:val="TableText0"/>
              <w:jc w:val="center"/>
              <w:rPr>
                <w:sz w:val="20"/>
                <w:szCs w:val="28"/>
              </w:rPr>
            </w:pPr>
            <w:r w:rsidRPr="0029195A">
              <w:rPr>
                <w:rFonts w:cs="Times New Roman"/>
                <w:sz w:val="20"/>
                <w:szCs w:val="28"/>
              </w:rPr>
              <w:t>15.0 (2.2, 27.7)</w:t>
            </w:r>
          </w:p>
        </w:tc>
      </w:tr>
      <w:tr w:rsidR="00C53F27" w:rsidRPr="0029195A" w14:paraId="19ABD3DA" w14:textId="77777777" w:rsidTr="00533453">
        <w:trPr>
          <w:trHeight w:val="130"/>
        </w:trPr>
        <w:tc>
          <w:tcPr>
            <w:tcW w:w="1413" w:type="dxa"/>
            <w:vMerge/>
            <w:shd w:val="clear" w:color="auto" w:fill="auto"/>
          </w:tcPr>
          <w:p w14:paraId="48B1BA07" w14:textId="77777777" w:rsidR="00C53F27" w:rsidRPr="0029195A" w:rsidRDefault="00C53F27">
            <w:pPr>
              <w:pStyle w:val="Tabletextleft"/>
              <w:rPr>
                <w:rFonts w:ascii="Arial Narrow" w:hAnsi="Arial Narrow"/>
                <w:sz w:val="20"/>
              </w:rPr>
            </w:pPr>
          </w:p>
        </w:tc>
        <w:tc>
          <w:tcPr>
            <w:tcW w:w="1843" w:type="dxa"/>
            <w:shd w:val="clear" w:color="auto" w:fill="auto"/>
          </w:tcPr>
          <w:p w14:paraId="653A7695" w14:textId="77777777" w:rsidR="00C53F27" w:rsidRPr="0029195A" w:rsidRDefault="00C53F27">
            <w:pPr>
              <w:pStyle w:val="TableText0"/>
              <w:rPr>
                <w:sz w:val="20"/>
                <w:szCs w:val="28"/>
              </w:rPr>
            </w:pPr>
            <w:r w:rsidRPr="0029195A">
              <w:rPr>
                <w:sz w:val="20"/>
                <w:szCs w:val="28"/>
              </w:rPr>
              <w:t>Cyclophosphamide</w:t>
            </w:r>
          </w:p>
        </w:tc>
        <w:tc>
          <w:tcPr>
            <w:tcW w:w="1842" w:type="dxa"/>
            <w:shd w:val="clear" w:color="auto" w:fill="auto"/>
          </w:tcPr>
          <w:p w14:paraId="0EE41C61" w14:textId="77777777" w:rsidR="00C53F27" w:rsidRPr="0029195A" w:rsidRDefault="00C53F27" w:rsidP="00AB1D70">
            <w:pPr>
              <w:pStyle w:val="TableText0"/>
              <w:jc w:val="center"/>
              <w:rPr>
                <w:sz w:val="20"/>
                <w:szCs w:val="28"/>
              </w:rPr>
            </w:pPr>
            <w:r w:rsidRPr="0029195A">
              <w:rPr>
                <w:sz w:val="20"/>
                <w:szCs w:val="28"/>
              </w:rPr>
              <w:t>33/59 (55.9)</w:t>
            </w:r>
          </w:p>
        </w:tc>
        <w:tc>
          <w:tcPr>
            <w:tcW w:w="1843" w:type="dxa"/>
            <w:shd w:val="clear" w:color="auto" w:fill="auto"/>
          </w:tcPr>
          <w:p w14:paraId="60217E71" w14:textId="77777777" w:rsidR="00C53F27" w:rsidRPr="0029195A" w:rsidRDefault="00C53F27">
            <w:pPr>
              <w:pStyle w:val="TableText0"/>
              <w:jc w:val="center"/>
              <w:rPr>
                <w:sz w:val="20"/>
                <w:szCs w:val="28"/>
              </w:rPr>
            </w:pPr>
            <w:r w:rsidRPr="0029195A">
              <w:rPr>
                <w:sz w:val="20"/>
                <w:szCs w:val="28"/>
              </w:rPr>
              <w:t>30/57 (52.6)</w:t>
            </w:r>
          </w:p>
        </w:tc>
        <w:tc>
          <w:tcPr>
            <w:tcW w:w="2076" w:type="dxa"/>
            <w:shd w:val="clear" w:color="auto" w:fill="auto"/>
            <w:vAlign w:val="center"/>
          </w:tcPr>
          <w:p w14:paraId="7FFCA0A5" w14:textId="77777777" w:rsidR="00C53F27" w:rsidRPr="0029195A" w:rsidRDefault="00C53F27">
            <w:pPr>
              <w:pStyle w:val="TableText0"/>
              <w:jc w:val="center"/>
              <w:rPr>
                <w:sz w:val="20"/>
                <w:szCs w:val="28"/>
              </w:rPr>
            </w:pPr>
            <w:r w:rsidRPr="0029195A">
              <w:rPr>
                <w:rFonts w:cs="Times New Roman"/>
                <w:sz w:val="20"/>
                <w:szCs w:val="28"/>
              </w:rPr>
              <w:t>3.3 ( -14.8, 21.4)</w:t>
            </w:r>
          </w:p>
        </w:tc>
      </w:tr>
      <w:tr w:rsidR="00C53F27" w:rsidRPr="0029195A" w14:paraId="7AB07F54" w14:textId="77777777" w:rsidTr="00785385">
        <w:trPr>
          <w:trHeight w:val="130"/>
        </w:trPr>
        <w:tc>
          <w:tcPr>
            <w:tcW w:w="1413" w:type="dxa"/>
            <w:vMerge/>
            <w:shd w:val="clear" w:color="auto" w:fill="auto"/>
          </w:tcPr>
          <w:p w14:paraId="6FEB1A0D" w14:textId="77777777" w:rsidR="00C53F27" w:rsidRPr="0029195A" w:rsidRDefault="00C53F27">
            <w:pPr>
              <w:pStyle w:val="Tabletextleft"/>
              <w:rPr>
                <w:rFonts w:ascii="Arial Narrow" w:hAnsi="Arial Narrow"/>
                <w:sz w:val="20"/>
              </w:rPr>
            </w:pPr>
          </w:p>
        </w:tc>
        <w:tc>
          <w:tcPr>
            <w:tcW w:w="7604" w:type="dxa"/>
            <w:gridSpan w:val="4"/>
            <w:shd w:val="clear" w:color="auto" w:fill="auto"/>
          </w:tcPr>
          <w:p w14:paraId="295345FB" w14:textId="77777777" w:rsidR="00C53F27" w:rsidRPr="0029195A" w:rsidRDefault="00C53F27">
            <w:pPr>
              <w:pStyle w:val="TableText0"/>
              <w:rPr>
                <w:sz w:val="20"/>
                <w:szCs w:val="28"/>
              </w:rPr>
            </w:pPr>
            <w:r w:rsidRPr="0029195A">
              <w:rPr>
                <w:sz w:val="20"/>
                <w:szCs w:val="28"/>
              </w:rPr>
              <w:t>ANCA type</w:t>
            </w:r>
          </w:p>
        </w:tc>
      </w:tr>
      <w:tr w:rsidR="00C53F27" w:rsidRPr="0029195A" w14:paraId="508DCDA7" w14:textId="77777777" w:rsidTr="00533453">
        <w:trPr>
          <w:trHeight w:val="130"/>
        </w:trPr>
        <w:tc>
          <w:tcPr>
            <w:tcW w:w="1413" w:type="dxa"/>
            <w:vMerge/>
            <w:shd w:val="clear" w:color="auto" w:fill="auto"/>
          </w:tcPr>
          <w:p w14:paraId="6011AEDA" w14:textId="77777777" w:rsidR="00C53F27" w:rsidRPr="0029195A" w:rsidRDefault="00C53F27">
            <w:pPr>
              <w:pStyle w:val="Tabletextleft"/>
              <w:rPr>
                <w:rFonts w:ascii="Arial Narrow" w:hAnsi="Arial Narrow"/>
                <w:sz w:val="20"/>
              </w:rPr>
            </w:pPr>
          </w:p>
        </w:tc>
        <w:tc>
          <w:tcPr>
            <w:tcW w:w="1843" w:type="dxa"/>
            <w:shd w:val="clear" w:color="auto" w:fill="auto"/>
          </w:tcPr>
          <w:p w14:paraId="216DCC6B" w14:textId="77777777" w:rsidR="00C53F27" w:rsidRPr="0029195A" w:rsidRDefault="00C53F27">
            <w:pPr>
              <w:pStyle w:val="TableText0"/>
              <w:rPr>
                <w:sz w:val="20"/>
                <w:szCs w:val="28"/>
              </w:rPr>
            </w:pPr>
            <w:r w:rsidRPr="0029195A">
              <w:rPr>
                <w:sz w:val="20"/>
                <w:szCs w:val="28"/>
              </w:rPr>
              <w:t>Anti-PR3+</w:t>
            </w:r>
          </w:p>
        </w:tc>
        <w:tc>
          <w:tcPr>
            <w:tcW w:w="1842" w:type="dxa"/>
            <w:shd w:val="clear" w:color="auto" w:fill="auto"/>
          </w:tcPr>
          <w:p w14:paraId="0C47FBF1" w14:textId="77777777" w:rsidR="00C53F27" w:rsidRPr="0029195A" w:rsidRDefault="00C53F27">
            <w:pPr>
              <w:pStyle w:val="TableText0"/>
              <w:jc w:val="center"/>
              <w:rPr>
                <w:sz w:val="20"/>
                <w:szCs w:val="28"/>
              </w:rPr>
            </w:pPr>
            <w:r w:rsidRPr="0029195A">
              <w:rPr>
                <w:sz w:val="20"/>
                <w:szCs w:val="28"/>
              </w:rPr>
              <w:t>43/72 (59.7)</w:t>
            </w:r>
          </w:p>
        </w:tc>
        <w:tc>
          <w:tcPr>
            <w:tcW w:w="1843" w:type="dxa"/>
            <w:shd w:val="clear" w:color="auto" w:fill="auto"/>
          </w:tcPr>
          <w:p w14:paraId="40990293" w14:textId="77777777" w:rsidR="00C53F27" w:rsidRPr="0029195A" w:rsidRDefault="00C53F27">
            <w:pPr>
              <w:pStyle w:val="TableText0"/>
              <w:jc w:val="center"/>
              <w:rPr>
                <w:sz w:val="20"/>
                <w:szCs w:val="28"/>
              </w:rPr>
            </w:pPr>
            <w:r w:rsidRPr="0029195A">
              <w:rPr>
                <w:sz w:val="20"/>
                <w:szCs w:val="28"/>
              </w:rPr>
              <w:t>40/70 (57.1)</w:t>
            </w:r>
          </w:p>
        </w:tc>
        <w:tc>
          <w:tcPr>
            <w:tcW w:w="2076" w:type="dxa"/>
            <w:shd w:val="clear" w:color="auto" w:fill="auto"/>
            <w:vAlign w:val="center"/>
          </w:tcPr>
          <w:p w14:paraId="490499D1" w14:textId="77777777" w:rsidR="00C53F27" w:rsidRPr="0029195A" w:rsidRDefault="00C53F27">
            <w:pPr>
              <w:pStyle w:val="TableText0"/>
              <w:jc w:val="center"/>
              <w:rPr>
                <w:sz w:val="20"/>
                <w:szCs w:val="28"/>
              </w:rPr>
            </w:pPr>
            <w:r w:rsidRPr="0029195A">
              <w:rPr>
                <w:rFonts w:cs="Times New Roman"/>
                <w:sz w:val="20"/>
                <w:szCs w:val="28"/>
              </w:rPr>
              <w:t>2.6 ( -13.6, 18.8)</w:t>
            </w:r>
          </w:p>
        </w:tc>
      </w:tr>
      <w:tr w:rsidR="00C53F27" w:rsidRPr="0029195A" w14:paraId="2FA4CFEB" w14:textId="77777777" w:rsidTr="00533453">
        <w:trPr>
          <w:trHeight w:val="130"/>
        </w:trPr>
        <w:tc>
          <w:tcPr>
            <w:tcW w:w="1413" w:type="dxa"/>
            <w:vMerge/>
            <w:shd w:val="clear" w:color="auto" w:fill="auto"/>
          </w:tcPr>
          <w:p w14:paraId="6B175AA1" w14:textId="77777777" w:rsidR="00C53F27" w:rsidRPr="0029195A" w:rsidRDefault="00C53F27">
            <w:pPr>
              <w:pStyle w:val="Tabletextleft"/>
              <w:rPr>
                <w:rFonts w:ascii="Arial Narrow" w:hAnsi="Arial Narrow"/>
                <w:sz w:val="20"/>
              </w:rPr>
            </w:pPr>
          </w:p>
        </w:tc>
        <w:tc>
          <w:tcPr>
            <w:tcW w:w="1843" w:type="dxa"/>
            <w:shd w:val="clear" w:color="auto" w:fill="auto"/>
          </w:tcPr>
          <w:p w14:paraId="79FCBFF5" w14:textId="77777777" w:rsidR="00C53F27" w:rsidRPr="0029195A" w:rsidRDefault="00C53F27">
            <w:pPr>
              <w:pStyle w:val="TableText0"/>
              <w:rPr>
                <w:sz w:val="20"/>
                <w:szCs w:val="28"/>
              </w:rPr>
            </w:pPr>
            <w:r w:rsidRPr="0029195A">
              <w:rPr>
                <w:sz w:val="20"/>
                <w:szCs w:val="28"/>
              </w:rPr>
              <w:t>Anti-MPO+</w:t>
            </w:r>
          </w:p>
        </w:tc>
        <w:tc>
          <w:tcPr>
            <w:tcW w:w="1842" w:type="dxa"/>
            <w:shd w:val="clear" w:color="auto" w:fill="auto"/>
          </w:tcPr>
          <w:p w14:paraId="705D0260" w14:textId="77777777" w:rsidR="00C53F27" w:rsidRPr="0029195A" w:rsidRDefault="00C53F27">
            <w:pPr>
              <w:pStyle w:val="TableText0"/>
              <w:jc w:val="center"/>
              <w:rPr>
                <w:sz w:val="20"/>
                <w:szCs w:val="28"/>
              </w:rPr>
            </w:pPr>
            <w:r w:rsidRPr="0029195A">
              <w:rPr>
                <w:sz w:val="20"/>
                <w:szCs w:val="28"/>
              </w:rPr>
              <w:t>66/94 (70.2)</w:t>
            </w:r>
          </w:p>
        </w:tc>
        <w:tc>
          <w:tcPr>
            <w:tcW w:w="1843" w:type="dxa"/>
            <w:shd w:val="clear" w:color="auto" w:fill="auto"/>
          </w:tcPr>
          <w:p w14:paraId="3B311E20" w14:textId="77777777" w:rsidR="00C53F27" w:rsidRPr="0029195A" w:rsidRDefault="00C53F27">
            <w:pPr>
              <w:pStyle w:val="TableText0"/>
              <w:jc w:val="center"/>
              <w:rPr>
                <w:sz w:val="20"/>
                <w:szCs w:val="28"/>
              </w:rPr>
            </w:pPr>
            <w:r w:rsidRPr="0029195A">
              <w:rPr>
                <w:sz w:val="20"/>
                <w:szCs w:val="28"/>
              </w:rPr>
              <w:t>50/94 (53.2)</w:t>
            </w:r>
          </w:p>
        </w:tc>
        <w:tc>
          <w:tcPr>
            <w:tcW w:w="2076" w:type="dxa"/>
            <w:shd w:val="clear" w:color="auto" w:fill="auto"/>
            <w:vAlign w:val="center"/>
          </w:tcPr>
          <w:p w14:paraId="665D9833" w14:textId="77777777" w:rsidR="00C53F27" w:rsidRPr="0029195A" w:rsidRDefault="00C53F27">
            <w:pPr>
              <w:pStyle w:val="TableText0"/>
              <w:jc w:val="center"/>
              <w:rPr>
                <w:sz w:val="20"/>
                <w:szCs w:val="28"/>
              </w:rPr>
            </w:pPr>
            <w:r w:rsidRPr="0029195A">
              <w:rPr>
                <w:rFonts w:cs="Times New Roman"/>
                <w:sz w:val="20"/>
                <w:szCs w:val="28"/>
              </w:rPr>
              <w:t>17.0 (3.3, 30.7)</w:t>
            </w:r>
          </w:p>
        </w:tc>
      </w:tr>
      <w:tr w:rsidR="00C53F27" w:rsidRPr="0029195A" w14:paraId="0EFF1095" w14:textId="77777777" w:rsidTr="00785385">
        <w:trPr>
          <w:trHeight w:val="130"/>
        </w:trPr>
        <w:tc>
          <w:tcPr>
            <w:tcW w:w="1413" w:type="dxa"/>
            <w:vMerge/>
            <w:shd w:val="clear" w:color="auto" w:fill="auto"/>
          </w:tcPr>
          <w:p w14:paraId="60C939B8" w14:textId="77777777" w:rsidR="00C53F27" w:rsidRPr="0029195A" w:rsidRDefault="00C53F27">
            <w:pPr>
              <w:pStyle w:val="Tabletextleft"/>
              <w:rPr>
                <w:rFonts w:ascii="Arial Narrow" w:hAnsi="Arial Narrow"/>
                <w:sz w:val="20"/>
              </w:rPr>
            </w:pPr>
          </w:p>
        </w:tc>
        <w:tc>
          <w:tcPr>
            <w:tcW w:w="7604" w:type="dxa"/>
            <w:gridSpan w:val="4"/>
            <w:shd w:val="clear" w:color="auto" w:fill="auto"/>
          </w:tcPr>
          <w:p w14:paraId="22B82F66" w14:textId="77777777" w:rsidR="00C53F27" w:rsidRPr="0029195A" w:rsidRDefault="00C53F27">
            <w:pPr>
              <w:pStyle w:val="TableText0"/>
              <w:rPr>
                <w:sz w:val="20"/>
                <w:szCs w:val="28"/>
              </w:rPr>
            </w:pPr>
            <w:r w:rsidRPr="0029195A">
              <w:rPr>
                <w:sz w:val="20"/>
                <w:szCs w:val="28"/>
              </w:rPr>
              <w:t>Disease status</w:t>
            </w:r>
          </w:p>
        </w:tc>
      </w:tr>
      <w:tr w:rsidR="00C53F27" w:rsidRPr="0029195A" w14:paraId="0C248EB1" w14:textId="77777777" w:rsidTr="00533453">
        <w:trPr>
          <w:trHeight w:val="130"/>
        </w:trPr>
        <w:tc>
          <w:tcPr>
            <w:tcW w:w="1413" w:type="dxa"/>
            <w:vMerge/>
            <w:shd w:val="clear" w:color="auto" w:fill="auto"/>
          </w:tcPr>
          <w:p w14:paraId="6A2BE444" w14:textId="77777777" w:rsidR="00C53F27" w:rsidRPr="0029195A" w:rsidRDefault="00C53F27">
            <w:pPr>
              <w:pStyle w:val="Tabletextleft"/>
              <w:rPr>
                <w:rFonts w:ascii="Arial Narrow" w:hAnsi="Arial Narrow"/>
                <w:sz w:val="20"/>
              </w:rPr>
            </w:pPr>
          </w:p>
        </w:tc>
        <w:tc>
          <w:tcPr>
            <w:tcW w:w="1843" w:type="dxa"/>
            <w:shd w:val="clear" w:color="auto" w:fill="auto"/>
          </w:tcPr>
          <w:p w14:paraId="30E0F120" w14:textId="77777777" w:rsidR="00C53F27" w:rsidRPr="0029195A" w:rsidRDefault="00C53F27">
            <w:pPr>
              <w:pStyle w:val="TableText0"/>
              <w:rPr>
                <w:sz w:val="20"/>
                <w:szCs w:val="28"/>
              </w:rPr>
            </w:pPr>
            <w:r w:rsidRPr="0029195A">
              <w:rPr>
                <w:sz w:val="20"/>
                <w:szCs w:val="28"/>
              </w:rPr>
              <w:t>Newly diagnosed</w:t>
            </w:r>
          </w:p>
        </w:tc>
        <w:tc>
          <w:tcPr>
            <w:tcW w:w="1842" w:type="dxa"/>
            <w:shd w:val="clear" w:color="auto" w:fill="auto"/>
          </w:tcPr>
          <w:p w14:paraId="408F2C18" w14:textId="77777777" w:rsidR="00C53F27" w:rsidRPr="0029195A" w:rsidRDefault="00C53F27">
            <w:pPr>
              <w:pStyle w:val="TableText0"/>
              <w:jc w:val="center"/>
              <w:rPr>
                <w:sz w:val="20"/>
                <w:szCs w:val="28"/>
              </w:rPr>
            </w:pPr>
            <w:r w:rsidRPr="0029195A">
              <w:rPr>
                <w:sz w:val="20"/>
                <w:szCs w:val="28"/>
              </w:rPr>
              <w:t>70/115 (60.9)</w:t>
            </w:r>
          </w:p>
        </w:tc>
        <w:tc>
          <w:tcPr>
            <w:tcW w:w="1843" w:type="dxa"/>
            <w:shd w:val="clear" w:color="auto" w:fill="auto"/>
          </w:tcPr>
          <w:p w14:paraId="4F9B7BE5" w14:textId="77777777" w:rsidR="00C53F27" w:rsidRPr="0029195A" w:rsidRDefault="00C53F27">
            <w:pPr>
              <w:pStyle w:val="TableText0"/>
              <w:jc w:val="center"/>
              <w:rPr>
                <w:sz w:val="20"/>
                <w:szCs w:val="28"/>
              </w:rPr>
            </w:pPr>
            <w:r w:rsidRPr="0029195A">
              <w:rPr>
                <w:sz w:val="20"/>
                <w:szCs w:val="28"/>
              </w:rPr>
              <w:t>66/114 (57.9)</w:t>
            </w:r>
          </w:p>
        </w:tc>
        <w:tc>
          <w:tcPr>
            <w:tcW w:w="2076" w:type="dxa"/>
            <w:shd w:val="clear" w:color="auto" w:fill="auto"/>
            <w:vAlign w:val="center"/>
          </w:tcPr>
          <w:p w14:paraId="1AECDE9B" w14:textId="77777777" w:rsidR="00C53F27" w:rsidRPr="0029195A" w:rsidRDefault="00C53F27">
            <w:pPr>
              <w:pStyle w:val="TableText0"/>
              <w:jc w:val="center"/>
              <w:rPr>
                <w:sz w:val="20"/>
                <w:szCs w:val="28"/>
              </w:rPr>
            </w:pPr>
            <w:r w:rsidRPr="0029195A">
              <w:rPr>
                <w:rFonts w:cs="Times New Roman"/>
                <w:sz w:val="20"/>
                <w:szCs w:val="28"/>
              </w:rPr>
              <w:t>3.0 ( -9.7, 15.7)</w:t>
            </w:r>
          </w:p>
        </w:tc>
      </w:tr>
      <w:tr w:rsidR="00C53F27" w:rsidRPr="0029195A" w14:paraId="58AF1813" w14:textId="77777777" w:rsidTr="00533453">
        <w:trPr>
          <w:trHeight w:val="130"/>
        </w:trPr>
        <w:tc>
          <w:tcPr>
            <w:tcW w:w="1413" w:type="dxa"/>
            <w:vMerge/>
            <w:shd w:val="clear" w:color="auto" w:fill="auto"/>
          </w:tcPr>
          <w:p w14:paraId="7182E07C" w14:textId="77777777" w:rsidR="00C53F27" w:rsidRPr="0029195A" w:rsidRDefault="00C53F27">
            <w:pPr>
              <w:pStyle w:val="Tabletextleft"/>
              <w:rPr>
                <w:rFonts w:ascii="Arial Narrow" w:hAnsi="Arial Narrow"/>
                <w:sz w:val="20"/>
              </w:rPr>
            </w:pPr>
          </w:p>
        </w:tc>
        <w:tc>
          <w:tcPr>
            <w:tcW w:w="1843" w:type="dxa"/>
            <w:shd w:val="clear" w:color="auto" w:fill="auto"/>
          </w:tcPr>
          <w:p w14:paraId="44EADA20" w14:textId="77777777" w:rsidR="00C53F27" w:rsidRPr="0029195A" w:rsidRDefault="00C53F27">
            <w:pPr>
              <w:pStyle w:val="TableText0"/>
              <w:rPr>
                <w:sz w:val="20"/>
                <w:szCs w:val="28"/>
              </w:rPr>
            </w:pPr>
            <w:r w:rsidRPr="0029195A">
              <w:rPr>
                <w:sz w:val="20"/>
                <w:szCs w:val="28"/>
              </w:rPr>
              <w:t>Relapsed</w:t>
            </w:r>
          </w:p>
        </w:tc>
        <w:tc>
          <w:tcPr>
            <w:tcW w:w="1842" w:type="dxa"/>
            <w:shd w:val="clear" w:color="auto" w:fill="auto"/>
          </w:tcPr>
          <w:p w14:paraId="00BED8D1" w14:textId="77777777" w:rsidR="00C53F27" w:rsidRPr="0029195A" w:rsidRDefault="00C53F27">
            <w:pPr>
              <w:pStyle w:val="TableText0"/>
              <w:jc w:val="center"/>
              <w:rPr>
                <w:sz w:val="20"/>
                <w:szCs w:val="28"/>
              </w:rPr>
            </w:pPr>
            <w:r w:rsidRPr="0029195A">
              <w:rPr>
                <w:sz w:val="20"/>
                <w:szCs w:val="28"/>
              </w:rPr>
              <w:t>39/51 (76.5)</w:t>
            </w:r>
          </w:p>
        </w:tc>
        <w:tc>
          <w:tcPr>
            <w:tcW w:w="1843" w:type="dxa"/>
            <w:shd w:val="clear" w:color="auto" w:fill="auto"/>
          </w:tcPr>
          <w:p w14:paraId="34907F93" w14:textId="77777777" w:rsidR="00C53F27" w:rsidRPr="0029195A" w:rsidRDefault="00C53F27">
            <w:pPr>
              <w:pStyle w:val="TableText0"/>
              <w:jc w:val="center"/>
              <w:rPr>
                <w:sz w:val="20"/>
                <w:szCs w:val="28"/>
              </w:rPr>
            </w:pPr>
            <w:r w:rsidRPr="0029195A">
              <w:rPr>
                <w:sz w:val="20"/>
                <w:szCs w:val="28"/>
              </w:rPr>
              <w:t>24/50 (48.0)</w:t>
            </w:r>
          </w:p>
        </w:tc>
        <w:tc>
          <w:tcPr>
            <w:tcW w:w="2076" w:type="dxa"/>
            <w:shd w:val="clear" w:color="auto" w:fill="auto"/>
            <w:vAlign w:val="center"/>
          </w:tcPr>
          <w:p w14:paraId="267B0658" w14:textId="77777777" w:rsidR="00C53F27" w:rsidRPr="0029195A" w:rsidRDefault="00C53F27">
            <w:pPr>
              <w:pStyle w:val="TableText0"/>
              <w:jc w:val="center"/>
              <w:rPr>
                <w:sz w:val="20"/>
                <w:szCs w:val="28"/>
              </w:rPr>
            </w:pPr>
            <w:r w:rsidRPr="0029195A">
              <w:rPr>
                <w:rFonts w:cs="Times New Roman"/>
                <w:sz w:val="20"/>
                <w:szCs w:val="28"/>
              </w:rPr>
              <w:t>28.5 (10.4, 46.6)</w:t>
            </w:r>
          </w:p>
        </w:tc>
      </w:tr>
      <w:tr w:rsidR="00C53F27" w:rsidRPr="0029195A" w14:paraId="7412CCB4" w14:textId="77777777" w:rsidTr="00785385">
        <w:trPr>
          <w:trHeight w:val="130"/>
        </w:trPr>
        <w:tc>
          <w:tcPr>
            <w:tcW w:w="1413" w:type="dxa"/>
            <w:vMerge/>
            <w:shd w:val="clear" w:color="auto" w:fill="auto"/>
          </w:tcPr>
          <w:p w14:paraId="503B78A4" w14:textId="77777777" w:rsidR="00C53F27" w:rsidRPr="0029195A" w:rsidRDefault="00C53F27">
            <w:pPr>
              <w:pStyle w:val="Tabletextleft"/>
              <w:rPr>
                <w:rFonts w:ascii="Arial Narrow" w:hAnsi="Arial Narrow"/>
                <w:sz w:val="20"/>
              </w:rPr>
            </w:pPr>
          </w:p>
        </w:tc>
        <w:tc>
          <w:tcPr>
            <w:tcW w:w="7604" w:type="dxa"/>
            <w:gridSpan w:val="4"/>
            <w:shd w:val="clear" w:color="auto" w:fill="auto"/>
          </w:tcPr>
          <w:p w14:paraId="149004BF" w14:textId="77777777" w:rsidR="00C53F27" w:rsidRPr="0029195A" w:rsidRDefault="00C53F27">
            <w:pPr>
              <w:pStyle w:val="TableText0"/>
              <w:rPr>
                <w:sz w:val="20"/>
                <w:szCs w:val="28"/>
              </w:rPr>
            </w:pPr>
            <w:r w:rsidRPr="0029195A">
              <w:rPr>
                <w:sz w:val="20"/>
                <w:szCs w:val="28"/>
              </w:rPr>
              <w:t>AAV type</w:t>
            </w:r>
          </w:p>
        </w:tc>
      </w:tr>
      <w:tr w:rsidR="00C53F27" w:rsidRPr="0029195A" w14:paraId="305F8FE0" w14:textId="77777777" w:rsidTr="00533453">
        <w:trPr>
          <w:trHeight w:val="130"/>
        </w:trPr>
        <w:tc>
          <w:tcPr>
            <w:tcW w:w="1413" w:type="dxa"/>
            <w:vMerge/>
            <w:shd w:val="clear" w:color="auto" w:fill="auto"/>
          </w:tcPr>
          <w:p w14:paraId="104413DF" w14:textId="77777777" w:rsidR="00C53F27" w:rsidRPr="0029195A" w:rsidRDefault="00C53F27">
            <w:pPr>
              <w:pStyle w:val="Tabletextleft"/>
              <w:rPr>
                <w:rFonts w:ascii="Arial Narrow" w:hAnsi="Arial Narrow"/>
                <w:sz w:val="20"/>
              </w:rPr>
            </w:pPr>
          </w:p>
        </w:tc>
        <w:tc>
          <w:tcPr>
            <w:tcW w:w="1843" w:type="dxa"/>
            <w:shd w:val="clear" w:color="auto" w:fill="auto"/>
          </w:tcPr>
          <w:p w14:paraId="1EBB1CDE" w14:textId="77777777" w:rsidR="00C53F27" w:rsidRPr="0029195A" w:rsidRDefault="00C53F27">
            <w:pPr>
              <w:pStyle w:val="TableText0"/>
              <w:rPr>
                <w:sz w:val="20"/>
                <w:szCs w:val="28"/>
              </w:rPr>
            </w:pPr>
            <w:r w:rsidRPr="0029195A">
              <w:rPr>
                <w:sz w:val="20"/>
                <w:szCs w:val="28"/>
              </w:rPr>
              <w:t>GPA</w:t>
            </w:r>
          </w:p>
        </w:tc>
        <w:tc>
          <w:tcPr>
            <w:tcW w:w="1842" w:type="dxa"/>
            <w:shd w:val="clear" w:color="auto" w:fill="auto"/>
          </w:tcPr>
          <w:p w14:paraId="0B4F35BC" w14:textId="77777777" w:rsidR="00C53F27" w:rsidRPr="0029195A" w:rsidRDefault="00C53F27">
            <w:pPr>
              <w:pStyle w:val="TableText0"/>
              <w:jc w:val="center"/>
              <w:rPr>
                <w:sz w:val="20"/>
                <w:szCs w:val="28"/>
              </w:rPr>
            </w:pPr>
            <w:r w:rsidRPr="0029195A">
              <w:rPr>
                <w:sz w:val="20"/>
                <w:szCs w:val="28"/>
              </w:rPr>
              <w:t>56/91 (61.5)</w:t>
            </w:r>
          </w:p>
        </w:tc>
        <w:tc>
          <w:tcPr>
            <w:tcW w:w="1843" w:type="dxa"/>
            <w:shd w:val="clear" w:color="auto" w:fill="auto"/>
          </w:tcPr>
          <w:p w14:paraId="78CD32E7" w14:textId="77777777" w:rsidR="00C53F27" w:rsidRPr="0029195A" w:rsidRDefault="00C53F27">
            <w:pPr>
              <w:pStyle w:val="TableText0"/>
              <w:jc w:val="center"/>
              <w:rPr>
                <w:sz w:val="20"/>
                <w:szCs w:val="28"/>
              </w:rPr>
            </w:pPr>
            <w:r w:rsidRPr="0029195A">
              <w:rPr>
                <w:sz w:val="20"/>
                <w:szCs w:val="28"/>
              </w:rPr>
              <w:t>52/90 (57.8)</w:t>
            </w:r>
          </w:p>
        </w:tc>
        <w:tc>
          <w:tcPr>
            <w:tcW w:w="2076" w:type="dxa"/>
            <w:shd w:val="clear" w:color="auto" w:fill="auto"/>
            <w:vAlign w:val="center"/>
          </w:tcPr>
          <w:p w14:paraId="7326BE4D" w14:textId="77777777" w:rsidR="00C53F27" w:rsidRPr="0029195A" w:rsidRDefault="00C53F27">
            <w:pPr>
              <w:pStyle w:val="TableText0"/>
              <w:jc w:val="center"/>
              <w:rPr>
                <w:sz w:val="20"/>
                <w:szCs w:val="28"/>
              </w:rPr>
            </w:pPr>
            <w:r w:rsidRPr="0029195A">
              <w:rPr>
                <w:rFonts w:cs="Times New Roman"/>
                <w:sz w:val="20"/>
                <w:szCs w:val="28"/>
              </w:rPr>
              <w:t>3.8 ( -10.5, 18.0)</w:t>
            </w:r>
          </w:p>
        </w:tc>
      </w:tr>
      <w:tr w:rsidR="00C53F27" w:rsidRPr="0029195A" w14:paraId="29C0EEEE" w14:textId="77777777" w:rsidTr="00533453">
        <w:trPr>
          <w:trHeight w:val="130"/>
        </w:trPr>
        <w:tc>
          <w:tcPr>
            <w:tcW w:w="1413" w:type="dxa"/>
            <w:vMerge/>
            <w:shd w:val="clear" w:color="auto" w:fill="auto"/>
          </w:tcPr>
          <w:p w14:paraId="5D1F609C" w14:textId="77777777" w:rsidR="00C53F27" w:rsidRPr="0029195A" w:rsidRDefault="00C53F27">
            <w:pPr>
              <w:pStyle w:val="Tabletextleft"/>
              <w:rPr>
                <w:rFonts w:ascii="Arial Narrow" w:hAnsi="Arial Narrow"/>
                <w:sz w:val="20"/>
              </w:rPr>
            </w:pPr>
          </w:p>
        </w:tc>
        <w:tc>
          <w:tcPr>
            <w:tcW w:w="1843" w:type="dxa"/>
            <w:shd w:val="clear" w:color="auto" w:fill="auto"/>
          </w:tcPr>
          <w:p w14:paraId="17CA3184" w14:textId="77777777" w:rsidR="00C53F27" w:rsidRPr="0029195A" w:rsidRDefault="00C53F27">
            <w:pPr>
              <w:pStyle w:val="TableText0"/>
              <w:rPr>
                <w:sz w:val="20"/>
                <w:szCs w:val="28"/>
              </w:rPr>
            </w:pPr>
            <w:r w:rsidRPr="0029195A">
              <w:rPr>
                <w:sz w:val="20"/>
                <w:szCs w:val="28"/>
              </w:rPr>
              <w:t>MPA</w:t>
            </w:r>
          </w:p>
        </w:tc>
        <w:tc>
          <w:tcPr>
            <w:tcW w:w="1842" w:type="dxa"/>
            <w:shd w:val="clear" w:color="auto" w:fill="auto"/>
          </w:tcPr>
          <w:p w14:paraId="42DA5D8F" w14:textId="77777777" w:rsidR="00C53F27" w:rsidRPr="0029195A" w:rsidRDefault="00C53F27">
            <w:pPr>
              <w:pStyle w:val="TableText0"/>
              <w:jc w:val="center"/>
              <w:rPr>
                <w:sz w:val="20"/>
                <w:szCs w:val="28"/>
              </w:rPr>
            </w:pPr>
            <w:r w:rsidRPr="0029195A">
              <w:rPr>
                <w:sz w:val="20"/>
                <w:szCs w:val="28"/>
              </w:rPr>
              <w:t>53/75 (70.7)</w:t>
            </w:r>
          </w:p>
        </w:tc>
        <w:tc>
          <w:tcPr>
            <w:tcW w:w="1843" w:type="dxa"/>
            <w:shd w:val="clear" w:color="auto" w:fill="auto"/>
          </w:tcPr>
          <w:p w14:paraId="4E44112A" w14:textId="77777777" w:rsidR="00C53F27" w:rsidRPr="0029195A" w:rsidRDefault="00C53F27">
            <w:pPr>
              <w:pStyle w:val="TableText0"/>
              <w:jc w:val="center"/>
              <w:rPr>
                <w:sz w:val="20"/>
                <w:szCs w:val="28"/>
              </w:rPr>
            </w:pPr>
            <w:r w:rsidRPr="0029195A">
              <w:rPr>
                <w:sz w:val="20"/>
                <w:szCs w:val="28"/>
              </w:rPr>
              <w:t>38/74 (51.4)</w:t>
            </w:r>
          </w:p>
        </w:tc>
        <w:tc>
          <w:tcPr>
            <w:tcW w:w="2076" w:type="dxa"/>
            <w:shd w:val="clear" w:color="auto" w:fill="auto"/>
            <w:vAlign w:val="center"/>
          </w:tcPr>
          <w:p w14:paraId="24534669" w14:textId="77777777" w:rsidR="00C53F27" w:rsidRPr="0029195A" w:rsidRDefault="00C53F27">
            <w:pPr>
              <w:pStyle w:val="TableText0"/>
              <w:jc w:val="center"/>
              <w:rPr>
                <w:sz w:val="20"/>
                <w:szCs w:val="28"/>
              </w:rPr>
            </w:pPr>
            <w:r w:rsidRPr="0029195A">
              <w:rPr>
                <w:rFonts w:cs="Times New Roman"/>
                <w:sz w:val="20"/>
                <w:szCs w:val="28"/>
              </w:rPr>
              <w:t>19.3 (4.0, 34.7)</w:t>
            </w:r>
          </w:p>
        </w:tc>
      </w:tr>
      <w:tr w:rsidR="00C53F27" w:rsidRPr="0029195A" w14:paraId="6BFF268B" w14:textId="77777777" w:rsidTr="00785385">
        <w:trPr>
          <w:trHeight w:val="130"/>
        </w:trPr>
        <w:tc>
          <w:tcPr>
            <w:tcW w:w="1413" w:type="dxa"/>
            <w:vMerge/>
            <w:shd w:val="clear" w:color="auto" w:fill="auto"/>
          </w:tcPr>
          <w:p w14:paraId="699AF08F" w14:textId="77777777" w:rsidR="00C53F27" w:rsidRPr="0029195A" w:rsidRDefault="00C53F27">
            <w:pPr>
              <w:pStyle w:val="Tabletextleft"/>
              <w:rPr>
                <w:rFonts w:ascii="Arial Narrow" w:hAnsi="Arial Narrow"/>
                <w:sz w:val="20"/>
              </w:rPr>
            </w:pPr>
          </w:p>
        </w:tc>
        <w:tc>
          <w:tcPr>
            <w:tcW w:w="7604" w:type="dxa"/>
            <w:gridSpan w:val="4"/>
            <w:shd w:val="clear" w:color="auto" w:fill="auto"/>
          </w:tcPr>
          <w:p w14:paraId="780B7E74" w14:textId="77777777" w:rsidR="00C53F27" w:rsidRPr="0029195A" w:rsidRDefault="00C53F27">
            <w:pPr>
              <w:pStyle w:val="TableText0"/>
              <w:rPr>
                <w:sz w:val="20"/>
                <w:szCs w:val="28"/>
              </w:rPr>
            </w:pPr>
            <w:r w:rsidRPr="0029195A">
              <w:rPr>
                <w:sz w:val="20"/>
                <w:szCs w:val="28"/>
              </w:rPr>
              <w:t>Renal disease at baseline</w:t>
            </w:r>
          </w:p>
        </w:tc>
      </w:tr>
      <w:tr w:rsidR="00C53F27" w:rsidRPr="0029195A" w14:paraId="3FDF6330" w14:textId="77777777" w:rsidTr="00533453">
        <w:trPr>
          <w:trHeight w:val="130"/>
        </w:trPr>
        <w:tc>
          <w:tcPr>
            <w:tcW w:w="1413" w:type="dxa"/>
            <w:vMerge/>
            <w:shd w:val="clear" w:color="auto" w:fill="auto"/>
          </w:tcPr>
          <w:p w14:paraId="36768CD2" w14:textId="77777777" w:rsidR="00C53F27" w:rsidRPr="0029195A" w:rsidRDefault="00C53F27">
            <w:pPr>
              <w:pStyle w:val="Tabletextleft"/>
              <w:rPr>
                <w:rFonts w:ascii="Arial Narrow" w:hAnsi="Arial Narrow"/>
                <w:sz w:val="20"/>
              </w:rPr>
            </w:pPr>
          </w:p>
        </w:tc>
        <w:tc>
          <w:tcPr>
            <w:tcW w:w="1843" w:type="dxa"/>
            <w:shd w:val="clear" w:color="auto" w:fill="auto"/>
          </w:tcPr>
          <w:p w14:paraId="7D052489" w14:textId="77777777" w:rsidR="00C53F27" w:rsidRPr="0029195A" w:rsidRDefault="00C53F27">
            <w:pPr>
              <w:pStyle w:val="TableText0"/>
              <w:rPr>
                <w:sz w:val="20"/>
                <w:szCs w:val="28"/>
              </w:rPr>
            </w:pPr>
            <w:r w:rsidRPr="0029195A">
              <w:rPr>
                <w:sz w:val="20"/>
                <w:szCs w:val="28"/>
              </w:rPr>
              <w:t>With renal disease</w:t>
            </w:r>
          </w:p>
        </w:tc>
        <w:tc>
          <w:tcPr>
            <w:tcW w:w="1842" w:type="dxa"/>
            <w:shd w:val="clear" w:color="auto" w:fill="auto"/>
          </w:tcPr>
          <w:p w14:paraId="49578A37" w14:textId="77777777" w:rsidR="00C53F27" w:rsidRPr="0029195A" w:rsidRDefault="00C53F27">
            <w:pPr>
              <w:pStyle w:val="TableText0"/>
              <w:jc w:val="center"/>
              <w:rPr>
                <w:sz w:val="20"/>
                <w:szCs w:val="28"/>
              </w:rPr>
            </w:pPr>
            <w:r w:rsidRPr="0029195A">
              <w:rPr>
                <w:sz w:val="20"/>
                <w:szCs w:val="28"/>
              </w:rPr>
              <w:t>91/134 (67.9)</w:t>
            </w:r>
          </w:p>
        </w:tc>
        <w:tc>
          <w:tcPr>
            <w:tcW w:w="1843" w:type="dxa"/>
            <w:shd w:val="clear" w:color="auto" w:fill="auto"/>
          </w:tcPr>
          <w:p w14:paraId="3E5E2FEE" w14:textId="18F88666" w:rsidR="00C53F27" w:rsidRPr="0029195A" w:rsidRDefault="00DE3129">
            <w:pPr>
              <w:pStyle w:val="TableText0"/>
              <w:jc w:val="center"/>
              <w:rPr>
                <w:sz w:val="20"/>
                <w:szCs w:val="28"/>
              </w:rPr>
            </w:pPr>
            <w:r w:rsidRPr="0029195A">
              <w:rPr>
                <w:sz w:val="20"/>
                <w:szCs w:val="28"/>
              </w:rPr>
              <w:t>76/134 (56.7)</w:t>
            </w:r>
            <w:r w:rsidR="000E50E4" w:rsidRPr="0029195A">
              <w:rPr>
                <w:sz w:val="20"/>
                <w:szCs w:val="28"/>
              </w:rPr>
              <w:t>*</w:t>
            </w:r>
          </w:p>
        </w:tc>
        <w:tc>
          <w:tcPr>
            <w:tcW w:w="2076" w:type="dxa"/>
            <w:shd w:val="clear" w:color="auto" w:fill="auto"/>
            <w:vAlign w:val="center"/>
          </w:tcPr>
          <w:p w14:paraId="3E619008" w14:textId="77777777" w:rsidR="00C53F27" w:rsidRPr="0029195A" w:rsidRDefault="00C53F27">
            <w:pPr>
              <w:pStyle w:val="TableText0"/>
              <w:jc w:val="center"/>
              <w:rPr>
                <w:sz w:val="20"/>
                <w:szCs w:val="28"/>
              </w:rPr>
            </w:pPr>
            <w:r w:rsidRPr="0029195A">
              <w:rPr>
                <w:rFonts w:cs="Times New Roman"/>
                <w:sz w:val="20"/>
                <w:szCs w:val="28"/>
              </w:rPr>
              <w:t>11.2 ( -0.3, 22.7)</w:t>
            </w:r>
          </w:p>
        </w:tc>
      </w:tr>
      <w:tr w:rsidR="00C53F27" w:rsidRPr="0029195A" w14:paraId="237E2463" w14:textId="77777777" w:rsidTr="00533453">
        <w:trPr>
          <w:trHeight w:val="130"/>
        </w:trPr>
        <w:tc>
          <w:tcPr>
            <w:tcW w:w="1413" w:type="dxa"/>
            <w:vMerge/>
            <w:shd w:val="clear" w:color="auto" w:fill="auto"/>
          </w:tcPr>
          <w:p w14:paraId="77ED11EF" w14:textId="77777777" w:rsidR="00C53F27" w:rsidRPr="0029195A" w:rsidRDefault="00C53F27">
            <w:pPr>
              <w:pStyle w:val="Tabletextleft"/>
              <w:rPr>
                <w:rFonts w:ascii="Arial Narrow" w:hAnsi="Arial Narrow"/>
                <w:sz w:val="20"/>
              </w:rPr>
            </w:pPr>
          </w:p>
        </w:tc>
        <w:tc>
          <w:tcPr>
            <w:tcW w:w="1843" w:type="dxa"/>
            <w:shd w:val="clear" w:color="auto" w:fill="auto"/>
          </w:tcPr>
          <w:p w14:paraId="5CD5F46F" w14:textId="77777777" w:rsidR="00C53F27" w:rsidRPr="0029195A" w:rsidRDefault="00C53F27">
            <w:pPr>
              <w:pStyle w:val="TableText0"/>
              <w:rPr>
                <w:sz w:val="20"/>
                <w:szCs w:val="28"/>
              </w:rPr>
            </w:pPr>
            <w:r w:rsidRPr="0029195A">
              <w:rPr>
                <w:sz w:val="20"/>
                <w:szCs w:val="28"/>
              </w:rPr>
              <w:t>Without renal disease</w:t>
            </w:r>
          </w:p>
        </w:tc>
        <w:tc>
          <w:tcPr>
            <w:tcW w:w="1842" w:type="dxa"/>
            <w:shd w:val="clear" w:color="auto" w:fill="auto"/>
          </w:tcPr>
          <w:p w14:paraId="170F34D9" w14:textId="77777777" w:rsidR="00C53F27" w:rsidRPr="0029195A" w:rsidRDefault="00C53F27">
            <w:pPr>
              <w:pStyle w:val="TableText0"/>
              <w:jc w:val="center"/>
              <w:rPr>
                <w:sz w:val="20"/>
                <w:szCs w:val="28"/>
              </w:rPr>
            </w:pPr>
            <w:r w:rsidRPr="0029195A">
              <w:rPr>
                <w:sz w:val="20"/>
                <w:szCs w:val="28"/>
              </w:rPr>
              <w:t>18/32 (56.3)</w:t>
            </w:r>
          </w:p>
        </w:tc>
        <w:tc>
          <w:tcPr>
            <w:tcW w:w="1843" w:type="dxa"/>
            <w:shd w:val="clear" w:color="auto" w:fill="auto"/>
          </w:tcPr>
          <w:p w14:paraId="3D6B193C" w14:textId="1148C3DC" w:rsidR="00C53F27" w:rsidRPr="0029195A" w:rsidRDefault="00DE3129">
            <w:pPr>
              <w:pStyle w:val="TableText0"/>
              <w:jc w:val="center"/>
              <w:rPr>
                <w:sz w:val="20"/>
                <w:szCs w:val="28"/>
              </w:rPr>
            </w:pPr>
            <w:r w:rsidRPr="0029195A">
              <w:rPr>
                <w:sz w:val="20"/>
                <w:szCs w:val="28"/>
              </w:rPr>
              <w:t>14/30</w:t>
            </w:r>
            <w:r w:rsidR="00C53F27" w:rsidRPr="0029195A">
              <w:rPr>
                <w:sz w:val="20"/>
                <w:szCs w:val="28"/>
              </w:rPr>
              <w:t xml:space="preserve"> </w:t>
            </w:r>
            <w:r w:rsidRPr="0029195A">
              <w:rPr>
                <w:sz w:val="20"/>
                <w:szCs w:val="28"/>
              </w:rPr>
              <w:t>(46.7)</w:t>
            </w:r>
            <w:r w:rsidR="000E50E4" w:rsidRPr="0029195A">
              <w:rPr>
                <w:sz w:val="20"/>
                <w:szCs w:val="28"/>
              </w:rPr>
              <w:t>*</w:t>
            </w:r>
          </w:p>
        </w:tc>
        <w:tc>
          <w:tcPr>
            <w:tcW w:w="2076" w:type="dxa"/>
            <w:shd w:val="clear" w:color="auto" w:fill="auto"/>
            <w:vAlign w:val="center"/>
          </w:tcPr>
          <w:p w14:paraId="50B3F9AC" w14:textId="77777777" w:rsidR="00C53F27" w:rsidRPr="0029195A" w:rsidRDefault="00C53F27">
            <w:pPr>
              <w:pStyle w:val="TableText0"/>
              <w:jc w:val="center"/>
              <w:rPr>
                <w:sz w:val="20"/>
                <w:szCs w:val="28"/>
              </w:rPr>
            </w:pPr>
            <w:r w:rsidRPr="0029195A">
              <w:rPr>
                <w:rFonts w:cs="Times New Roman"/>
                <w:sz w:val="20"/>
                <w:szCs w:val="28"/>
              </w:rPr>
              <w:t>9.6 ( -15.2, 34.4)</w:t>
            </w:r>
          </w:p>
        </w:tc>
      </w:tr>
    </w:tbl>
    <w:p w14:paraId="7F13DDFE" w14:textId="015457EF" w:rsidR="003860BF" w:rsidRPr="0029195A" w:rsidRDefault="00C53F27" w:rsidP="003860BF">
      <w:pPr>
        <w:pStyle w:val="FooterTableFigure"/>
      </w:pPr>
      <w:r w:rsidRPr="0029195A">
        <w:t>Source: Table 2.21, p77 of the submission, Table 2.33, p97 of the submission, Table 14.2.2.9, pp340-341 of Attachment 9</w:t>
      </w:r>
      <w:r w:rsidR="003860BF" w:rsidRPr="0029195A">
        <w:t>, and corrected during the evaluation</w:t>
      </w:r>
      <w:r w:rsidR="000E50E4" w:rsidRPr="0029195A">
        <w:t xml:space="preserve"> (*)</w:t>
      </w:r>
      <w:r w:rsidR="003860BF" w:rsidRPr="0029195A">
        <w:t xml:space="preserve">. </w:t>
      </w:r>
    </w:p>
    <w:p w14:paraId="66C7B610" w14:textId="68BA8192" w:rsidR="00C53F27" w:rsidRPr="0029195A" w:rsidRDefault="00C53F27" w:rsidP="00C53F27">
      <w:pPr>
        <w:pStyle w:val="FooterTableFigure"/>
      </w:pPr>
      <w:r w:rsidRPr="0029195A">
        <w:t xml:space="preserve">Abbreviations: AAV, ANCA-associated vasculitis; ANCA, antineutrophil cytoplasmic autoantibody; CI, confidence interval; GPA, granulomatosis with polyangiitis; ITT, intent to treat; </w:t>
      </w:r>
      <w:r w:rsidR="003E53CD" w:rsidRPr="0029195A">
        <w:t>MPA, microscopic</w:t>
      </w:r>
      <w:r w:rsidRPr="0029195A">
        <w:t xml:space="preserve"> polyangiitis; MPO, myeloperoxidase; PR3, proteinase 3; SOC, standard of care. </w:t>
      </w:r>
    </w:p>
    <w:p w14:paraId="2B2C7B67" w14:textId="286DDA1D" w:rsidR="008974FA" w:rsidRPr="0029195A" w:rsidRDefault="00045D25" w:rsidP="007A6355">
      <w:pPr>
        <w:pStyle w:val="3-BodyText"/>
        <w:rPr>
          <w:i/>
        </w:rPr>
      </w:pPr>
      <w:bookmarkStart w:id="37" w:name="_Ref137721507"/>
      <w:r w:rsidRPr="0029195A">
        <w:t xml:space="preserve">The </w:t>
      </w:r>
      <w:r w:rsidR="00CE146F" w:rsidRPr="0029195A">
        <w:t>pre-specified</w:t>
      </w:r>
      <w:r w:rsidRPr="0029195A">
        <w:t xml:space="preserve"> subgroup analyses suggest that</w:t>
      </w:r>
      <w:r w:rsidR="004078C4" w:rsidRPr="0029195A">
        <w:t xml:space="preserve"> avacopan </w:t>
      </w:r>
      <w:r w:rsidRPr="0029195A">
        <w:t>+ SOC may not be as effective</w:t>
      </w:r>
      <w:r w:rsidR="004078C4" w:rsidRPr="0029195A">
        <w:t xml:space="preserve"> in achieving sustained remission </w:t>
      </w:r>
      <w:r w:rsidRPr="0029195A">
        <w:t xml:space="preserve">at Week 52 </w:t>
      </w:r>
      <w:r w:rsidR="004078C4" w:rsidRPr="0029195A">
        <w:t xml:space="preserve">compared </w:t>
      </w:r>
      <w:r w:rsidRPr="0029195A">
        <w:t>to</w:t>
      </w:r>
      <w:r w:rsidR="004078C4" w:rsidRPr="0029195A">
        <w:t xml:space="preserve"> prednisone </w:t>
      </w:r>
      <w:r w:rsidRPr="0029195A">
        <w:t>+ SOC for certain</w:t>
      </w:r>
      <w:r w:rsidR="004078C4" w:rsidRPr="0029195A">
        <w:t xml:space="preserve"> subgroups </w:t>
      </w:r>
      <w:r w:rsidRPr="0029195A">
        <w:t xml:space="preserve">including </w:t>
      </w:r>
      <w:r w:rsidR="00C53F27" w:rsidRPr="0029195A">
        <w:t xml:space="preserve">those who were receiving cyclophosphamide as part of their SOC regimen, those who tested positive for anti-PR3, newly diagnosed patients, and patients with GPA. </w:t>
      </w:r>
      <w:r w:rsidR="00C53F27" w:rsidRPr="0029195A">
        <w:rPr>
          <w:iCs/>
        </w:rPr>
        <w:t xml:space="preserve">Although these patients would be eligible for PBS listing, </w:t>
      </w:r>
      <w:r w:rsidR="0054032A" w:rsidRPr="0029195A">
        <w:rPr>
          <w:iCs/>
        </w:rPr>
        <w:t xml:space="preserve">these subgroups show </w:t>
      </w:r>
      <w:r w:rsidR="000431AB" w:rsidRPr="0029195A">
        <w:rPr>
          <w:iCs/>
        </w:rPr>
        <w:t>weaker</w:t>
      </w:r>
      <w:r w:rsidR="0054032A" w:rsidRPr="0029195A">
        <w:rPr>
          <w:iCs/>
        </w:rPr>
        <w:t xml:space="preserve"> treatment effect in achieving sustained remission </w:t>
      </w:r>
      <w:r w:rsidR="00C53F27" w:rsidRPr="0029195A">
        <w:rPr>
          <w:iCs/>
        </w:rPr>
        <w:t>from avacopan + SOC</w:t>
      </w:r>
      <w:r w:rsidR="0099404B" w:rsidRPr="0029195A">
        <w:rPr>
          <w:iCs/>
        </w:rPr>
        <w:t xml:space="preserve"> over the comparator</w:t>
      </w:r>
      <w:r w:rsidR="0029195A">
        <w:rPr>
          <w:iCs/>
        </w:rPr>
        <w:t xml:space="preserve">. </w:t>
      </w:r>
      <w:r w:rsidR="003860BF" w:rsidRPr="0029195A">
        <w:rPr>
          <w:iCs/>
        </w:rPr>
        <w:t>Furthermore</w:t>
      </w:r>
      <w:r w:rsidRPr="0029195A">
        <w:rPr>
          <w:iCs/>
        </w:rPr>
        <w:t>, t</w:t>
      </w:r>
      <w:r w:rsidR="00C53F27" w:rsidRPr="0029195A">
        <w:rPr>
          <w:iCs/>
        </w:rPr>
        <w:t xml:space="preserve">he proportion of patients with MPA in Australia is lower than in the ADVOCATE trial, which may lead to smaller treatment impact in the Australian setting. It is unclear what proportion of patients in Australia will receive rituximab or cyclophosphamide SOC in combination with avacopan, as well as the distribution of patients based on newly diagnosed versus relapsed, </w:t>
      </w:r>
      <w:r w:rsidR="0013699B" w:rsidRPr="0029195A">
        <w:rPr>
          <w:iCs/>
        </w:rPr>
        <w:t xml:space="preserve">and </w:t>
      </w:r>
      <w:r w:rsidR="00C53F27" w:rsidRPr="0029195A">
        <w:rPr>
          <w:iCs/>
        </w:rPr>
        <w:t>anti-PR3+ versus anti-MPO+</w:t>
      </w:r>
      <w:r w:rsidR="008F1FB3" w:rsidRPr="0029195A">
        <w:rPr>
          <w:iCs/>
        </w:rPr>
        <w:t xml:space="preserve">. </w:t>
      </w:r>
      <w:r w:rsidR="002D1D39" w:rsidRPr="0029195A">
        <w:rPr>
          <w:iCs/>
        </w:rPr>
        <w:t xml:space="preserve">The PSCR  noted that although these subgroups were pre-defined in ADVOCATE, the trial was not randomised, powered, or statistically gated to demonstrate differences across subgroups and argued that given the overlap across all subgroups no conclusions can be drawn from these data. The ESC considered the results for SOC treatment indicated that </w:t>
      </w:r>
      <w:r w:rsidR="002E5AEF" w:rsidRPr="0029195A">
        <w:rPr>
          <w:iCs/>
        </w:rPr>
        <w:t xml:space="preserve">for those receiving </w:t>
      </w:r>
      <w:r w:rsidR="002D1D39" w:rsidRPr="0029195A">
        <w:rPr>
          <w:iCs/>
        </w:rPr>
        <w:t>either azathioprine</w:t>
      </w:r>
      <w:r w:rsidR="00F10394" w:rsidRPr="0029195A">
        <w:rPr>
          <w:iCs/>
        </w:rPr>
        <w:t xml:space="preserve"> or </w:t>
      </w:r>
      <w:r w:rsidR="002D1D39" w:rsidRPr="0029195A">
        <w:rPr>
          <w:iCs/>
        </w:rPr>
        <w:t>mycophenolate mofetil for maintenance</w:t>
      </w:r>
      <w:r w:rsidR="002E5AEF" w:rsidRPr="0029195A">
        <w:rPr>
          <w:iCs/>
        </w:rPr>
        <w:t xml:space="preserve"> therapy (i.e. cyclophosphamide SOC) there </w:t>
      </w:r>
      <w:r w:rsidR="00F10394" w:rsidRPr="0029195A">
        <w:rPr>
          <w:iCs/>
        </w:rPr>
        <w:t xml:space="preserve">may be </w:t>
      </w:r>
      <w:r w:rsidR="002E5AEF" w:rsidRPr="0029195A">
        <w:rPr>
          <w:iCs/>
        </w:rPr>
        <w:t>no benefit in sustained remission at 52</w:t>
      </w:r>
      <w:r w:rsidR="008515B4">
        <w:rPr>
          <w:iCs/>
        </w:rPr>
        <w:t> </w:t>
      </w:r>
      <w:r w:rsidR="002E5AEF" w:rsidRPr="0029195A">
        <w:rPr>
          <w:iCs/>
        </w:rPr>
        <w:t xml:space="preserve">weeks with the addition of avacopan. The ESC considered the results for SOC indicated it was </w:t>
      </w:r>
      <w:r w:rsidR="002E5AEF" w:rsidRPr="0029195A">
        <w:rPr>
          <w:iCs/>
        </w:rPr>
        <w:lastRenderedPageBreak/>
        <w:t>likely that the modest 12.5% difference in the proportion of patients achieving sustained remission between the two treatment arms (see paragraph</w:t>
      </w:r>
      <w:r w:rsidR="0061340C" w:rsidRPr="0029195A">
        <w:rPr>
          <w:iCs/>
        </w:rPr>
        <w:t xml:space="preserve"> </w:t>
      </w:r>
      <w:r w:rsidR="0061340C" w:rsidRPr="0029195A">
        <w:rPr>
          <w:iCs/>
        </w:rPr>
        <w:fldChar w:fldCharType="begin" w:fldLock="1"/>
      </w:r>
      <w:r w:rsidR="0061340C" w:rsidRPr="0029195A">
        <w:rPr>
          <w:iCs/>
        </w:rPr>
        <w:instrText xml:space="preserve"> REF _Ref141693428 \r \h </w:instrText>
      </w:r>
      <w:r w:rsidR="0061340C" w:rsidRPr="0029195A">
        <w:rPr>
          <w:iCs/>
        </w:rPr>
      </w:r>
      <w:r w:rsidR="0061340C" w:rsidRPr="0029195A">
        <w:rPr>
          <w:iCs/>
        </w:rPr>
        <w:fldChar w:fldCharType="separate"/>
      </w:r>
      <w:r w:rsidR="00740D9D">
        <w:rPr>
          <w:iCs/>
        </w:rPr>
        <w:t>6.21</w:t>
      </w:r>
      <w:r w:rsidR="0061340C" w:rsidRPr="0029195A">
        <w:rPr>
          <w:iCs/>
        </w:rPr>
        <w:fldChar w:fldCharType="end"/>
      </w:r>
      <w:r w:rsidR="002E5AEF" w:rsidRPr="0029195A">
        <w:rPr>
          <w:iCs/>
        </w:rPr>
        <w:t xml:space="preserve">) was </w:t>
      </w:r>
      <w:r w:rsidR="00F10394" w:rsidRPr="0029195A">
        <w:rPr>
          <w:iCs/>
        </w:rPr>
        <w:t xml:space="preserve">likely </w:t>
      </w:r>
      <w:r w:rsidR="002E5AEF" w:rsidRPr="0029195A">
        <w:rPr>
          <w:iCs/>
        </w:rPr>
        <w:t>driven by those who were not on any maintenance therapy after rituximab.</w:t>
      </w:r>
      <w:bookmarkEnd w:id="37"/>
      <w:r w:rsidR="002D1D39" w:rsidRPr="0029195A">
        <w:rPr>
          <w:i/>
          <w:iCs/>
        </w:rPr>
        <w:t xml:space="preserve"> </w:t>
      </w:r>
    </w:p>
    <w:p w14:paraId="1D8A5279" w14:textId="6FF52F9B" w:rsidR="008974FA" w:rsidRPr="0029195A" w:rsidRDefault="008974FA" w:rsidP="008515B4">
      <w:pPr>
        <w:pStyle w:val="5-SubsectionSubheading"/>
      </w:pPr>
      <w:r w:rsidRPr="0029195A">
        <w:t>Secondary outcomes</w:t>
      </w:r>
    </w:p>
    <w:p w14:paraId="126BCF47" w14:textId="2B388715" w:rsidR="001F7506" w:rsidRPr="0029195A" w:rsidRDefault="008C2A48" w:rsidP="007A6355">
      <w:pPr>
        <w:pStyle w:val="3-BodyText"/>
      </w:pPr>
      <w:r w:rsidRPr="0029195A">
        <w:fldChar w:fldCharType="begin" w:fldLock="1"/>
      </w:r>
      <w:r w:rsidRPr="0029195A">
        <w:instrText xml:space="preserve"> REF _Ref132295259 \h </w:instrText>
      </w:r>
      <w:r w:rsidRPr="0029195A">
        <w:fldChar w:fldCharType="separate"/>
      </w:r>
      <w:r w:rsidR="00107C51" w:rsidRPr="0029195A">
        <w:t>Table 7</w:t>
      </w:r>
      <w:r w:rsidRPr="0029195A">
        <w:fldChar w:fldCharType="end"/>
      </w:r>
      <w:r w:rsidRPr="0029195A">
        <w:t xml:space="preserve"> </w:t>
      </w:r>
      <w:r w:rsidR="00B11F57" w:rsidRPr="0029195A">
        <w:t>presents the results of the secondary efficacy outcomes of GC-induced toxicity</w:t>
      </w:r>
      <w:r w:rsidR="006D5E00" w:rsidRPr="0029195A">
        <w:t>, health-related quality of life (HRQoL) based on EuroQuality of Life Domains-5 Levels (EQ-5D-5L), relapse and changes in parameters of renal disease in patients with</w:t>
      </w:r>
      <w:r w:rsidR="004B04DA" w:rsidRPr="0029195A">
        <w:t xml:space="preserve"> renal disease from the ADVOCATE trial.</w:t>
      </w:r>
      <w:r w:rsidR="001F7506" w:rsidRPr="0029195A">
        <w:t xml:space="preserve"> The extent of missing data was potentially important for several secondary outcomes in the ADVOCATE trial, including GC-induced toxicity, HRQoL, and changes in parameters of renal disease, with rates ranging from 6.7% to 20.9% depending on the treatment group and outcome measure.</w:t>
      </w:r>
    </w:p>
    <w:p w14:paraId="6FE06C65" w14:textId="2DC902F0" w:rsidR="00C53F27" w:rsidRPr="0029195A" w:rsidRDefault="00C53F27" w:rsidP="008515B4">
      <w:pPr>
        <w:pStyle w:val="Caption"/>
        <w:pageBreakBefore/>
        <w:contextualSpacing/>
        <w:jc w:val="left"/>
        <w:rPr>
          <w:rStyle w:val="CommentReference"/>
          <w:b/>
          <w:szCs w:val="18"/>
        </w:rPr>
      </w:pPr>
      <w:bookmarkStart w:id="38" w:name="_Ref132295259"/>
      <w:r w:rsidRPr="0029195A">
        <w:lastRenderedPageBreak/>
        <w:t xml:space="preserve">Table </w:t>
      </w:r>
      <w:r w:rsidRPr="0029195A">
        <w:fldChar w:fldCharType="begin" w:fldLock="1"/>
      </w:r>
      <w:r w:rsidRPr="0029195A">
        <w:instrText>SEQ Table \* ARABIC</w:instrText>
      </w:r>
      <w:r w:rsidRPr="0029195A">
        <w:fldChar w:fldCharType="separate"/>
      </w:r>
      <w:r w:rsidR="00631406" w:rsidRPr="0029195A">
        <w:t>7</w:t>
      </w:r>
      <w:r w:rsidRPr="0029195A">
        <w:fldChar w:fldCharType="end"/>
      </w:r>
      <w:bookmarkEnd w:id="38"/>
      <w:r w:rsidRPr="0029195A">
        <w:rPr>
          <w:rStyle w:val="CommentReference"/>
          <w:b/>
          <w:szCs w:val="24"/>
        </w:rPr>
        <w:t xml:space="preserve">: Results of secondary outcomes in the ADVOCATE trial (ITT population) </w:t>
      </w:r>
    </w:p>
    <w:tbl>
      <w:tblPr>
        <w:tblStyle w:val="TableGrid"/>
        <w:tblpPr w:leftFromText="181" w:rightFromText="181" w:vertAnchor="text" w:tblpY="1"/>
        <w:tblW w:w="9016" w:type="dxa"/>
        <w:tblLook w:val="04A0" w:firstRow="1" w:lastRow="0" w:firstColumn="1" w:lastColumn="0" w:noHBand="0" w:noVBand="1"/>
      </w:tblPr>
      <w:tblGrid>
        <w:gridCol w:w="2972"/>
        <w:gridCol w:w="1511"/>
        <w:gridCol w:w="1511"/>
        <w:gridCol w:w="1511"/>
        <w:gridCol w:w="1511"/>
      </w:tblGrid>
      <w:tr w:rsidR="00C53F27" w:rsidRPr="0029195A" w14:paraId="6580CEBF" w14:textId="77777777" w:rsidTr="008515B4">
        <w:trPr>
          <w:cantSplit/>
        </w:trPr>
        <w:tc>
          <w:tcPr>
            <w:tcW w:w="2972" w:type="dxa"/>
            <w:vAlign w:val="center"/>
          </w:tcPr>
          <w:p w14:paraId="0FAB4FC3" w14:textId="77777777" w:rsidR="00C53F27" w:rsidRPr="0029195A" w:rsidRDefault="00C53F27" w:rsidP="008515B4">
            <w:pPr>
              <w:pStyle w:val="TableText0"/>
              <w:keepLines/>
              <w:contextualSpacing/>
              <w:rPr>
                <w:b/>
              </w:rPr>
            </w:pPr>
            <w:r w:rsidRPr="0029195A">
              <w:rPr>
                <w:b/>
              </w:rPr>
              <w:t>Outcome</w:t>
            </w:r>
          </w:p>
        </w:tc>
        <w:tc>
          <w:tcPr>
            <w:tcW w:w="1511" w:type="dxa"/>
            <w:vAlign w:val="center"/>
          </w:tcPr>
          <w:p w14:paraId="3A1FA310" w14:textId="77777777" w:rsidR="00C53F27" w:rsidRPr="0029195A" w:rsidRDefault="00C53F27" w:rsidP="008515B4">
            <w:pPr>
              <w:pStyle w:val="TableText0"/>
              <w:keepLines/>
              <w:contextualSpacing/>
              <w:jc w:val="center"/>
              <w:rPr>
                <w:b/>
              </w:rPr>
            </w:pPr>
            <w:r w:rsidRPr="0029195A">
              <w:rPr>
                <w:b/>
              </w:rPr>
              <w:t>Avacopan + SOC</w:t>
            </w:r>
          </w:p>
          <w:p w14:paraId="6ABF71A1" w14:textId="77777777" w:rsidR="00C53F27" w:rsidRPr="0029195A" w:rsidRDefault="00C53F27" w:rsidP="008515B4">
            <w:pPr>
              <w:pStyle w:val="TableText0"/>
              <w:keepLines/>
              <w:contextualSpacing/>
              <w:jc w:val="center"/>
              <w:rPr>
                <w:b/>
              </w:rPr>
            </w:pPr>
            <w:r w:rsidRPr="0029195A">
              <w:rPr>
                <w:b/>
              </w:rPr>
              <w:t>(N=166)</w:t>
            </w:r>
          </w:p>
        </w:tc>
        <w:tc>
          <w:tcPr>
            <w:tcW w:w="1511" w:type="dxa"/>
            <w:vAlign w:val="center"/>
          </w:tcPr>
          <w:p w14:paraId="4D771F01" w14:textId="77777777" w:rsidR="00C53F27" w:rsidRPr="0029195A" w:rsidRDefault="00C53F27" w:rsidP="008515B4">
            <w:pPr>
              <w:pStyle w:val="TableText0"/>
              <w:keepLines/>
              <w:contextualSpacing/>
              <w:jc w:val="center"/>
              <w:rPr>
                <w:b/>
              </w:rPr>
            </w:pPr>
            <w:r w:rsidRPr="0029195A">
              <w:rPr>
                <w:b/>
              </w:rPr>
              <w:t>Prednisone + SOC</w:t>
            </w:r>
          </w:p>
          <w:p w14:paraId="6DED4A51" w14:textId="77777777" w:rsidR="00C53F27" w:rsidRPr="0029195A" w:rsidRDefault="00C53F27" w:rsidP="008515B4">
            <w:pPr>
              <w:pStyle w:val="TableText0"/>
              <w:keepLines/>
              <w:contextualSpacing/>
              <w:jc w:val="center"/>
              <w:rPr>
                <w:b/>
              </w:rPr>
            </w:pPr>
            <w:r w:rsidRPr="0029195A">
              <w:rPr>
                <w:b/>
              </w:rPr>
              <w:t>(N=164)</w:t>
            </w:r>
          </w:p>
        </w:tc>
        <w:tc>
          <w:tcPr>
            <w:tcW w:w="1511" w:type="dxa"/>
            <w:vAlign w:val="center"/>
          </w:tcPr>
          <w:p w14:paraId="43490747" w14:textId="77777777" w:rsidR="00C53F27" w:rsidRPr="0029195A" w:rsidRDefault="00C53F27" w:rsidP="008515B4">
            <w:pPr>
              <w:pStyle w:val="TableText0"/>
              <w:keepLines/>
              <w:contextualSpacing/>
              <w:jc w:val="center"/>
              <w:rPr>
                <w:b/>
              </w:rPr>
            </w:pPr>
            <w:r w:rsidRPr="0029195A">
              <w:rPr>
                <w:b/>
              </w:rPr>
              <w:t>Treatment difference % (95% CI)</w:t>
            </w:r>
          </w:p>
        </w:tc>
        <w:tc>
          <w:tcPr>
            <w:tcW w:w="1511" w:type="dxa"/>
            <w:vAlign w:val="center"/>
          </w:tcPr>
          <w:p w14:paraId="63A90063" w14:textId="77777777" w:rsidR="00C53F27" w:rsidRPr="0029195A" w:rsidRDefault="00C53F27" w:rsidP="008515B4">
            <w:pPr>
              <w:pStyle w:val="TableText0"/>
              <w:keepLines/>
              <w:contextualSpacing/>
              <w:jc w:val="center"/>
              <w:rPr>
                <w:b/>
              </w:rPr>
            </w:pPr>
            <w:r w:rsidRPr="0029195A">
              <w:rPr>
                <w:b/>
              </w:rPr>
              <w:t>P-value</w:t>
            </w:r>
          </w:p>
        </w:tc>
      </w:tr>
      <w:tr w:rsidR="00C53F27" w:rsidRPr="0029195A" w14:paraId="21F48076" w14:textId="77777777" w:rsidTr="008515B4">
        <w:trPr>
          <w:cantSplit/>
        </w:trPr>
        <w:tc>
          <w:tcPr>
            <w:tcW w:w="9016" w:type="dxa"/>
            <w:gridSpan w:val="5"/>
            <w:vAlign w:val="center"/>
          </w:tcPr>
          <w:p w14:paraId="19886E19" w14:textId="77777777" w:rsidR="00C53F27" w:rsidRPr="0029195A" w:rsidRDefault="00C53F27" w:rsidP="008515B4">
            <w:pPr>
              <w:pStyle w:val="TableText0"/>
              <w:keepLines/>
              <w:contextualSpacing/>
              <w:rPr>
                <w:bCs w:val="0"/>
              </w:rPr>
            </w:pPr>
            <w:r w:rsidRPr="0029195A">
              <w:t>GC-induced toxicity</w:t>
            </w:r>
          </w:p>
        </w:tc>
      </w:tr>
      <w:tr w:rsidR="00C53F27" w:rsidRPr="0029195A" w14:paraId="0E0B2846" w14:textId="77777777" w:rsidTr="008515B4">
        <w:trPr>
          <w:cantSplit/>
        </w:trPr>
        <w:tc>
          <w:tcPr>
            <w:tcW w:w="2972" w:type="dxa"/>
            <w:vAlign w:val="center"/>
          </w:tcPr>
          <w:p w14:paraId="3BF0FE5E" w14:textId="77777777" w:rsidR="00C53F27" w:rsidRPr="0029195A" w:rsidRDefault="00C53F27" w:rsidP="008515B4">
            <w:pPr>
              <w:pStyle w:val="TableText0"/>
              <w:keepLines/>
              <w:contextualSpacing/>
              <w:rPr>
                <w:b/>
              </w:rPr>
            </w:pPr>
            <w:r w:rsidRPr="0029195A">
              <w:rPr>
                <w:b/>
              </w:rPr>
              <w:t xml:space="preserve">GTI-CWS (Week 13), LSM ± SE </w:t>
            </w:r>
            <w:r w:rsidRPr="0029195A">
              <w:rPr>
                <w:rFonts w:cs="Times New Roman"/>
                <w:b/>
                <w:szCs w:val="20"/>
              </w:rPr>
              <w:t xml:space="preserve"> </w:t>
            </w:r>
          </w:p>
        </w:tc>
        <w:tc>
          <w:tcPr>
            <w:tcW w:w="1511" w:type="dxa"/>
            <w:vAlign w:val="center"/>
          </w:tcPr>
          <w:p w14:paraId="275B2B46" w14:textId="77777777" w:rsidR="00C53F27" w:rsidRPr="0029195A" w:rsidRDefault="00C53F27" w:rsidP="008515B4">
            <w:pPr>
              <w:pStyle w:val="TableText0"/>
              <w:keepLines/>
              <w:contextualSpacing/>
              <w:jc w:val="center"/>
              <w:rPr>
                <w:b/>
              </w:rPr>
            </w:pPr>
            <w:r w:rsidRPr="0029195A">
              <w:rPr>
                <w:b/>
              </w:rPr>
              <w:t>25.7 ± 3.4</w:t>
            </w:r>
          </w:p>
          <w:p w14:paraId="6F97EF13" w14:textId="77777777" w:rsidR="00C53F27" w:rsidRPr="0029195A" w:rsidRDefault="00C53F27" w:rsidP="008515B4">
            <w:pPr>
              <w:pStyle w:val="TableText0"/>
              <w:keepLines/>
              <w:contextualSpacing/>
              <w:jc w:val="center"/>
              <w:rPr>
                <w:b/>
              </w:rPr>
            </w:pPr>
            <w:r w:rsidRPr="0029195A">
              <w:rPr>
                <w:b/>
              </w:rPr>
              <w:t>(n=160)</w:t>
            </w:r>
          </w:p>
        </w:tc>
        <w:tc>
          <w:tcPr>
            <w:tcW w:w="1511" w:type="dxa"/>
            <w:vAlign w:val="center"/>
          </w:tcPr>
          <w:p w14:paraId="32BB9328" w14:textId="77777777" w:rsidR="00C53F27" w:rsidRPr="0029195A" w:rsidRDefault="00C53F27" w:rsidP="008515B4">
            <w:pPr>
              <w:pStyle w:val="TableText0"/>
              <w:keepLines/>
              <w:contextualSpacing/>
              <w:jc w:val="center"/>
              <w:rPr>
                <w:b/>
              </w:rPr>
            </w:pPr>
            <w:r w:rsidRPr="0029195A">
              <w:rPr>
                <w:b/>
              </w:rPr>
              <w:t>36.6 ± 3.4</w:t>
            </w:r>
          </w:p>
          <w:p w14:paraId="610924B2" w14:textId="77777777" w:rsidR="00C53F27" w:rsidRPr="0029195A" w:rsidRDefault="00C53F27" w:rsidP="008515B4">
            <w:pPr>
              <w:pStyle w:val="TableText0"/>
              <w:keepLines/>
              <w:contextualSpacing/>
              <w:jc w:val="center"/>
              <w:rPr>
                <w:b/>
              </w:rPr>
            </w:pPr>
            <w:r w:rsidRPr="0029195A">
              <w:rPr>
                <w:b/>
              </w:rPr>
              <w:t>(n=161)</w:t>
            </w:r>
          </w:p>
        </w:tc>
        <w:tc>
          <w:tcPr>
            <w:tcW w:w="1511" w:type="dxa"/>
            <w:vAlign w:val="center"/>
          </w:tcPr>
          <w:p w14:paraId="36D19F39" w14:textId="77777777" w:rsidR="00C53F27" w:rsidRPr="0029195A" w:rsidRDefault="00C53F27" w:rsidP="008515B4">
            <w:pPr>
              <w:pStyle w:val="TableText0"/>
              <w:keepLines/>
              <w:contextualSpacing/>
              <w:jc w:val="center"/>
              <w:rPr>
                <w:b/>
              </w:rPr>
            </w:pPr>
            <w:r w:rsidRPr="0029195A">
              <w:rPr>
                <w:b/>
              </w:rPr>
              <w:t xml:space="preserve">-11.0 </w:t>
            </w:r>
            <w:r w:rsidRPr="0029195A">
              <w:rPr>
                <w:b/>
              </w:rPr>
              <w:br/>
              <w:t>(−19.7, −2.2)</w:t>
            </w:r>
          </w:p>
        </w:tc>
        <w:tc>
          <w:tcPr>
            <w:tcW w:w="1511" w:type="dxa"/>
            <w:vAlign w:val="center"/>
          </w:tcPr>
          <w:p w14:paraId="22D63064" w14:textId="77777777" w:rsidR="00C53F27" w:rsidRPr="0029195A" w:rsidRDefault="00C53F27" w:rsidP="008515B4">
            <w:pPr>
              <w:pStyle w:val="TableText0"/>
              <w:keepLines/>
              <w:contextualSpacing/>
              <w:jc w:val="center"/>
              <w:rPr>
                <w:b/>
              </w:rPr>
            </w:pPr>
            <w:r w:rsidRPr="0029195A">
              <w:rPr>
                <w:b/>
              </w:rPr>
              <w:t>0.0140</w:t>
            </w:r>
          </w:p>
        </w:tc>
      </w:tr>
      <w:tr w:rsidR="00C53F27" w:rsidRPr="0029195A" w14:paraId="21BFAB53" w14:textId="77777777" w:rsidTr="008515B4">
        <w:trPr>
          <w:cantSplit/>
        </w:trPr>
        <w:tc>
          <w:tcPr>
            <w:tcW w:w="2972" w:type="dxa"/>
            <w:vAlign w:val="center"/>
          </w:tcPr>
          <w:p w14:paraId="5D14C4E4" w14:textId="77777777" w:rsidR="00C53F27" w:rsidRPr="0029195A" w:rsidRDefault="00C53F27" w:rsidP="008515B4">
            <w:pPr>
              <w:pStyle w:val="TableText0"/>
              <w:keepLines/>
              <w:contextualSpacing/>
              <w:rPr>
                <w:b/>
              </w:rPr>
            </w:pPr>
            <w:r w:rsidRPr="0029195A">
              <w:rPr>
                <w:b/>
              </w:rPr>
              <w:t xml:space="preserve">GTI-CWS (Week 26), LSM ± SE </w:t>
            </w:r>
            <w:r w:rsidRPr="0029195A">
              <w:rPr>
                <w:rFonts w:cs="Times New Roman"/>
                <w:b/>
                <w:szCs w:val="20"/>
              </w:rPr>
              <w:t xml:space="preserve"> </w:t>
            </w:r>
          </w:p>
        </w:tc>
        <w:tc>
          <w:tcPr>
            <w:tcW w:w="1511" w:type="dxa"/>
            <w:vAlign w:val="center"/>
          </w:tcPr>
          <w:p w14:paraId="00D25944" w14:textId="77777777" w:rsidR="00C53F27" w:rsidRPr="0029195A" w:rsidRDefault="00C53F27" w:rsidP="008515B4">
            <w:pPr>
              <w:pStyle w:val="TableText0"/>
              <w:keepLines/>
              <w:contextualSpacing/>
              <w:jc w:val="center"/>
              <w:rPr>
                <w:b/>
              </w:rPr>
            </w:pPr>
            <w:r w:rsidRPr="0029195A">
              <w:rPr>
                <w:b/>
              </w:rPr>
              <w:t>39.7 ± 3.4</w:t>
            </w:r>
          </w:p>
          <w:p w14:paraId="20B7318A" w14:textId="77777777" w:rsidR="00C53F27" w:rsidRPr="0029195A" w:rsidRDefault="00C53F27" w:rsidP="008515B4">
            <w:pPr>
              <w:pStyle w:val="TableText0"/>
              <w:keepLines/>
              <w:contextualSpacing/>
              <w:jc w:val="center"/>
              <w:rPr>
                <w:b/>
              </w:rPr>
            </w:pPr>
            <w:r w:rsidRPr="0029195A">
              <w:rPr>
                <w:b/>
              </w:rPr>
              <w:t>(n=154)</w:t>
            </w:r>
          </w:p>
        </w:tc>
        <w:tc>
          <w:tcPr>
            <w:tcW w:w="1511" w:type="dxa"/>
            <w:vAlign w:val="center"/>
          </w:tcPr>
          <w:p w14:paraId="2EF43894" w14:textId="77777777" w:rsidR="00C53F27" w:rsidRPr="0029195A" w:rsidRDefault="00C53F27" w:rsidP="008515B4">
            <w:pPr>
              <w:pStyle w:val="TableText0"/>
              <w:keepLines/>
              <w:contextualSpacing/>
              <w:jc w:val="center"/>
              <w:rPr>
                <w:b/>
              </w:rPr>
            </w:pPr>
            <w:r w:rsidRPr="0029195A">
              <w:rPr>
                <w:b/>
              </w:rPr>
              <w:t>56.6 ± 3.4</w:t>
            </w:r>
          </w:p>
          <w:p w14:paraId="6A2B42A5" w14:textId="77777777" w:rsidR="00C53F27" w:rsidRPr="0029195A" w:rsidRDefault="00C53F27" w:rsidP="008515B4">
            <w:pPr>
              <w:pStyle w:val="TableText0"/>
              <w:keepLines/>
              <w:contextualSpacing/>
              <w:jc w:val="center"/>
              <w:rPr>
                <w:b/>
              </w:rPr>
            </w:pPr>
            <w:r w:rsidRPr="0029195A">
              <w:rPr>
                <w:b/>
              </w:rPr>
              <w:t>(n=153)</w:t>
            </w:r>
          </w:p>
        </w:tc>
        <w:tc>
          <w:tcPr>
            <w:tcW w:w="1511" w:type="dxa"/>
            <w:vAlign w:val="center"/>
          </w:tcPr>
          <w:p w14:paraId="18A890F8" w14:textId="77777777" w:rsidR="00C53F27" w:rsidRPr="0029195A" w:rsidRDefault="00C53F27" w:rsidP="008515B4">
            <w:pPr>
              <w:pStyle w:val="TableText0"/>
              <w:keepLines/>
              <w:contextualSpacing/>
              <w:jc w:val="center"/>
              <w:rPr>
                <w:b/>
              </w:rPr>
            </w:pPr>
            <w:r w:rsidRPr="0029195A">
              <w:rPr>
                <w:b/>
              </w:rPr>
              <w:t xml:space="preserve">−16.8 </w:t>
            </w:r>
            <w:r w:rsidRPr="0029195A">
              <w:rPr>
                <w:b/>
              </w:rPr>
              <w:br/>
              <w:t>(−25.6, −8.0)</w:t>
            </w:r>
          </w:p>
        </w:tc>
        <w:tc>
          <w:tcPr>
            <w:tcW w:w="1511" w:type="dxa"/>
            <w:vAlign w:val="center"/>
          </w:tcPr>
          <w:p w14:paraId="15CE2DCC" w14:textId="77777777" w:rsidR="00C53F27" w:rsidRPr="0029195A" w:rsidRDefault="00C53F27" w:rsidP="008515B4">
            <w:pPr>
              <w:pStyle w:val="TableText0"/>
              <w:keepLines/>
              <w:contextualSpacing/>
              <w:jc w:val="center"/>
              <w:rPr>
                <w:b/>
              </w:rPr>
            </w:pPr>
            <w:r w:rsidRPr="0029195A">
              <w:rPr>
                <w:b/>
              </w:rPr>
              <w:t>0.0002</w:t>
            </w:r>
          </w:p>
        </w:tc>
      </w:tr>
      <w:tr w:rsidR="00C53F27" w:rsidRPr="0029195A" w14:paraId="4F32AA64" w14:textId="77777777" w:rsidTr="008515B4">
        <w:trPr>
          <w:cantSplit/>
        </w:trPr>
        <w:tc>
          <w:tcPr>
            <w:tcW w:w="2972" w:type="dxa"/>
            <w:vAlign w:val="center"/>
          </w:tcPr>
          <w:p w14:paraId="511C5C2E" w14:textId="77777777" w:rsidR="00C53F27" w:rsidRPr="0029195A" w:rsidRDefault="00C53F27" w:rsidP="008515B4">
            <w:pPr>
              <w:pStyle w:val="TableText0"/>
              <w:keepLines/>
              <w:contextualSpacing/>
              <w:rPr>
                <w:b/>
              </w:rPr>
            </w:pPr>
            <w:r w:rsidRPr="0029195A">
              <w:rPr>
                <w:b/>
              </w:rPr>
              <w:t xml:space="preserve">GTI-AIS (Week 13), LSM ± SE </w:t>
            </w:r>
            <w:r w:rsidRPr="0029195A">
              <w:rPr>
                <w:rFonts w:cs="Times New Roman"/>
                <w:b/>
                <w:szCs w:val="20"/>
              </w:rPr>
              <w:t xml:space="preserve"> </w:t>
            </w:r>
          </w:p>
        </w:tc>
        <w:tc>
          <w:tcPr>
            <w:tcW w:w="1511" w:type="dxa"/>
            <w:vAlign w:val="center"/>
          </w:tcPr>
          <w:p w14:paraId="4809200F" w14:textId="77777777" w:rsidR="00C53F27" w:rsidRPr="0029195A" w:rsidRDefault="00C53F27" w:rsidP="008515B4">
            <w:pPr>
              <w:pStyle w:val="TableText0"/>
              <w:keepLines/>
              <w:contextualSpacing/>
              <w:jc w:val="center"/>
              <w:rPr>
                <w:b/>
              </w:rPr>
            </w:pPr>
            <w:r w:rsidRPr="0029195A">
              <w:rPr>
                <w:b/>
              </w:rPr>
              <w:t>9.9 ± 3.4</w:t>
            </w:r>
          </w:p>
          <w:p w14:paraId="211FC701" w14:textId="77777777" w:rsidR="00C53F27" w:rsidRPr="0029195A" w:rsidRDefault="00C53F27" w:rsidP="008515B4">
            <w:pPr>
              <w:pStyle w:val="TableText0"/>
              <w:keepLines/>
              <w:contextualSpacing/>
              <w:jc w:val="center"/>
              <w:rPr>
                <w:b/>
              </w:rPr>
            </w:pPr>
            <w:r w:rsidRPr="0029195A">
              <w:rPr>
                <w:b/>
              </w:rPr>
              <w:t>(n=160)</w:t>
            </w:r>
          </w:p>
        </w:tc>
        <w:tc>
          <w:tcPr>
            <w:tcW w:w="1511" w:type="dxa"/>
            <w:vAlign w:val="center"/>
          </w:tcPr>
          <w:p w14:paraId="5B2225E3" w14:textId="77777777" w:rsidR="00C53F27" w:rsidRPr="0029195A" w:rsidRDefault="00C53F27" w:rsidP="008515B4">
            <w:pPr>
              <w:pStyle w:val="TableText0"/>
              <w:keepLines/>
              <w:contextualSpacing/>
              <w:jc w:val="center"/>
              <w:rPr>
                <w:b/>
              </w:rPr>
            </w:pPr>
            <w:r w:rsidRPr="0029195A">
              <w:rPr>
                <w:b/>
              </w:rPr>
              <w:t>23.2 ± 3.5</w:t>
            </w:r>
          </w:p>
          <w:p w14:paraId="48145BF7" w14:textId="77777777" w:rsidR="00C53F27" w:rsidRPr="0029195A" w:rsidRDefault="00C53F27" w:rsidP="008515B4">
            <w:pPr>
              <w:pStyle w:val="TableText0"/>
              <w:keepLines/>
              <w:contextualSpacing/>
              <w:jc w:val="center"/>
              <w:rPr>
                <w:b/>
              </w:rPr>
            </w:pPr>
            <w:r w:rsidRPr="0029195A">
              <w:rPr>
                <w:b/>
              </w:rPr>
              <w:t>(n=161)</w:t>
            </w:r>
          </w:p>
        </w:tc>
        <w:tc>
          <w:tcPr>
            <w:tcW w:w="1511" w:type="dxa"/>
            <w:vAlign w:val="center"/>
          </w:tcPr>
          <w:p w14:paraId="5018FF27" w14:textId="77777777" w:rsidR="00C53F27" w:rsidRPr="0029195A" w:rsidRDefault="00C53F27" w:rsidP="008515B4">
            <w:pPr>
              <w:pStyle w:val="TableText0"/>
              <w:keepLines/>
              <w:contextualSpacing/>
              <w:jc w:val="center"/>
              <w:rPr>
                <w:b/>
              </w:rPr>
            </w:pPr>
            <w:r w:rsidRPr="0029195A">
              <w:rPr>
                <w:b/>
              </w:rPr>
              <w:t xml:space="preserve">−13.3 </w:t>
            </w:r>
            <w:r w:rsidRPr="0029195A">
              <w:rPr>
                <w:b/>
              </w:rPr>
              <w:br/>
              <w:t>(−22.2, −4.4)</w:t>
            </w:r>
          </w:p>
        </w:tc>
        <w:tc>
          <w:tcPr>
            <w:tcW w:w="1511" w:type="dxa"/>
            <w:vAlign w:val="center"/>
          </w:tcPr>
          <w:p w14:paraId="6A014EA3" w14:textId="77777777" w:rsidR="00C53F27" w:rsidRPr="0029195A" w:rsidRDefault="00C53F27" w:rsidP="008515B4">
            <w:pPr>
              <w:pStyle w:val="TableText0"/>
              <w:keepLines/>
              <w:contextualSpacing/>
              <w:jc w:val="center"/>
              <w:rPr>
                <w:b/>
              </w:rPr>
            </w:pPr>
            <w:r w:rsidRPr="0029195A">
              <w:rPr>
                <w:b/>
              </w:rPr>
              <w:t>0.003</w:t>
            </w:r>
          </w:p>
        </w:tc>
      </w:tr>
      <w:tr w:rsidR="00C53F27" w:rsidRPr="0029195A" w14:paraId="2263103C" w14:textId="77777777" w:rsidTr="008515B4">
        <w:trPr>
          <w:cantSplit/>
        </w:trPr>
        <w:tc>
          <w:tcPr>
            <w:tcW w:w="2972" w:type="dxa"/>
            <w:vAlign w:val="center"/>
          </w:tcPr>
          <w:p w14:paraId="65BF9CBC" w14:textId="77777777" w:rsidR="00C53F27" w:rsidRPr="0029195A" w:rsidRDefault="00C53F27" w:rsidP="008515B4">
            <w:pPr>
              <w:pStyle w:val="TableText0"/>
              <w:keepLines/>
              <w:contextualSpacing/>
              <w:rPr>
                <w:b/>
              </w:rPr>
            </w:pPr>
            <w:r w:rsidRPr="0029195A">
              <w:rPr>
                <w:b/>
              </w:rPr>
              <w:t xml:space="preserve">GTI-AIS (Week 26), LSM ± SE </w:t>
            </w:r>
            <w:r w:rsidRPr="0029195A">
              <w:rPr>
                <w:rFonts w:cs="Times New Roman"/>
                <w:b/>
                <w:szCs w:val="20"/>
              </w:rPr>
              <w:t xml:space="preserve"> </w:t>
            </w:r>
          </w:p>
        </w:tc>
        <w:tc>
          <w:tcPr>
            <w:tcW w:w="1511" w:type="dxa"/>
            <w:vAlign w:val="center"/>
          </w:tcPr>
          <w:p w14:paraId="02ECD368" w14:textId="77777777" w:rsidR="00C53F27" w:rsidRPr="0029195A" w:rsidRDefault="00C53F27" w:rsidP="008515B4">
            <w:pPr>
              <w:pStyle w:val="TableText0"/>
              <w:keepLines/>
              <w:contextualSpacing/>
              <w:jc w:val="center"/>
              <w:rPr>
                <w:b/>
              </w:rPr>
            </w:pPr>
            <w:r w:rsidRPr="0029195A">
              <w:rPr>
                <w:b/>
              </w:rPr>
              <w:t>11.2 ± 3.5</w:t>
            </w:r>
          </w:p>
          <w:p w14:paraId="527700F7" w14:textId="77777777" w:rsidR="00C53F27" w:rsidRPr="0029195A" w:rsidRDefault="00C53F27" w:rsidP="008515B4">
            <w:pPr>
              <w:pStyle w:val="TableText0"/>
              <w:keepLines/>
              <w:contextualSpacing/>
              <w:jc w:val="center"/>
              <w:rPr>
                <w:b/>
              </w:rPr>
            </w:pPr>
            <w:r w:rsidRPr="0029195A">
              <w:rPr>
                <w:b/>
              </w:rPr>
              <w:t>(n=154)</w:t>
            </w:r>
          </w:p>
        </w:tc>
        <w:tc>
          <w:tcPr>
            <w:tcW w:w="1511" w:type="dxa"/>
            <w:vAlign w:val="center"/>
          </w:tcPr>
          <w:p w14:paraId="3A6CE8D0" w14:textId="77777777" w:rsidR="00C53F27" w:rsidRPr="0029195A" w:rsidRDefault="00C53F27" w:rsidP="008515B4">
            <w:pPr>
              <w:pStyle w:val="TableText0"/>
              <w:keepLines/>
              <w:contextualSpacing/>
              <w:jc w:val="center"/>
              <w:rPr>
                <w:b/>
              </w:rPr>
            </w:pPr>
            <w:r w:rsidRPr="0029195A">
              <w:rPr>
                <w:b/>
              </w:rPr>
              <w:t>23.4 ± 3.5</w:t>
            </w:r>
          </w:p>
          <w:p w14:paraId="7F2C3F50" w14:textId="77777777" w:rsidR="00C53F27" w:rsidRPr="0029195A" w:rsidRDefault="00C53F27" w:rsidP="008515B4">
            <w:pPr>
              <w:pStyle w:val="TableText0"/>
              <w:keepLines/>
              <w:contextualSpacing/>
              <w:jc w:val="center"/>
              <w:rPr>
                <w:b/>
              </w:rPr>
            </w:pPr>
            <w:r w:rsidRPr="0029195A">
              <w:rPr>
                <w:b/>
              </w:rPr>
              <w:t>(n=153)</w:t>
            </w:r>
          </w:p>
        </w:tc>
        <w:tc>
          <w:tcPr>
            <w:tcW w:w="1511" w:type="dxa"/>
            <w:vAlign w:val="center"/>
          </w:tcPr>
          <w:p w14:paraId="5F85D267" w14:textId="77777777" w:rsidR="00C53F27" w:rsidRPr="0029195A" w:rsidRDefault="00C53F27" w:rsidP="008515B4">
            <w:pPr>
              <w:pStyle w:val="TableText0"/>
              <w:keepLines/>
              <w:contextualSpacing/>
              <w:jc w:val="center"/>
              <w:rPr>
                <w:b/>
              </w:rPr>
            </w:pPr>
            <w:r w:rsidRPr="0029195A">
              <w:rPr>
                <w:b/>
              </w:rPr>
              <w:t xml:space="preserve">-12.1 </w:t>
            </w:r>
            <w:r w:rsidRPr="0029195A">
              <w:rPr>
                <w:b/>
              </w:rPr>
              <w:br/>
              <w:t>(−21.1, −3.2)</w:t>
            </w:r>
          </w:p>
        </w:tc>
        <w:tc>
          <w:tcPr>
            <w:tcW w:w="1511" w:type="dxa"/>
            <w:vAlign w:val="center"/>
          </w:tcPr>
          <w:p w14:paraId="2BE59A74" w14:textId="77777777" w:rsidR="00C53F27" w:rsidRPr="0029195A" w:rsidRDefault="00C53F27" w:rsidP="008515B4">
            <w:pPr>
              <w:pStyle w:val="TableText0"/>
              <w:keepLines/>
              <w:contextualSpacing/>
              <w:jc w:val="center"/>
              <w:rPr>
                <w:b/>
              </w:rPr>
            </w:pPr>
            <w:r w:rsidRPr="0029195A">
              <w:rPr>
                <w:b/>
              </w:rPr>
              <w:t>0.008</w:t>
            </w:r>
          </w:p>
        </w:tc>
      </w:tr>
      <w:tr w:rsidR="00C53F27" w:rsidRPr="0029195A" w14:paraId="40B8BF5B" w14:textId="77777777" w:rsidTr="008515B4">
        <w:trPr>
          <w:cantSplit/>
        </w:trPr>
        <w:tc>
          <w:tcPr>
            <w:tcW w:w="9016" w:type="dxa"/>
            <w:gridSpan w:val="5"/>
            <w:vAlign w:val="center"/>
          </w:tcPr>
          <w:p w14:paraId="4D729B33" w14:textId="77777777" w:rsidR="00C53F27" w:rsidRPr="0029195A" w:rsidRDefault="00C53F27" w:rsidP="008515B4">
            <w:pPr>
              <w:pStyle w:val="TableText0"/>
              <w:keepLines/>
              <w:contextualSpacing/>
              <w:rPr>
                <w:b/>
              </w:rPr>
            </w:pPr>
            <w:r w:rsidRPr="0029195A">
              <w:rPr>
                <w:bCs w:val="0"/>
                <w:szCs w:val="20"/>
              </w:rPr>
              <w:t>HRQoL</w:t>
            </w:r>
          </w:p>
        </w:tc>
      </w:tr>
      <w:tr w:rsidR="00C53F27" w:rsidRPr="0029195A" w14:paraId="0B5D605A" w14:textId="77777777" w:rsidTr="008515B4">
        <w:trPr>
          <w:cantSplit/>
        </w:trPr>
        <w:tc>
          <w:tcPr>
            <w:tcW w:w="2972" w:type="dxa"/>
            <w:vAlign w:val="center"/>
          </w:tcPr>
          <w:p w14:paraId="0A91D902" w14:textId="77777777" w:rsidR="00C53F27" w:rsidRPr="0029195A" w:rsidRDefault="00C53F27" w:rsidP="008515B4">
            <w:pPr>
              <w:pStyle w:val="TableText0"/>
              <w:keepLines/>
              <w:contextualSpacing/>
              <w:rPr>
                <w:bCs w:val="0"/>
                <w:szCs w:val="20"/>
              </w:rPr>
            </w:pPr>
            <w:r w:rsidRPr="0029195A">
              <w:rPr>
                <w:bCs w:val="0"/>
              </w:rPr>
              <w:t xml:space="preserve">Score on EQ-5D-5L VAS, change from baseline (Week 26), LSM ± SE </w:t>
            </w:r>
            <w:r w:rsidRPr="0029195A">
              <w:rPr>
                <w:rFonts w:cs="Times New Roman"/>
                <w:bCs w:val="0"/>
                <w:szCs w:val="20"/>
              </w:rPr>
              <w:t xml:space="preserve"> </w:t>
            </w:r>
          </w:p>
        </w:tc>
        <w:tc>
          <w:tcPr>
            <w:tcW w:w="1511" w:type="dxa"/>
            <w:vAlign w:val="center"/>
          </w:tcPr>
          <w:p w14:paraId="183ED821" w14:textId="77777777" w:rsidR="00C53F27" w:rsidRPr="0029195A" w:rsidRDefault="00C53F27" w:rsidP="008515B4">
            <w:pPr>
              <w:pStyle w:val="TableText0"/>
              <w:keepLines/>
              <w:contextualSpacing/>
              <w:jc w:val="center"/>
              <w:rPr>
                <w:bCs w:val="0"/>
              </w:rPr>
            </w:pPr>
            <w:r w:rsidRPr="0029195A">
              <w:rPr>
                <w:bCs w:val="0"/>
              </w:rPr>
              <w:t>9.1 ± 1.4</w:t>
            </w:r>
          </w:p>
          <w:p w14:paraId="3DF61885" w14:textId="77777777" w:rsidR="00C53F27" w:rsidRPr="0029195A" w:rsidRDefault="00C53F27" w:rsidP="008515B4">
            <w:pPr>
              <w:pStyle w:val="TableText0"/>
              <w:keepLines/>
              <w:contextualSpacing/>
              <w:jc w:val="center"/>
              <w:rPr>
                <w:bCs w:val="0"/>
                <w:szCs w:val="20"/>
              </w:rPr>
            </w:pPr>
            <w:r w:rsidRPr="0029195A">
              <w:rPr>
                <w:bCs w:val="0"/>
              </w:rPr>
              <w:t>(n=153)</w:t>
            </w:r>
          </w:p>
        </w:tc>
        <w:tc>
          <w:tcPr>
            <w:tcW w:w="1511" w:type="dxa"/>
            <w:vAlign w:val="center"/>
          </w:tcPr>
          <w:p w14:paraId="25177871" w14:textId="77777777" w:rsidR="00C53F27" w:rsidRPr="0029195A" w:rsidRDefault="00C53F27" w:rsidP="008515B4">
            <w:pPr>
              <w:pStyle w:val="TableText0"/>
              <w:keepLines/>
              <w:contextualSpacing/>
              <w:jc w:val="center"/>
              <w:rPr>
                <w:bCs w:val="0"/>
              </w:rPr>
            </w:pPr>
            <w:r w:rsidRPr="0029195A">
              <w:rPr>
                <w:bCs w:val="0"/>
              </w:rPr>
              <w:t>5.5 ± 1.4</w:t>
            </w:r>
          </w:p>
          <w:p w14:paraId="10743D87" w14:textId="77777777" w:rsidR="00C53F27" w:rsidRPr="0029195A" w:rsidRDefault="00C53F27" w:rsidP="008515B4">
            <w:pPr>
              <w:pStyle w:val="TableText0"/>
              <w:keepLines/>
              <w:contextualSpacing/>
              <w:jc w:val="center"/>
              <w:rPr>
                <w:bCs w:val="0"/>
                <w:szCs w:val="20"/>
              </w:rPr>
            </w:pPr>
            <w:r w:rsidRPr="0029195A">
              <w:rPr>
                <w:bCs w:val="0"/>
              </w:rPr>
              <w:t>(n=150)</w:t>
            </w:r>
          </w:p>
        </w:tc>
        <w:tc>
          <w:tcPr>
            <w:tcW w:w="1511" w:type="dxa"/>
            <w:vAlign w:val="center"/>
          </w:tcPr>
          <w:p w14:paraId="5669198A" w14:textId="77777777" w:rsidR="00C53F27" w:rsidRPr="0029195A" w:rsidRDefault="00C53F27" w:rsidP="008515B4">
            <w:pPr>
              <w:pStyle w:val="TableText0"/>
              <w:keepLines/>
              <w:contextualSpacing/>
              <w:jc w:val="center"/>
              <w:rPr>
                <w:bCs w:val="0"/>
                <w:szCs w:val="20"/>
              </w:rPr>
            </w:pPr>
            <w:r w:rsidRPr="0029195A">
              <w:rPr>
                <w:bCs w:val="0"/>
              </w:rPr>
              <w:t>3.6</w:t>
            </w:r>
            <w:r w:rsidRPr="0029195A">
              <w:rPr>
                <w:bCs w:val="0"/>
              </w:rPr>
              <w:br/>
              <w:t xml:space="preserve"> (−0.1, 7.2)</w:t>
            </w:r>
          </w:p>
        </w:tc>
        <w:tc>
          <w:tcPr>
            <w:tcW w:w="1511" w:type="dxa"/>
            <w:vAlign w:val="center"/>
          </w:tcPr>
          <w:p w14:paraId="1905B780" w14:textId="77777777" w:rsidR="00C53F27" w:rsidRPr="0029195A" w:rsidRDefault="00C53F27" w:rsidP="008515B4">
            <w:pPr>
              <w:pStyle w:val="TableText0"/>
              <w:keepLines/>
              <w:contextualSpacing/>
              <w:jc w:val="center"/>
              <w:rPr>
                <w:bCs w:val="0"/>
                <w:szCs w:val="20"/>
              </w:rPr>
            </w:pPr>
            <w:r w:rsidRPr="0029195A">
              <w:rPr>
                <w:bCs w:val="0"/>
              </w:rPr>
              <w:t>0.05</w:t>
            </w:r>
          </w:p>
        </w:tc>
      </w:tr>
      <w:tr w:rsidR="00C53F27" w:rsidRPr="0029195A" w14:paraId="3B73928E" w14:textId="77777777" w:rsidTr="008515B4">
        <w:trPr>
          <w:cantSplit/>
        </w:trPr>
        <w:tc>
          <w:tcPr>
            <w:tcW w:w="2972" w:type="dxa"/>
            <w:vAlign w:val="center"/>
          </w:tcPr>
          <w:p w14:paraId="18460EAD" w14:textId="77777777" w:rsidR="00C53F27" w:rsidRPr="0029195A" w:rsidRDefault="00C53F27" w:rsidP="008515B4">
            <w:pPr>
              <w:pStyle w:val="TableText0"/>
              <w:keepLines/>
              <w:contextualSpacing/>
              <w:rPr>
                <w:b/>
              </w:rPr>
            </w:pPr>
            <w:r w:rsidRPr="0029195A">
              <w:rPr>
                <w:b/>
              </w:rPr>
              <w:t xml:space="preserve">Score on EQ-5D-5L VAS, change from baseline (Week 52), LSM ± SE </w:t>
            </w:r>
            <w:r w:rsidRPr="0029195A">
              <w:rPr>
                <w:rFonts w:cs="Times New Roman"/>
                <w:b/>
                <w:szCs w:val="20"/>
              </w:rPr>
              <w:t xml:space="preserve"> </w:t>
            </w:r>
          </w:p>
        </w:tc>
        <w:tc>
          <w:tcPr>
            <w:tcW w:w="1511" w:type="dxa"/>
            <w:vAlign w:val="center"/>
          </w:tcPr>
          <w:p w14:paraId="52ADBC3E" w14:textId="77777777" w:rsidR="00C53F27" w:rsidRPr="0029195A" w:rsidRDefault="00C53F27" w:rsidP="008515B4">
            <w:pPr>
              <w:pStyle w:val="TableText0"/>
              <w:keepLines/>
              <w:contextualSpacing/>
              <w:jc w:val="center"/>
              <w:rPr>
                <w:b/>
              </w:rPr>
            </w:pPr>
            <w:r w:rsidRPr="0029195A">
              <w:rPr>
                <w:b/>
              </w:rPr>
              <w:t>13.0 ± 1.4</w:t>
            </w:r>
          </w:p>
          <w:p w14:paraId="6E1B759B" w14:textId="77777777" w:rsidR="00C53F27" w:rsidRPr="0029195A" w:rsidRDefault="00C53F27" w:rsidP="008515B4">
            <w:pPr>
              <w:pStyle w:val="TableText0"/>
              <w:keepLines/>
              <w:contextualSpacing/>
              <w:jc w:val="center"/>
              <w:rPr>
                <w:b/>
              </w:rPr>
            </w:pPr>
            <w:r w:rsidRPr="0029195A">
              <w:rPr>
                <w:b/>
              </w:rPr>
              <w:t>(n=149)</w:t>
            </w:r>
          </w:p>
        </w:tc>
        <w:tc>
          <w:tcPr>
            <w:tcW w:w="1511" w:type="dxa"/>
            <w:vAlign w:val="center"/>
          </w:tcPr>
          <w:p w14:paraId="2E7BA868" w14:textId="77777777" w:rsidR="00C53F27" w:rsidRPr="0029195A" w:rsidRDefault="00C53F27" w:rsidP="008515B4">
            <w:pPr>
              <w:pStyle w:val="TableText0"/>
              <w:keepLines/>
              <w:contextualSpacing/>
              <w:jc w:val="center"/>
              <w:rPr>
                <w:b/>
              </w:rPr>
            </w:pPr>
            <w:r w:rsidRPr="0029195A">
              <w:rPr>
                <w:b/>
              </w:rPr>
              <w:t>7.1 ± 1.4</w:t>
            </w:r>
          </w:p>
          <w:p w14:paraId="58F8633D" w14:textId="77777777" w:rsidR="00C53F27" w:rsidRPr="0029195A" w:rsidRDefault="00C53F27" w:rsidP="008515B4">
            <w:pPr>
              <w:pStyle w:val="TableText0"/>
              <w:keepLines/>
              <w:contextualSpacing/>
              <w:jc w:val="center"/>
              <w:rPr>
                <w:b/>
              </w:rPr>
            </w:pPr>
            <w:r w:rsidRPr="0029195A">
              <w:rPr>
                <w:b/>
              </w:rPr>
              <w:t>(n=146)</w:t>
            </w:r>
          </w:p>
        </w:tc>
        <w:tc>
          <w:tcPr>
            <w:tcW w:w="1511" w:type="dxa"/>
            <w:vAlign w:val="center"/>
          </w:tcPr>
          <w:p w14:paraId="4C04039C" w14:textId="77777777" w:rsidR="00C53F27" w:rsidRPr="0029195A" w:rsidRDefault="00C53F27" w:rsidP="008515B4">
            <w:pPr>
              <w:pStyle w:val="TableText0"/>
              <w:keepLines/>
              <w:contextualSpacing/>
              <w:jc w:val="center"/>
              <w:rPr>
                <w:b/>
              </w:rPr>
            </w:pPr>
            <w:r w:rsidRPr="0029195A">
              <w:rPr>
                <w:b/>
              </w:rPr>
              <w:t xml:space="preserve">5.9 </w:t>
            </w:r>
            <w:r w:rsidRPr="0029195A">
              <w:rPr>
                <w:b/>
              </w:rPr>
              <w:br/>
              <w:t>(2.3, 9.6)</w:t>
            </w:r>
          </w:p>
        </w:tc>
        <w:tc>
          <w:tcPr>
            <w:tcW w:w="1511" w:type="dxa"/>
            <w:vAlign w:val="center"/>
          </w:tcPr>
          <w:p w14:paraId="510B5974" w14:textId="77777777" w:rsidR="00C53F27" w:rsidRPr="0029195A" w:rsidRDefault="00C53F27" w:rsidP="008515B4">
            <w:pPr>
              <w:pStyle w:val="TableText0"/>
              <w:keepLines/>
              <w:contextualSpacing/>
              <w:jc w:val="center"/>
              <w:rPr>
                <w:b/>
              </w:rPr>
            </w:pPr>
            <w:r w:rsidRPr="0029195A">
              <w:rPr>
                <w:b/>
              </w:rPr>
              <w:t>0.002</w:t>
            </w:r>
          </w:p>
        </w:tc>
      </w:tr>
      <w:tr w:rsidR="00C53F27" w:rsidRPr="0029195A" w14:paraId="26924B47" w14:textId="77777777" w:rsidTr="008515B4">
        <w:trPr>
          <w:cantSplit/>
          <w:trHeight w:val="365"/>
        </w:trPr>
        <w:tc>
          <w:tcPr>
            <w:tcW w:w="2972" w:type="dxa"/>
            <w:vAlign w:val="center"/>
          </w:tcPr>
          <w:p w14:paraId="5BCA1C23" w14:textId="77777777" w:rsidR="00C53F27" w:rsidRPr="0029195A" w:rsidRDefault="00C53F27" w:rsidP="008515B4">
            <w:pPr>
              <w:pStyle w:val="TableText0"/>
              <w:keepLines/>
              <w:contextualSpacing/>
              <w:rPr>
                <w:bCs w:val="0"/>
              </w:rPr>
            </w:pPr>
            <w:r w:rsidRPr="0029195A">
              <w:rPr>
                <w:bCs w:val="0"/>
              </w:rPr>
              <w:t>Score on EQ-5D-5L Index, change from baseline (Week 26), LSM ± SE</w:t>
            </w:r>
          </w:p>
        </w:tc>
        <w:tc>
          <w:tcPr>
            <w:tcW w:w="1511" w:type="dxa"/>
            <w:vAlign w:val="center"/>
          </w:tcPr>
          <w:p w14:paraId="73A660A6" w14:textId="77777777" w:rsidR="00C53F27" w:rsidRPr="0029195A" w:rsidRDefault="00C53F27" w:rsidP="008515B4">
            <w:pPr>
              <w:pStyle w:val="TableText0"/>
              <w:keepLines/>
              <w:contextualSpacing/>
              <w:jc w:val="center"/>
              <w:rPr>
                <w:rFonts w:cs="Times New Roman"/>
                <w:bCs w:val="0"/>
                <w:szCs w:val="20"/>
              </w:rPr>
            </w:pPr>
            <w:r w:rsidRPr="0029195A">
              <w:rPr>
                <w:rFonts w:cs="Times New Roman"/>
                <w:bCs w:val="0"/>
                <w:szCs w:val="20"/>
              </w:rPr>
              <w:t>0.02 ± 0.014</w:t>
            </w:r>
          </w:p>
          <w:p w14:paraId="50D6BCC3" w14:textId="77777777" w:rsidR="00C53F27" w:rsidRPr="0029195A" w:rsidRDefault="00C53F27" w:rsidP="008515B4">
            <w:pPr>
              <w:pStyle w:val="TableText0"/>
              <w:keepLines/>
              <w:contextualSpacing/>
              <w:jc w:val="center"/>
              <w:rPr>
                <w:bCs w:val="0"/>
              </w:rPr>
            </w:pPr>
            <w:r w:rsidRPr="0029195A">
              <w:rPr>
                <w:rFonts w:cs="Times New Roman"/>
                <w:bCs w:val="0"/>
                <w:szCs w:val="20"/>
              </w:rPr>
              <w:t>(n=152)</w:t>
            </w:r>
          </w:p>
        </w:tc>
        <w:tc>
          <w:tcPr>
            <w:tcW w:w="1511" w:type="dxa"/>
            <w:vAlign w:val="center"/>
          </w:tcPr>
          <w:p w14:paraId="59145370" w14:textId="77777777" w:rsidR="00C53F27" w:rsidRPr="0029195A" w:rsidRDefault="00C53F27" w:rsidP="008515B4">
            <w:pPr>
              <w:pStyle w:val="TableText0"/>
              <w:keepLines/>
              <w:contextualSpacing/>
              <w:jc w:val="center"/>
              <w:rPr>
                <w:rFonts w:cs="Times New Roman"/>
                <w:bCs w:val="0"/>
                <w:szCs w:val="20"/>
              </w:rPr>
            </w:pPr>
            <w:r w:rsidRPr="0029195A">
              <w:rPr>
                <w:rFonts w:cs="Times New Roman"/>
                <w:bCs w:val="0"/>
                <w:szCs w:val="20"/>
              </w:rPr>
              <w:t>0.00 ± 0.015</w:t>
            </w:r>
          </w:p>
          <w:p w14:paraId="7BD1DE47" w14:textId="77777777" w:rsidR="00C53F27" w:rsidRPr="0029195A" w:rsidRDefault="00C53F27" w:rsidP="008515B4">
            <w:pPr>
              <w:pStyle w:val="TableText0"/>
              <w:keepLines/>
              <w:contextualSpacing/>
              <w:jc w:val="center"/>
              <w:rPr>
                <w:bCs w:val="0"/>
              </w:rPr>
            </w:pPr>
            <w:r w:rsidRPr="0029195A">
              <w:rPr>
                <w:rFonts w:cs="Times New Roman"/>
                <w:bCs w:val="0"/>
                <w:szCs w:val="20"/>
              </w:rPr>
              <w:t>(n=146)</w:t>
            </w:r>
          </w:p>
        </w:tc>
        <w:tc>
          <w:tcPr>
            <w:tcW w:w="1511" w:type="dxa"/>
            <w:vAlign w:val="center"/>
          </w:tcPr>
          <w:p w14:paraId="3D494DE4" w14:textId="77777777" w:rsidR="00C53F27" w:rsidRPr="0029195A" w:rsidRDefault="00C53F27" w:rsidP="008515B4">
            <w:pPr>
              <w:pStyle w:val="TableText0"/>
              <w:keepLines/>
              <w:contextualSpacing/>
              <w:jc w:val="center"/>
              <w:rPr>
                <w:bCs w:val="0"/>
              </w:rPr>
            </w:pPr>
            <w:r w:rsidRPr="0029195A">
              <w:rPr>
                <w:rFonts w:cs="Times New Roman"/>
                <w:bCs w:val="0"/>
                <w:szCs w:val="20"/>
              </w:rPr>
              <w:t>0.02</w:t>
            </w:r>
            <w:r w:rsidRPr="0029195A">
              <w:rPr>
                <w:rFonts w:cs="Times New Roman"/>
                <w:bCs w:val="0"/>
                <w:szCs w:val="20"/>
              </w:rPr>
              <w:br/>
              <w:t xml:space="preserve"> (–0.01, 0.06)</w:t>
            </w:r>
          </w:p>
        </w:tc>
        <w:tc>
          <w:tcPr>
            <w:tcW w:w="1511" w:type="dxa"/>
            <w:vAlign w:val="center"/>
          </w:tcPr>
          <w:p w14:paraId="403E06A9" w14:textId="77777777" w:rsidR="00C53F27" w:rsidRPr="0029195A" w:rsidRDefault="00C53F27" w:rsidP="008515B4">
            <w:pPr>
              <w:pStyle w:val="TableText0"/>
              <w:keepLines/>
              <w:contextualSpacing/>
              <w:jc w:val="center"/>
              <w:rPr>
                <w:bCs w:val="0"/>
              </w:rPr>
            </w:pPr>
            <w:r w:rsidRPr="0029195A">
              <w:rPr>
                <w:bCs w:val="0"/>
              </w:rPr>
              <w:t>0.22</w:t>
            </w:r>
          </w:p>
        </w:tc>
      </w:tr>
      <w:tr w:rsidR="00C53F27" w:rsidRPr="0029195A" w14:paraId="63A19238" w14:textId="77777777" w:rsidTr="008515B4">
        <w:trPr>
          <w:cantSplit/>
        </w:trPr>
        <w:tc>
          <w:tcPr>
            <w:tcW w:w="2972" w:type="dxa"/>
            <w:vAlign w:val="center"/>
          </w:tcPr>
          <w:p w14:paraId="555E9A04" w14:textId="77777777" w:rsidR="00C53F27" w:rsidRPr="0029195A" w:rsidRDefault="00C53F27" w:rsidP="008515B4">
            <w:pPr>
              <w:pStyle w:val="TableText0"/>
              <w:keepLines/>
              <w:contextualSpacing/>
              <w:rPr>
                <w:b/>
              </w:rPr>
            </w:pPr>
            <w:r w:rsidRPr="0029195A">
              <w:rPr>
                <w:b/>
              </w:rPr>
              <w:t>Score on EQ-5D-5L Index, change from baseline (Week 52), LSM ± SE</w:t>
            </w:r>
          </w:p>
        </w:tc>
        <w:tc>
          <w:tcPr>
            <w:tcW w:w="1511" w:type="dxa"/>
            <w:vAlign w:val="center"/>
          </w:tcPr>
          <w:p w14:paraId="29476046" w14:textId="77777777" w:rsidR="00C53F27" w:rsidRPr="0029195A" w:rsidRDefault="00C53F27" w:rsidP="008515B4">
            <w:pPr>
              <w:pStyle w:val="TableText0"/>
              <w:keepLines/>
              <w:contextualSpacing/>
              <w:jc w:val="center"/>
              <w:rPr>
                <w:rFonts w:cs="Times New Roman"/>
                <w:b/>
                <w:szCs w:val="20"/>
              </w:rPr>
            </w:pPr>
            <w:r w:rsidRPr="0029195A">
              <w:rPr>
                <w:rFonts w:cs="Times New Roman"/>
                <w:b/>
                <w:szCs w:val="20"/>
              </w:rPr>
              <w:t>0.05 ± 0.015</w:t>
            </w:r>
          </w:p>
          <w:p w14:paraId="32452895" w14:textId="77777777" w:rsidR="00C53F27" w:rsidRPr="0029195A" w:rsidRDefault="00C53F27" w:rsidP="008515B4">
            <w:pPr>
              <w:pStyle w:val="TableText0"/>
              <w:keepLines/>
              <w:contextualSpacing/>
              <w:jc w:val="center"/>
              <w:rPr>
                <w:b/>
              </w:rPr>
            </w:pPr>
            <w:r w:rsidRPr="0029195A">
              <w:rPr>
                <w:rFonts w:cs="Times New Roman"/>
                <w:b/>
                <w:szCs w:val="20"/>
              </w:rPr>
              <w:t>(n=149)</w:t>
            </w:r>
          </w:p>
        </w:tc>
        <w:tc>
          <w:tcPr>
            <w:tcW w:w="1511" w:type="dxa"/>
            <w:vAlign w:val="center"/>
          </w:tcPr>
          <w:p w14:paraId="2232BD17" w14:textId="77777777" w:rsidR="00C53F27" w:rsidRPr="0029195A" w:rsidRDefault="00C53F27" w:rsidP="008515B4">
            <w:pPr>
              <w:pStyle w:val="TableText0"/>
              <w:keepLines/>
              <w:contextualSpacing/>
              <w:jc w:val="center"/>
              <w:rPr>
                <w:rFonts w:cs="Times New Roman"/>
                <w:b/>
                <w:szCs w:val="20"/>
              </w:rPr>
            </w:pPr>
            <w:r w:rsidRPr="0029195A">
              <w:rPr>
                <w:rFonts w:cs="Times New Roman"/>
                <w:b/>
                <w:szCs w:val="20"/>
              </w:rPr>
              <w:t>0.00 ± 0.015</w:t>
            </w:r>
          </w:p>
          <w:p w14:paraId="0F8CD07C" w14:textId="77777777" w:rsidR="00C53F27" w:rsidRPr="0029195A" w:rsidRDefault="00C53F27" w:rsidP="008515B4">
            <w:pPr>
              <w:pStyle w:val="TableText0"/>
              <w:keepLines/>
              <w:contextualSpacing/>
              <w:jc w:val="center"/>
              <w:rPr>
                <w:b/>
              </w:rPr>
            </w:pPr>
            <w:r w:rsidRPr="0029195A">
              <w:rPr>
                <w:rFonts w:cs="Times New Roman"/>
                <w:b/>
                <w:szCs w:val="20"/>
              </w:rPr>
              <w:t>(n=145)</w:t>
            </w:r>
          </w:p>
        </w:tc>
        <w:tc>
          <w:tcPr>
            <w:tcW w:w="1511" w:type="dxa"/>
            <w:vAlign w:val="center"/>
          </w:tcPr>
          <w:p w14:paraId="2826D035" w14:textId="77777777" w:rsidR="00C53F27" w:rsidRPr="0029195A" w:rsidRDefault="00C53F27" w:rsidP="008515B4">
            <w:pPr>
              <w:pStyle w:val="TableText0"/>
              <w:keepLines/>
              <w:contextualSpacing/>
              <w:jc w:val="center"/>
              <w:rPr>
                <w:b/>
              </w:rPr>
            </w:pPr>
            <w:r w:rsidRPr="0029195A">
              <w:rPr>
                <w:rFonts w:cs="Times New Roman"/>
                <w:b/>
                <w:szCs w:val="20"/>
              </w:rPr>
              <w:t xml:space="preserve">0.05 </w:t>
            </w:r>
            <w:r w:rsidRPr="0029195A">
              <w:rPr>
                <w:rFonts w:cs="Times New Roman"/>
                <w:b/>
                <w:szCs w:val="20"/>
              </w:rPr>
              <w:br/>
              <w:t>(0.01 to 0.09)</w:t>
            </w:r>
          </w:p>
        </w:tc>
        <w:tc>
          <w:tcPr>
            <w:tcW w:w="1511" w:type="dxa"/>
            <w:vAlign w:val="center"/>
          </w:tcPr>
          <w:p w14:paraId="740E4CB4" w14:textId="77777777" w:rsidR="00C53F27" w:rsidRPr="0029195A" w:rsidRDefault="00C53F27" w:rsidP="008515B4">
            <w:pPr>
              <w:pStyle w:val="TableText0"/>
              <w:keepLines/>
              <w:contextualSpacing/>
              <w:jc w:val="center"/>
              <w:rPr>
                <w:b/>
              </w:rPr>
            </w:pPr>
            <w:r w:rsidRPr="0029195A">
              <w:rPr>
                <w:b/>
              </w:rPr>
              <w:t>0.009</w:t>
            </w:r>
          </w:p>
        </w:tc>
      </w:tr>
      <w:tr w:rsidR="00C53F27" w:rsidRPr="0029195A" w14:paraId="0D315BE2" w14:textId="77777777" w:rsidTr="008515B4">
        <w:trPr>
          <w:cantSplit/>
        </w:trPr>
        <w:tc>
          <w:tcPr>
            <w:tcW w:w="9016" w:type="dxa"/>
            <w:gridSpan w:val="5"/>
            <w:vAlign w:val="center"/>
          </w:tcPr>
          <w:p w14:paraId="48735FDC" w14:textId="77777777" w:rsidR="00C53F27" w:rsidRPr="0029195A" w:rsidRDefault="00C53F27" w:rsidP="008515B4">
            <w:pPr>
              <w:pStyle w:val="TableText0"/>
              <w:keepLines/>
              <w:contextualSpacing/>
              <w:rPr>
                <w:b/>
              </w:rPr>
            </w:pPr>
            <w:r w:rsidRPr="0029195A">
              <w:rPr>
                <w:bCs w:val="0"/>
              </w:rPr>
              <w:t>Relapse</w:t>
            </w:r>
          </w:p>
        </w:tc>
      </w:tr>
      <w:tr w:rsidR="00C53F27" w:rsidRPr="0029195A" w14:paraId="24850E0A" w14:textId="77777777" w:rsidTr="008515B4">
        <w:trPr>
          <w:cantSplit/>
        </w:trPr>
        <w:tc>
          <w:tcPr>
            <w:tcW w:w="2972" w:type="dxa"/>
            <w:vAlign w:val="center"/>
          </w:tcPr>
          <w:p w14:paraId="399EA23A" w14:textId="5F4D862C" w:rsidR="00C53F27" w:rsidRPr="0029195A" w:rsidRDefault="00C53F27" w:rsidP="008515B4">
            <w:pPr>
              <w:pStyle w:val="TableText0"/>
              <w:keepLines/>
              <w:contextualSpacing/>
              <w:rPr>
                <w:bCs w:val="0"/>
              </w:rPr>
            </w:pPr>
            <w:r w:rsidRPr="0029195A">
              <w:rPr>
                <w:bCs w:val="0"/>
              </w:rPr>
              <w:t>Relapse after achieving disease remission</w:t>
            </w:r>
            <w:r w:rsidR="00E11898" w:rsidRPr="0029195A">
              <w:rPr>
                <w:bCs w:val="0"/>
              </w:rPr>
              <w:t xml:space="preserve"> at Week 26</w:t>
            </w:r>
            <w:r w:rsidRPr="0029195A">
              <w:rPr>
                <w:bCs w:val="0"/>
              </w:rPr>
              <w:t xml:space="preserve"> (Week 52), n/N (%)</w:t>
            </w:r>
          </w:p>
        </w:tc>
        <w:tc>
          <w:tcPr>
            <w:tcW w:w="1511" w:type="dxa"/>
            <w:vAlign w:val="center"/>
          </w:tcPr>
          <w:p w14:paraId="15C25C98" w14:textId="77777777" w:rsidR="00C53F27" w:rsidRPr="0029195A" w:rsidRDefault="00C53F27" w:rsidP="008515B4">
            <w:pPr>
              <w:pStyle w:val="TableText0"/>
              <w:keepLines/>
              <w:contextualSpacing/>
              <w:jc w:val="center"/>
              <w:rPr>
                <w:rFonts w:cs="Times New Roman"/>
                <w:b/>
                <w:szCs w:val="20"/>
              </w:rPr>
            </w:pPr>
            <w:r w:rsidRPr="0029195A">
              <w:rPr>
                <w:bCs w:val="0"/>
              </w:rPr>
              <w:t>9/120 (7.5)</w:t>
            </w:r>
          </w:p>
        </w:tc>
        <w:tc>
          <w:tcPr>
            <w:tcW w:w="1511" w:type="dxa"/>
            <w:vAlign w:val="center"/>
          </w:tcPr>
          <w:p w14:paraId="5C66FEAC" w14:textId="77777777" w:rsidR="00C53F27" w:rsidRPr="0029195A" w:rsidRDefault="00C53F27" w:rsidP="008515B4">
            <w:pPr>
              <w:pStyle w:val="TableText0"/>
              <w:keepLines/>
              <w:contextualSpacing/>
              <w:jc w:val="center"/>
              <w:rPr>
                <w:rFonts w:cs="Times New Roman"/>
                <w:b/>
                <w:szCs w:val="20"/>
              </w:rPr>
            </w:pPr>
            <w:r w:rsidRPr="0029195A">
              <w:rPr>
                <w:bCs w:val="0"/>
              </w:rPr>
              <w:t>14/115 (12.2)</w:t>
            </w:r>
          </w:p>
        </w:tc>
        <w:tc>
          <w:tcPr>
            <w:tcW w:w="1511" w:type="dxa"/>
            <w:vAlign w:val="center"/>
          </w:tcPr>
          <w:p w14:paraId="7644E2F3" w14:textId="5BFDE513" w:rsidR="00C53F27" w:rsidRPr="0029195A" w:rsidRDefault="00C53F27" w:rsidP="008515B4">
            <w:pPr>
              <w:pStyle w:val="TableText0"/>
              <w:keepLines/>
              <w:contextualSpacing/>
              <w:jc w:val="center"/>
              <w:rPr>
                <w:rFonts w:cs="Times New Roman"/>
                <w:b/>
                <w:szCs w:val="20"/>
              </w:rPr>
            </w:pPr>
            <w:r w:rsidRPr="0029195A">
              <w:rPr>
                <w:bCs w:val="0"/>
              </w:rPr>
              <w:t>-</w:t>
            </w:r>
            <w:r w:rsidR="00375FB2" w:rsidRPr="0029195A">
              <w:rPr>
                <w:bCs w:val="0"/>
              </w:rPr>
              <w:t>4.7</w:t>
            </w:r>
            <w:r w:rsidRPr="0029195A">
              <w:rPr>
                <w:bCs w:val="0"/>
              </w:rPr>
              <w:t xml:space="preserve"> </w:t>
            </w:r>
            <w:r w:rsidRPr="0029195A">
              <w:rPr>
                <w:bCs w:val="0"/>
              </w:rPr>
              <w:br/>
              <w:t>(-14.4, 2.4)</w:t>
            </w:r>
          </w:p>
        </w:tc>
        <w:tc>
          <w:tcPr>
            <w:tcW w:w="1511" w:type="dxa"/>
            <w:vAlign w:val="center"/>
          </w:tcPr>
          <w:p w14:paraId="4BC375A5" w14:textId="77777777" w:rsidR="00C53F27" w:rsidRPr="0029195A" w:rsidRDefault="00C53F27" w:rsidP="008515B4">
            <w:pPr>
              <w:pStyle w:val="TableText0"/>
              <w:keepLines/>
              <w:contextualSpacing/>
              <w:jc w:val="center"/>
              <w:rPr>
                <w:b/>
              </w:rPr>
            </w:pPr>
            <w:r w:rsidRPr="0029195A">
              <w:rPr>
                <w:bCs w:val="0"/>
              </w:rPr>
              <w:t>0.0810</w:t>
            </w:r>
          </w:p>
        </w:tc>
      </w:tr>
      <w:tr w:rsidR="00C53F27" w:rsidRPr="0029195A" w14:paraId="67204BBE" w14:textId="77777777" w:rsidTr="008515B4">
        <w:trPr>
          <w:cantSplit/>
        </w:trPr>
        <w:tc>
          <w:tcPr>
            <w:tcW w:w="9016" w:type="dxa"/>
            <w:gridSpan w:val="5"/>
            <w:vAlign w:val="center"/>
          </w:tcPr>
          <w:p w14:paraId="1F7859F8" w14:textId="77777777" w:rsidR="00C53F27" w:rsidRPr="0029195A" w:rsidRDefault="00C53F27" w:rsidP="008515B4">
            <w:pPr>
              <w:pStyle w:val="TableText0"/>
              <w:keepLines/>
              <w:contextualSpacing/>
              <w:rPr>
                <w:bCs w:val="0"/>
                <w:vertAlign w:val="superscript"/>
              </w:rPr>
            </w:pPr>
            <w:r w:rsidRPr="0029195A">
              <w:rPr>
                <w:bCs w:val="0"/>
              </w:rPr>
              <w:t>Changes in parameters of renal disease in patients with renal disease</w:t>
            </w:r>
            <w:r w:rsidRPr="0029195A">
              <w:rPr>
                <w:bCs w:val="0"/>
                <w:vertAlign w:val="superscript"/>
              </w:rPr>
              <w:t>a</w:t>
            </w:r>
          </w:p>
        </w:tc>
      </w:tr>
      <w:tr w:rsidR="00C53F27" w:rsidRPr="0029195A" w14:paraId="30A83E30" w14:textId="77777777" w:rsidTr="008515B4">
        <w:trPr>
          <w:cantSplit/>
        </w:trPr>
        <w:tc>
          <w:tcPr>
            <w:tcW w:w="2972" w:type="dxa"/>
            <w:vAlign w:val="center"/>
          </w:tcPr>
          <w:p w14:paraId="5D06B142" w14:textId="6673A7B5" w:rsidR="00C53F27" w:rsidRPr="0029195A" w:rsidRDefault="00C53F27" w:rsidP="008515B4">
            <w:pPr>
              <w:pStyle w:val="TableText0"/>
              <w:keepLines/>
              <w:contextualSpacing/>
              <w:rPr>
                <w:b/>
                <w:vertAlign w:val="superscript"/>
              </w:rPr>
            </w:pPr>
            <w:r w:rsidRPr="0029195A">
              <w:rPr>
                <w:b/>
              </w:rPr>
              <w:t>eGFR, ml/min/1.73 m</w:t>
            </w:r>
            <w:r w:rsidRPr="0029195A">
              <w:rPr>
                <w:b/>
                <w:vertAlign w:val="superscript"/>
              </w:rPr>
              <w:t>2</w:t>
            </w:r>
            <w:r w:rsidRPr="0029195A">
              <w:rPr>
                <w:b/>
              </w:rPr>
              <w:t>, change from baseline (Week 26), LSM ± SE</w:t>
            </w:r>
            <w:r w:rsidR="00C32053" w:rsidRPr="0029195A">
              <w:rPr>
                <w:b/>
              </w:rPr>
              <w:t xml:space="preserve"> </w:t>
            </w:r>
          </w:p>
        </w:tc>
        <w:tc>
          <w:tcPr>
            <w:tcW w:w="1511" w:type="dxa"/>
            <w:vAlign w:val="center"/>
          </w:tcPr>
          <w:p w14:paraId="64CB06C4" w14:textId="77777777" w:rsidR="00C53F27" w:rsidRPr="0029195A" w:rsidRDefault="00C53F27" w:rsidP="008515B4">
            <w:pPr>
              <w:pStyle w:val="TableText0"/>
              <w:keepLines/>
              <w:contextualSpacing/>
              <w:jc w:val="center"/>
              <w:rPr>
                <w:b/>
              </w:rPr>
            </w:pPr>
            <w:r w:rsidRPr="0029195A">
              <w:rPr>
                <w:b/>
              </w:rPr>
              <w:t>5.8 ± 1.0</w:t>
            </w:r>
          </w:p>
          <w:p w14:paraId="5BCF8C94" w14:textId="77777777" w:rsidR="00C53F27" w:rsidRPr="0029195A" w:rsidRDefault="00C53F27" w:rsidP="008515B4">
            <w:pPr>
              <w:pStyle w:val="TableText0"/>
              <w:keepLines/>
              <w:contextualSpacing/>
              <w:jc w:val="center"/>
              <w:rPr>
                <w:b/>
              </w:rPr>
            </w:pPr>
            <w:r w:rsidRPr="0029195A">
              <w:rPr>
                <w:b/>
              </w:rPr>
              <w:t>(n=121)</w:t>
            </w:r>
          </w:p>
        </w:tc>
        <w:tc>
          <w:tcPr>
            <w:tcW w:w="1511" w:type="dxa"/>
            <w:vAlign w:val="center"/>
          </w:tcPr>
          <w:p w14:paraId="445101E0" w14:textId="77777777" w:rsidR="00C53F27" w:rsidRPr="0029195A" w:rsidRDefault="00C53F27" w:rsidP="008515B4">
            <w:pPr>
              <w:pStyle w:val="TableText0"/>
              <w:keepLines/>
              <w:contextualSpacing/>
              <w:jc w:val="center"/>
              <w:rPr>
                <w:b/>
              </w:rPr>
            </w:pPr>
            <w:r w:rsidRPr="0029195A">
              <w:rPr>
                <w:b/>
              </w:rPr>
              <w:t>2.9 ± 1.0</w:t>
            </w:r>
          </w:p>
          <w:p w14:paraId="72C1CEBB" w14:textId="77777777" w:rsidR="00C53F27" w:rsidRPr="0029195A" w:rsidRDefault="00C53F27" w:rsidP="008515B4">
            <w:pPr>
              <w:pStyle w:val="TableText0"/>
              <w:keepLines/>
              <w:contextualSpacing/>
              <w:jc w:val="center"/>
              <w:rPr>
                <w:b/>
              </w:rPr>
            </w:pPr>
            <w:r w:rsidRPr="0029195A">
              <w:rPr>
                <w:b/>
              </w:rPr>
              <w:t>(n=127)</w:t>
            </w:r>
          </w:p>
        </w:tc>
        <w:tc>
          <w:tcPr>
            <w:tcW w:w="1511" w:type="dxa"/>
            <w:vAlign w:val="center"/>
          </w:tcPr>
          <w:p w14:paraId="1024CC67" w14:textId="77777777" w:rsidR="00C53F27" w:rsidRPr="0029195A" w:rsidRDefault="00C53F27" w:rsidP="008515B4">
            <w:pPr>
              <w:pStyle w:val="TableText0"/>
              <w:keepLines/>
              <w:contextualSpacing/>
              <w:jc w:val="center"/>
              <w:rPr>
                <w:b/>
              </w:rPr>
            </w:pPr>
            <w:r w:rsidRPr="0029195A">
              <w:rPr>
                <w:b/>
              </w:rPr>
              <w:t xml:space="preserve">2.9 </w:t>
            </w:r>
            <w:r w:rsidRPr="0029195A">
              <w:rPr>
                <w:b/>
              </w:rPr>
              <w:br/>
              <w:t>(0.1, 5.8)</w:t>
            </w:r>
          </w:p>
        </w:tc>
        <w:tc>
          <w:tcPr>
            <w:tcW w:w="1511" w:type="dxa"/>
            <w:vAlign w:val="center"/>
          </w:tcPr>
          <w:p w14:paraId="6EC2579E" w14:textId="77777777" w:rsidR="00C53F27" w:rsidRPr="0029195A" w:rsidRDefault="00C53F27" w:rsidP="008515B4">
            <w:pPr>
              <w:pStyle w:val="TableText0"/>
              <w:keepLines/>
              <w:contextualSpacing/>
              <w:jc w:val="center"/>
              <w:rPr>
                <w:b/>
              </w:rPr>
            </w:pPr>
            <w:r w:rsidRPr="0029195A">
              <w:rPr>
                <w:b/>
              </w:rPr>
              <w:t>0.046</w:t>
            </w:r>
          </w:p>
        </w:tc>
      </w:tr>
      <w:tr w:rsidR="00C53F27" w:rsidRPr="0029195A" w14:paraId="2E3B9761" w14:textId="77777777" w:rsidTr="008515B4">
        <w:trPr>
          <w:cantSplit/>
        </w:trPr>
        <w:tc>
          <w:tcPr>
            <w:tcW w:w="2972" w:type="dxa"/>
            <w:vAlign w:val="center"/>
          </w:tcPr>
          <w:p w14:paraId="41667F98" w14:textId="0457F389" w:rsidR="00C53F27" w:rsidRPr="0029195A" w:rsidRDefault="00C53F27" w:rsidP="008515B4">
            <w:pPr>
              <w:pStyle w:val="TableText0"/>
              <w:keepLines/>
              <w:contextualSpacing/>
              <w:rPr>
                <w:b/>
                <w:vertAlign w:val="superscript"/>
              </w:rPr>
            </w:pPr>
            <w:r w:rsidRPr="0029195A">
              <w:rPr>
                <w:b/>
              </w:rPr>
              <w:t>eGFR, ml/min/1.73 m</w:t>
            </w:r>
            <w:r w:rsidRPr="0029195A">
              <w:rPr>
                <w:b/>
                <w:vertAlign w:val="superscript"/>
              </w:rPr>
              <w:t>2</w:t>
            </w:r>
            <w:r w:rsidRPr="0029195A">
              <w:rPr>
                <w:b/>
              </w:rPr>
              <w:t>, change from baseline (Week 52), LSM ± SE</w:t>
            </w:r>
            <w:r w:rsidR="00C32053" w:rsidRPr="0029195A">
              <w:rPr>
                <w:b/>
              </w:rPr>
              <w:t xml:space="preserve"> </w:t>
            </w:r>
          </w:p>
        </w:tc>
        <w:tc>
          <w:tcPr>
            <w:tcW w:w="1511" w:type="dxa"/>
            <w:vAlign w:val="center"/>
          </w:tcPr>
          <w:p w14:paraId="1439C0FD" w14:textId="77777777" w:rsidR="00C53F27" w:rsidRPr="0029195A" w:rsidRDefault="00C53F27" w:rsidP="008515B4">
            <w:pPr>
              <w:pStyle w:val="TableText0"/>
              <w:keepLines/>
              <w:contextualSpacing/>
              <w:jc w:val="center"/>
              <w:rPr>
                <w:b/>
              </w:rPr>
            </w:pPr>
            <w:r w:rsidRPr="0029195A">
              <w:rPr>
                <w:b/>
              </w:rPr>
              <w:t>7.3 ± 1.0</w:t>
            </w:r>
          </w:p>
          <w:p w14:paraId="06AD6A6D" w14:textId="77777777" w:rsidR="00C53F27" w:rsidRPr="0029195A" w:rsidRDefault="00C53F27" w:rsidP="008515B4">
            <w:pPr>
              <w:pStyle w:val="TableText0"/>
              <w:keepLines/>
              <w:contextualSpacing/>
              <w:jc w:val="center"/>
              <w:rPr>
                <w:b/>
              </w:rPr>
            </w:pPr>
            <w:r w:rsidRPr="0029195A">
              <w:rPr>
                <w:b/>
              </w:rPr>
              <w:t>(n=119)</w:t>
            </w:r>
          </w:p>
        </w:tc>
        <w:tc>
          <w:tcPr>
            <w:tcW w:w="1511" w:type="dxa"/>
            <w:vAlign w:val="center"/>
          </w:tcPr>
          <w:p w14:paraId="45D89A22" w14:textId="77777777" w:rsidR="00C53F27" w:rsidRPr="0029195A" w:rsidRDefault="00C53F27" w:rsidP="008515B4">
            <w:pPr>
              <w:pStyle w:val="TableText0"/>
              <w:keepLines/>
              <w:contextualSpacing/>
              <w:jc w:val="center"/>
              <w:rPr>
                <w:b/>
              </w:rPr>
            </w:pPr>
            <w:r w:rsidRPr="0029195A">
              <w:rPr>
                <w:b/>
              </w:rPr>
              <w:t>4.1 ± 1.0</w:t>
            </w:r>
          </w:p>
          <w:p w14:paraId="219DEF95" w14:textId="77777777" w:rsidR="00C53F27" w:rsidRPr="0029195A" w:rsidRDefault="00C53F27" w:rsidP="008515B4">
            <w:pPr>
              <w:pStyle w:val="TableText0"/>
              <w:keepLines/>
              <w:contextualSpacing/>
              <w:jc w:val="center"/>
              <w:rPr>
                <w:b/>
              </w:rPr>
            </w:pPr>
            <w:r w:rsidRPr="0029195A">
              <w:rPr>
                <w:b/>
              </w:rPr>
              <w:t>(n=125)</w:t>
            </w:r>
          </w:p>
        </w:tc>
        <w:tc>
          <w:tcPr>
            <w:tcW w:w="1511" w:type="dxa"/>
            <w:vAlign w:val="center"/>
          </w:tcPr>
          <w:p w14:paraId="42FCE9D1" w14:textId="77777777" w:rsidR="00C53F27" w:rsidRPr="0029195A" w:rsidRDefault="00C53F27" w:rsidP="008515B4">
            <w:pPr>
              <w:pStyle w:val="TableText0"/>
              <w:keepLines/>
              <w:contextualSpacing/>
              <w:jc w:val="center"/>
              <w:rPr>
                <w:b/>
              </w:rPr>
            </w:pPr>
            <w:r w:rsidRPr="0029195A">
              <w:rPr>
                <w:b/>
              </w:rPr>
              <w:t xml:space="preserve">3.2 </w:t>
            </w:r>
            <w:r w:rsidRPr="0029195A">
              <w:rPr>
                <w:b/>
              </w:rPr>
              <w:br/>
              <w:t>(0.3, 6.1)</w:t>
            </w:r>
          </w:p>
        </w:tc>
        <w:tc>
          <w:tcPr>
            <w:tcW w:w="1511" w:type="dxa"/>
            <w:vAlign w:val="center"/>
          </w:tcPr>
          <w:p w14:paraId="7BA2C3B9" w14:textId="77777777" w:rsidR="00C53F27" w:rsidRPr="0029195A" w:rsidRDefault="00C53F27" w:rsidP="008515B4">
            <w:pPr>
              <w:pStyle w:val="TableText0"/>
              <w:keepLines/>
              <w:contextualSpacing/>
              <w:jc w:val="center"/>
              <w:rPr>
                <w:b/>
              </w:rPr>
            </w:pPr>
            <w:r w:rsidRPr="0029195A">
              <w:rPr>
                <w:b/>
              </w:rPr>
              <w:t>0.029</w:t>
            </w:r>
          </w:p>
        </w:tc>
      </w:tr>
      <w:tr w:rsidR="00C53F27" w:rsidRPr="0029195A" w14:paraId="1286D14F" w14:textId="77777777" w:rsidTr="008515B4">
        <w:trPr>
          <w:cantSplit/>
        </w:trPr>
        <w:tc>
          <w:tcPr>
            <w:tcW w:w="2972" w:type="dxa"/>
            <w:vAlign w:val="center"/>
          </w:tcPr>
          <w:p w14:paraId="3F2B31CA" w14:textId="41378CA4" w:rsidR="00C53F27" w:rsidRPr="0029195A" w:rsidRDefault="00C53F27" w:rsidP="008515B4">
            <w:pPr>
              <w:pStyle w:val="TableText0"/>
              <w:keepLines/>
              <w:contextualSpacing/>
              <w:rPr>
                <w:bCs w:val="0"/>
              </w:rPr>
            </w:pPr>
            <w:r w:rsidRPr="0029195A">
              <w:rPr>
                <w:bCs w:val="0"/>
              </w:rPr>
              <w:t>UA</w:t>
            </w:r>
            <w:r w:rsidR="008A1586" w:rsidRPr="0029195A">
              <w:rPr>
                <w:bCs w:val="0"/>
              </w:rPr>
              <w:t>C</w:t>
            </w:r>
            <w:r w:rsidRPr="0029195A">
              <w:rPr>
                <w:bCs w:val="0"/>
              </w:rPr>
              <w:t>R, change from baseline (Week 52), LSM ± SE</w:t>
            </w:r>
          </w:p>
        </w:tc>
        <w:tc>
          <w:tcPr>
            <w:tcW w:w="1511" w:type="dxa"/>
            <w:vAlign w:val="center"/>
          </w:tcPr>
          <w:p w14:paraId="7721EC25" w14:textId="77777777" w:rsidR="00C53F27" w:rsidRPr="0029195A" w:rsidRDefault="00C53F27" w:rsidP="008515B4">
            <w:pPr>
              <w:pStyle w:val="TableText0"/>
              <w:keepLines/>
              <w:contextualSpacing/>
              <w:jc w:val="center"/>
              <w:rPr>
                <w:bCs w:val="0"/>
              </w:rPr>
            </w:pPr>
            <w:r w:rsidRPr="0029195A">
              <w:rPr>
                <w:bCs w:val="0"/>
              </w:rPr>
              <w:t>0.26 ± 1.1</w:t>
            </w:r>
          </w:p>
          <w:p w14:paraId="6B6D3882" w14:textId="77777777" w:rsidR="00C53F27" w:rsidRPr="0029195A" w:rsidRDefault="00C53F27" w:rsidP="008515B4">
            <w:pPr>
              <w:pStyle w:val="TableText0"/>
              <w:keepLines/>
              <w:contextualSpacing/>
              <w:jc w:val="center"/>
              <w:rPr>
                <w:bCs w:val="0"/>
              </w:rPr>
            </w:pPr>
            <w:r w:rsidRPr="0029195A">
              <w:rPr>
                <w:bCs w:val="0"/>
              </w:rPr>
              <w:t>(n=109)</w:t>
            </w:r>
          </w:p>
        </w:tc>
        <w:tc>
          <w:tcPr>
            <w:tcW w:w="1511" w:type="dxa"/>
            <w:vAlign w:val="center"/>
          </w:tcPr>
          <w:p w14:paraId="581DB0D0" w14:textId="77777777" w:rsidR="00C53F27" w:rsidRPr="0029195A" w:rsidRDefault="00C53F27" w:rsidP="008515B4">
            <w:pPr>
              <w:pStyle w:val="TableText0"/>
              <w:keepLines/>
              <w:contextualSpacing/>
              <w:jc w:val="center"/>
              <w:rPr>
                <w:bCs w:val="0"/>
              </w:rPr>
            </w:pPr>
            <w:r w:rsidRPr="0029195A">
              <w:rPr>
                <w:bCs w:val="0"/>
              </w:rPr>
              <w:t>0.23 ± 1.1</w:t>
            </w:r>
          </w:p>
          <w:p w14:paraId="0614F076" w14:textId="77777777" w:rsidR="00C53F27" w:rsidRPr="0029195A" w:rsidRDefault="00C53F27" w:rsidP="008515B4">
            <w:pPr>
              <w:pStyle w:val="TableText0"/>
              <w:keepLines/>
              <w:contextualSpacing/>
              <w:jc w:val="center"/>
              <w:rPr>
                <w:bCs w:val="0"/>
              </w:rPr>
            </w:pPr>
            <w:r w:rsidRPr="0029195A">
              <w:rPr>
                <w:bCs w:val="0"/>
              </w:rPr>
              <w:t>(n=114)</w:t>
            </w:r>
          </w:p>
        </w:tc>
        <w:tc>
          <w:tcPr>
            <w:tcW w:w="1511" w:type="dxa"/>
            <w:vAlign w:val="center"/>
          </w:tcPr>
          <w:p w14:paraId="6C598A9F" w14:textId="77777777" w:rsidR="00C53F27" w:rsidRPr="0029195A" w:rsidRDefault="00C53F27" w:rsidP="008515B4">
            <w:pPr>
              <w:pStyle w:val="TableText0"/>
              <w:keepLines/>
              <w:contextualSpacing/>
              <w:jc w:val="center"/>
              <w:rPr>
                <w:bCs w:val="0"/>
              </w:rPr>
            </w:pPr>
            <w:r w:rsidRPr="0029195A">
              <w:rPr>
                <w:bCs w:val="0"/>
              </w:rPr>
              <w:t>1.12</w:t>
            </w:r>
            <w:r w:rsidRPr="0029195A">
              <w:rPr>
                <w:bCs w:val="0"/>
              </w:rPr>
              <w:br/>
              <w:t xml:space="preserve"> (0.86, 1.45)</w:t>
            </w:r>
          </w:p>
        </w:tc>
        <w:tc>
          <w:tcPr>
            <w:tcW w:w="1511" w:type="dxa"/>
            <w:vAlign w:val="center"/>
          </w:tcPr>
          <w:p w14:paraId="4227F8F6" w14:textId="77777777" w:rsidR="00C53F27" w:rsidRPr="0029195A" w:rsidRDefault="00C53F27" w:rsidP="008515B4">
            <w:pPr>
              <w:pStyle w:val="TableText0"/>
              <w:keepLines/>
              <w:contextualSpacing/>
              <w:jc w:val="center"/>
              <w:rPr>
                <w:bCs w:val="0"/>
              </w:rPr>
            </w:pPr>
            <w:r w:rsidRPr="0029195A">
              <w:rPr>
                <w:bCs w:val="0"/>
              </w:rPr>
              <w:t>0.3991</w:t>
            </w:r>
          </w:p>
        </w:tc>
      </w:tr>
      <w:tr w:rsidR="00C53F27" w:rsidRPr="0029195A" w14:paraId="723DEF18" w14:textId="77777777" w:rsidTr="008515B4">
        <w:trPr>
          <w:cantSplit/>
        </w:trPr>
        <w:tc>
          <w:tcPr>
            <w:tcW w:w="2972" w:type="dxa"/>
            <w:vAlign w:val="center"/>
          </w:tcPr>
          <w:p w14:paraId="5918724E" w14:textId="77777777" w:rsidR="00C53F27" w:rsidRPr="0029195A" w:rsidRDefault="00C53F27" w:rsidP="008515B4">
            <w:pPr>
              <w:pStyle w:val="TableText0"/>
              <w:keepLines/>
              <w:contextualSpacing/>
              <w:rPr>
                <w:b/>
              </w:rPr>
            </w:pPr>
            <w:r w:rsidRPr="0029195A">
              <w:rPr>
                <w:b/>
              </w:rPr>
              <w:t>Urinary MCP-1 to creatinine ratio, change from baseline (Week 13), LSM ± SE</w:t>
            </w:r>
          </w:p>
        </w:tc>
        <w:tc>
          <w:tcPr>
            <w:tcW w:w="1511" w:type="dxa"/>
            <w:vAlign w:val="center"/>
          </w:tcPr>
          <w:p w14:paraId="19E5F36E" w14:textId="77777777" w:rsidR="00C53F27" w:rsidRPr="0029195A" w:rsidRDefault="00C53F27" w:rsidP="008515B4">
            <w:pPr>
              <w:pStyle w:val="TableText0"/>
              <w:keepLines/>
              <w:contextualSpacing/>
              <w:jc w:val="center"/>
              <w:rPr>
                <w:b/>
              </w:rPr>
            </w:pPr>
            <w:r w:rsidRPr="0029195A">
              <w:rPr>
                <w:b/>
              </w:rPr>
              <w:t>0.41 ± 1.06</w:t>
            </w:r>
          </w:p>
          <w:p w14:paraId="25B87551" w14:textId="77777777" w:rsidR="00C53F27" w:rsidRPr="0029195A" w:rsidRDefault="00C53F27" w:rsidP="008515B4">
            <w:pPr>
              <w:pStyle w:val="TableText0"/>
              <w:keepLines/>
              <w:contextualSpacing/>
              <w:jc w:val="center"/>
              <w:rPr>
                <w:b/>
              </w:rPr>
            </w:pPr>
            <w:r w:rsidRPr="0029195A">
              <w:rPr>
                <w:b/>
              </w:rPr>
              <w:t>(n=113)</w:t>
            </w:r>
          </w:p>
        </w:tc>
        <w:tc>
          <w:tcPr>
            <w:tcW w:w="1511" w:type="dxa"/>
            <w:vAlign w:val="center"/>
          </w:tcPr>
          <w:p w14:paraId="30795A4D" w14:textId="77777777" w:rsidR="00C53F27" w:rsidRPr="0029195A" w:rsidRDefault="00C53F27" w:rsidP="008515B4">
            <w:pPr>
              <w:pStyle w:val="TableText0"/>
              <w:keepLines/>
              <w:contextualSpacing/>
              <w:jc w:val="center"/>
              <w:rPr>
                <w:b/>
              </w:rPr>
            </w:pPr>
            <w:r w:rsidRPr="0029195A">
              <w:rPr>
                <w:b/>
              </w:rPr>
              <w:t>0.48 ± 1.06</w:t>
            </w:r>
          </w:p>
          <w:p w14:paraId="3A8A0674" w14:textId="77777777" w:rsidR="00C53F27" w:rsidRPr="0029195A" w:rsidRDefault="00C53F27" w:rsidP="008515B4">
            <w:pPr>
              <w:pStyle w:val="TableText0"/>
              <w:keepLines/>
              <w:contextualSpacing/>
              <w:jc w:val="center"/>
              <w:rPr>
                <w:b/>
              </w:rPr>
            </w:pPr>
            <w:r w:rsidRPr="0029195A">
              <w:rPr>
                <w:b/>
              </w:rPr>
              <w:t>(n=120)</w:t>
            </w:r>
          </w:p>
        </w:tc>
        <w:tc>
          <w:tcPr>
            <w:tcW w:w="1511" w:type="dxa"/>
            <w:vAlign w:val="center"/>
          </w:tcPr>
          <w:p w14:paraId="5C2658BF" w14:textId="77777777" w:rsidR="00C53F27" w:rsidRPr="0029195A" w:rsidRDefault="00C53F27" w:rsidP="008515B4">
            <w:pPr>
              <w:pStyle w:val="TableText0"/>
              <w:keepLines/>
              <w:contextualSpacing/>
              <w:jc w:val="center"/>
              <w:rPr>
                <w:b/>
              </w:rPr>
            </w:pPr>
            <w:r w:rsidRPr="0029195A">
              <w:rPr>
                <w:b/>
              </w:rPr>
              <w:t xml:space="preserve">0.85 </w:t>
            </w:r>
            <w:r w:rsidRPr="0029195A">
              <w:rPr>
                <w:b/>
              </w:rPr>
              <w:br/>
              <w:t>(0.72, 0.99)</w:t>
            </w:r>
          </w:p>
        </w:tc>
        <w:tc>
          <w:tcPr>
            <w:tcW w:w="1511" w:type="dxa"/>
            <w:vAlign w:val="center"/>
          </w:tcPr>
          <w:p w14:paraId="4627719A" w14:textId="77777777" w:rsidR="00C53F27" w:rsidRPr="0029195A" w:rsidRDefault="00C53F27" w:rsidP="008515B4">
            <w:pPr>
              <w:pStyle w:val="TableText0"/>
              <w:keepLines/>
              <w:contextualSpacing/>
              <w:jc w:val="center"/>
              <w:rPr>
                <w:b/>
              </w:rPr>
            </w:pPr>
            <w:r w:rsidRPr="0029195A">
              <w:rPr>
                <w:b/>
              </w:rPr>
              <w:t>0.0339</w:t>
            </w:r>
          </w:p>
        </w:tc>
      </w:tr>
      <w:tr w:rsidR="00C53F27" w:rsidRPr="0029195A" w14:paraId="370D8CAF" w14:textId="77777777" w:rsidTr="008515B4">
        <w:trPr>
          <w:cantSplit/>
        </w:trPr>
        <w:tc>
          <w:tcPr>
            <w:tcW w:w="2972" w:type="dxa"/>
            <w:vAlign w:val="center"/>
          </w:tcPr>
          <w:p w14:paraId="4D0A56DE" w14:textId="77777777" w:rsidR="00C53F27" w:rsidRPr="0029195A" w:rsidRDefault="00C53F27" w:rsidP="008515B4">
            <w:pPr>
              <w:pStyle w:val="TableText0"/>
              <w:keepLines/>
              <w:contextualSpacing/>
              <w:rPr>
                <w:bCs w:val="0"/>
              </w:rPr>
            </w:pPr>
            <w:r w:rsidRPr="0029195A">
              <w:rPr>
                <w:bCs w:val="0"/>
              </w:rPr>
              <w:t>Urinary MCP-1 to creatinine ratio, change from baseline (Week 52), LSM ± SE</w:t>
            </w:r>
          </w:p>
        </w:tc>
        <w:tc>
          <w:tcPr>
            <w:tcW w:w="1511" w:type="dxa"/>
            <w:vAlign w:val="center"/>
          </w:tcPr>
          <w:p w14:paraId="20B352E6" w14:textId="77777777" w:rsidR="00C53F27" w:rsidRPr="0029195A" w:rsidRDefault="00C53F27" w:rsidP="008515B4">
            <w:pPr>
              <w:pStyle w:val="TableText0"/>
              <w:keepLines/>
              <w:contextualSpacing/>
              <w:jc w:val="center"/>
              <w:rPr>
                <w:bCs w:val="0"/>
              </w:rPr>
            </w:pPr>
            <w:r w:rsidRPr="0029195A">
              <w:rPr>
                <w:bCs w:val="0"/>
              </w:rPr>
              <w:t>0.27 ± 1.06</w:t>
            </w:r>
          </w:p>
          <w:p w14:paraId="1A8009A3" w14:textId="77777777" w:rsidR="00C53F27" w:rsidRPr="0029195A" w:rsidRDefault="00C53F27" w:rsidP="008515B4">
            <w:pPr>
              <w:pStyle w:val="TableText0"/>
              <w:keepLines/>
              <w:contextualSpacing/>
              <w:jc w:val="center"/>
              <w:rPr>
                <w:bCs w:val="0"/>
              </w:rPr>
            </w:pPr>
            <w:r w:rsidRPr="0029195A">
              <w:rPr>
                <w:bCs w:val="0"/>
              </w:rPr>
              <w:t>(n=106)</w:t>
            </w:r>
          </w:p>
        </w:tc>
        <w:tc>
          <w:tcPr>
            <w:tcW w:w="1511" w:type="dxa"/>
            <w:vAlign w:val="center"/>
          </w:tcPr>
          <w:p w14:paraId="3CFE8204" w14:textId="77777777" w:rsidR="00C53F27" w:rsidRPr="0029195A" w:rsidRDefault="00C53F27" w:rsidP="008515B4">
            <w:pPr>
              <w:pStyle w:val="TableText0"/>
              <w:keepLines/>
              <w:contextualSpacing/>
              <w:jc w:val="center"/>
              <w:rPr>
                <w:bCs w:val="0"/>
              </w:rPr>
            </w:pPr>
            <w:r w:rsidRPr="0029195A">
              <w:rPr>
                <w:bCs w:val="0"/>
              </w:rPr>
              <w:t>0.29 ± 1.06</w:t>
            </w:r>
          </w:p>
          <w:p w14:paraId="0ACE9817" w14:textId="77777777" w:rsidR="00C53F27" w:rsidRPr="0029195A" w:rsidRDefault="00C53F27" w:rsidP="008515B4">
            <w:pPr>
              <w:pStyle w:val="TableText0"/>
              <w:keepLines/>
              <w:contextualSpacing/>
              <w:jc w:val="center"/>
              <w:rPr>
                <w:bCs w:val="0"/>
              </w:rPr>
            </w:pPr>
            <w:r w:rsidRPr="0029195A">
              <w:rPr>
                <w:bCs w:val="0"/>
              </w:rPr>
              <w:t>(n=108)</w:t>
            </w:r>
          </w:p>
        </w:tc>
        <w:tc>
          <w:tcPr>
            <w:tcW w:w="1511" w:type="dxa"/>
            <w:vAlign w:val="center"/>
          </w:tcPr>
          <w:p w14:paraId="32AD6C85" w14:textId="77777777" w:rsidR="00C53F27" w:rsidRPr="0029195A" w:rsidRDefault="00C53F27" w:rsidP="008515B4">
            <w:pPr>
              <w:pStyle w:val="TableText0"/>
              <w:keepLines/>
              <w:contextualSpacing/>
              <w:jc w:val="center"/>
              <w:rPr>
                <w:bCs w:val="0"/>
              </w:rPr>
            </w:pPr>
            <w:r w:rsidRPr="0029195A">
              <w:rPr>
                <w:bCs w:val="0"/>
              </w:rPr>
              <w:t xml:space="preserve">0.90 </w:t>
            </w:r>
            <w:r w:rsidRPr="0029195A">
              <w:rPr>
                <w:bCs w:val="0"/>
              </w:rPr>
              <w:br/>
              <w:t>(0.77, 1.06)</w:t>
            </w:r>
          </w:p>
        </w:tc>
        <w:tc>
          <w:tcPr>
            <w:tcW w:w="1511" w:type="dxa"/>
            <w:vAlign w:val="center"/>
          </w:tcPr>
          <w:p w14:paraId="4228ECB4" w14:textId="77777777" w:rsidR="00C53F27" w:rsidRPr="0029195A" w:rsidRDefault="00C53F27" w:rsidP="008515B4">
            <w:pPr>
              <w:pStyle w:val="TableText0"/>
              <w:keepLines/>
              <w:contextualSpacing/>
              <w:jc w:val="center"/>
              <w:rPr>
                <w:bCs w:val="0"/>
              </w:rPr>
            </w:pPr>
            <w:r w:rsidRPr="0029195A">
              <w:rPr>
                <w:bCs w:val="0"/>
              </w:rPr>
              <w:t>0.2223</w:t>
            </w:r>
          </w:p>
        </w:tc>
      </w:tr>
    </w:tbl>
    <w:p w14:paraId="1DDAE081" w14:textId="77777777" w:rsidR="00C53F27" w:rsidRPr="0029195A" w:rsidRDefault="00C53F27" w:rsidP="008515B4">
      <w:pPr>
        <w:pStyle w:val="FooterTableFigure"/>
        <w:keepNext/>
        <w:keepLines/>
        <w:rPr>
          <w:i/>
        </w:rPr>
      </w:pPr>
      <w:r w:rsidRPr="0029195A">
        <w:t xml:space="preserve">Source: Section 2.5, pp78-91 of the submission. </w:t>
      </w:r>
    </w:p>
    <w:p w14:paraId="70E380EA" w14:textId="33D3C266" w:rsidR="00C53F27" w:rsidRPr="0029195A" w:rsidRDefault="00C53F27" w:rsidP="008515B4">
      <w:pPr>
        <w:pStyle w:val="FooterTableFigure"/>
        <w:keepNext/>
        <w:keepLines/>
      </w:pPr>
      <w:r w:rsidRPr="0029195A">
        <w:t>Abbreviations: BVAS,  Birmingham Vasculitis Activity Score; CI, confidence interval; eGFR, estimated glomerular filtration rate; EQ-5D-5L, EuroQuality of Life-5 Domains-5 Levels; GC, glucocorticoids; GTI-AIS,Glucocorticoid Toxicity Index Aggregate Improvement Score; GTI-CWS, Glucocorticoid Toxicity Index Cumulative Worsening Score; HRQoL, health related quality of life; ITT, intent to treat; LSM, least-squares mean; MCP-1, monocyte chemoattractant protein-1; SE, standard error; SF-36v2, Short Form-36 version 2; SOC, standard of care; UACR, urinary albumin:creatinine ratio; VAS, Visual Analogue Scale; VDI, Vasculitis Damage Index</w:t>
      </w:r>
      <w:r w:rsidR="0029195A">
        <w:t xml:space="preserve">. </w:t>
      </w:r>
    </w:p>
    <w:p w14:paraId="62D578DB" w14:textId="0B1B4706" w:rsidR="00C53F27" w:rsidRPr="0029195A" w:rsidRDefault="00C53F27" w:rsidP="008515B4">
      <w:pPr>
        <w:pStyle w:val="FooterTableFigure"/>
        <w:keepNext/>
        <w:keepLines/>
      </w:pPr>
      <w:r w:rsidRPr="0029195A">
        <w:rPr>
          <w:vertAlign w:val="superscript"/>
        </w:rPr>
        <w:t>a</w:t>
      </w:r>
      <w:r w:rsidRPr="0029195A">
        <w:t xml:space="preserve"> </w:t>
      </w:r>
      <w:r w:rsidR="0094565E" w:rsidRPr="0029195A">
        <w:t>P</w:t>
      </w:r>
      <w:r w:rsidR="00CE5702" w:rsidRPr="0029195A">
        <w:t>atients with r</w:t>
      </w:r>
      <w:r w:rsidRPr="0029195A">
        <w:t xml:space="preserve">enal disease at baseline (based on BVAS). Avacopan + SOC: N=134; prednisone + SOC: N=134. </w:t>
      </w:r>
    </w:p>
    <w:p w14:paraId="328A6079" w14:textId="77777777" w:rsidR="00C53F27" w:rsidRPr="0029195A" w:rsidRDefault="00C53F27" w:rsidP="00C53F27">
      <w:pPr>
        <w:pStyle w:val="FooterTableFigure"/>
      </w:pPr>
      <w:r w:rsidRPr="0029195A">
        <w:rPr>
          <w:b/>
        </w:rPr>
        <w:t xml:space="preserve">Bold </w:t>
      </w:r>
      <w:r w:rsidRPr="0029195A">
        <w:t>indicates statistically significant results.</w:t>
      </w:r>
    </w:p>
    <w:p w14:paraId="01F8438B" w14:textId="10F9B414" w:rsidR="00C53F27" w:rsidRPr="0029195A" w:rsidRDefault="00C53F27" w:rsidP="007A6355">
      <w:pPr>
        <w:pStyle w:val="3-BodyText"/>
        <w:rPr>
          <w:lang w:eastAsia="en-GB"/>
        </w:rPr>
      </w:pPr>
      <w:r w:rsidRPr="0029195A">
        <w:rPr>
          <w:lang w:eastAsia="en-GB"/>
        </w:rPr>
        <w:t xml:space="preserve">Avacopan + SOC showed statistically significant improvement in several patient-relevant secondary outcomes, including reduced GC-induced toxicity on both the GTI-CWS and GTI-AIS, improved HRQoL on the </w:t>
      </w:r>
      <w:r w:rsidRPr="0029195A">
        <w:t>EQ-5D-5L visual analogue scale (VAS) and Index score</w:t>
      </w:r>
      <w:r w:rsidRPr="0029195A">
        <w:rPr>
          <w:lang w:eastAsia="en-GB"/>
        </w:rPr>
        <w:t xml:space="preserve">, and improved renal disease parameters. </w:t>
      </w:r>
    </w:p>
    <w:p w14:paraId="07B47B0A" w14:textId="15DECBD8" w:rsidR="0044200F" w:rsidRPr="0029195A" w:rsidRDefault="00C53F27" w:rsidP="007A6355">
      <w:pPr>
        <w:pStyle w:val="3-BodyText"/>
      </w:pPr>
      <w:r w:rsidRPr="0029195A">
        <w:rPr>
          <w:lang w:eastAsia="en-GB"/>
        </w:rPr>
        <w:lastRenderedPageBreak/>
        <w:t xml:space="preserve">There was a clinically significant improvement in GTI-CWS and GTI-AIS at Week 13 and Week 26 since </w:t>
      </w:r>
      <w:r w:rsidR="00035909" w:rsidRPr="0029195A">
        <w:rPr>
          <w:lang w:eastAsia="en-GB"/>
        </w:rPr>
        <w:t xml:space="preserve">all </w:t>
      </w:r>
      <w:r w:rsidRPr="0029195A">
        <w:rPr>
          <w:lang w:eastAsia="en-GB"/>
        </w:rPr>
        <w:t xml:space="preserve">GTI score </w:t>
      </w:r>
      <w:r w:rsidR="00035909" w:rsidRPr="0029195A">
        <w:rPr>
          <w:lang w:eastAsia="en-GB"/>
        </w:rPr>
        <w:t>improvements</w:t>
      </w:r>
      <w:r w:rsidRPr="0029195A">
        <w:rPr>
          <w:lang w:eastAsia="en-GB"/>
        </w:rPr>
        <w:t xml:space="preserve"> </w:t>
      </w:r>
      <w:r w:rsidR="00035909" w:rsidRPr="0029195A">
        <w:rPr>
          <w:lang w:eastAsia="en-GB"/>
        </w:rPr>
        <w:t>were</w:t>
      </w:r>
      <w:r w:rsidRPr="0029195A">
        <w:rPr>
          <w:lang w:eastAsia="en-GB"/>
        </w:rPr>
        <w:t xml:space="preserve"> greater than the pre-defined MCID of 10 points. However, the MCID may </w:t>
      </w:r>
      <w:r w:rsidR="00782A56" w:rsidRPr="0029195A">
        <w:rPr>
          <w:lang w:eastAsia="en-GB"/>
        </w:rPr>
        <w:t>not be applicable</w:t>
      </w:r>
      <w:r w:rsidRPr="0029195A">
        <w:rPr>
          <w:lang w:eastAsia="en-GB"/>
        </w:rPr>
        <w:t xml:space="preserve"> to GTI-CWS since the data used to calculate the MCID was based on GTI-AIS assessments</w:t>
      </w:r>
      <w:r w:rsidR="0060509F" w:rsidRPr="0029195A">
        <w:rPr>
          <w:lang w:eastAsia="en-GB"/>
        </w:rPr>
        <w:t xml:space="preserve">, which could be </w:t>
      </w:r>
      <w:r w:rsidR="008F4EB0" w:rsidRPr="0029195A">
        <w:rPr>
          <w:lang w:eastAsia="en-GB"/>
        </w:rPr>
        <w:t>important</w:t>
      </w:r>
      <w:r w:rsidR="0060509F" w:rsidRPr="0029195A">
        <w:rPr>
          <w:lang w:eastAsia="en-GB"/>
        </w:rPr>
        <w:t xml:space="preserve"> considering the differences in their definitions; GTI-CWS measures cumulative GC toxicity, regardless of whether it is permanent or transient, whereas GTI-AIS measures both deterioration and improvement in GC toxicity. </w:t>
      </w:r>
      <w:r w:rsidR="0044200F" w:rsidRPr="0029195A">
        <w:t xml:space="preserve">The ESC noted that the total study and non-study supplied GC dosage required during the induction period was lower in avacopan + SOC group relative to prednisone + SOC group (see paragraph </w:t>
      </w:r>
      <w:r w:rsidR="0044200F" w:rsidRPr="0029195A">
        <w:fldChar w:fldCharType="begin" w:fldLock="1"/>
      </w:r>
      <w:r w:rsidR="0044200F" w:rsidRPr="0029195A">
        <w:instrText xml:space="preserve"> REF _Ref137672153 \r \h </w:instrText>
      </w:r>
      <w:r w:rsidR="000A4378" w:rsidRPr="0029195A">
        <w:instrText xml:space="preserve"> \* MERGEFORMAT </w:instrText>
      </w:r>
      <w:r w:rsidR="0044200F" w:rsidRPr="0029195A">
        <w:fldChar w:fldCharType="separate"/>
      </w:r>
      <w:r w:rsidR="00740D9D">
        <w:t>6.20</w:t>
      </w:r>
      <w:r w:rsidR="0044200F" w:rsidRPr="0029195A">
        <w:fldChar w:fldCharType="end"/>
      </w:r>
      <w:r w:rsidR="0044200F" w:rsidRPr="0029195A">
        <w:t xml:space="preserve">) and considered this </w:t>
      </w:r>
      <w:r w:rsidR="00631406" w:rsidRPr="0029195A">
        <w:t xml:space="preserve">likely </w:t>
      </w:r>
      <w:r w:rsidR="0044200F" w:rsidRPr="0029195A">
        <w:t xml:space="preserve">corresponded to improvements in GTI-CWS and GTI-AIS. </w:t>
      </w:r>
    </w:p>
    <w:p w14:paraId="654DBF17" w14:textId="19555D1C" w:rsidR="00C53F27" w:rsidRPr="0029195A" w:rsidRDefault="00C53F27" w:rsidP="007A6355">
      <w:pPr>
        <w:pStyle w:val="3-BodyText"/>
      </w:pPr>
      <w:bookmarkStart w:id="39" w:name="_Ref141774707"/>
      <w:r w:rsidRPr="0029195A">
        <w:t xml:space="preserve">The submission stated that </w:t>
      </w:r>
      <w:r w:rsidR="00A3438A" w:rsidRPr="0029195A">
        <w:t>the</w:t>
      </w:r>
      <w:r w:rsidRPr="0029195A">
        <w:t xml:space="preserve"> improvements </w:t>
      </w:r>
      <w:r w:rsidR="00A3438A" w:rsidRPr="0029195A">
        <w:t xml:space="preserve">seen </w:t>
      </w:r>
      <w:r w:rsidRPr="0029195A">
        <w:t xml:space="preserve">in eGFR rates in patients with renal disease treated with avacopan + SOC </w:t>
      </w:r>
      <w:r w:rsidR="00A3438A" w:rsidRPr="0029195A">
        <w:t xml:space="preserve">may translate into </w:t>
      </w:r>
      <w:r w:rsidRPr="0029195A">
        <w:t>improve</w:t>
      </w:r>
      <w:r w:rsidR="007C37DD" w:rsidRPr="0029195A">
        <w:t>d</w:t>
      </w:r>
      <w:r w:rsidRPr="0029195A">
        <w:t xml:space="preserve"> renal outcomes when compared to prednisone + SOC. However, while there was an improvement in eGFR rates, other parameters of renal disease such as UCAR at Week 52 and urinary MCP-1 to creatinine ratio at Week 52 did not show any statistical significance in patients with renal disease.</w:t>
      </w:r>
      <w:r w:rsidR="0044200F" w:rsidRPr="0029195A">
        <w:t xml:space="preserve"> </w:t>
      </w:r>
      <w:r w:rsidR="00631406" w:rsidRPr="0029195A">
        <w:t>The PSCR  provided a summary of change in eGFR from baseline to week 52 (</w:t>
      </w:r>
      <w:r w:rsidR="00DD7F60" w:rsidRPr="0029195A">
        <w:fldChar w:fldCharType="begin" w:fldLock="1"/>
      </w:r>
      <w:r w:rsidR="00DD7F60" w:rsidRPr="0029195A">
        <w:instrText xml:space="preserve"> REF _Ref137718094 \h  \* MERGEFORMAT </w:instrText>
      </w:r>
      <w:r w:rsidR="00DD7F60" w:rsidRPr="0029195A">
        <w:fldChar w:fldCharType="separate"/>
      </w:r>
      <w:r w:rsidR="00740D9D" w:rsidRPr="00740D9D">
        <w:t>Table 8</w:t>
      </w:r>
      <w:r w:rsidR="00DD7F60" w:rsidRPr="0029195A">
        <w:fldChar w:fldCharType="end"/>
      </w:r>
      <w:r w:rsidR="00631406" w:rsidRPr="0029195A">
        <w:t xml:space="preserve">) and argued that across all subgroups avacopan consistently resulted in greater improvement or slower decline compared with prednisolone. </w:t>
      </w:r>
      <w:r w:rsidR="00806D94" w:rsidRPr="0029195A">
        <w:rPr>
          <w:color w:val="000000" w:themeColor="text1"/>
        </w:rPr>
        <w:t>The ESC considered the improvement in eGFR were only seen in the subgroup with eGFR &lt;30 (and &gt;15 based on study criteria), occurring during the maintenance phase of the study and became non-significant at week 60</w:t>
      </w:r>
      <w:r w:rsidR="00DD7F60" w:rsidRPr="0029195A">
        <w:rPr>
          <w:color w:val="000000" w:themeColor="text1"/>
        </w:rPr>
        <w:t xml:space="preserve"> (mean difference 4.2, p =0.1065, Table 14.2.7.1.2 of Attachment 9 ADVOCATE TFLs)</w:t>
      </w:r>
      <w:r w:rsidR="00806D94" w:rsidRPr="0029195A">
        <w:rPr>
          <w:color w:val="000000" w:themeColor="text1"/>
        </w:rPr>
        <w:t xml:space="preserve">. </w:t>
      </w:r>
      <w:r w:rsidR="00013CC7" w:rsidRPr="0029195A">
        <w:rPr>
          <w:color w:val="000000" w:themeColor="text1"/>
        </w:rPr>
        <w:t xml:space="preserve">The ESC considered it was not clear how much of the benefit </w:t>
      </w:r>
      <w:r w:rsidR="00806D94" w:rsidRPr="0029195A">
        <w:rPr>
          <w:color w:val="000000" w:themeColor="text1"/>
        </w:rPr>
        <w:t>in this subgroup was attributable to the group which compared avacopan to no maintenance therapy (</w:t>
      </w:r>
      <w:r w:rsidR="00013CC7" w:rsidRPr="0029195A">
        <w:rPr>
          <w:color w:val="000000" w:themeColor="text1"/>
        </w:rPr>
        <w:t>i.e. induction with rituximab)</w:t>
      </w:r>
      <w:r w:rsidR="00806D94" w:rsidRPr="0029195A">
        <w:rPr>
          <w:color w:val="000000" w:themeColor="text1"/>
        </w:rPr>
        <w:t xml:space="preserve"> and therefore </w:t>
      </w:r>
      <w:r w:rsidR="00013CC7" w:rsidRPr="0029195A">
        <w:rPr>
          <w:color w:val="000000" w:themeColor="text1"/>
        </w:rPr>
        <w:t xml:space="preserve">it is </w:t>
      </w:r>
      <w:r w:rsidR="00806D94" w:rsidRPr="0029195A">
        <w:rPr>
          <w:color w:val="000000" w:themeColor="text1"/>
        </w:rPr>
        <w:t>unclear if these benefits would be seen in this subgroup of a PBS population.</w:t>
      </w:r>
      <w:bookmarkEnd w:id="39"/>
    </w:p>
    <w:p w14:paraId="7BFA593B" w14:textId="5C1618B3" w:rsidR="00631406" w:rsidRPr="0029195A" w:rsidRDefault="00631406" w:rsidP="00013CC7">
      <w:pPr>
        <w:pStyle w:val="Caption"/>
        <w:rPr>
          <w:rStyle w:val="CommentReference"/>
          <w:b/>
          <w:szCs w:val="24"/>
        </w:rPr>
      </w:pPr>
      <w:bookmarkStart w:id="40" w:name="_Ref137718094"/>
      <w:r w:rsidRPr="0029195A">
        <w:rPr>
          <w:rStyle w:val="CommentReference"/>
          <w:b/>
          <w:szCs w:val="24"/>
        </w:rPr>
        <w:t xml:space="preserve">Table </w:t>
      </w:r>
      <w:r w:rsidRPr="0029195A">
        <w:rPr>
          <w:rStyle w:val="CommentReference"/>
          <w:b/>
          <w:szCs w:val="24"/>
        </w:rPr>
        <w:fldChar w:fldCharType="begin" w:fldLock="1"/>
      </w:r>
      <w:r w:rsidRPr="0029195A">
        <w:rPr>
          <w:rStyle w:val="CommentReference"/>
          <w:b/>
          <w:szCs w:val="24"/>
        </w:rPr>
        <w:instrText xml:space="preserve"> SEQ Table \* ARABIC </w:instrText>
      </w:r>
      <w:r w:rsidRPr="0029195A">
        <w:rPr>
          <w:rStyle w:val="CommentReference"/>
          <w:b/>
          <w:szCs w:val="24"/>
        </w:rPr>
        <w:fldChar w:fldCharType="separate"/>
      </w:r>
      <w:r w:rsidRPr="0029195A">
        <w:rPr>
          <w:rStyle w:val="CommentReference"/>
          <w:b/>
          <w:szCs w:val="24"/>
        </w:rPr>
        <w:t>8</w:t>
      </w:r>
      <w:r w:rsidRPr="0029195A">
        <w:rPr>
          <w:rStyle w:val="CommentReference"/>
          <w:b/>
          <w:szCs w:val="24"/>
        </w:rPr>
        <w:fldChar w:fldCharType="end"/>
      </w:r>
      <w:bookmarkEnd w:id="40"/>
      <w:r w:rsidRPr="0029195A">
        <w:rPr>
          <w:rStyle w:val="CommentReference"/>
          <w:b/>
          <w:szCs w:val="24"/>
        </w:rPr>
        <w:t xml:space="preserve"> eGFR recovery by eGFR subgroup at baseline</w:t>
      </w:r>
    </w:p>
    <w:tbl>
      <w:tblPr>
        <w:tblStyle w:val="TableGrid"/>
        <w:tblW w:w="0" w:type="auto"/>
        <w:tblLook w:val="04A0" w:firstRow="1" w:lastRow="0" w:firstColumn="1" w:lastColumn="0" w:noHBand="0" w:noVBand="1"/>
      </w:tblPr>
      <w:tblGrid>
        <w:gridCol w:w="1113"/>
        <w:gridCol w:w="1256"/>
        <w:gridCol w:w="1102"/>
        <w:gridCol w:w="1000"/>
        <w:gridCol w:w="718"/>
        <w:gridCol w:w="1000"/>
        <w:gridCol w:w="1110"/>
        <w:gridCol w:w="1000"/>
        <w:gridCol w:w="718"/>
      </w:tblGrid>
      <w:tr w:rsidR="00631406" w:rsidRPr="0029195A" w14:paraId="73BA0671" w14:textId="77777777" w:rsidTr="00631406">
        <w:tc>
          <w:tcPr>
            <w:tcW w:w="1129" w:type="dxa"/>
            <w:shd w:val="clear" w:color="auto" w:fill="D9D9D9" w:themeFill="background1" w:themeFillShade="D9"/>
          </w:tcPr>
          <w:p w14:paraId="65DC3485" w14:textId="77777777" w:rsidR="00631406" w:rsidRPr="0029195A" w:rsidRDefault="00631406" w:rsidP="00013CC7">
            <w:pPr>
              <w:pStyle w:val="Tabletextleft"/>
              <w:keepNext/>
              <w:keepLines/>
              <w:rPr>
                <w:rFonts w:ascii="Arial Narrow" w:hAnsi="Arial Narrow"/>
                <w:b/>
                <w:bCs/>
                <w:sz w:val="20"/>
              </w:rPr>
            </w:pPr>
          </w:p>
        </w:tc>
        <w:tc>
          <w:tcPr>
            <w:tcW w:w="1277" w:type="dxa"/>
            <w:tcBorders>
              <w:right w:val="nil"/>
            </w:tcBorders>
            <w:shd w:val="clear" w:color="auto" w:fill="D9D9D9" w:themeFill="background1" w:themeFillShade="D9"/>
          </w:tcPr>
          <w:p w14:paraId="4BD7B7B2" w14:textId="77777777" w:rsidR="00631406" w:rsidRPr="0029195A" w:rsidRDefault="00631406" w:rsidP="00013CC7">
            <w:pPr>
              <w:pStyle w:val="Tabletextleft"/>
              <w:keepNext/>
              <w:keepLines/>
              <w:rPr>
                <w:rFonts w:ascii="Arial Narrow" w:hAnsi="Arial Narrow"/>
                <w:b/>
                <w:bCs/>
                <w:sz w:val="20"/>
              </w:rPr>
            </w:pPr>
            <w:r w:rsidRPr="0029195A">
              <w:rPr>
                <w:rFonts w:ascii="Arial Narrow" w:hAnsi="Arial Narrow"/>
                <w:b/>
                <w:bCs/>
                <w:sz w:val="20"/>
              </w:rPr>
              <w:t>Week 26</w:t>
            </w:r>
          </w:p>
        </w:tc>
        <w:tc>
          <w:tcPr>
            <w:tcW w:w="1102" w:type="dxa"/>
            <w:tcBorders>
              <w:left w:val="nil"/>
              <w:right w:val="nil"/>
            </w:tcBorders>
            <w:shd w:val="clear" w:color="auto" w:fill="D9D9D9" w:themeFill="background1" w:themeFillShade="D9"/>
          </w:tcPr>
          <w:p w14:paraId="2DAEF84A" w14:textId="77777777" w:rsidR="00631406" w:rsidRPr="0029195A" w:rsidRDefault="00631406" w:rsidP="00013CC7">
            <w:pPr>
              <w:pStyle w:val="Tabletextleft"/>
              <w:keepNext/>
              <w:keepLines/>
              <w:rPr>
                <w:rFonts w:ascii="Arial Narrow" w:hAnsi="Arial Narrow"/>
                <w:b/>
                <w:bCs/>
                <w:sz w:val="20"/>
              </w:rPr>
            </w:pPr>
          </w:p>
        </w:tc>
        <w:tc>
          <w:tcPr>
            <w:tcW w:w="993" w:type="dxa"/>
            <w:tcBorders>
              <w:left w:val="nil"/>
              <w:right w:val="nil"/>
            </w:tcBorders>
            <w:shd w:val="clear" w:color="auto" w:fill="D9D9D9" w:themeFill="background1" w:themeFillShade="D9"/>
          </w:tcPr>
          <w:p w14:paraId="2C77F372" w14:textId="77777777" w:rsidR="00631406" w:rsidRPr="0029195A" w:rsidRDefault="00631406" w:rsidP="00013CC7">
            <w:pPr>
              <w:pStyle w:val="Tabletextleft"/>
              <w:keepNext/>
              <w:keepLines/>
              <w:rPr>
                <w:rFonts w:ascii="Arial Narrow" w:hAnsi="Arial Narrow"/>
                <w:b/>
                <w:bCs/>
                <w:sz w:val="20"/>
              </w:rPr>
            </w:pPr>
          </w:p>
        </w:tc>
        <w:tc>
          <w:tcPr>
            <w:tcW w:w="714" w:type="dxa"/>
            <w:tcBorders>
              <w:left w:val="nil"/>
            </w:tcBorders>
            <w:shd w:val="clear" w:color="auto" w:fill="D9D9D9" w:themeFill="background1" w:themeFillShade="D9"/>
          </w:tcPr>
          <w:p w14:paraId="10C3179C" w14:textId="77777777" w:rsidR="00631406" w:rsidRPr="0029195A" w:rsidRDefault="00631406" w:rsidP="00013CC7">
            <w:pPr>
              <w:pStyle w:val="Tabletextleft"/>
              <w:keepNext/>
              <w:keepLines/>
              <w:rPr>
                <w:rFonts w:ascii="Arial Narrow" w:hAnsi="Arial Narrow"/>
                <w:b/>
                <w:bCs/>
                <w:sz w:val="20"/>
              </w:rPr>
            </w:pPr>
          </w:p>
        </w:tc>
        <w:tc>
          <w:tcPr>
            <w:tcW w:w="993" w:type="dxa"/>
            <w:tcBorders>
              <w:right w:val="nil"/>
            </w:tcBorders>
            <w:shd w:val="clear" w:color="auto" w:fill="D9D9D9" w:themeFill="background1" w:themeFillShade="D9"/>
          </w:tcPr>
          <w:p w14:paraId="276D822E" w14:textId="77777777" w:rsidR="00631406" w:rsidRPr="0029195A" w:rsidRDefault="00631406" w:rsidP="00013CC7">
            <w:pPr>
              <w:pStyle w:val="Tabletextleft"/>
              <w:keepNext/>
              <w:keepLines/>
              <w:rPr>
                <w:rFonts w:ascii="Arial Narrow" w:hAnsi="Arial Narrow"/>
                <w:b/>
                <w:bCs/>
                <w:sz w:val="20"/>
              </w:rPr>
            </w:pPr>
            <w:r w:rsidRPr="0029195A">
              <w:rPr>
                <w:rFonts w:ascii="Arial Narrow" w:hAnsi="Arial Narrow"/>
                <w:b/>
                <w:bCs/>
                <w:sz w:val="20"/>
              </w:rPr>
              <w:t>Week 52</w:t>
            </w:r>
          </w:p>
        </w:tc>
        <w:tc>
          <w:tcPr>
            <w:tcW w:w="1102" w:type="dxa"/>
            <w:tcBorders>
              <w:left w:val="nil"/>
              <w:right w:val="nil"/>
            </w:tcBorders>
            <w:shd w:val="clear" w:color="auto" w:fill="D9D9D9" w:themeFill="background1" w:themeFillShade="D9"/>
          </w:tcPr>
          <w:p w14:paraId="2F27F5A1" w14:textId="77777777" w:rsidR="00631406" w:rsidRPr="0029195A" w:rsidRDefault="00631406" w:rsidP="00013CC7">
            <w:pPr>
              <w:pStyle w:val="Tabletextleft"/>
              <w:keepNext/>
              <w:keepLines/>
              <w:rPr>
                <w:rFonts w:ascii="Arial Narrow" w:hAnsi="Arial Narrow"/>
                <w:b/>
                <w:bCs/>
                <w:sz w:val="20"/>
              </w:rPr>
            </w:pPr>
          </w:p>
        </w:tc>
        <w:tc>
          <w:tcPr>
            <w:tcW w:w="993" w:type="dxa"/>
            <w:tcBorders>
              <w:left w:val="nil"/>
              <w:right w:val="nil"/>
            </w:tcBorders>
            <w:shd w:val="clear" w:color="auto" w:fill="D9D9D9" w:themeFill="background1" w:themeFillShade="D9"/>
          </w:tcPr>
          <w:p w14:paraId="2B06EFF1" w14:textId="77777777" w:rsidR="00631406" w:rsidRPr="0029195A" w:rsidRDefault="00631406" w:rsidP="00013CC7">
            <w:pPr>
              <w:pStyle w:val="Tabletextleft"/>
              <w:keepNext/>
              <w:keepLines/>
              <w:rPr>
                <w:rFonts w:ascii="Arial Narrow" w:hAnsi="Arial Narrow"/>
                <w:sz w:val="20"/>
              </w:rPr>
            </w:pPr>
          </w:p>
        </w:tc>
        <w:tc>
          <w:tcPr>
            <w:tcW w:w="714" w:type="dxa"/>
            <w:tcBorders>
              <w:left w:val="nil"/>
            </w:tcBorders>
            <w:shd w:val="clear" w:color="auto" w:fill="D9D9D9" w:themeFill="background1" w:themeFillShade="D9"/>
          </w:tcPr>
          <w:p w14:paraId="442FAAD8" w14:textId="77777777" w:rsidR="00631406" w:rsidRPr="0029195A" w:rsidRDefault="00631406" w:rsidP="00013CC7">
            <w:pPr>
              <w:pStyle w:val="Tabletextleft"/>
              <w:keepNext/>
              <w:keepLines/>
              <w:rPr>
                <w:rFonts w:ascii="Arial Narrow" w:hAnsi="Arial Narrow"/>
                <w:sz w:val="20"/>
              </w:rPr>
            </w:pPr>
          </w:p>
        </w:tc>
      </w:tr>
      <w:tr w:rsidR="00631406" w:rsidRPr="0029195A" w14:paraId="11F43F62" w14:textId="77777777" w:rsidTr="00631406">
        <w:tc>
          <w:tcPr>
            <w:tcW w:w="1129" w:type="dxa"/>
            <w:shd w:val="clear" w:color="auto" w:fill="F2F2F2" w:themeFill="background1" w:themeFillShade="F2"/>
            <w:vAlign w:val="center"/>
          </w:tcPr>
          <w:p w14:paraId="4296256C" w14:textId="7CC5D134" w:rsidR="00631406" w:rsidRPr="0029195A" w:rsidRDefault="00631406" w:rsidP="00013CC7">
            <w:pPr>
              <w:pStyle w:val="Tabletextleft"/>
              <w:keepNext/>
              <w:keepLines/>
              <w:rPr>
                <w:rFonts w:ascii="Arial Narrow" w:hAnsi="Arial Narrow"/>
                <w:b/>
                <w:bCs/>
                <w:sz w:val="20"/>
              </w:rPr>
            </w:pPr>
            <w:r w:rsidRPr="0029195A">
              <w:rPr>
                <w:rFonts w:ascii="Arial Narrow" w:hAnsi="Arial Narrow"/>
                <w:b/>
                <w:bCs/>
                <w:sz w:val="20"/>
              </w:rPr>
              <w:t>Baseline eGFR (ml/min</w:t>
            </w:r>
            <w:r w:rsidRPr="0029195A">
              <w:rPr>
                <w:rFonts w:ascii="Arial Narrow" w:hAnsi="Arial Narrow"/>
                <w:b/>
                <w:bCs/>
                <w:sz w:val="20"/>
              </w:rPr>
              <w:br/>
              <w:t>/1.73m</w:t>
            </w:r>
            <w:r w:rsidRPr="0029195A">
              <w:rPr>
                <w:rFonts w:ascii="Arial Narrow" w:hAnsi="Arial Narrow"/>
                <w:b/>
                <w:bCs/>
                <w:sz w:val="20"/>
                <w:vertAlign w:val="superscript"/>
              </w:rPr>
              <w:t>2</w:t>
            </w:r>
            <w:r w:rsidRPr="0029195A">
              <w:rPr>
                <w:rFonts w:ascii="Arial Narrow" w:hAnsi="Arial Narrow"/>
                <w:b/>
                <w:bCs/>
                <w:sz w:val="20"/>
              </w:rPr>
              <w:t>)</w:t>
            </w:r>
          </w:p>
        </w:tc>
        <w:tc>
          <w:tcPr>
            <w:tcW w:w="1277" w:type="dxa"/>
            <w:shd w:val="clear" w:color="auto" w:fill="F2F2F2" w:themeFill="background1" w:themeFillShade="F2"/>
            <w:vAlign w:val="center"/>
          </w:tcPr>
          <w:p w14:paraId="15266A31" w14:textId="49491AA7" w:rsidR="00631406" w:rsidRPr="0029195A" w:rsidRDefault="00631406" w:rsidP="00013CC7">
            <w:pPr>
              <w:pStyle w:val="Tabletextleft"/>
              <w:keepNext/>
              <w:keepLines/>
              <w:rPr>
                <w:rFonts w:ascii="Arial Narrow" w:hAnsi="Arial Narrow"/>
                <w:b/>
                <w:bCs/>
                <w:sz w:val="20"/>
              </w:rPr>
            </w:pPr>
            <w:r w:rsidRPr="0029195A">
              <w:rPr>
                <w:rFonts w:ascii="Arial Narrow" w:hAnsi="Arial Narrow"/>
                <w:b/>
                <w:bCs/>
                <w:sz w:val="20"/>
              </w:rPr>
              <w:t>avacopan</w:t>
            </w:r>
          </w:p>
        </w:tc>
        <w:tc>
          <w:tcPr>
            <w:tcW w:w="1102" w:type="dxa"/>
            <w:shd w:val="clear" w:color="auto" w:fill="F2F2F2" w:themeFill="background1" w:themeFillShade="F2"/>
            <w:vAlign w:val="center"/>
          </w:tcPr>
          <w:p w14:paraId="7DC497FD" w14:textId="01694381" w:rsidR="00631406" w:rsidRPr="0029195A" w:rsidRDefault="00631406" w:rsidP="00013CC7">
            <w:pPr>
              <w:pStyle w:val="Tabletextleft"/>
              <w:keepNext/>
              <w:keepLines/>
              <w:rPr>
                <w:rFonts w:ascii="Arial Narrow" w:hAnsi="Arial Narrow"/>
                <w:b/>
                <w:bCs/>
                <w:sz w:val="20"/>
              </w:rPr>
            </w:pPr>
            <w:r w:rsidRPr="0029195A">
              <w:rPr>
                <w:rFonts w:ascii="Arial Narrow" w:hAnsi="Arial Narrow"/>
                <w:b/>
                <w:bCs/>
                <w:sz w:val="20"/>
              </w:rPr>
              <w:t>prednisone</w:t>
            </w:r>
          </w:p>
        </w:tc>
        <w:tc>
          <w:tcPr>
            <w:tcW w:w="993" w:type="dxa"/>
            <w:shd w:val="clear" w:color="auto" w:fill="F2F2F2" w:themeFill="background1" w:themeFillShade="F2"/>
            <w:vAlign w:val="center"/>
          </w:tcPr>
          <w:p w14:paraId="7A07BBF8" w14:textId="62EEC343" w:rsidR="00631406" w:rsidRPr="0029195A" w:rsidRDefault="00631406" w:rsidP="00013CC7">
            <w:pPr>
              <w:pStyle w:val="Tabletextleft"/>
              <w:keepNext/>
              <w:keepLines/>
              <w:rPr>
                <w:rFonts w:ascii="Arial Narrow" w:hAnsi="Arial Narrow"/>
                <w:b/>
                <w:bCs/>
                <w:sz w:val="20"/>
              </w:rPr>
            </w:pPr>
            <w:r w:rsidRPr="0029195A">
              <w:rPr>
                <w:rFonts w:ascii="Arial Narrow" w:hAnsi="Arial Narrow"/>
                <w:b/>
                <w:bCs/>
                <w:sz w:val="20"/>
              </w:rPr>
              <w:t>Mean difference</w:t>
            </w:r>
          </w:p>
        </w:tc>
        <w:tc>
          <w:tcPr>
            <w:tcW w:w="714" w:type="dxa"/>
            <w:shd w:val="clear" w:color="auto" w:fill="F2F2F2" w:themeFill="background1" w:themeFillShade="F2"/>
            <w:vAlign w:val="center"/>
          </w:tcPr>
          <w:p w14:paraId="15C30B10" w14:textId="77777777" w:rsidR="00631406" w:rsidRPr="0029195A" w:rsidRDefault="00631406" w:rsidP="00013CC7">
            <w:pPr>
              <w:pStyle w:val="Tabletextleft"/>
              <w:keepNext/>
              <w:keepLines/>
              <w:rPr>
                <w:rFonts w:ascii="Arial Narrow" w:hAnsi="Arial Narrow"/>
                <w:b/>
                <w:bCs/>
                <w:sz w:val="20"/>
              </w:rPr>
            </w:pPr>
            <w:r w:rsidRPr="0029195A">
              <w:rPr>
                <w:rFonts w:ascii="Arial Narrow" w:hAnsi="Arial Narrow"/>
                <w:b/>
                <w:bCs/>
                <w:sz w:val="20"/>
              </w:rPr>
              <w:t>P value</w:t>
            </w:r>
          </w:p>
        </w:tc>
        <w:tc>
          <w:tcPr>
            <w:tcW w:w="993" w:type="dxa"/>
            <w:shd w:val="clear" w:color="auto" w:fill="F2F2F2" w:themeFill="background1" w:themeFillShade="F2"/>
            <w:vAlign w:val="center"/>
          </w:tcPr>
          <w:p w14:paraId="768C22ED" w14:textId="77777777" w:rsidR="00631406" w:rsidRPr="0029195A" w:rsidRDefault="00631406" w:rsidP="00013CC7">
            <w:pPr>
              <w:pStyle w:val="Tabletextleft"/>
              <w:keepNext/>
              <w:keepLines/>
              <w:rPr>
                <w:rFonts w:ascii="Arial Narrow" w:hAnsi="Arial Narrow"/>
                <w:b/>
                <w:bCs/>
                <w:sz w:val="20"/>
              </w:rPr>
            </w:pPr>
            <w:r w:rsidRPr="0029195A">
              <w:rPr>
                <w:rFonts w:ascii="Arial Narrow" w:hAnsi="Arial Narrow"/>
                <w:b/>
                <w:bCs/>
                <w:sz w:val="20"/>
              </w:rPr>
              <w:t>Avacopan</w:t>
            </w:r>
          </w:p>
        </w:tc>
        <w:tc>
          <w:tcPr>
            <w:tcW w:w="1102" w:type="dxa"/>
            <w:shd w:val="clear" w:color="auto" w:fill="F2F2F2" w:themeFill="background1" w:themeFillShade="F2"/>
            <w:vAlign w:val="center"/>
          </w:tcPr>
          <w:p w14:paraId="7924CE30" w14:textId="77777777" w:rsidR="00631406" w:rsidRPr="0029195A" w:rsidRDefault="00631406" w:rsidP="00013CC7">
            <w:pPr>
              <w:pStyle w:val="Tabletextleft"/>
              <w:keepNext/>
              <w:keepLines/>
              <w:rPr>
                <w:rFonts w:ascii="Arial Narrow" w:hAnsi="Arial Narrow"/>
                <w:b/>
                <w:bCs/>
                <w:sz w:val="20"/>
              </w:rPr>
            </w:pPr>
            <w:r w:rsidRPr="0029195A">
              <w:rPr>
                <w:rFonts w:ascii="Arial Narrow" w:hAnsi="Arial Narrow"/>
                <w:b/>
                <w:bCs/>
                <w:sz w:val="20"/>
              </w:rPr>
              <w:t>Prednisone</w:t>
            </w:r>
          </w:p>
        </w:tc>
        <w:tc>
          <w:tcPr>
            <w:tcW w:w="993" w:type="dxa"/>
            <w:shd w:val="clear" w:color="auto" w:fill="F2F2F2" w:themeFill="background1" w:themeFillShade="F2"/>
            <w:vAlign w:val="center"/>
          </w:tcPr>
          <w:p w14:paraId="1406FD74" w14:textId="77777777" w:rsidR="00631406" w:rsidRPr="0029195A" w:rsidRDefault="00631406" w:rsidP="00013CC7">
            <w:pPr>
              <w:pStyle w:val="Tabletextleft"/>
              <w:keepNext/>
              <w:keepLines/>
              <w:rPr>
                <w:rFonts w:ascii="Arial Narrow" w:hAnsi="Arial Narrow"/>
                <w:b/>
                <w:bCs/>
                <w:sz w:val="20"/>
              </w:rPr>
            </w:pPr>
            <w:r w:rsidRPr="0029195A">
              <w:rPr>
                <w:rFonts w:ascii="Arial Narrow" w:hAnsi="Arial Narrow"/>
                <w:b/>
                <w:bCs/>
                <w:sz w:val="20"/>
              </w:rPr>
              <w:t>Mean difference</w:t>
            </w:r>
          </w:p>
        </w:tc>
        <w:tc>
          <w:tcPr>
            <w:tcW w:w="714" w:type="dxa"/>
            <w:shd w:val="clear" w:color="auto" w:fill="F2F2F2" w:themeFill="background1" w:themeFillShade="F2"/>
            <w:vAlign w:val="center"/>
          </w:tcPr>
          <w:p w14:paraId="6B3601E9" w14:textId="77777777" w:rsidR="00631406" w:rsidRPr="0029195A" w:rsidRDefault="00631406" w:rsidP="00013CC7">
            <w:pPr>
              <w:pStyle w:val="Tabletextleft"/>
              <w:keepNext/>
              <w:keepLines/>
              <w:rPr>
                <w:rFonts w:ascii="Arial Narrow" w:hAnsi="Arial Narrow"/>
                <w:b/>
                <w:bCs/>
                <w:sz w:val="20"/>
              </w:rPr>
            </w:pPr>
            <w:r w:rsidRPr="0029195A">
              <w:rPr>
                <w:rFonts w:ascii="Arial Narrow" w:hAnsi="Arial Narrow"/>
                <w:b/>
                <w:bCs/>
                <w:sz w:val="20"/>
              </w:rPr>
              <w:t>P value</w:t>
            </w:r>
          </w:p>
        </w:tc>
      </w:tr>
      <w:tr w:rsidR="00631406" w:rsidRPr="0029195A" w14:paraId="5701CD40" w14:textId="77777777" w:rsidTr="00631406">
        <w:tc>
          <w:tcPr>
            <w:tcW w:w="1129" w:type="dxa"/>
          </w:tcPr>
          <w:p w14:paraId="62305044" w14:textId="77777777" w:rsidR="00631406" w:rsidRPr="0029195A" w:rsidRDefault="00631406" w:rsidP="00013CC7">
            <w:pPr>
              <w:pStyle w:val="Tabletextleft"/>
              <w:keepNext/>
              <w:keepLines/>
              <w:jc w:val="center"/>
              <w:rPr>
                <w:rFonts w:ascii="Arial Narrow" w:hAnsi="Arial Narrow"/>
                <w:sz w:val="20"/>
              </w:rPr>
            </w:pPr>
            <w:r w:rsidRPr="0029195A">
              <w:rPr>
                <w:rFonts w:ascii="Arial Narrow" w:hAnsi="Arial Narrow"/>
                <w:sz w:val="20"/>
              </w:rPr>
              <w:t>Overall</w:t>
            </w:r>
          </w:p>
        </w:tc>
        <w:tc>
          <w:tcPr>
            <w:tcW w:w="1277" w:type="dxa"/>
          </w:tcPr>
          <w:p w14:paraId="72842D59" w14:textId="77777777" w:rsidR="00631406" w:rsidRPr="0029195A" w:rsidRDefault="00631406" w:rsidP="00013CC7">
            <w:pPr>
              <w:pStyle w:val="Tabletextleft"/>
              <w:keepNext/>
              <w:keepLines/>
              <w:jc w:val="center"/>
              <w:rPr>
                <w:rFonts w:ascii="Arial Narrow" w:hAnsi="Arial Narrow"/>
                <w:sz w:val="20"/>
              </w:rPr>
            </w:pPr>
            <w:r w:rsidRPr="0029195A">
              <w:rPr>
                <w:rFonts w:ascii="Arial Narrow" w:hAnsi="Arial Narrow"/>
                <w:sz w:val="20"/>
              </w:rPr>
              <w:t>5.8</w:t>
            </w:r>
          </w:p>
        </w:tc>
        <w:tc>
          <w:tcPr>
            <w:tcW w:w="1102" w:type="dxa"/>
          </w:tcPr>
          <w:p w14:paraId="53CC97B5" w14:textId="77777777" w:rsidR="00631406" w:rsidRPr="0029195A" w:rsidRDefault="00631406" w:rsidP="00013CC7">
            <w:pPr>
              <w:pStyle w:val="Tabletextleft"/>
              <w:keepNext/>
              <w:keepLines/>
              <w:jc w:val="center"/>
              <w:rPr>
                <w:rFonts w:ascii="Arial Narrow" w:hAnsi="Arial Narrow"/>
                <w:sz w:val="20"/>
              </w:rPr>
            </w:pPr>
            <w:r w:rsidRPr="0029195A">
              <w:rPr>
                <w:rFonts w:ascii="Arial Narrow" w:hAnsi="Arial Narrow"/>
                <w:sz w:val="20"/>
              </w:rPr>
              <w:t>2.9</w:t>
            </w:r>
          </w:p>
        </w:tc>
        <w:tc>
          <w:tcPr>
            <w:tcW w:w="993" w:type="dxa"/>
          </w:tcPr>
          <w:p w14:paraId="6AE4D5A4" w14:textId="77777777" w:rsidR="00631406" w:rsidRPr="0029195A" w:rsidRDefault="00631406" w:rsidP="00013CC7">
            <w:pPr>
              <w:pStyle w:val="Tabletextleft"/>
              <w:keepNext/>
              <w:keepLines/>
              <w:jc w:val="center"/>
              <w:rPr>
                <w:rFonts w:ascii="Arial Narrow" w:hAnsi="Arial Narrow"/>
                <w:sz w:val="20"/>
              </w:rPr>
            </w:pPr>
            <w:r w:rsidRPr="0029195A">
              <w:rPr>
                <w:rFonts w:ascii="Arial Narrow" w:hAnsi="Arial Narrow"/>
                <w:sz w:val="20"/>
              </w:rPr>
              <w:t>2.9</w:t>
            </w:r>
          </w:p>
        </w:tc>
        <w:tc>
          <w:tcPr>
            <w:tcW w:w="714" w:type="dxa"/>
          </w:tcPr>
          <w:p w14:paraId="67E4DB14" w14:textId="77777777" w:rsidR="00631406" w:rsidRPr="0029195A" w:rsidRDefault="00631406" w:rsidP="00013CC7">
            <w:pPr>
              <w:pStyle w:val="Tabletextleft"/>
              <w:keepNext/>
              <w:keepLines/>
              <w:jc w:val="center"/>
              <w:rPr>
                <w:rFonts w:ascii="Arial Narrow" w:hAnsi="Arial Narrow"/>
                <w:sz w:val="20"/>
              </w:rPr>
            </w:pPr>
            <w:r w:rsidRPr="0029195A">
              <w:rPr>
                <w:rFonts w:ascii="Arial Narrow" w:hAnsi="Arial Narrow"/>
                <w:sz w:val="20"/>
              </w:rPr>
              <w:t>0.046</w:t>
            </w:r>
          </w:p>
        </w:tc>
        <w:tc>
          <w:tcPr>
            <w:tcW w:w="993" w:type="dxa"/>
          </w:tcPr>
          <w:p w14:paraId="51B57AB0" w14:textId="77777777" w:rsidR="00631406" w:rsidRPr="0029195A" w:rsidRDefault="00631406" w:rsidP="00013CC7">
            <w:pPr>
              <w:pStyle w:val="Tabletextleft"/>
              <w:keepNext/>
              <w:keepLines/>
              <w:jc w:val="center"/>
              <w:rPr>
                <w:rFonts w:ascii="Arial Narrow" w:hAnsi="Arial Narrow"/>
                <w:sz w:val="20"/>
              </w:rPr>
            </w:pPr>
            <w:r w:rsidRPr="0029195A">
              <w:rPr>
                <w:rFonts w:ascii="Arial Narrow" w:hAnsi="Arial Narrow"/>
                <w:sz w:val="20"/>
              </w:rPr>
              <w:t>7.3</w:t>
            </w:r>
          </w:p>
        </w:tc>
        <w:tc>
          <w:tcPr>
            <w:tcW w:w="1102" w:type="dxa"/>
          </w:tcPr>
          <w:p w14:paraId="3A308569" w14:textId="77777777" w:rsidR="00631406" w:rsidRPr="0029195A" w:rsidRDefault="00631406" w:rsidP="00013CC7">
            <w:pPr>
              <w:pStyle w:val="Tabletextleft"/>
              <w:keepNext/>
              <w:keepLines/>
              <w:jc w:val="center"/>
              <w:rPr>
                <w:rFonts w:ascii="Arial Narrow" w:hAnsi="Arial Narrow"/>
                <w:sz w:val="20"/>
              </w:rPr>
            </w:pPr>
            <w:r w:rsidRPr="0029195A">
              <w:rPr>
                <w:rFonts w:ascii="Arial Narrow" w:hAnsi="Arial Narrow"/>
                <w:sz w:val="20"/>
              </w:rPr>
              <w:t>4.1</w:t>
            </w:r>
          </w:p>
        </w:tc>
        <w:tc>
          <w:tcPr>
            <w:tcW w:w="993" w:type="dxa"/>
          </w:tcPr>
          <w:p w14:paraId="727ACDF4" w14:textId="77777777" w:rsidR="00631406" w:rsidRPr="0029195A" w:rsidRDefault="00631406" w:rsidP="00013CC7">
            <w:pPr>
              <w:pStyle w:val="Tabletextleft"/>
              <w:keepNext/>
              <w:keepLines/>
              <w:jc w:val="center"/>
              <w:rPr>
                <w:rFonts w:ascii="Arial Narrow" w:hAnsi="Arial Narrow"/>
                <w:sz w:val="20"/>
              </w:rPr>
            </w:pPr>
            <w:r w:rsidRPr="0029195A">
              <w:rPr>
                <w:rFonts w:ascii="Arial Narrow" w:hAnsi="Arial Narrow"/>
                <w:sz w:val="20"/>
              </w:rPr>
              <w:t>3.2</w:t>
            </w:r>
          </w:p>
        </w:tc>
        <w:tc>
          <w:tcPr>
            <w:tcW w:w="714" w:type="dxa"/>
          </w:tcPr>
          <w:p w14:paraId="6C3C0E69" w14:textId="77777777" w:rsidR="00631406" w:rsidRPr="0029195A" w:rsidRDefault="00631406" w:rsidP="00013CC7">
            <w:pPr>
              <w:pStyle w:val="Tabletextleft"/>
              <w:keepNext/>
              <w:keepLines/>
              <w:jc w:val="center"/>
              <w:rPr>
                <w:rFonts w:ascii="Arial Narrow" w:hAnsi="Arial Narrow"/>
                <w:sz w:val="20"/>
              </w:rPr>
            </w:pPr>
            <w:r w:rsidRPr="0029195A">
              <w:rPr>
                <w:rFonts w:ascii="Arial Narrow" w:hAnsi="Arial Narrow"/>
                <w:sz w:val="20"/>
              </w:rPr>
              <w:t>0.029</w:t>
            </w:r>
          </w:p>
        </w:tc>
      </w:tr>
      <w:tr w:rsidR="00631406" w:rsidRPr="0029195A" w14:paraId="13701FB6" w14:textId="77777777" w:rsidTr="00631406">
        <w:tc>
          <w:tcPr>
            <w:tcW w:w="1129" w:type="dxa"/>
          </w:tcPr>
          <w:p w14:paraId="7B2BFADF" w14:textId="77777777" w:rsidR="00631406" w:rsidRPr="0029195A" w:rsidRDefault="00631406" w:rsidP="00013CC7">
            <w:pPr>
              <w:pStyle w:val="Tabletextleft"/>
              <w:keepNext/>
              <w:keepLines/>
              <w:jc w:val="center"/>
              <w:rPr>
                <w:rFonts w:ascii="Arial Narrow" w:hAnsi="Arial Narrow"/>
                <w:sz w:val="20"/>
              </w:rPr>
            </w:pPr>
            <w:r w:rsidRPr="0029195A">
              <w:rPr>
                <w:rFonts w:ascii="Arial Narrow" w:hAnsi="Arial Narrow"/>
                <w:sz w:val="20"/>
              </w:rPr>
              <w:t>&lt;30</w:t>
            </w:r>
          </w:p>
        </w:tc>
        <w:tc>
          <w:tcPr>
            <w:tcW w:w="1277" w:type="dxa"/>
          </w:tcPr>
          <w:p w14:paraId="6144290E" w14:textId="77777777" w:rsidR="00631406" w:rsidRPr="0029195A" w:rsidRDefault="00631406" w:rsidP="00013CC7">
            <w:pPr>
              <w:pStyle w:val="Tabletextleft"/>
              <w:keepNext/>
              <w:keepLines/>
              <w:jc w:val="center"/>
              <w:rPr>
                <w:rFonts w:ascii="Arial Narrow" w:hAnsi="Arial Narrow"/>
                <w:sz w:val="20"/>
              </w:rPr>
            </w:pPr>
            <w:r w:rsidRPr="0029195A">
              <w:rPr>
                <w:rFonts w:ascii="Arial Narrow" w:hAnsi="Arial Narrow"/>
                <w:sz w:val="20"/>
              </w:rPr>
              <w:t>10.5</w:t>
            </w:r>
          </w:p>
        </w:tc>
        <w:tc>
          <w:tcPr>
            <w:tcW w:w="1102" w:type="dxa"/>
          </w:tcPr>
          <w:p w14:paraId="0EE7FB98" w14:textId="77777777" w:rsidR="00631406" w:rsidRPr="0029195A" w:rsidRDefault="00631406" w:rsidP="00013CC7">
            <w:pPr>
              <w:pStyle w:val="Tabletextleft"/>
              <w:keepNext/>
              <w:keepLines/>
              <w:jc w:val="center"/>
              <w:rPr>
                <w:rFonts w:ascii="Arial Narrow" w:hAnsi="Arial Narrow"/>
                <w:sz w:val="20"/>
              </w:rPr>
            </w:pPr>
            <w:r w:rsidRPr="0029195A">
              <w:rPr>
                <w:rFonts w:ascii="Arial Narrow" w:hAnsi="Arial Narrow"/>
                <w:sz w:val="20"/>
              </w:rPr>
              <w:t>6.4</w:t>
            </w:r>
          </w:p>
        </w:tc>
        <w:tc>
          <w:tcPr>
            <w:tcW w:w="993" w:type="dxa"/>
          </w:tcPr>
          <w:p w14:paraId="74ABB335" w14:textId="77777777" w:rsidR="00631406" w:rsidRPr="0029195A" w:rsidRDefault="00631406" w:rsidP="00013CC7">
            <w:pPr>
              <w:pStyle w:val="Tabletextleft"/>
              <w:keepNext/>
              <w:keepLines/>
              <w:jc w:val="center"/>
              <w:rPr>
                <w:rFonts w:ascii="Arial Narrow" w:hAnsi="Arial Narrow"/>
                <w:sz w:val="20"/>
              </w:rPr>
            </w:pPr>
            <w:r w:rsidRPr="0029195A">
              <w:rPr>
                <w:rFonts w:ascii="Arial Narrow" w:hAnsi="Arial Narrow"/>
                <w:sz w:val="20"/>
              </w:rPr>
              <w:t>4.1</w:t>
            </w:r>
          </w:p>
        </w:tc>
        <w:tc>
          <w:tcPr>
            <w:tcW w:w="714" w:type="dxa"/>
          </w:tcPr>
          <w:p w14:paraId="7A06F2E9" w14:textId="77777777" w:rsidR="00631406" w:rsidRPr="0029195A" w:rsidRDefault="00631406" w:rsidP="00013CC7">
            <w:pPr>
              <w:pStyle w:val="Tabletextleft"/>
              <w:keepNext/>
              <w:keepLines/>
              <w:jc w:val="center"/>
              <w:rPr>
                <w:rFonts w:ascii="Arial Narrow" w:hAnsi="Arial Narrow"/>
                <w:sz w:val="20"/>
              </w:rPr>
            </w:pPr>
            <w:r w:rsidRPr="0029195A">
              <w:rPr>
                <w:rFonts w:ascii="Arial Narrow" w:hAnsi="Arial Narrow"/>
                <w:sz w:val="20"/>
              </w:rPr>
              <w:t>0.0361</w:t>
            </w:r>
          </w:p>
        </w:tc>
        <w:tc>
          <w:tcPr>
            <w:tcW w:w="993" w:type="dxa"/>
          </w:tcPr>
          <w:p w14:paraId="77A1BBD1" w14:textId="77777777" w:rsidR="00631406" w:rsidRPr="0029195A" w:rsidRDefault="00631406" w:rsidP="00013CC7">
            <w:pPr>
              <w:pStyle w:val="Tabletextleft"/>
              <w:keepNext/>
              <w:keepLines/>
              <w:jc w:val="center"/>
              <w:rPr>
                <w:rFonts w:ascii="Arial Narrow" w:hAnsi="Arial Narrow"/>
                <w:sz w:val="20"/>
              </w:rPr>
            </w:pPr>
            <w:r w:rsidRPr="0029195A">
              <w:rPr>
                <w:rFonts w:ascii="Arial Narrow" w:hAnsi="Arial Narrow"/>
                <w:sz w:val="20"/>
              </w:rPr>
              <w:t>13.7</w:t>
            </w:r>
          </w:p>
        </w:tc>
        <w:tc>
          <w:tcPr>
            <w:tcW w:w="1102" w:type="dxa"/>
          </w:tcPr>
          <w:p w14:paraId="12AF45C7" w14:textId="77777777" w:rsidR="00631406" w:rsidRPr="0029195A" w:rsidRDefault="00631406" w:rsidP="00013CC7">
            <w:pPr>
              <w:pStyle w:val="Tabletextleft"/>
              <w:keepNext/>
              <w:keepLines/>
              <w:jc w:val="center"/>
              <w:rPr>
                <w:rFonts w:ascii="Arial Narrow" w:hAnsi="Arial Narrow"/>
                <w:sz w:val="20"/>
              </w:rPr>
            </w:pPr>
            <w:r w:rsidRPr="0029195A">
              <w:rPr>
                <w:rFonts w:ascii="Arial Narrow" w:hAnsi="Arial Narrow"/>
                <w:sz w:val="20"/>
              </w:rPr>
              <w:t>8.2</w:t>
            </w:r>
          </w:p>
        </w:tc>
        <w:tc>
          <w:tcPr>
            <w:tcW w:w="993" w:type="dxa"/>
          </w:tcPr>
          <w:p w14:paraId="691498B7" w14:textId="77777777" w:rsidR="00631406" w:rsidRPr="0029195A" w:rsidRDefault="00631406" w:rsidP="00013CC7">
            <w:pPr>
              <w:pStyle w:val="Tabletextleft"/>
              <w:keepNext/>
              <w:keepLines/>
              <w:jc w:val="center"/>
              <w:rPr>
                <w:rFonts w:ascii="Arial Narrow" w:hAnsi="Arial Narrow"/>
                <w:sz w:val="20"/>
              </w:rPr>
            </w:pPr>
            <w:r w:rsidRPr="0029195A">
              <w:rPr>
                <w:rFonts w:ascii="Arial Narrow" w:hAnsi="Arial Narrow"/>
                <w:sz w:val="20"/>
              </w:rPr>
              <w:t>5.6</w:t>
            </w:r>
          </w:p>
        </w:tc>
        <w:tc>
          <w:tcPr>
            <w:tcW w:w="714" w:type="dxa"/>
          </w:tcPr>
          <w:p w14:paraId="563391E0" w14:textId="77777777" w:rsidR="00631406" w:rsidRPr="0029195A" w:rsidRDefault="00631406" w:rsidP="00013CC7">
            <w:pPr>
              <w:pStyle w:val="Tabletextleft"/>
              <w:keepNext/>
              <w:keepLines/>
              <w:jc w:val="center"/>
              <w:rPr>
                <w:rFonts w:ascii="Arial Narrow" w:hAnsi="Arial Narrow"/>
                <w:sz w:val="20"/>
              </w:rPr>
            </w:pPr>
            <w:r w:rsidRPr="0029195A">
              <w:rPr>
                <w:rFonts w:ascii="Arial Narrow" w:hAnsi="Arial Narrow"/>
                <w:sz w:val="20"/>
              </w:rPr>
              <w:t>0.0050</w:t>
            </w:r>
          </w:p>
        </w:tc>
      </w:tr>
      <w:tr w:rsidR="00631406" w:rsidRPr="0029195A" w14:paraId="4B91E1BF" w14:textId="77777777" w:rsidTr="00631406">
        <w:tc>
          <w:tcPr>
            <w:tcW w:w="1129" w:type="dxa"/>
          </w:tcPr>
          <w:p w14:paraId="4F7D3AB8" w14:textId="77777777" w:rsidR="00631406" w:rsidRPr="0029195A" w:rsidRDefault="00631406" w:rsidP="00013CC7">
            <w:pPr>
              <w:pStyle w:val="Tabletextleft"/>
              <w:keepNext/>
              <w:keepLines/>
              <w:jc w:val="center"/>
              <w:rPr>
                <w:rFonts w:ascii="Arial Narrow" w:hAnsi="Arial Narrow"/>
                <w:sz w:val="20"/>
              </w:rPr>
            </w:pPr>
            <w:r w:rsidRPr="0029195A">
              <w:rPr>
                <w:rFonts w:ascii="Arial Narrow" w:hAnsi="Arial Narrow"/>
                <w:sz w:val="20"/>
              </w:rPr>
              <w:t>31-59</w:t>
            </w:r>
          </w:p>
        </w:tc>
        <w:tc>
          <w:tcPr>
            <w:tcW w:w="1277" w:type="dxa"/>
          </w:tcPr>
          <w:p w14:paraId="12428820" w14:textId="77777777" w:rsidR="00631406" w:rsidRPr="0029195A" w:rsidRDefault="00631406" w:rsidP="00013CC7">
            <w:pPr>
              <w:pStyle w:val="Tabletextleft"/>
              <w:keepNext/>
              <w:keepLines/>
              <w:jc w:val="center"/>
              <w:rPr>
                <w:rFonts w:ascii="Arial Narrow" w:hAnsi="Arial Narrow"/>
                <w:sz w:val="20"/>
              </w:rPr>
            </w:pPr>
            <w:r w:rsidRPr="0029195A">
              <w:rPr>
                <w:rFonts w:ascii="Arial Narrow" w:hAnsi="Arial Narrow"/>
                <w:sz w:val="20"/>
              </w:rPr>
              <w:t>7.3</w:t>
            </w:r>
          </w:p>
        </w:tc>
        <w:tc>
          <w:tcPr>
            <w:tcW w:w="1102" w:type="dxa"/>
          </w:tcPr>
          <w:p w14:paraId="1D6D00F4" w14:textId="77777777" w:rsidR="00631406" w:rsidRPr="0029195A" w:rsidRDefault="00631406" w:rsidP="00013CC7">
            <w:pPr>
              <w:pStyle w:val="Tabletextleft"/>
              <w:keepNext/>
              <w:keepLines/>
              <w:jc w:val="center"/>
              <w:rPr>
                <w:rFonts w:ascii="Arial Narrow" w:hAnsi="Arial Narrow"/>
                <w:sz w:val="20"/>
              </w:rPr>
            </w:pPr>
            <w:r w:rsidRPr="0029195A">
              <w:rPr>
                <w:rFonts w:ascii="Arial Narrow" w:hAnsi="Arial Narrow"/>
                <w:sz w:val="20"/>
              </w:rPr>
              <w:t>5.4</w:t>
            </w:r>
          </w:p>
        </w:tc>
        <w:tc>
          <w:tcPr>
            <w:tcW w:w="993" w:type="dxa"/>
          </w:tcPr>
          <w:p w14:paraId="79CA557F" w14:textId="77777777" w:rsidR="00631406" w:rsidRPr="0029195A" w:rsidRDefault="00631406" w:rsidP="00013CC7">
            <w:pPr>
              <w:pStyle w:val="Tabletextleft"/>
              <w:keepNext/>
              <w:keepLines/>
              <w:jc w:val="center"/>
              <w:rPr>
                <w:rFonts w:ascii="Arial Narrow" w:hAnsi="Arial Narrow"/>
                <w:sz w:val="20"/>
              </w:rPr>
            </w:pPr>
            <w:r w:rsidRPr="0029195A">
              <w:rPr>
                <w:rFonts w:ascii="Arial Narrow" w:hAnsi="Arial Narrow"/>
                <w:sz w:val="20"/>
              </w:rPr>
              <w:t>1.9</w:t>
            </w:r>
          </w:p>
        </w:tc>
        <w:tc>
          <w:tcPr>
            <w:tcW w:w="714" w:type="dxa"/>
          </w:tcPr>
          <w:p w14:paraId="623EE691" w14:textId="77777777" w:rsidR="00631406" w:rsidRPr="0029195A" w:rsidRDefault="00631406" w:rsidP="00013CC7">
            <w:pPr>
              <w:pStyle w:val="Tabletextleft"/>
              <w:keepNext/>
              <w:keepLines/>
              <w:jc w:val="center"/>
              <w:rPr>
                <w:rFonts w:ascii="Arial Narrow" w:hAnsi="Arial Narrow"/>
                <w:sz w:val="20"/>
              </w:rPr>
            </w:pPr>
            <w:r w:rsidRPr="0029195A">
              <w:rPr>
                <w:rFonts w:ascii="Arial Narrow" w:hAnsi="Arial Narrow"/>
                <w:sz w:val="20"/>
              </w:rPr>
              <w:t>0.3535</w:t>
            </w:r>
          </w:p>
        </w:tc>
        <w:tc>
          <w:tcPr>
            <w:tcW w:w="993" w:type="dxa"/>
          </w:tcPr>
          <w:p w14:paraId="22202537" w14:textId="77777777" w:rsidR="00631406" w:rsidRPr="0029195A" w:rsidRDefault="00631406" w:rsidP="00013CC7">
            <w:pPr>
              <w:pStyle w:val="Tabletextleft"/>
              <w:keepNext/>
              <w:keepLines/>
              <w:jc w:val="center"/>
              <w:rPr>
                <w:rFonts w:ascii="Arial Narrow" w:hAnsi="Arial Narrow"/>
                <w:sz w:val="20"/>
              </w:rPr>
            </w:pPr>
            <w:r w:rsidRPr="0029195A">
              <w:rPr>
                <w:rFonts w:ascii="Arial Narrow" w:hAnsi="Arial Narrow"/>
                <w:sz w:val="20"/>
              </w:rPr>
              <w:t>10.5</w:t>
            </w:r>
          </w:p>
        </w:tc>
        <w:tc>
          <w:tcPr>
            <w:tcW w:w="1102" w:type="dxa"/>
          </w:tcPr>
          <w:p w14:paraId="46406EF8" w14:textId="77777777" w:rsidR="00631406" w:rsidRPr="0029195A" w:rsidRDefault="00631406" w:rsidP="00013CC7">
            <w:pPr>
              <w:pStyle w:val="Tabletextleft"/>
              <w:keepNext/>
              <w:keepLines/>
              <w:jc w:val="center"/>
              <w:rPr>
                <w:rFonts w:ascii="Arial Narrow" w:hAnsi="Arial Narrow"/>
                <w:sz w:val="20"/>
              </w:rPr>
            </w:pPr>
            <w:r w:rsidRPr="0029195A">
              <w:rPr>
                <w:rFonts w:ascii="Arial Narrow" w:hAnsi="Arial Narrow"/>
                <w:sz w:val="20"/>
              </w:rPr>
              <w:t>7.8</w:t>
            </w:r>
          </w:p>
        </w:tc>
        <w:tc>
          <w:tcPr>
            <w:tcW w:w="993" w:type="dxa"/>
          </w:tcPr>
          <w:p w14:paraId="30EDFE94" w14:textId="77777777" w:rsidR="00631406" w:rsidRPr="0029195A" w:rsidRDefault="00631406" w:rsidP="00013CC7">
            <w:pPr>
              <w:pStyle w:val="Tabletextleft"/>
              <w:keepNext/>
              <w:keepLines/>
              <w:jc w:val="center"/>
              <w:rPr>
                <w:rFonts w:ascii="Arial Narrow" w:hAnsi="Arial Narrow"/>
                <w:sz w:val="20"/>
              </w:rPr>
            </w:pPr>
            <w:r w:rsidRPr="0029195A">
              <w:rPr>
                <w:rFonts w:ascii="Arial Narrow" w:hAnsi="Arial Narrow"/>
                <w:sz w:val="20"/>
              </w:rPr>
              <w:t>2.7</w:t>
            </w:r>
          </w:p>
        </w:tc>
        <w:tc>
          <w:tcPr>
            <w:tcW w:w="714" w:type="dxa"/>
          </w:tcPr>
          <w:p w14:paraId="354C4F7B" w14:textId="77777777" w:rsidR="00631406" w:rsidRPr="0029195A" w:rsidRDefault="00631406" w:rsidP="00013CC7">
            <w:pPr>
              <w:pStyle w:val="Tabletextleft"/>
              <w:keepNext/>
              <w:keepLines/>
              <w:jc w:val="center"/>
              <w:rPr>
                <w:rFonts w:ascii="Arial Narrow" w:hAnsi="Arial Narrow"/>
                <w:sz w:val="20"/>
              </w:rPr>
            </w:pPr>
            <w:r w:rsidRPr="0029195A">
              <w:rPr>
                <w:rFonts w:ascii="Arial Narrow" w:hAnsi="Arial Narrow"/>
                <w:sz w:val="20"/>
              </w:rPr>
              <w:t>0.2115</w:t>
            </w:r>
          </w:p>
        </w:tc>
      </w:tr>
      <w:tr w:rsidR="00631406" w:rsidRPr="0029195A" w14:paraId="61D6EC8E" w14:textId="77777777" w:rsidTr="00631406">
        <w:tc>
          <w:tcPr>
            <w:tcW w:w="1129" w:type="dxa"/>
          </w:tcPr>
          <w:p w14:paraId="368E41D7" w14:textId="77777777" w:rsidR="00631406" w:rsidRPr="0029195A" w:rsidRDefault="00631406" w:rsidP="00013CC7">
            <w:pPr>
              <w:pStyle w:val="Tabletextleft"/>
              <w:keepNext/>
              <w:keepLines/>
              <w:jc w:val="center"/>
              <w:rPr>
                <w:rFonts w:ascii="Arial Narrow" w:hAnsi="Arial Narrow"/>
                <w:sz w:val="20"/>
              </w:rPr>
            </w:pPr>
            <w:r w:rsidRPr="0029195A">
              <w:rPr>
                <w:rFonts w:ascii="Arial Narrow" w:hAnsi="Arial Narrow"/>
                <w:sz w:val="20"/>
              </w:rPr>
              <w:t>&gt;59</w:t>
            </w:r>
          </w:p>
        </w:tc>
        <w:tc>
          <w:tcPr>
            <w:tcW w:w="1277" w:type="dxa"/>
          </w:tcPr>
          <w:p w14:paraId="0A80ACB3" w14:textId="77777777" w:rsidR="00631406" w:rsidRPr="0029195A" w:rsidRDefault="00631406" w:rsidP="00013CC7">
            <w:pPr>
              <w:pStyle w:val="Tabletextleft"/>
              <w:keepNext/>
              <w:keepLines/>
              <w:jc w:val="center"/>
              <w:rPr>
                <w:rFonts w:ascii="Arial Narrow" w:hAnsi="Arial Narrow"/>
                <w:sz w:val="20"/>
              </w:rPr>
            </w:pPr>
            <w:r w:rsidRPr="0029195A">
              <w:rPr>
                <w:rFonts w:ascii="Arial Narrow" w:hAnsi="Arial Narrow"/>
                <w:sz w:val="20"/>
              </w:rPr>
              <w:t>-2.6</w:t>
            </w:r>
          </w:p>
        </w:tc>
        <w:tc>
          <w:tcPr>
            <w:tcW w:w="1102" w:type="dxa"/>
          </w:tcPr>
          <w:p w14:paraId="056E0F78" w14:textId="77777777" w:rsidR="00631406" w:rsidRPr="0029195A" w:rsidRDefault="00631406" w:rsidP="00013CC7">
            <w:pPr>
              <w:pStyle w:val="Tabletextleft"/>
              <w:keepNext/>
              <w:keepLines/>
              <w:jc w:val="center"/>
              <w:rPr>
                <w:rFonts w:ascii="Arial Narrow" w:hAnsi="Arial Narrow"/>
                <w:sz w:val="20"/>
              </w:rPr>
            </w:pPr>
            <w:r w:rsidRPr="0029195A">
              <w:rPr>
                <w:rFonts w:ascii="Arial Narrow" w:hAnsi="Arial Narrow"/>
                <w:sz w:val="20"/>
              </w:rPr>
              <w:t>-6.0</w:t>
            </w:r>
          </w:p>
        </w:tc>
        <w:tc>
          <w:tcPr>
            <w:tcW w:w="993" w:type="dxa"/>
          </w:tcPr>
          <w:p w14:paraId="6A542A29" w14:textId="77777777" w:rsidR="00631406" w:rsidRPr="0029195A" w:rsidRDefault="00631406" w:rsidP="00013CC7">
            <w:pPr>
              <w:pStyle w:val="Tabletextleft"/>
              <w:keepNext/>
              <w:keepLines/>
              <w:jc w:val="center"/>
              <w:rPr>
                <w:rFonts w:ascii="Arial Narrow" w:hAnsi="Arial Narrow"/>
                <w:sz w:val="20"/>
              </w:rPr>
            </w:pPr>
            <w:r w:rsidRPr="0029195A">
              <w:rPr>
                <w:rFonts w:ascii="Arial Narrow" w:hAnsi="Arial Narrow"/>
                <w:sz w:val="20"/>
              </w:rPr>
              <w:t>3.4</w:t>
            </w:r>
          </w:p>
        </w:tc>
        <w:tc>
          <w:tcPr>
            <w:tcW w:w="714" w:type="dxa"/>
          </w:tcPr>
          <w:p w14:paraId="39E2503F" w14:textId="77777777" w:rsidR="00631406" w:rsidRPr="0029195A" w:rsidRDefault="00631406" w:rsidP="00013CC7">
            <w:pPr>
              <w:pStyle w:val="Tabletextleft"/>
              <w:keepNext/>
              <w:keepLines/>
              <w:jc w:val="center"/>
              <w:rPr>
                <w:rFonts w:ascii="Arial Narrow" w:hAnsi="Arial Narrow"/>
                <w:sz w:val="20"/>
              </w:rPr>
            </w:pPr>
            <w:r w:rsidRPr="0029195A">
              <w:rPr>
                <w:rFonts w:ascii="Arial Narrow" w:hAnsi="Arial Narrow"/>
                <w:sz w:val="20"/>
              </w:rPr>
              <w:t>0.3640</w:t>
            </w:r>
          </w:p>
        </w:tc>
        <w:tc>
          <w:tcPr>
            <w:tcW w:w="993" w:type="dxa"/>
          </w:tcPr>
          <w:p w14:paraId="3A2D4333" w14:textId="77777777" w:rsidR="00631406" w:rsidRPr="0029195A" w:rsidRDefault="00631406" w:rsidP="00013CC7">
            <w:pPr>
              <w:pStyle w:val="Tabletextleft"/>
              <w:keepNext/>
              <w:keepLines/>
              <w:jc w:val="center"/>
              <w:rPr>
                <w:rFonts w:ascii="Arial Narrow" w:hAnsi="Arial Narrow"/>
                <w:sz w:val="20"/>
              </w:rPr>
            </w:pPr>
            <w:r w:rsidRPr="0029195A">
              <w:rPr>
                <w:rFonts w:ascii="Arial Narrow" w:hAnsi="Arial Narrow"/>
                <w:sz w:val="20"/>
              </w:rPr>
              <w:t>-5.9</w:t>
            </w:r>
          </w:p>
        </w:tc>
        <w:tc>
          <w:tcPr>
            <w:tcW w:w="1102" w:type="dxa"/>
          </w:tcPr>
          <w:p w14:paraId="7577CBD9" w14:textId="77777777" w:rsidR="00631406" w:rsidRPr="0029195A" w:rsidRDefault="00631406" w:rsidP="00013CC7">
            <w:pPr>
              <w:pStyle w:val="Tabletextleft"/>
              <w:keepNext/>
              <w:keepLines/>
              <w:jc w:val="center"/>
              <w:rPr>
                <w:rFonts w:ascii="Arial Narrow" w:hAnsi="Arial Narrow"/>
                <w:sz w:val="20"/>
              </w:rPr>
            </w:pPr>
            <w:r w:rsidRPr="0029195A">
              <w:rPr>
                <w:rFonts w:ascii="Arial Narrow" w:hAnsi="Arial Narrow"/>
                <w:sz w:val="20"/>
              </w:rPr>
              <w:t>-7.5</w:t>
            </w:r>
          </w:p>
        </w:tc>
        <w:tc>
          <w:tcPr>
            <w:tcW w:w="993" w:type="dxa"/>
          </w:tcPr>
          <w:p w14:paraId="0FD4393F" w14:textId="77777777" w:rsidR="00631406" w:rsidRPr="0029195A" w:rsidRDefault="00631406" w:rsidP="00013CC7">
            <w:pPr>
              <w:pStyle w:val="Tabletextleft"/>
              <w:keepNext/>
              <w:keepLines/>
              <w:jc w:val="center"/>
              <w:rPr>
                <w:rFonts w:ascii="Arial Narrow" w:hAnsi="Arial Narrow"/>
                <w:sz w:val="20"/>
              </w:rPr>
            </w:pPr>
            <w:r w:rsidRPr="0029195A">
              <w:rPr>
                <w:rFonts w:ascii="Arial Narrow" w:hAnsi="Arial Narrow"/>
                <w:sz w:val="20"/>
              </w:rPr>
              <w:t>1.6</w:t>
            </w:r>
          </w:p>
        </w:tc>
        <w:tc>
          <w:tcPr>
            <w:tcW w:w="714" w:type="dxa"/>
          </w:tcPr>
          <w:p w14:paraId="5BA4F1A3" w14:textId="77777777" w:rsidR="00631406" w:rsidRPr="0029195A" w:rsidRDefault="00631406" w:rsidP="00013CC7">
            <w:pPr>
              <w:pStyle w:val="Tabletextleft"/>
              <w:keepNext/>
              <w:keepLines/>
              <w:jc w:val="center"/>
              <w:rPr>
                <w:rFonts w:ascii="Arial Narrow" w:hAnsi="Arial Narrow"/>
                <w:sz w:val="20"/>
              </w:rPr>
            </w:pPr>
            <w:r w:rsidRPr="0029195A">
              <w:rPr>
                <w:rFonts w:ascii="Arial Narrow" w:hAnsi="Arial Narrow"/>
                <w:sz w:val="20"/>
              </w:rPr>
              <w:t>0.6721</w:t>
            </w:r>
          </w:p>
        </w:tc>
      </w:tr>
    </w:tbl>
    <w:p w14:paraId="56BE8409" w14:textId="2C099460" w:rsidR="00B10578" w:rsidRDefault="00631406" w:rsidP="008515B4">
      <w:pPr>
        <w:pStyle w:val="BodyText"/>
        <w:keepNext/>
        <w:keepLines/>
        <w:rPr>
          <w:rFonts w:ascii="Arial Narrow" w:hAnsi="Arial Narrow"/>
          <w:snapToGrid w:val="0"/>
          <w:sz w:val="18"/>
          <w:szCs w:val="22"/>
        </w:rPr>
      </w:pPr>
      <w:r w:rsidRPr="0029195A">
        <w:rPr>
          <w:rFonts w:ascii="Arial Narrow" w:hAnsi="Arial Narrow"/>
          <w:snapToGrid w:val="0"/>
          <w:sz w:val="18"/>
          <w:szCs w:val="22"/>
        </w:rPr>
        <w:t xml:space="preserve">Source: Table 2, p5 avacopan PSCR </w:t>
      </w:r>
    </w:p>
    <w:p w14:paraId="068DEBE3" w14:textId="77777777" w:rsidR="00B10578" w:rsidRDefault="00B10578">
      <w:pPr>
        <w:jc w:val="left"/>
        <w:rPr>
          <w:rFonts w:ascii="Arial Narrow" w:hAnsi="Arial Narrow"/>
          <w:snapToGrid w:val="0"/>
          <w:sz w:val="18"/>
          <w:szCs w:val="22"/>
        </w:rPr>
      </w:pPr>
      <w:r>
        <w:rPr>
          <w:rFonts w:ascii="Arial Narrow" w:hAnsi="Arial Narrow"/>
          <w:snapToGrid w:val="0"/>
          <w:sz w:val="18"/>
          <w:szCs w:val="22"/>
        </w:rPr>
        <w:br w:type="page"/>
      </w:r>
    </w:p>
    <w:p w14:paraId="1452C351" w14:textId="0D19F1B0" w:rsidR="00B60939" w:rsidRPr="0029195A" w:rsidRDefault="00B60939" w:rsidP="00D86231">
      <w:pPr>
        <w:pStyle w:val="4-SubsectionHeading"/>
      </w:pPr>
      <w:bookmarkStart w:id="41" w:name="_Toc135230132"/>
      <w:r w:rsidRPr="0029195A">
        <w:lastRenderedPageBreak/>
        <w:t>Comparative harms</w:t>
      </w:r>
      <w:bookmarkEnd w:id="41"/>
    </w:p>
    <w:bookmarkStart w:id="42" w:name="_Toc22897643"/>
    <w:p w14:paraId="591C8148" w14:textId="08650953" w:rsidR="00AF5DB5" w:rsidRPr="0029195A" w:rsidRDefault="00AF5DB5" w:rsidP="007A6355">
      <w:pPr>
        <w:pStyle w:val="3-BodyText"/>
      </w:pPr>
      <w:r w:rsidRPr="0029195A">
        <w:fldChar w:fldCharType="begin" w:fldLock="1"/>
      </w:r>
      <w:r w:rsidRPr="0029195A">
        <w:instrText xml:space="preserve"> REF _Ref132295290 \h </w:instrText>
      </w:r>
      <w:r w:rsidRPr="0029195A">
        <w:fldChar w:fldCharType="separate"/>
      </w:r>
      <w:r w:rsidR="00631406" w:rsidRPr="0029195A">
        <w:t>Table 9</w:t>
      </w:r>
      <w:r w:rsidRPr="0029195A">
        <w:fldChar w:fldCharType="end"/>
      </w:r>
      <w:r w:rsidRPr="0029195A">
        <w:t xml:space="preserve"> presents the safety outcomes in the ADVOCATE trial.</w:t>
      </w:r>
    </w:p>
    <w:p w14:paraId="359886B1" w14:textId="27235AEB" w:rsidR="00AF5DB5" w:rsidRPr="0029195A" w:rsidRDefault="00AF5DB5" w:rsidP="00AF5DB5">
      <w:pPr>
        <w:pStyle w:val="Caption"/>
        <w:jc w:val="left"/>
      </w:pPr>
      <w:bookmarkStart w:id="43" w:name="_Ref132295290"/>
      <w:r w:rsidRPr="0029195A">
        <w:t xml:space="preserve">Table </w:t>
      </w:r>
      <w:r w:rsidRPr="0029195A">
        <w:fldChar w:fldCharType="begin" w:fldLock="1"/>
      </w:r>
      <w:r w:rsidRPr="0029195A">
        <w:instrText>SEQ Table \* ARABIC</w:instrText>
      </w:r>
      <w:r w:rsidRPr="0029195A">
        <w:fldChar w:fldCharType="separate"/>
      </w:r>
      <w:r w:rsidR="00631406" w:rsidRPr="0029195A">
        <w:t>9</w:t>
      </w:r>
      <w:r w:rsidRPr="0029195A">
        <w:fldChar w:fldCharType="end"/>
      </w:r>
      <w:bookmarkEnd w:id="43"/>
      <w:r w:rsidRPr="0029195A">
        <w:t>: Summary of key adverse events in ADVOCATE trial (safety population)</w:t>
      </w:r>
    </w:p>
    <w:tbl>
      <w:tblPr>
        <w:tblStyle w:val="TableGrid"/>
        <w:tblW w:w="5000" w:type="pct"/>
        <w:tblLook w:val="04A0" w:firstRow="1" w:lastRow="0" w:firstColumn="1" w:lastColumn="0" w:noHBand="0" w:noVBand="1"/>
      </w:tblPr>
      <w:tblGrid>
        <w:gridCol w:w="3888"/>
        <w:gridCol w:w="1535"/>
        <w:gridCol w:w="1536"/>
        <w:gridCol w:w="2058"/>
      </w:tblGrid>
      <w:tr w:rsidR="00EA21AF" w:rsidRPr="0029195A" w14:paraId="132ADCE4" w14:textId="4C357E93" w:rsidTr="004F58A8">
        <w:tc>
          <w:tcPr>
            <w:tcW w:w="2156" w:type="pct"/>
            <w:vAlign w:val="center"/>
            <w:hideMark/>
          </w:tcPr>
          <w:p w14:paraId="3773FE7B" w14:textId="40AE2055" w:rsidR="0090020B" w:rsidRPr="0029195A" w:rsidRDefault="0090020B">
            <w:pPr>
              <w:pStyle w:val="TableText0"/>
              <w:rPr>
                <w:b/>
                <w:bCs w:val="0"/>
              </w:rPr>
            </w:pPr>
            <w:r w:rsidRPr="0029195A">
              <w:rPr>
                <w:b/>
                <w:bCs w:val="0"/>
              </w:rPr>
              <w:t>Safety outcome</w:t>
            </w:r>
          </w:p>
        </w:tc>
        <w:tc>
          <w:tcPr>
            <w:tcW w:w="851" w:type="pct"/>
            <w:vAlign w:val="center"/>
            <w:hideMark/>
          </w:tcPr>
          <w:p w14:paraId="77F687C7" w14:textId="77777777" w:rsidR="0090020B" w:rsidRPr="0029195A" w:rsidRDefault="0090020B">
            <w:pPr>
              <w:pStyle w:val="TableText0"/>
              <w:jc w:val="center"/>
              <w:rPr>
                <w:b/>
                <w:bCs w:val="0"/>
              </w:rPr>
            </w:pPr>
            <w:r w:rsidRPr="0029195A">
              <w:rPr>
                <w:b/>
                <w:bCs w:val="0"/>
              </w:rPr>
              <w:t>Avacopan + SOC</w:t>
            </w:r>
          </w:p>
          <w:p w14:paraId="06328375" w14:textId="76CD97C9" w:rsidR="0090020B" w:rsidRPr="0029195A" w:rsidRDefault="0090020B">
            <w:pPr>
              <w:pStyle w:val="TableText0"/>
              <w:jc w:val="center"/>
              <w:rPr>
                <w:rFonts w:eastAsia="Times New Roman"/>
                <w:b/>
                <w:bCs w:val="0"/>
                <w:vertAlign w:val="superscript"/>
              </w:rPr>
            </w:pPr>
            <w:r w:rsidRPr="0029195A">
              <w:rPr>
                <w:rFonts w:eastAsia="Times New Roman"/>
                <w:b/>
                <w:bCs w:val="0"/>
              </w:rPr>
              <w:t xml:space="preserve">n with event (%) </w:t>
            </w:r>
            <w:r w:rsidRPr="0029195A">
              <w:rPr>
                <w:rFonts w:eastAsia="Times New Roman"/>
                <w:b/>
                <w:bCs w:val="0"/>
                <w:vertAlign w:val="superscript"/>
              </w:rPr>
              <w:t>a</w:t>
            </w:r>
          </w:p>
          <w:p w14:paraId="47C3C7FE" w14:textId="7CA7E6FB" w:rsidR="0090020B" w:rsidRPr="0029195A" w:rsidRDefault="0090020B">
            <w:pPr>
              <w:pStyle w:val="TableText0"/>
              <w:jc w:val="center"/>
              <w:rPr>
                <w:b/>
                <w:bCs w:val="0"/>
              </w:rPr>
            </w:pPr>
            <w:r w:rsidRPr="0029195A">
              <w:rPr>
                <w:rFonts w:eastAsia="Times New Roman"/>
                <w:b/>
                <w:bCs w:val="0"/>
              </w:rPr>
              <w:t>N = 166</w:t>
            </w:r>
          </w:p>
        </w:tc>
        <w:tc>
          <w:tcPr>
            <w:tcW w:w="852" w:type="pct"/>
            <w:vAlign w:val="center"/>
            <w:hideMark/>
          </w:tcPr>
          <w:p w14:paraId="3CDC27ED" w14:textId="77777777" w:rsidR="0090020B" w:rsidRPr="0029195A" w:rsidRDefault="0090020B">
            <w:pPr>
              <w:pStyle w:val="TableText0"/>
              <w:jc w:val="center"/>
              <w:rPr>
                <w:b/>
                <w:bCs w:val="0"/>
              </w:rPr>
            </w:pPr>
            <w:r w:rsidRPr="0029195A">
              <w:rPr>
                <w:b/>
                <w:bCs w:val="0"/>
              </w:rPr>
              <w:t>Prednisone + SOC</w:t>
            </w:r>
          </w:p>
          <w:p w14:paraId="46A0414B" w14:textId="17DF9115" w:rsidR="0090020B" w:rsidRPr="0029195A" w:rsidRDefault="0090020B">
            <w:pPr>
              <w:pStyle w:val="TableText0"/>
              <w:jc w:val="center"/>
              <w:rPr>
                <w:rFonts w:eastAsia="Times New Roman"/>
                <w:b/>
                <w:bCs w:val="0"/>
              </w:rPr>
            </w:pPr>
            <w:r w:rsidRPr="0029195A">
              <w:rPr>
                <w:rFonts w:eastAsia="Times New Roman"/>
                <w:b/>
                <w:bCs w:val="0"/>
              </w:rPr>
              <w:t xml:space="preserve">n with event (%) </w:t>
            </w:r>
            <w:r w:rsidRPr="0029195A">
              <w:rPr>
                <w:rFonts w:eastAsia="Times New Roman"/>
                <w:b/>
                <w:bCs w:val="0"/>
                <w:vertAlign w:val="superscript"/>
              </w:rPr>
              <w:t>a</w:t>
            </w:r>
          </w:p>
          <w:p w14:paraId="64F481F7" w14:textId="6FABF690" w:rsidR="0090020B" w:rsidRPr="0029195A" w:rsidRDefault="0090020B">
            <w:pPr>
              <w:pStyle w:val="TableText0"/>
              <w:jc w:val="center"/>
              <w:rPr>
                <w:b/>
                <w:bCs w:val="0"/>
              </w:rPr>
            </w:pPr>
            <w:r w:rsidRPr="0029195A">
              <w:rPr>
                <w:rFonts w:eastAsia="Times New Roman"/>
                <w:b/>
                <w:bCs w:val="0"/>
              </w:rPr>
              <w:t>N=164</w:t>
            </w:r>
          </w:p>
        </w:tc>
        <w:tc>
          <w:tcPr>
            <w:tcW w:w="1141" w:type="pct"/>
          </w:tcPr>
          <w:p w14:paraId="3B459F13" w14:textId="5C71CD1A" w:rsidR="0090020B" w:rsidRPr="0029195A" w:rsidRDefault="00FF4418">
            <w:pPr>
              <w:pStyle w:val="TableText0"/>
              <w:jc w:val="center"/>
              <w:rPr>
                <w:b/>
                <w:bCs w:val="0"/>
              </w:rPr>
            </w:pPr>
            <w:r w:rsidRPr="0029195A">
              <w:rPr>
                <w:b/>
                <w:bCs w:val="0"/>
              </w:rPr>
              <w:t>Risk difference, %</w:t>
            </w:r>
            <w:r w:rsidR="00517654" w:rsidRPr="0029195A">
              <w:rPr>
                <w:b/>
                <w:bCs w:val="0"/>
              </w:rPr>
              <w:t xml:space="preserve"> (95% CI)</w:t>
            </w:r>
          </w:p>
        </w:tc>
      </w:tr>
      <w:tr w:rsidR="00EA21AF" w:rsidRPr="0029195A" w14:paraId="1E4B8CC4" w14:textId="41CDC9B6" w:rsidTr="004F58A8">
        <w:tc>
          <w:tcPr>
            <w:tcW w:w="2156" w:type="pct"/>
            <w:hideMark/>
          </w:tcPr>
          <w:p w14:paraId="6E68C97A" w14:textId="77777777" w:rsidR="0090020B" w:rsidRPr="0029195A" w:rsidRDefault="0090020B">
            <w:pPr>
              <w:pStyle w:val="TableText0"/>
            </w:pPr>
            <w:r w:rsidRPr="0029195A">
              <w:rPr>
                <w:rFonts w:eastAsia="Times New Roman"/>
              </w:rPr>
              <w:t>Any TEAE</w:t>
            </w:r>
          </w:p>
        </w:tc>
        <w:tc>
          <w:tcPr>
            <w:tcW w:w="851" w:type="pct"/>
            <w:vAlign w:val="center"/>
            <w:hideMark/>
          </w:tcPr>
          <w:p w14:paraId="4506456E" w14:textId="77777777" w:rsidR="0090020B" w:rsidRPr="0029195A" w:rsidRDefault="0090020B">
            <w:pPr>
              <w:pStyle w:val="TableText0"/>
              <w:jc w:val="center"/>
            </w:pPr>
            <w:r w:rsidRPr="0029195A">
              <w:t>164 (98.8)</w:t>
            </w:r>
          </w:p>
        </w:tc>
        <w:tc>
          <w:tcPr>
            <w:tcW w:w="852" w:type="pct"/>
            <w:vAlign w:val="center"/>
            <w:hideMark/>
          </w:tcPr>
          <w:p w14:paraId="1CA26D65" w14:textId="27385DCB" w:rsidR="0090020B" w:rsidRPr="0029195A" w:rsidRDefault="0090020B">
            <w:pPr>
              <w:pStyle w:val="TableText0"/>
              <w:jc w:val="center"/>
            </w:pPr>
            <w:r w:rsidRPr="0029195A">
              <w:t>161 (98.2)</w:t>
            </w:r>
          </w:p>
        </w:tc>
        <w:tc>
          <w:tcPr>
            <w:tcW w:w="1141" w:type="pct"/>
          </w:tcPr>
          <w:p w14:paraId="0EC01719" w14:textId="47EF8494" w:rsidR="0090020B" w:rsidRPr="0029195A" w:rsidRDefault="008A3F22">
            <w:pPr>
              <w:pStyle w:val="TableText0"/>
              <w:jc w:val="center"/>
            </w:pPr>
            <w:r w:rsidRPr="0029195A">
              <w:t>NR</w:t>
            </w:r>
          </w:p>
        </w:tc>
      </w:tr>
      <w:tr w:rsidR="00EA21AF" w:rsidRPr="0029195A" w14:paraId="72B0AC8E" w14:textId="4C9666E0" w:rsidTr="004F58A8">
        <w:tc>
          <w:tcPr>
            <w:tcW w:w="2156" w:type="pct"/>
            <w:hideMark/>
          </w:tcPr>
          <w:p w14:paraId="53640335" w14:textId="77777777" w:rsidR="0090020B" w:rsidRPr="0029195A" w:rsidRDefault="0090020B">
            <w:pPr>
              <w:pStyle w:val="TableText0"/>
            </w:pPr>
            <w:r w:rsidRPr="0029195A">
              <w:rPr>
                <w:rFonts w:eastAsia="Times New Roman"/>
              </w:rPr>
              <w:t>Maximum severity of TEAE</w:t>
            </w:r>
            <w:r w:rsidRPr="0029195A">
              <w:t xml:space="preserve"> </w:t>
            </w:r>
          </w:p>
        </w:tc>
        <w:tc>
          <w:tcPr>
            <w:tcW w:w="851" w:type="pct"/>
            <w:vAlign w:val="center"/>
            <w:hideMark/>
          </w:tcPr>
          <w:p w14:paraId="3EDBF773" w14:textId="77777777" w:rsidR="0090020B" w:rsidRPr="0029195A" w:rsidRDefault="0090020B">
            <w:pPr>
              <w:pStyle w:val="TableText0"/>
              <w:jc w:val="center"/>
            </w:pPr>
          </w:p>
        </w:tc>
        <w:tc>
          <w:tcPr>
            <w:tcW w:w="852" w:type="pct"/>
            <w:vAlign w:val="center"/>
            <w:hideMark/>
          </w:tcPr>
          <w:p w14:paraId="17B0BF89" w14:textId="5B11D877" w:rsidR="0090020B" w:rsidRPr="0029195A" w:rsidRDefault="0090020B">
            <w:pPr>
              <w:pStyle w:val="TableText0"/>
              <w:jc w:val="center"/>
            </w:pPr>
          </w:p>
        </w:tc>
        <w:tc>
          <w:tcPr>
            <w:tcW w:w="1141" w:type="pct"/>
          </w:tcPr>
          <w:p w14:paraId="40F56A87" w14:textId="77777777" w:rsidR="0090020B" w:rsidRPr="0029195A" w:rsidRDefault="0090020B">
            <w:pPr>
              <w:pStyle w:val="TableText0"/>
              <w:jc w:val="center"/>
            </w:pPr>
          </w:p>
        </w:tc>
      </w:tr>
      <w:tr w:rsidR="00EA21AF" w:rsidRPr="0029195A" w14:paraId="01DAD260" w14:textId="71833798" w:rsidTr="004F58A8">
        <w:tc>
          <w:tcPr>
            <w:tcW w:w="2156" w:type="pct"/>
            <w:hideMark/>
          </w:tcPr>
          <w:p w14:paraId="7ED8AFDB" w14:textId="7FAC82AA" w:rsidR="008A3F22" w:rsidRPr="0029195A" w:rsidRDefault="008A3F22" w:rsidP="008A3F22">
            <w:pPr>
              <w:pStyle w:val="TableText0"/>
            </w:pPr>
            <w:r w:rsidRPr="0029195A">
              <w:t xml:space="preserve">  Mild</w:t>
            </w:r>
          </w:p>
        </w:tc>
        <w:tc>
          <w:tcPr>
            <w:tcW w:w="851" w:type="pct"/>
            <w:vAlign w:val="center"/>
            <w:hideMark/>
          </w:tcPr>
          <w:p w14:paraId="59DF5087" w14:textId="77777777" w:rsidR="008A3F22" w:rsidRPr="0029195A" w:rsidRDefault="008A3F22" w:rsidP="008A3F22">
            <w:pPr>
              <w:pStyle w:val="TableText0"/>
              <w:jc w:val="center"/>
            </w:pPr>
            <w:r w:rsidRPr="0029195A">
              <w:t>33 (19.9)</w:t>
            </w:r>
          </w:p>
        </w:tc>
        <w:tc>
          <w:tcPr>
            <w:tcW w:w="852" w:type="pct"/>
            <w:vAlign w:val="center"/>
            <w:hideMark/>
          </w:tcPr>
          <w:p w14:paraId="67214181" w14:textId="38730213" w:rsidR="008A3F22" w:rsidRPr="0029195A" w:rsidRDefault="008A3F22" w:rsidP="008A3F22">
            <w:pPr>
              <w:pStyle w:val="TableText0"/>
              <w:jc w:val="center"/>
            </w:pPr>
            <w:r w:rsidRPr="0029195A">
              <w:t>34 (20.7)</w:t>
            </w:r>
          </w:p>
        </w:tc>
        <w:tc>
          <w:tcPr>
            <w:tcW w:w="1141" w:type="pct"/>
          </w:tcPr>
          <w:p w14:paraId="51F8A652" w14:textId="38EE6C9C" w:rsidR="008A3F22" w:rsidRPr="0029195A" w:rsidRDefault="008A3F22" w:rsidP="008A3F22">
            <w:pPr>
              <w:pStyle w:val="TableText0"/>
              <w:jc w:val="center"/>
            </w:pPr>
            <w:r w:rsidRPr="0029195A">
              <w:t>NR</w:t>
            </w:r>
          </w:p>
        </w:tc>
      </w:tr>
      <w:tr w:rsidR="00EA21AF" w:rsidRPr="0029195A" w14:paraId="2DC760CA" w14:textId="4227EBAC" w:rsidTr="004F58A8">
        <w:tc>
          <w:tcPr>
            <w:tcW w:w="2156" w:type="pct"/>
            <w:hideMark/>
          </w:tcPr>
          <w:p w14:paraId="42C55E8D" w14:textId="481D4436" w:rsidR="008A3F22" w:rsidRPr="0029195A" w:rsidRDefault="008A3F22" w:rsidP="008A3F22">
            <w:pPr>
              <w:pStyle w:val="TableText0"/>
            </w:pPr>
            <w:r w:rsidRPr="0029195A">
              <w:t xml:space="preserve">  Moderate</w:t>
            </w:r>
          </w:p>
        </w:tc>
        <w:tc>
          <w:tcPr>
            <w:tcW w:w="851" w:type="pct"/>
            <w:vAlign w:val="center"/>
            <w:hideMark/>
          </w:tcPr>
          <w:p w14:paraId="28C9317A" w14:textId="77777777" w:rsidR="008A3F22" w:rsidRPr="0029195A" w:rsidRDefault="008A3F22" w:rsidP="008A3F22">
            <w:pPr>
              <w:pStyle w:val="TableText0"/>
              <w:jc w:val="center"/>
            </w:pPr>
            <w:r w:rsidRPr="0029195A">
              <w:t>82 (49.4)</w:t>
            </w:r>
          </w:p>
        </w:tc>
        <w:tc>
          <w:tcPr>
            <w:tcW w:w="852" w:type="pct"/>
            <w:vAlign w:val="center"/>
            <w:hideMark/>
          </w:tcPr>
          <w:p w14:paraId="497BCF2A" w14:textId="2F2357C3" w:rsidR="008A3F22" w:rsidRPr="0029195A" w:rsidRDefault="008A3F22" w:rsidP="008A3F22">
            <w:pPr>
              <w:pStyle w:val="TableText0"/>
              <w:jc w:val="center"/>
            </w:pPr>
            <w:r w:rsidRPr="0029195A">
              <w:t>68 (41.5)</w:t>
            </w:r>
          </w:p>
        </w:tc>
        <w:tc>
          <w:tcPr>
            <w:tcW w:w="1141" w:type="pct"/>
          </w:tcPr>
          <w:p w14:paraId="10890193" w14:textId="2DC962CE" w:rsidR="008A3F22" w:rsidRPr="0029195A" w:rsidRDefault="008A3F22" w:rsidP="008A3F22">
            <w:pPr>
              <w:pStyle w:val="TableText0"/>
              <w:jc w:val="center"/>
            </w:pPr>
            <w:r w:rsidRPr="0029195A">
              <w:t>NR</w:t>
            </w:r>
          </w:p>
        </w:tc>
      </w:tr>
      <w:tr w:rsidR="00EA21AF" w:rsidRPr="0029195A" w14:paraId="1D06E0EA" w14:textId="68AD7661" w:rsidTr="004F58A8">
        <w:tc>
          <w:tcPr>
            <w:tcW w:w="2156" w:type="pct"/>
            <w:hideMark/>
          </w:tcPr>
          <w:p w14:paraId="54D8F9C0" w14:textId="06184F60" w:rsidR="008A3F22" w:rsidRPr="0029195A" w:rsidRDefault="008A3F22" w:rsidP="008A3F22">
            <w:pPr>
              <w:pStyle w:val="TableText0"/>
            </w:pPr>
            <w:r w:rsidRPr="0029195A">
              <w:t xml:space="preserve">  Severe</w:t>
            </w:r>
          </w:p>
        </w:tc>
        <w:tc>
          <w:tcPr>
            <w:tcW w:w="851" w:type="pct"/>
            <w:vAlign w:val="center"/>
            <w:hideMark/>
          </w:tcPr>
          <w:p w14:paraId="22F228D2" w14:textId="77777777" w:rsidR="008A3F22" w:rsidRPr="0029195A" w:rsidRDefault="008A3F22" w:rsidP="008A3F22">
            <w:pPr>
              <w:pStyle w:val="TableText0"/>
              <w:jc w:val="center"/>
            </w:pPr>
            <w:r w:rsidRPr="0029195A">
              <w:t>39 (23.5)</w:t>
            </w:r>
          </w:p>
        </w:tc>
        <w:tc>
          <w:tcPr>
            <w:tcW w:w="852" w:type="pct"/>
            <w:vAlign w:val="center"/>
            <w:hideMark/>
          </w:tcPr>
          <w:p w14:paraId="3F14D39C" w14:textId="79EAAAE7" w:rsidR="008A3F22" w:rsidRPr="0029195A" w:rsidRDefault="008A3F22" w:rsidP="008A3F22">
            <w:pPr>
              <w:pStyle w:val="TableText0"/>
              <w:jc w:val="center"/>
            </w:pPr>
            <w:r w:rsidRPr="0029195A">
              <w:t>41 (25.0)</w:t>
            </w:r>
          </w:p>
        </w:tc>
        <w:tc>
          <w:tcPr>
            <w:tcW w:w="1141" w:type="pct"/>
          </w:tcPr>
          <w:p w14:paraId="61A34366" w14:textId="21E05347" w:rsidR="008A3F22" w:rsidRPr="0029195A" w:rsidRDefault="008A3F22" w:rsidP="008A3F22">
            <w:pPr>
              <w:pStyle w:val="TableText0"/>
              <w:jc w:val="center"/>
            </w:pPr>
            <w:r w:rsidRPr="0029195A">
              <w:t>NR</w:t>
            </w:r>
          </w:p>
        </w:tc>
      </w:tr>
      <w:tr w:rsidR="00EA21AF" w:rsidRPr="0029195A" w14:paraId="1C8764B3" w14:textId="28FE1F61" w:rsidTr="004F58A8">
        <w:tc>
          <w:tcPr>
            <w:tcW w:w="2156" w:type="pct"/>
            <w:hideMark/>
          </w:tcPr>
          <w:p w14:paraId="2BEF314C" w14:textId="361AD84A" w:rsidR="008A3F22" w:rsidRPr="0029195A" w:rsidRDefault="00A97EAE" w:rsidP="008A3F22">
            <w:pPr>
              <w:pStyle w:val="TableText0"/>
            </w:pPr>
            <w:r w:rsidRPr="0029195A">
              <w:t xml:space="preserve">  </w:t>
            </w:r>
            <w:r w:rsidR="008A3F22" w:rsidRPr="0029195A">
              <w:t>Life-threatening</w:t>
            </w:r>
          </w:p>
        </w:tc>
        <w:tc>
          <w:tcPr>
            <w:tcW w:w="851" w:type="pct"/>
            <w:vAlign w:val="center"/>
            <w:hideMark/>
          </w:tcPr>
          <w:p w14:paraId="1243049B" w14:textId="77777777" w:rsidR="008A3F22" w:rsidRPr="0029195A" w:rsidRDefault="008A3F22" w:rsidP="008A3F22">
            <w:pPr>
              <w:pStyle w:val="TableText0"/>
              <w:jc w:val="center"/>
            </w:pPr>
            <w:r w:rsidRPr="0029195A">
              <w:t>8 (4.8)</w:t>
            </w:r>
          </w:p>
        </w:tc>
        <w:tc>
          <w:tcPr>
            <w:tcW w:w="852" w:type="pct"/>
            <w:vAlign w:val="center"/>
            <w:hideMark/>
          </w:tcPr>
          <w:p w14:paraId="3014798A" w14:textId="3AAB62AB" w:rsidR="008A3F22" w:rsidRPr="0029195A" w:rsidRDefault="008A3F22" w:rsidP="008A3F22">
            <w:pPr>
              <w:pStyle w:val="TableText0"/>
              <w:jc w:val="center"/>
            </w:pPr>
            <w:r w:rsidRPr="0029195A">
              <w:t>14 (8.5)</w:t>
            </w:r>
          </w:p>
        </w:tc>
        <w:tc>
          <w:tcPr>
            <w:tcW w:w="1141" w:type="pct"/>
          </w:tcPr>
          <w:p w14:paraId="3806955E" w14:textId="35E7877C" w:rsidR="008A3F22" w:rsidRPr="0029195A" w:rsidRDefault="008A3F22" w:rsidP="008A3F22">
            <w:pPr>
              <w:pStyle w:val="TableText0"/>
              <w:jc w:val="center"/>
            </w:pPr>
            <w:r w:rsidRPr="0029195A">
              <w:t>NR</w:t>
            </w:r>
          </w:p>
        </w:tc>
      </w:tr>
      <w:tr w:rsidR="00EA21AF" w:rsidRPr="0029195A" w14:paraId="7E48F16D" w14:textId="13103CED" w:rsidTr="004F58A8">
        <w:tc>
          <w:tcPr>
            <w:tcW w:w="2156" w:type="pct"/>
            <w:hideMark/>
          </w:tcPr>
          <w:p w14:paraId="112ED809" w14:textId="2164E894" w:rsidR="008A3F22" w:rsidRPr="0029195A" w:rsidRDefault="00A97EAE" w:rsidP="008A3F22">
            <w:pPr>
              <w:pStyle w:val="TableText0"/>
            </w:pPr>
            <w:r w:rsidRPr="0029195A">
              <w:t xml:space="preserve">  </w:t>
            </w:r>
            <w:r w:rsidR="008A3F22" w:rsidRPr="0029195A">
              <w:t>Death</w:t>
            </w:r>
          </w:p>
        </w:tc>
        <w:tc>
          <w:tcPr>
            <w:tcW w:w="851" w:type="pct"/>
            <w:vAlign w:val="center"/>
            <w:hideMark/>
          </w:tcPr>
          <w:p w14:paraId="4D227CCD" w14:textId="77777777" w:rsidR="008A3F22" w:rsidRPr="0029195A" w:rsidRDefault="008A3F22" w:rsidP="008A3F22">
            <w:pPr>
              <w:pStyle w:val="TableText0"/>
              <w:jc w:val="center"/>
            </w:pPr>
            <w:r w:rsidRPr="0029195A">
              <w:t>2 (1.2)</w:t>
            </w:r>
          </w:p>
        </w:tc>
        <w:tc>
          <w:tcPr>
            <w:tcW w:w="852" w:type="pct"/>
            <w:vAlign w:val="center"/>
            <w:hideMark/>
          </w:tcPr>
          <w:p w14:paraId="3F1AB2C4" w14:textId="5BF5129C" w:rsidR="008A3F22" w:rsidRPr="0029195A" w:rsidRDefault="008A3F22" w:rsidP="008A3F22">
            <w:pPr>
              <w:pStyle w:val="TableText0"/>
              <w:jc w:val="center"/>
            </w:pPr>
            <w:r w:rsidRPr="0029195A">
              <w:t>4 (2.4)</w:t>
            </w:r>
          </w:p>
        </w:tc>
        <w:tc>
          <w:tcPr>
            <w:tcW w:w="1141" w:type="pct"/>
          </w:tcPr>
          <w:p w14:paraId="70FE158E" w14:textId="0E457ED6" w:rsidR="008A3F22" w:rsidRPr="0029195A" w:rsidRDefault="008A3F22" w:rsidP="008A3F22">
            <w:pPr>
              <w:pStyle w:val="TableText0"/>
              <w:jc w:val="center"/>
            </w:pPr>
            <w:r w:rsidRPr="0029195A">
              <w:t>NR</w:t>
            </w:r>
          </w:p>
        </w:tc>
      </w:tr>
      <w:tr w:rsidR="00EA21AF" w:rsidRPr="0029195A" w14:paraId="513D724E" w14:textId="6BA815E0" w:rsidTr="004F58A8">
        <w:tc>
          <w:tcPr>
            <w:tcW w:w="2156" w:type="pct"/>
            <w:hideMark/>
          </w:tcPr>
          <w:p w14:paraId="4F62D5D6" w14:textId="77777777" w:rsidR="008A3F22" w:rsidRPr="0029195A" w:rsidRDefault="008A3F22" w:rsidP="008A3F22">
            <w:pPr>
              <w:pStyle w:val="TableText0"/>
            </w:pPr>
            <w:r w:rsidRPr="0029195A">
              <w:rPr>
                <w:rFonts w:eastAsia="Times New Roman"/>
              </w:rPr>
              <w:t>TEAE leading to study medication discontinuation</w:t>
            </w:r>
          </w:p>
        </w:tc>
        <w:tc>
          <w:tcPr>
            <w:tcW w:w="851" w:type="pct"/>
            <w:vAlign w:val="center"/>
            <w:hideMark/>
          </w:tcPr>
          <w:p w14:paraId="1DB25AAC" w14:textId="77777777" w:rsidR="008A3F22" w:rsidRPr="0029195A" w:rsidRDefault="008A3F22" w:rsidP="008A3F22">
            <w:pPr>
              <w:pStyle w:val="TableText0"/>
              <w:jc w:val="center"/>
            </w:pPr>
            <w:r w:rsidRPr="0029195A">
              <w:t>27 (16.3)</w:t>
            </w:r>
          </w:p>
        </w:tc>
        <w:tc>
          <w:tcPr>
            <w:tcW w:w="852" w:type="pct"/>
            <w:vAlign w:val="center"/>
            <w:hideMark/>
          </w:tcPr>
          <w:p w14:paraId="5E4D297C" w14:textId="63D7D85D" w:rsidR="008A3F22" w:rsidRPr="0029195A" w:rsidRDefault="008A3F22" w:rsidP="008A3F22">
            <w:pPr>
              <w:pStyle w:val="TableText0"/>
              <w:jc w:val="center"/>
            </w:pPr>
            <w:r w:rsidRPr="0029195A">
              <w:t>28 (17.1)</w:t>
            </w:r>
          </w:p>
        </w:tc>
        <w:tc>
          <w:tcPr>
            <w:tcW w:w="1141" w:type="pct"/>
          </w:tcPr>
          <w:p w14:paraId="2A5C1B0D" w14:textId="1B1F829B" w:rsidR="008A3F22" w:rsidRPr="0029195A" w:rsidRDefault="008A3F22" w:rsidP="008A3F22">
            <w:pPr>
              <w:pStyle w:val="TableText0"/>
              <w:jc w:val="center"/>
            </w:pPr>
            <w:r w:rsidRPr="0029195A">
              <w:t>NR</w:t>
            </w:r>
          </w:p>
        </w:tc>
      </w:tr>
      <w:tr w:rsidR="00EA21AF" w:rsidRPr="0029195A" w14:paraId="591BAFD5" w14:textId="0A8195E1" w:rsidTr="004F58A8">
        <w:tc>
          <w:tcPr>
            <w:tcW w:w="2156" w:type="pct"/>
            <w:hideMark/>
          </w:tcPr>
          <w:p w14:paraId="3D5708A2" w14:textId="77777777" w:rsidR="008A3F22" w:rsidRPr="0029195A" w:rsidRDefault="008A3F22" w:rsidP="008A3F22">
            <w:pPr>
              <w:pStyle w:val="TableText0"/>
            </w:pPr>
            <w:r w:rsidRPr="0029195A">
              <w:rPr>
                <w:rFonts w:eastAsia="Times New Roman"/>
              </w:rPr>
              <w:t>SAE</w:t>
            </w:r>
          </w:p>
        </w:tc>
        <w:tc>
          <w:tcPr>
            <w:tcW w:w="851" w:type="pct"/>
            <w:vAlign w:val="center"/>
            <w:hideMark/>
          </w:tcPr>
          <w:p w14:paraId="4EF2F0B7" w14:textId="77777777" w:rsidR="008A3F22" w:rsidRPr="0029195A" w:rsidRDefault="008A3F22" w:rsidP="008A3F22">
            <w:pPr>
              <w:pStyle w:val="TableText0"/>
              <w:jc w:val="center"/>
            </w:pPr>
            <w:r w:rsidRPr="0029195A">
              <w:t>70 (42.2)</w:t>
            </w:r>
          </w:p>
        </w:tc>
        <w:tc>
          <w:tcPr>
            <w:tcW w:w="852" w:type="pct"/>
            <w:vAlign w:val="center"/>
            <w:hideMark/>
          </w:tcPr>
          <w:p w14:paraId="5909695B" w14:textId="6A9464FD" w:rsidR="008A3F22" w:rsidRPr="0029195A" w:rsidRDefault="008A3F22" w:rsidP="008A3F22">
            <w:pPr>
              <w:pStyle w:val="TableText0"/>
              <w:jc w:val="center"/>
            </w:pPr>
            <w:r w:rsidRPr="0029195A">
              <w:t>74 (45.1)</w:t>
            </w:r>
          </w:p>
        </w:tc>
        <w:tc>
          <w:tcPr>
            <w:tcW w:w="1141" w:type="pct"/>
          </w:tcPr>
          <w:p w14:paraId="285F8B18" w14:textId="22E223E4" w:rsidR="008A3F22" w:rsidRPr="0029195A" w:rsidRDefault="008A3F22" w:rsidP="008A3F22">
            <w:pPr>
              <w:pStyle w:val="TableText0"/>
              <w:jc w:val="center"/>
            </w:pPr>
            <w:r w:rsidRPr="0029195A">
              <w:t>NR</w:t>
            </w:r>
          </w:p>
        </w:tc>
      </w:tr>
      <w:tr w:rsidR="0095519C" w:rsidRPr="0029195A" w14:paraId="602C9DB3" w14:textId="77777777" w:rsidTr="004F58A8">
        <w:tc>
          <w:tcPr>
            <w:tcW w:w="2156" w:type="pct"/>
          </w:tcPr>
          <w:p w14:paraId="191CAC5B" w14:textId="52B82AD9" w:rsidR="00A97EAE" w:rsidRPr="0029195A" w:rsidRDefault="00A97EAE" w:rsidP="00A97EAE">
            <w:pPr>
              <w:pStyle w:val="TableText0"/>
              <w:rPr>
                <w:rFonts w:eastAsia="Times New Roman"/>
              </w:rPr>
            </w:pPr>
            <w:r w:rsidRPr="0029195A">
              <w:rPr>
                <w:rFonts w:eastAsia="Times New Roman"/>
              </w:rPr>
              <w:t xml:space="preserve">  Acute kidney injury</w:t>
            </w:r>
          </w:p>
        </w:tc>
        <w:tc>
          <w:tcPr>
            <w:tcW w:w="851" w:type="pct"/>
            <w:vAlign w:val="center"/>
          </w:tcPr>
          <w:p w14:paraId="7C0CD9F3" w14:textId="7E5099ED" w:rsidR="00A97EAE" w:rsidRPr="0029195A" w:rsidRDefault="00A97EAE" w:rsidP="00A97EAE">
            <w:pPr>
              <w:pStyle w:val="TableText0"/>
              <w:jc w:val="center"/>
            </w:pPr>
            <w:r w:rsidRPr="0029195A">
              <w:t>3 (1.8)</w:t>
            </w:r>
          </w:p>
        </w:tc>
        <w:tc>
          <w:tcPr>
            <w:tcW w:w="852" w:type="pct"/>
            <w:vAlign w:val="center"/>
          </w:tcPr>
          <w:p w14:paraId="141236A4" w14:textId="752E03CB" w:rsidR="00A97EAE" w:rsidRPr="0029195A" w:rsidRDefault="00A97EAE" w:rsidP="00A97EAE">
            <w:pPr>
              <w:pStyle w:val="TableText0"/>
              <w:jc w:val="center"/>
            </w:pPr>
            <w:r w:rsidRPr="0029195A">
              <w:t>1 (0.6)</w:t>
            </w:r>
          </w:p>
        </w:tc>
        <w:tc>
          <w:tcPr>
            <w:tcW w:w="1141" w:type="pct"/>
          </w:tcPr>
          <w:p w14:paraId="19C6F2B2" w14:textId="015475C4" w:rsidR="00A97EAE" w:rsidRPr="0029195A" w:rsidRDefault="00A97EAE" w:rsidP="00A97EAE">
            <w:pPr>
              <w:pStyle w:val="TableText0"/>
              <w:jc w:val="center"/>
            </w:pPr>
            <w:r w:rsidRPr="0029195A">
              <w:t>NR</w:t>
            </w:r>
          </w:p>
        </w:tc>
      </w:tr>
      <w:tr w:rsidR="0095519C" w:rsidRPr="0029195A" w14:paraId="47FEA751" w14:textId="77777777" w:rsidTr="004F58A8">
        <w:tc>
          <w:tcPr>
            <w:tcW w:w="2156" w:type="pct"/>
          </w:tcPr>
          <w:p w14:paraId="2830CDBC" w14:textId="20368CCA" w:rsidR="00A97EAE" w:rsidRPr="0029195A" w:rsidRDefault="00A97EAE" w:rsidP="00A97EAE">
            <w:pPr>
              <w:pStyle w:val="TableText0"/>
              <w:rPr>
                <w:rFonts w:eastAsia="Times New Roman"/>
              </w:rPr>
            </w:pPr>
            <w:r w:rsidRPr="0029195A">
              <w:rPr>
                <w:rFonts w:eastAsia="Times New Roman"/>
              </w:rPr>
              <w:t xml:space="preserve">  Angina pectoris</w:t>
            </w:r>
          </w:p>
        </w:tc>
        <w:tc>
          <w:tcPr>
            <w:tcW w:w="851" w:type="pct"/>
            <w:vAlign w:val="center"/>
          </w:tcPr>
          <w:p w14:paraId="7351607D" w14:textId="67C3D7C8" w:rsidR="00A97EAE" w:rsidRPr="0029195A" w:rsidRDefault="00A97EAE" w:rsidP="00A97EAE">
            <w:pPr>
              <w:pStyle w:val="TableText0"/>
              <w:jc w:val="center"/>
            </w:pPr>
            <w:r w:rsidRPr="0029195A">
              <w:t>2 (1.2)</w:t>
            </w:r>
          </w:p>
        </w:tc>
        <w:tc>
          <w:tcPr>
            <w:tcW w:w="852" w:type="pct"/>
            <w:vAlign w:val="center"/>
          </w:tcPr>
          <w:p w14:paraId="13EF9F49" w14:textId="5F39F40D" w:rsidR="00A97EAE" w:rsidRPr="0029195A" w:rsidRDefault="00A97EAE" w:rsidP="00A97EAE">
            <w:pPr>
              <w:pStyle w:val="TableText0"/>
              <w:jc w:val="center"/>
            </w:pPr>
            <w:r w:rsidRPr="0029195A">
              <w:t>0 (0.0)</w:t>
            </w:r>
          </w:p>
        </w:tc>
        <w:tc>
          <w:tcPr>
            <w:tcW w:w="1141" w:type="pct"/>
          </w:tcPr>
          <w:p w14:paraId="6ABE815E" w14:textId="4D547788" w:rsidR="00A97EAE" w:rsidRPr="0029195A" w:rsidRDefault="00A97EAE" w:rsidP="00A97EAE">
            <w:pPr>
              <w:pStyle w:val="TableText0"/>
              <w:jc w:val="center"/>
            </w:pPr>
            <w:r w:rsidRPr="0029195A">
              <w:t>NR</w:t>
            </w:r>
          </w:p>
        </w:tc>
      </w:tr>
      <w:tr w:rsidR="0095519C" w:rsidRPr="0029195A" w14:paraId="39E95FDD" w14:textId="77777777" w:rsidTr="004F58A8">
        <w:tc>
          <w:tcPr>
            <w:tcW w:w="2156" w:type="pct"/>
          </w:tcPr>
          <w:p w14:paraId="3F1D7D84" w14:textId="3C7A69F5" w:rsidR="00A97EAE" w:rsidRPr="0029195A" w:rsidRDefault="00A97EAE" w:rsidP="00A97EAE">
            <w:pPr>
              <w:pStyle w:val="TableText0"/>
              <w:rPr>
                <w:rFonts w:eastAsia="Times New Roman"/>
              </w:rPr>
            </w:pPr>
            <w:r w:rsidRPr="0029195A">
              <w:rPr>
                <w:rFonts w:eastAsia="Times New Roman"/>
              </w:rPr>
              <w:t xml:space="preserve">  Cardiac failure</w:t>
            </w:r>
          </w:p>
        </w:tc>
        <w:tc>
          <w:tcPr>
            <w:tcW w:w="851" w:type="pct"/>
            <w:vAlign w:val="center"/>
          </w:tcPr>
          <w:p w14:paraId="69651641" w14:textId="3F3FB5C5" w:rsidR="00A97EAE" w:rsidRPr="0029195A" w:rsidRDefault="00A97EAE" w:rsidP="00A97EAE">
            <w:pPr>
              <w:pStyle w:val="TableText0"/>
              <w:jc w:val="center"/>
            </w:pPr>
            <w:r w:rsidRPr="0029195A">
              <w:t>2 (1.2)</w:t>
            </w:r>
          </w:p>
        </w:tc>
        <w:tc>
          <w:tcPr>
            <w:tcW w:w="852" w:type="pct"/>
            <w:vAlign w:val="center"/>
          </w:tcPr>
          <w:p w14:paraId="6613ABA1" w14:textId="0A2D1146" w:rsidR="00A97EAE" w:rsidRPr="0029195A" w:rsidRDefault="00A97EAE" w:rsidP="00A97EAE">
            <w:pPr>
              <w:pStyle w:val="TableText0"/>
              <w:jc w:val="center"/>
            </w:pPr>
            <w:r w:rsidRPr="0029195A">
              <w:t>0 (0.0)</w:t>
            </w:r>
          </w:p>
        </w:tc>
        <w:tc>
          <w:tcPr>
            <w:tcW w:w="1141" w:type="pct"/>
          </w:tcPr>
          <w:p w14:paraId="1BAC2E89" w14:textId="7DFC6193" w:rsidR="00A97EAE" w:rsidRPr="0029195A" w:rsidRDefault="00A97EAE" w:rsidP="00A97EAE">
            <w:pPr>
              <w:pStyle w:val="TableText0"/>
              <w:jc w:val="center"/>
            </w:pPr>
            <w:r w:rsidRPr="0029195A">
              <w:t>NR</w:t>
            </w:r>
          </w:p>
        </w:tc>
      </w:tr>
      <w:tr w:rsidR="0095519C" w:rsidRPr="0029195A" w14:paraId="1A15A6E7" w14:textId="77777777" w:rsidTr="004F58A8">
        <w:tc>
          <w:tcPr>
            <w:tcW w:w="2156" w:type="pct"/>
          </w:tcPr>
          <w:p w14:paraId="6C7AEDCB" w14:textId="5638389D" w:rsidR="00A97EAE" w:rsidRPr="0029195A" w:rsidRDefault="00A97EAE" w:rsidP="00A97EAE">
            <w:pPr>
              <w:pStyle w:val="TableText0"/>
              <w:rPr>
                <w:rFonts w:eastAsia="Times New Roman"/>
              </w:rPr>
            </w:pPr>
            <w:r w:rsidRPr="0029195A">
              <w:rPr>
                <w:rFonts w:eastAsia="Times New Roman"/>
              </w:rPr>
              <w:t xml:space="preserve">  Device-related infections</w:t>
            </w:r>
          </w:p>
        </w:tc>
        <w:tc>
          <w:tcPr>
            <w:tcW w:w="851" w:type="pct"/>
            <w:vAlign w:val="center"/>
          </w:tcPr>
          <w:p w14:paraId="43016FAB" w14:textId="45E0D4BF" w:rsidR="00A97EAE" w:rsidRPr="0029195A" w:rsidRDefault="00A97EAE" w:rsidP="00A97EAE">
            <w:pPr>
              <w:pStyle w:val="TableText0"/>
              <w:jc w:val="center"/>
            </w:pPr>
            <w:r w:rsidRPr="0029195A">
              <w:t>2 (1.2)</w:t>
            </w:r>
          </w:p>
        </w:tc>
        <w:tc>
          <w:tcPr>
            <w:tcW w:w="852" w:type="pct"/>
            <w:vAlign w:val="center"/>
          </w:tcPr>
          <w:p w14:paraId="2925D4C1" w14:textId="5D4E8AF0" w:rsidR="00A97EAE" w:rsidRPr="0029195A" w:rsidRDefault="00A97EAE" w:rsidP="00A97EAE">
            <w:pPr>
              <w:pStyle w:val="TableText0"/>
              <w:jc w:val="center"/>
            </w:pPr>
            <w:r w:rsidRPr="0029195A">
              <w:t>0 (0.0)</w:t>
            </w:r>
          </w:p>
        </w:tc>
        <w:tc>
          <w:tcPr>
            <w:tcW w:w="1141" w:type="pct"/>
          </w:tcPr>
          <w:p w14:paraId="2B5FBD97" w14:textId="2934F414" w:rsidR="00A97EAE" w:rsidRPr="0029195A" w:rsidRDefault="00A97EAE" w:rsidP="00A97EAE">
            <w:pPr>
              <w:pStyle w:val="TableText0"/>
              <w:jc w:val="center"/>
            </w:pPr>
            <w:r w:rsidRPr="0029195A">
              <w:t>NR</w:t>
            </w:r>
          </w:p>
        </w:tc>
      </w:tr>
      <w:tr w:rsidR="0095519C" w:rsidRPr="0029195A" w14:paraId="01665C71" w14:textId="77777777" w:rsidTr="004F58A8">
        <w:tc>
          <w:tcPr>
            <w:tcW w:w="2156" w:type="pct"/>
          </w:tcPr>
          <w:p w14:paraId="5745B52A" w14:textId="6F846367" w:rsidR="00A97EAE" w:rsidRPr="0029195A" w:rsidRDefault="00A97EAE" w:rsidP="00A97EAE">
            <w:pPr>
              <w:pStyle w:val="TableText0"/>
              <w:rPr>
                <w:rFonts w:eastAsia="Times New Roman"/>
              </w:rPr>
            </w:pPr>
            <w:r w:rsidRPr="0029195A">
              <w:rPr>
                <w:rFonts w:eastAsia="Times New Roman"/>
              </w:rPr>
              <w:t xml:space="preserve">  GPA</w:t>
            </w:r>
          </w:p>
        </w:tc>
        <w:tc>
          <w:tcPr>
            <w:tcW w:w="851" w:type="pct"/>
            <w:vAlign w:val="center"/>
          </w:tcPr>
          <w:p w14:paraId="28440365" w14:textId="44E652D7" w:rsidR="00A97EAE" w:rsidRPr="0029195A" w:rsidRDefault="00A97EAE" w:rsidP="00A97EAE">
            <w:pPr>
              <w:pStyle w:val="TableText0"/>
              <w:jc w:val="center"/>
            </w:pPr>
            <w:r w:rsidRPr="0029195A">
              <w:t>5 (3.0)</w:t>
            </w:r>
          </w:p>
        </w:tc>
        <w:tc>
          <w:tcPr>
            <w:tcW w:w="852" w:type="pct"/>
            <w:vAlign w:val="center"/>
          </w:tcPr>
          <w:p w14:paraId="54430C30" w14:textId="5304D5A6" w:rsidR="00A97EAE" w:rsidRPr="0029195A" w:rsidRDefault="00A97EAE" w:rsidP="00A97EAE">
            <w:pPr>
              <w:pStyle w:val="TableText0"/>
              <w:jc w:val="center"/>
            </w:pPr>
            <w:r w:rsidRPr="0029195A">
              <w:t>1 (0.6)</w:t>
            </w:r>
          </w:p>
        </w:tc>
        <w:tc>
          <w:tcPr>
            <w:tcW w:w="1141" w:type="pct"/>
          </w:tcPr>
          <w:p w14:paraId="2B3766C1" w14:textId="7B852F72" w:rsidR="00A97EAE" w:rsidRPr="0029195A" w:rsidRDefault="00A97EAE" w:rsidP="00A97EAE">
            <w:pPr>
              <w:pStyle w:val="TableText0"/>
              <w:jc w:val="center"/>
            </w:pPr>
            <w:r w:rsidRPr="0029195A">
              <w:t>NR</w:t>
            </w:r>
          </w:p>
        </w:tc>
      </w:tr>
      <w:tr w:rsidR="0095519C" w:rsidRPr="0029195A" w14:paraId="57152B61" w14:textId="77777777" w:rsidTr="004F58A8">
        <w:tc>
          <w:tcPr>
            <w:tcW w:w="2156" w:type="pct"/>
          </w:tcPr>
          <w:p w14:paraId="060B6E76" w14:textId="3F7A2911" w:rsidR="00A97EAE" w:rsidRPr="0029195A" w:rsidRDefault="00A97EAE" w:rsidP="00A97EAE">
            <w:pPr>
              <w:pStyle w:val="TableText0"/>
              <w:rPr>
                <w:rFonts w:eastAsia="Times New Roman"/>
              </w:rPr>
            </w:pPr>
            <w:r w:rsidRPr="0029195A">
              <w:rPr>
                <w:rFonts w:eastAsia="Times New Roman"/>
              </w:rPr>
              <w:t xml:space="preserve">  Hyperglycaemia</w:t>
            </w:r>
          </w:p>
        </w:tc>
        <w:tc>
          <w:tcPr>
            <w:tcW w:w="851" w:type="pct"/>
            <w:vAlign w:val="center"/>
          </w:tcPr>
          <w:p w14:paraId="7F99562B" w14:textId="4C86465E" w:rsidR="00A97EAE" w:rsidRPr="0029195A" w:rsidRDefault="00A97EAE" w:rsidP="00A97EAE">
            <w:pPr>
              <w:pStyle w:val="TableText0"/>
              <w:jc w:val="center"/>
            </w:pPr>
            <w:r w:rsidRPr="0029195A">
              <w:t>2 (1.2)</w:t>
            </w:r>
          </w:p>
        </w:tc>
        <w:tc>
          <w:tcPr>
            <w:tcW w:w="852" w:type="pct"/>
            <w:vAlign w:val="center"/>
          </w:tcPr>
          <w:p w14:paraId="388BB463" w14:textId="56467224" w:rsidR="00A97EAE" w:rsidRPr="0029195A" w:rsidRDefault="00A97EAE" w:rsidP="00A97EAE">
            <w:pPr>
              <w:pStyle w:val="TableText0"/>
              <w:jc w:val="center"/>
            </w:pPr>
            <w:r w:rsidRPr="0029195A">
              <w:t>1 (0.6)</w:t>
            </w:r>
          </w:p>
        </w:tc>
        <w:tc>
          <w:tcPr>
            <w:tcW w:w="1141" w:type="pct"/>
          </w:tcPr>
          <w:p w14:paraId="6293FF92" w14:textId="6795C1CB" w:rsidR="00A97EAE" w:rsidRPr="0029195A" w:rsidRDefault="00A97EAE" w:rsidP="00A97EAE">
            <w:pPr>
              <w:pStyle w:val="TableText0"/>
              <w:jc w:val="center"/>
            </w:pPr>
            <w:r w:rsidRPr="0029195A">
              <w:t>NR</w:t>
            </w:r>
          </w:p>
        </w:tc>
      </w:tr>
      <w:tr w:rsidR="0095519C" w:rsidRPr="0029195A" w14:paraId="62E6BB84" w14:textId="77777777" w:rsidTr="004F58A8">
        <w:tc>
          <w:tcPr>
            <w:tcW w:w="2156" w:type="pct"/>
          </w:tcPr>
          <w:p w14:paraId="31B94A35" w14:textId="7738661B" w:rsidR="00A97EAE" w:rsidRPr="0029195A" w:rsidRDefault="00A97EAE" w:rsidP="00A97EAE">
            <w:pPr>
              <w:pStyle w:val="TableText0"/>
              <w:rPr>
                <w:rFonts w:eastAsia="Times New Roman"/>
              </w:rPr>
            </w:pPr>
            <w:r w:rsidRPr="0029195A">
              <w:rPr>
                <w:rFonts w:eastAsia="Times New Roman"/>
              </w:rPr>
              <w:t xml:space="preserve">  Influenza</w:t>
            </w:r>
          </w:p>
        </w:tc>
        <w:tc>
          <w:tcPr>
            <w:tcW w:w="851" w:type="pct"/>
            <w:vAlign w:val="center"/>
          </w:tcPr>
          <w:p w14:paraId="2C608ED3" w14:textId="49B20016" w:rsidR="00A97EAE" w:rsidRPr="0029195A" w:rsidRDefault="00A97EAE" w:rsidP="00A97EAE">
            <w:pPr>
              <w:pStyle w:val="TableText0"/>
              <w:jc w:val="center"/>
            </w:pPr>
            <w:r w:rsidRPr="0029195A">
              <w:t>2 (1.2)</w:t>
            </w:r>
          </w:p>
        </w:tc>
        <w:tc>
          <w:tcPr>
            <w:tcW w:w="852" w:type="pct"/>
            <w:vAlign w:val="center"/>
          </w:tcPr>
          <w:p w14:paraId="0F53F7A4" w14:textId="4CBA2395" w:rsidR="00A97EAE" w:rsidRPr="0029195A" w:rsidRDefault="00A97EAE" w:rsidP="00A97EAE">
            <w:pPr>
              <w:pStyle w:val="TableText0"/>
              <w:jc w:val="center"/>
            </w:pPr>
            <w:r w:rsidRPr="0029195A">
              <w:t>1 (0.6)</w:t>
            </w:r>
          </w:p>
        </w:tc>
        <w:tc>
          <w:tcPr>
            <w:tcW w:w="1141" w:type="pct"/>
          </w:tcPr>
          <w:p w14:paraId="235010E4" w14:textId="1BF3F1EF" w:rsidR="00A97EAE" w:rsidRPr="0029195A" w:rsidRDefault="00A97EAE" w:rsidP="00A97EAE">
            <w:pPr>
              <w:pStyle w:val="TableText0"/>
              <w:jc w:val="center"/>
            </w:pPr>
            <w:r w:rsidRPr="0029195A">
              <w:t>NR</w:t>
            </w:r>
          </w:p>
        </w:tc>
      </w:tr>
      <w:tr w:rsidR="0095519C" w:rsidRPr="0029195A" w14:paraId="7E4D7F96" w14:textId="77777777" w:rsidTr="004F58A8">
        <w:tc>
          <w:tcPr>
            <w:tcW w:w="2156" w:type="pct"/>
          </w:tcPr>
          <w:p w14:paraId="14760D44" w14:textId="78951964" w:rsidR="00A97EAE" w:rsidRPr="0029195A" w:rsidRDefault="00A97EAE" w:rsidP="00A97EAE">
            <w:pPr>
              <w:pStyle w:val="TableText0"/>
              <w:rPr>
                <w:rFonts w:eastAsia="Times New Roman"/>
              </w:rPr>
            </w:pPr>
            <w:r w:rsidRPr="0029195A">
              <w:rPr>
                <w:rFonts w:eastAsia="Times New Roman"/>
              </w:rPr>
              <w:t xml:space="preserve">  Pneumonia</w:t>
            </w:r>
          </w:p>
        </w:tc>
        <w:tc>
          <w:tcPr>
            <w:tcW w:w="851" w:type="pct"/>
            <w:vAlign w:val="center"/>
          </w:tcPr>
          <w:p w14:paraId="0FE7AA5F" w14:textId="0AFBFAAE" w:rsidR="00A97EAE" w:rsidRPr="0029195A" w:rsidRDefault="00A97EAE" w:rsidP="00A97EAE">
            <w:pPr>
              <w:pStyle w:val="TableText0"/>
              <w:jc w:val="center"/>
            </w:pPr>
            <w:r w:rsidRPr="0029195A">
              <w:t>8 (4.8)</w:t>
            </w:r>
          </w:p>
        </w:tc>
        <w:tc>
          <w:tcPr>
            <w:tcW w:w="852" w:type="pct"/>
            <w:vAlign w:val="center"/>
          </w:tcPr>
          <w:p w14:paraId="457FA89F" w14:textId="7FCCA7AB" w:rsidR="00A97EAE" w:rsidRPr="0029195A" w:rsidRDefault="00A97EAE" w:rsidP="00A97EAE">
            <w:pPr>
              <w:pStyle w:val="TableText0"/>
              <w:jc w:val="center"/>
            </w:pPr>
            <w:r w:rsidRPr="0029195A">
              <w:t>6 (3.7)</w:t>
            </w:r>
          </w:p>
        </w:tc>
        <w:tc>
          <w:tcPr>
            <w:tcW w:w="1141" w:type="pct"/>
          </w:tcPr>
          <w:p w14:paraId="4D74B8BF" w14:textId="69494FBE" w:rsidR="00A97EAE" w:rsidRPr="0029195A" w:rsidRDefault="00A97EAE" w:rsidP="00A97EAE">
            <w:pPr>
              <w:pStyle w:val="TableText0"/>
              <w:jc w:val="center"/>
            </w:pPr>
            <w:r w:rsidRPr="0029195A">
              <w:t>NR</w:t>
            </w:r>
          </w:p>
        </w:tc>
      </w:tr>
      <w:tr w:rsidR="0095519C" w:rsidRPr="0029195A" w14:paraId="48C4A9D7" w14:textId="77777777" w:rsidTr="004F58A8">
        <w:tc>
          <w:tcPr>
            <w:tcW w:w="2156" w:type="pct"/>
          </w:tcPr>
          <w:p w14:paraId="52324AA4" w14:textId="3C851958" w:rsidR="00A97EAE" w:rsidRPr="0029195A" w:rsidRDefault="00A97EAE" w:rsidP="00A97EAE">
            <w:pPr>
              <w:pStyle w:val="TableText0"/>
              <w:rPr>
                <w:rFonts w:eastAsia="Times New Roman"/>
              </w:rPr>
            </w:pPr>
            <w:r w:rsidRPr="0029195A">
              <w:rPr>
                <w:rFonts w:eastAsia="Times New Roman"/>
              </w:rPr>
              <w:t xml:space="preserve">  UTI</w:t>
            </w:r>
          </w:p>
        </w:tc>
        <w:tc>
          <w:tcPr>
            <w:tcW w:w="851" w:type="pct"/>
            <w:vAlign w:val="center"/>
          </w:tcPr>
          <w:p w14:paraId="6E6661B2" w14:textId="592A1F55" w:rsidR="00A97EAE" w:rsidRPr="0029195A" w:rsidRDefault="00A97EAE" w:rsidP="00A97EAE">
            <w:pPr>
              <w:pStyle w:val="TableText0"/>
              <w:jc w:val="center"/>
            </w:pPr>
            <w:r w:rsidRPr="0029195A">
              <w:t>3 (1.8)</w:t>
            </w:r>
          </w:p>
        </w:tc>
        <w:tc>
          <w:tcPr>
            <w:tcW w:w="852" w:type="pct"/>
            <w:vAlign w:val="center"/>
          </w:tcPr>
          <w:p w14:paraId="68BEEDFC" w14:textId="4000DBF7" w:rsidR="00A97EAE" w:rsidRPr="0029195A" w:rsidRDefault="00A97EAE" w:rsidP="00A97EAE">
            <w:pPr>
              <w:pStyle w:val="TableText0"/>
              <w:jc w:val="center"/>
            </w:pPr>
            <w:r w:rsidRPr="0029195A">
              <w:t>2 (1.2)</w:t>
            </w:r>
          </w:p>
        </w:tc>
        <w:tc>
          <w:tcPr>
            <w:tcW w:w="1141" w:type="pct"/>
          </w:tcPr>
          <w:p w14:paraId="7FBCD45B" w14:textId="7C0375A2" w:rsidR="00A97EAE" w:rsidRPr="0029195A" w:rsidRDefault="00A97EAE" w:rsidP="00A97EAE">
            <w:pPr>
              <w:pStyle w:val="TableText0"/>
              <w:jc w:val="center"/>
            </w:pPr>
            <w:r w:rsidRPr="0029195A">
              <w:t>NR</w:t>
            </w:r>
          </w:p>
        </w:tc>
      </w:tr>
      <w:tr w:rsidR="00EA21AF" w:rsidRPr="0029195A" w14:paraId="0EA3801C" w14:textId="39723DC9" w:rsidTr="004F58A8">
        <w:tc>
          <w:tcPr>
            <w:tcW w:w="2156" w:type="pct"/>
            <w:hideMark/>
          </w:tcPr>
          <w:p w14:paraId="16356E2D" w14:textId="77777777" w:rsidR="008A3F22" w:rsidRPr="0029195A" w:rsidRDefault="008A3F22" w:rsidP="008A3F22">
            <w:pPr>
              <w:pStyle w:val="TableText0"/>
            </w:pPr>
            <w:r w:rsidRPr="0029195A">
              <w:rPr>
                <w:rFonts w:eastAsia="Times New Roman"/>
              </w:rPr>
              <w:t>Any treatment-emergent infections</w:t>
            </w:r>
          </w:p>
        </w:tc>
        <w:tc>
          <w:tcPr>
            <w:tcW w:w="851" w:type="pct"/>
            <w:vAlign w:val="center"/>
            <w:hideMark/>
          </w:tcPr>
          <w:p w14:paraId="1AD06820" w14:textId="77777777" w:rsidR="008A3F22" w:rsidRPr="0029195A" w:rsidRDefault="008A3F22" w:rsidP="008A3F22">
            <w:pPr>
              <w:pStyle w:val="TableText0"/>
              <w:jc w:val="center"/>
            </w:pPr>
            <w:r w:rsidRPr="0029195A">
              <w:t>113 (68.1)</w:t>
            </w:r>
          </w:p>
        </w:tc>
        <w:tc>
          <w:tcPr>
            <w:tcW w:w="852" w:type="pct"/>
            <w:vAlign w:val="center"/>
            <w:hideMark/>
          </w:tcPr>
          <w:p w14:paraId="48375ACF" w14:textId="59F32BC1" w:rsidR="008A3F22" w:rsidRPr="0029195A" w:rsidRDefault="008A3F22" w:rsidP="008A3F22">
            <w:pPr>
              <w:pStyle w:val="TableText0"/>
              <w:jc w:val="center"/>
            </w:pPr>
            <w:r w:rsidRPr="0029195A">
              <w:t>124 (75.6)</w:t>
            </w:r>
          </w:p>
        </w:tc>
        <w:tc>
          <w:tcPr>
            <w:tcW w:w="1141" w:type="pct"/>
          </w:tcPr>
          <w:p w14:paraId="6EB909CE" w14:textId="5887A26A" w:rsidR="008A3F22" w:rsidRPr="0029195A" w:rsidRDefault="008A3F22" w:rsidP="008A3F22">
            <w:pPr>
              <w:pStyle w:val="TableText0"/>
              <w:jc w:val="center"/>
            </w:pPr>
            <w:r w:rsidRPr="0029195A">
              <w:t>NR</w:t>
            </w:r>
          </w:p>
        </w:tc>
      </w:tr>
      <w:tr w:rsidR="00EA21AF" w:rsidRPr="0029195A" w14:paraId="1F7A9C79" w14:textId="37E513AE" w:rsidTr="004F58A8">
        <w:tc>
          <w:tcPr>
            <w:tcW w:w="2156" w:type="pct"/>
            <w:hideMark/>
          </w:tcPr>
          <w:p w14:paraId="31765B89" w14:textId="77777777" w:rsidR="008A3F22" w:rsidRPr="0029195A" w:rsidRDefault="008A3F22" w:rsidP="008A3F22">
            <w:pPr>
              <w:pStyle w:val="TableText0"/>
            </w:pPr>
            <w:r w:rsidRPr="0029195A">
              <w:rPr>
                <w:rFonts w:eastAsia="Times New Roman"/>
              </w:rPr>
              <w:t>Any serious treatment-emergent infections</w:t>
            </w:r>
          </w:p>
        </w:tc>
        <w:tc>
          <w:tcPr>
            <w:tcW w:w="851" w:type="pct"/>
            <w:vAlign w:val="center"/>
            <w:hideMark/>
          </w:tcPr>
          <w:p w14:paraId="24A25470" w14:textId="77777777" w:rsidR="008A3F22" w:rsidRPr="0029195A" w:rsidRDefault="008A3F22" w:rsidP="008A3F22">
            <w:pPr>
              <w:pStyle w:val="TableText0"/>
              <w:jc w:val="center"/>
            </w:pPr>
            <w:r w:rsidRPr="0029195A">
              <w:t>22 (13.3)</w:t>
            </w:r>
          </w:p>
        </w:tc>
        <w:tc>
          <w:tcPr>
            <w:tcW w:w="852" w:type="pct"/>
            <w:vAlign w:val="center"/>
            <w:hideMark/>
          </w:tcPr>
          <w:p w14:paraId="028E12F9" w14:textId="60E26FE4" w:rsidR="008A3F22" w:rsidRPr="0029195A" w:rsidRDefault="008A3F22" w:rsidP="008A3F22">
            <w:pPr>
              <w:pStyle w:val="TableText0"/>
              <w:jc w:val="center"/>
            </w:pPr>
            <w:r w:rsidRPr="0029195A">
              <w:t>25 (15.2)</w:t>
            </w:r>
          </w:p>
        </w:tc>
        <w:tc>
          <w:tcPr>
            <w:tcW w:w="1141" w:type="pct"/>
          </w:tcPr>
          <w:p w14:paraId="6A30D3BF" w14:textId="666EAC60" w:rsidR="008A3F22" w:rsidRPr="0029195A" w:rsidRDefault="008A3F22" w:rsidP="008A3F22">
            <w:pPr>
              <w:pStyle w:val="TableText0"/>
              <w:jc w:val="center"/>
            </w:pPr>
            <w:r w:rsidRPr="0029195A">
              <w:t>NR</w:t>
            </w:r>
          </w:p>
        </w:tc>
      </w:tr>
      <w:tr w:rsidR="0095519C" w:rsidRPr="0029195A" w14:paraId="492840DD" w14:textId="77777777" w:rsidTr="004F58A8">
        <w:tc>
          <w:tcPr>
            <w:tcW w:w="2156" w:type="pct"/>
          </w:tcPr>
          <w:p w14:paraId="5040AEE0" w14:textId="1DA2ED21" w:rsidR="00073BF2" w:rsidRPr="0029195A" w:rsidRDefault="00CF2F68" w:rsidP="008A3F22">
            <w:pPr>
              <w:pStyle w:val="TableText0"/>
              <w:rPr>
                <w:rFonts w:eastAsia="Times New Roman"/>
                <w:vertAlign w:val="superscript"/>
              </w:rPr>
            </w:pPr>
            <w:r w:rsidRPr="0029195A">
              <w:rPr>
                <w:rFonts w:eastAsia="Times New Roman"/>
              </w:rPr>
              <w:t xml:space="preserve">Any serious </w:t>
            </w:r>
            <w:r w:rsidR="00F02D03" w:rsidRPr="0029195A">
              <w:rPr>
                <w:rFonts w:eastAsia="Times New Roman"/>
              </w:rPr>
              <w:t>t</w:t>
            </w:r>
            <w:r w:rsidR="00347B9D" w:rsidRPr="0029195A">
              <w:rPr>
                <w:rFonts w:eastAsia="Times New Roman"/>
              </w:rPr>
              <w:t>reatment-</w:t>
            </w:r>
            <w:r w:rsidR="00F02D03" w:rsidRPr="0029195A">
              <w:rPr>
                <w:rFonts w:eastAsia="Times New Roman"/>
              </w:rPr>
              <w:t>e</w:t>
            </w:r>
            <w:r w:rsidR="00347B9D" w:rsidRPr="0029195A">
              <w:rPr>
                <w:rFonts w:eastAsia="Times New Roman"/>
              </w:rPr>
              <w:t xml:space="preserve">mergent </w:t>
            </w:r>
            <w:r w:rsidR="00884583" w:rsidRPr="0029195A">
              <w:rPr>
                <w:rFonts w:eastAsia="Times New Roman"/>
              </w:rPr>
              <w:t xml:space="preserve">possibly </w:t>
            </w:r>
            <w:r w:rsidR="00D96923" w:rsidRPr="0029195A">
              <w:rPr>
                <w:rFonts w:eastAsia="Times New Roman"/>
              </w:rPr>
              <w:t xml:space="preserve">related to study </w:t>
            </w:r>
            <w:r w:rsidR="0014308F" w:rsidRPr="0029195A">
              <w:rPr>
                <w:rFonts w:eastAsia="Times New Roman"/>
              </w:rPr>
              <w:t>medication (prednisone/placebo)</w:t>
            </w:r>
            <w:r w:rsidR="005953C2" w:rsidRPr="0029195A">
              <w:rPr>
                <w:rFonts w:eastAsia="Times New Roman"/>
              </w:rPr>
              <w:t xml:space="preserve"> </w:t>
            </w:r>
          </w:p>
        </w:tc>
        <w:tc>
          <w:tcPr>
            <w:tcW w:w="851" w:type="pct"/>
            <w:vAlign w:val="center"/>
          </w:tcPr>
          <w:p w14:paraId="5C81B7D7" w14:textId="1E2A0C7A" w:rsidR="00073BF2" w:rsidRPr="0029195A" w:rsidRDefault="0014308F" w:rsidP="008A3F22">
            <w:pPr>
              <w:pStyle w:val="TableText0"/>
              <w:jc w:val="center"/>
            </w:pPr>
            <w:r w:rsidRPr="0029195A">
              <w:t>11 (6.6)</w:t>
            </w:r>
          </w:p>
        </w:tc>
        <w:tc>
          <w:tcPr>
            <w:tcW w:w="852" w:type="pct"/>
            <w:vAlign w:val="center"/>
          </w:tcPr>
          <w:p w14:paraId="7776A598" w14:textId="22DE4877" w:rsidR="00073BF2" w:rsidRPr="0029195A" w:rsidRDefault="0014308F" w:rsidP="008A3F22">
            <w:pPr>
              <w:pStyle w:val="TableText0"/>
              <w:jc w:val="center"/>
            </w:pPr>
            <w:r w:rsidRPr="0029195A">
              <w:t>24 (14.6)</w:t>
            </w:r>
          </w:p>
        </w:tc>
        <w:tc>
          <w:tcPr>
            <w:tcW w:w="1141" w:type="pct"/>
            <w:vAlign w:val="center"/>
          </w:tcPr>
          <w:p w14:paraId="1DBBA70A" w14:textId="1CC94F0A" w:rsidR="00073BF2" w:rsidRPr="0029195A" w:rsidRDefault="00D37AF3" w:rsidP="008A3F22">
            <w:pPr>
              <w:pStyle w:val="TableText0"/>
              <w:jc w:val="center"/>
            </w:pPr>
            <w:r w:rsidRPr="0029195A">
              <w:t>NR</w:t>
            </w:r>
          </w:p>
        </w:tc>
      </w:tr>
      <w:tr w:rsidR="0095519C" w:rsidRPr="0029195A" w14:paraId="04BE2936" w14:textId="77777777" w:rsidTr="004F58A8">
        <w:tc>
          <w:tcPr>
            <w:tcW w:w="2156" w:type="pct"/>
          </w:tcPr>
          <w:p w14:paraId="674388C6" w14:textId="07303782" w:rsidR="001A1E60" w:rsidRPr="0029195A" w:rsidRDefault="001A1E60" w:rsidP="008A3F22">
            <w:pPr>
              <w:pStyle w:val="TableText0"/>
              <w:rPr>
                <w:rFonts w:eastAsia="Times New Roman"/>
              </w:rPr>
            </w:pPr>
            <w:r w:rsidRPr="0029195A">
              <w:rPr>
                <w:rFonts w:eastAsia="Times New Roman"/>
              </w:rPr>
              <w:t xml:space="preserve">  In</w:t>
            </w:r>
            <w:r w:rsidR="00775920" w:rsidRPr="0029195A">
              <w:rPr>
                <w:rFonts w:eastAsia="Times New Roman"/>
              </w:rPr>
              <w:t>fections and infestations</w:t>
            </w:r>
            <w:r w:rsidR="0089263D" w:rsidRPr="0029195A">
              <w:rPr>
                <w:rFonts w:eastAsia="Times New Roman"/>
              </w:rPr>
              <w:t xml:space="preserve"> </w:t>
            </w:r>
            <w:r w:rsidR="0089263D" w:rsidRPr="0029195A">
              <w:rPr>
                <w:rFonts w:eastAsia="Times New Roman"/>
                <w:vertAlign w:val="superscript"/>
              </w:rPr>
              <w:t>b</w:t>
            </w:r>
          </w:p>
        </w:tc>
        <w:tc>
          <w:tcPr>
            <w:tcW w:w="851" w:type="pct"/>
            <w:vAlign w:val="center"/>
          </w:tcPr>
          <w:p w14:paraId="24E308E5" w14:textId="1F4F7639" w:rsidR="001A1E60" w:rsidRPr="0029195A" w:rsidRDefault="0089263D" w:rsidP="008A3F22">
            <w:pPr>
              <w:pStyle w:val="TableText0"/>
              <w:jc w:val="center"/>
            </w:pPr>
            <w:r w:rsidRPr="0029195A">
              <w:t>3 (1.8)</w:t>
            </w:r>
          </w:p>
        </w:tc>
        <w:tc>
          <w:tcPr>
            <w:tcW w:w="852" w:type="pct"/>
            <w:vAlign w:val="center"/>
          </w:tcPr>
          <w:p w14:paraId="34D9016C" w14:textId="42AAFC60" w:rsidR="001A1E60" w:rsidRPr="0029195A" w:rsidRDefault="0089263D" w:rsidP="008A3F22">
            <w:pPr>
              <w:pStyle w:val="TableText0"/>
              <w:jc w:val="center"/>
            </w:pPr>
            <w:r w:rsidRPr="0029195A">
              <w:t>11 (6.7)</w:t>
            </w:r>
          </w:p>
        </w:tc>
        <w:tc>
          <w:tcPr>
            <w:tcW w:w="1141" w:type="pct"/>
            <w:vAlign w:val="center"/>
          </w:tcPr>
          <w:p w14:paraId="041869F9" w14:textId="78DA8286" w:rsidR="001A1E60" w:rsidRPr="0029195A" w:rsidRDefault="0089263D" w:rsidP="008A3F22">
            <w:pPr>
              <w:pStyle w:val="TableText0"/>
              <w:jc w:val="center"/>
            </w:pPr>
            <w:r w:rsidRPr="0029195A">
              <w:t>NR</w:t>
            </w:r>
          </w:p>
        </w:tc>
      </w:tr>
      <w:tr w:rsidR="00EA21AF" w:rsidRPr="0029195A" w14:paraId="043189D7" w14:textId="7E865E8F" w:rsidTr="004F58A8">
        <w:tc>
          <w:tcPr>
            <w:tcW w:w="2156" w:type="pct"/>
            <w:hideMark/>
          </w:tcPr>
          <w:p w14:paraId="3DD18269" w14:textId="77777777" w:rsidR="008A3F22" w:rsidRPr="0029195A" w:rsidRDefault="008A3F22" w:rsidP="008A3F22">
            <w:pPr>
              <w:pStyle w:val="TableText0"/>
            </w:pPr>
            <w:r w:rsidRPr="0029195A">
              <w:t>Any severe treatment-emergent infection</w:t>
            </w:r>
          </w:p>
        </w:tc>
        <w:tc>
          <w:tcPr>
            <w:tcW w:w="851" w:type="pct"/>
            <w:vAlign w:val="center"/>
            <w:hideMark/>
          </w:tcPr>
          <w:p w14:paraId="2984C652" w14:textId="77777777" w:rsidR="008A3F22" w:rsidRPr="0029195A" w:rsidRDefault="008A3F22" w:rsidP="008A3F22">
            <w:pPr>
              <w:pStyle w:val="TableText0"/>
              <w:jc w:val="center"/>
            </w:pPr>
            <w:r w:rsidRPr="0029195A">
              <w:t>12 (7.2)</w:t>
            </w:r>
          </w:p>
        </w:tc>
        <w:tc>
          <w:tcPr>
            <w:tcW w:w="852" w:type="pct"/>
            <w:vAlign w:val="center"/>
            <w:hideMark/>
          </w:tcPr>
          <w:p w14:paraId="65B8F8E6" w14:textId="69EB636E" w:rsidR="008A3F22" w:rsidRPr="0029195A" w:rsidRDefault="008A3F22" w:rsidP="008A3F22">
            <w:pPr>
              <w:pStyle w:val="TableText0"/>
              <w:jc w:val="center"/>
            </w:pPr>
            <w:r w:rsidRPr="0029195A">
              <w:t>10 (6.1)</w:t>
            </w:r>
          </w:p>
        </w:tc>
        <w:tc>
          <w:tcPr>
            <w:tcW w:w="1141" w:type="pct"/>
          </w:tcPr>
          <w:p w14:paraId="03E6A28B" w14:textId="1CCACEF4" w:rsidR="008A3F22" w:rsidRPr="0029195A" w:rsidRDefault="008A3F22" w:rsidP="008A3F22">
            <w:pPr>
              <w:pStyle w:val="TableText0"/>
              <w:jc w:val="center"/>
            </w:pPr>
            <w:r w:rsidRPr="0029195A">
              <w:t>NR</w:t>
            </w:r>
          </w:p>
        </w:tc>
      </w:tr>
      <w:tr w:rsidR="00EA21AF" w:rsidRPr="0029195A" w14:paraId="7B4503AB" w14:textId="6514292F" w:rsidTr="004F58A8">
        <w:tc>
          <w:tcPr>
            <w:tcW w:w="2156" w:type="pct"/>
            <w:hideMark/>
          </w:tcPr>
          <w:p w14:paraId="7B81C15D" w14:textId="77777777" w:rsidR="008A3F22" w:rsidRPr="0029195A" w:rsidRDefault="008A3F22" w:rsidP="008A3F22">
            <w:pPr>
              <w:pStyle w:val="TableText0"/>
            </w:pPr>
            <w:r w:rsidRPr="0029195A">
              <w:t>Any treatment-emergent infection leading to study withdrawal</w:t>
            </w:r>
          </w:p>
        </w:tc>
        <w:tc>
          <w:tcPr>
            <w:tcW w:w="851" w:type="pct"/>
            <w:vAlign w:val="center"/>
            <w:hideMark/>
          </w:tcPr>
          <w:p w14:paraId="3BE3F8D5" w14:textId="77777777" w:rsidR="008A3F22" w:rsidRPr="0029195A" w:rsidRDefault="008A3F22" w:rsidP="008A3F22">
            <w:pPr>
              <w:pStyle w:val="TableText0"/>
              <w:jc w:val="center"/>
            </w:pPr>
            <w:r w:rsidRPr="0029195A">
              <w:t>4 (2.4)</w:t>
            </w:r>
          </w:p>
        </w:tc>
        <w:tc>
          <w:tcPr>
            <w:tcW w:w="852" w:type="pct"/>
            <w:vAlign w:val="center"/>
            <w:hideMark/>
          </w:tcPr>
          <w:p w14:paraId="33CDDA86" w14:textId="0652587E" w:rsidR="008A3F22" w:rsidRPr="0029195A" w:rsidRDefault="008A3F22" w:rsidP="008A3F22">
            <w:pPr>
              <w:pStyle w:val="TableText0"/>
              <w:jc w:val="center"/>
            </w:pPr>
            <w:r w:rsidRPr="0029195A">
              <w:t>5 (3.0)</w:t>
            </w:r>
          </w:p>
        </w:tc>
        <w:tc>
          <w:tcPr>
            <w:tcW w:w="1141" w:type="pct"/>
            <w:vAlign w:val="center"/>
          </w:tcPr>
          <w:p w14:paraId="517CCA96" w14:textId="2B7232FE" w:rsidR="008A3F22" w:rsidRPr="0029195A" w:rsidRDefault="008A3F22" w:rsidP="008A3F22">
            <w:pPr>
              <w:pStyle w:val="TableText0"/>
              <w:jc w:val="center"/>
            </w:pPr>
            <w:r w:rsidRPr="0029195A">
              <w:t>NR</w:t>
            </w:r>
          </w:p>
        </w:tc>
      </w:tr>
      <w:tr w:rsidR="00EA21AF" w:rsidRPr="0029195A" w14:paraId="555BE31B" w14:textId="6CE8CEFE" w:rsidTr="004F58A8">
        <w:tc>
          <w:tcPr>
            <w:tcW w:w="2156" w:type="pct"/>
            <w:hideMark/>
          </w:tcPr>
          <w:p w14:paraId="21AAB1C8" w14:textId="77777777" w:rsidR="008A3F22" w:rsidRPr="0029195A" w:rsidRDefault="008A3F22" w:rsidP="008A3F22">
            <w:pPr>
              <w:pStyle w:val="TableText0"/>
            </w:pPr>
            <w:r w:rsidRPr="0029195A">
              <w:t>Any treatment-emergent life-threatening infection</w:t>
            </w:r>
          </w:p>
        </w:tc>
        <w:tc>
          <w:tcPr>
            <w:tcW w:w="851" w:type="pct"/>
            <w:vAlign w:val="center"/>
            <w:hideMark/>
          </w:tcPr>
          <w:p w14:paraId="2C730679" w14:textId="77777777" w:rsidR="008A3F22" w:rsidRPr="0029195A" w:rsidRDefault="008A3F22" w:rsidP="008A3F22">
            <w:pPr>
              <w:pStyle w:val="TableText0"/>
              <w:jc w:val="center"/>
            </w:pPr>
            <w:r w:rsidRPr="0029195A">
              <w:t>1 (0.6)</w:t>
            </w:r>
          </w:p>
        </w:tc>
        <w:tc>
          <w:tcPr>
            <w:tcW w:w="852" w:type="pct"/>
            <w:vAlign w:val="center"/>
            <w:hideMark/>
          </w:tcPr>
          <w:p w14:paraId="53CC0801" w14:textId="201991F9" w:rsidR="008A3F22" w:rsidRPr="0029195A" w:rsidRDefault="008A3F22" w:rsidP="008A3F22">
            <w:pPr>
              <w:pStyle w:val="TableText0"/>
              <w:jc w:val="center"/>
            </w:pPr>
            <w:r w:rsidRPr="0029195A">
              <w:t>2 (1.2)</w:t>
            </w:r>
          </w:p>
        </w:tc>
        <w:tc>
          <w:tcPr>
            <w:tcW w:w="1141" w:type="pct"/>
          </w:tcPr>
          <w:p w14:paraId="3A59DF0F" w14:textId="571B17A2" w:rsidR="008A3F22" w:rsidRPr="0029195A" w:rsidRDefault="008A3F22" w:rsidP="008A3F22">
            <w:pPr>
              <w:pStyle w:val="TableText0"/>
              <w:jc w:val="center"/>
            </w:pPr>
            <w:r w:rsidRPr="0029195A">
              <w:t>NR</w:t>
            </w:r>
          </w:p>
        </w:tc>
      </w:tr>
      <w:tr w:rsidR="00EA21AF" w:rsidRPr="0029195A" w14:paraId="08909810" w14:textId="1E0907E9" w:rsidTr="004F58A8">
        <w:tc>
          <w:tcPr>
            <w:tcW w:w="2156" w:type="pct"/>
            <w:hideMark/>
          </w:tcPr>
          <w:p w14:paraId="41246D5B" w14:textId="77777777" w:rsidR="008A3F22" w:rsidRPr="0029195A" w:rsidRDefault="008A3F22" w:rsidP="008A3F22">
            <w:pPr>
              <w:pStyle w:val="TableText0"/>
            </w:pPr>
            <w:r w:rsidRPr="0029195A">
              <w:t>Any treatment-emergent infection leading to death</w:t>
            </w:r>
          </w:p>
        </w:tc>
        <w:tc>
          <w:tcPr>
            <w:tcW w:w="851" w:type="pct"/>
            <w:vAlign w:val="center"/>
            <w:hideMark/>
          </w:tcPr>
          <w:p w14:paraId="2D842123" w14:textId="77777777" w:rsidR="008A3F22" w:rsidRPr="0029195A" w:rsidRDefault="008A3F22" w:rsidP="008A3F22">
            <w:pPr>
              <w:pStyle w:val="TableText0"/>
              <w:jc w:val="center"/>
            </w:pPr>
            <w:r w:rsidRPr="0029195A">
              <w:t>1 (0.6)</w:t>
            </w:r>
          </w:p>
        </w:tc>
        <w:tc>
          <w:tcPr>
            <w:tcW w:w="852" w:type="pct"/>
            <w:vAlign w:val="center"/>
            <w:hideMark/>
          </w:tcPr>
          <w:p w14:paraId="40F816D4" w14:textId="1001B9C7" w:rsidR="008A3F22" w:rsidRPr="0029195A" w:rsidRDefault="008A3F22" w:rsidP="008A3F22">
            <w:pPr>
              <w:pStyle w:val="TableText0"/>
              <w:jc w:val="center"/>
            </w:pPr>
            <w:r w:rsidRPr="0029195A">
              <w:t>2 (1.2)</w:t>
            </w:r>
          </w:p>
        </w:tc>
        <w:tc>
          <w:tcPr>
            <w:tcW w:w="1141" w:type="pct"/>
          </w:tcPr>
          <w:p w14:paraId="5B8144C4" w14:textId="45668821" w:rsidR="008A3F22" w:rsidRPr="0029195A" w:rsidRDefault="008A3F22" w:rsidP="008A3F22">
            <w:pPr>
              <w:pStyle w:val="TableText0"/>
              <w:jc w:val="center"/>
            </w:pPr>
            <w:r w:rsidRPr="0029195A">
              <w:t>NR</w:t>
            </w:r>
          </w:p>
        </w:tc>
      </w:tr>
      <w:tr w:rsidR="00EA21AF" w:rsidRPr="0029195A" w14:paraId="362AA2E0" w14:textId="215FDC07" w:rsidTr="004F58A8">
        <w:tc>
          <w:tcPr>
            <w:tcW w:w="2156" w:type="pct"/>
            <w:hideMark/>
          </w:tcPr>
          <w:p w14:paraId="2E265782" w14:textId="77777777" w:rsidR="0090020B" w:rsidRPr="0029195A" w:rsidRDefault="0090020B">
            <w:pPr>
              <w:pStyle w:val="TableText0"/>
              <w:rPr>
                <w:b/>
              </w:rPr>
            </w:pPr>
            <w:r w:rsidRPr="0029195A">
              <w:rPr>
                <w:rFonts w:eastAsia="Times New Roman"/>
                <w:b/>
              </w:rPr>
              <w:t>Any potentially GC-related AE</w:t>
            </w:r>
          </w:p>
        </w:tc>
        <w:tc>
          <w:tcPr>
            <w:tcW w:w="851" w:type="pct"/>
            <w:vAlign w:val="center"/>
            <w:hideMark/>
          </w:tcPr>
          <w:p w14:paraId="0FF7EAD3" w14:textId="77777777" w:rsidR="0090020B" w:rsidRPr="0029195A" w:rsidRDefault="0090020B">
            <w:pPr>
              <w:pStyle w:val="TableText0"/>
              <w:jc w:val="center"/>
              <w:rPr>
                <w:b/>
              </w:rPr>
            </w:pPr>
            <w:r w:rsidRPr="0029195A">
              <w:rPr>
                <w:b/>
              </w:rPr>
              <w:t>110 (66.3)</w:t>
            </w:r>
          </w:p>
        </w:tc>
        <w:tc>
          <w:tcPr>
            <w:tcW w:w="852" w:type="pct"/>
            <w:vAlign w:val="center"/>
            <w:hideMark/>
          </w:tcPr>
          <w:p w14:paraId="34F856E7" w14:textId="2D40C33D" w:rsidR="0090020B" w:rsidRPr="0029195A" w:rsidRDefault="0090020B">
            <w:pPr>
              <w:pStyle w:val="TableText0"/>
              <w:jc w:val="center"/>
              <w:rPr>
                <w:b/>
              </w:rPr>
            </w:pPr>
            <w:r w:rsidRPr="0029195A">
              <w:rPr>
                <w:b/>
              </w:rPr>
              <w:t>132 (80.5)</w:t>
            </w:r>
          </w:p>
        </w:tc>
        <w:tc>
          <w:tcPr>
            <w:tcW w:w="1141" w:type="pct"/>
          </w:tcPr>
          <w:p w14:paraId="7588C92A" w14:textId="246B2E97" w:rsidR="0090020B" w:rsidRPr="0029195A" w:rsidRDefault="005C542D">
            <w:pPr>
              <w:pStyle w:val="TableText0"/>
              <w:jc w:val="center"/>
              <w:rPr>
                <w:b/>
              </w:rPr>
            </w:pPr>
            <w:r w:rsidRPr="0029195A">
              <w:rPr>
                <w:b/>
              </w:rPr>
              <w:t>-14.2 (-23.7, -3.8)</w:t>
            </w:r>
          </w:p>
        </w:tc>
      </w:tr>
      <w:tr w:rsidR="0095519C" w:rsidRPr="0029195A" w14:paraId="1AC02D2F" w14:textId="77777777" w:rsidTr="004F58A8">
        <w:tc>
          <w:tcPr>
            <w:tcW w:w="2156" w:type="pct"/>
          </w:tcPr>
          <w:p w14:paraId="64F8A73D" w14:textId="66A80979" w:rsidR="00A97EAE" w:rsidRPr="0029195A" w:rsidRDefault="00A97EAE" w:rsidP="00A97EAE">
            <w:pPr>
              <w:pStyle w:val="TableText0"/>
              <w:rPr>
                <w:rFonts w:eastAsia="Times New Roman"/>
                <w:b/>
                <w:bCs w:val="0"/>
              </w:rPr>
            </w:pPr>
            <w:r w:rsidRPr="0029195A">
              <w:rPr>
                <w:b/>
                <w:bCs w:val="0"/>
              </w:rPr>
              <w:t xml:space="preserve">  Dermatological </w:t>
            </w:r>
          </w:p>
        </w:tc>
        <w:tc>
          <w:tcPr>
            <w:tcW w:w="851" w:type="pct"/>
          </w:tcPr>
          <w:p w14:paraId="3234C1F4" w14:textId="57805121" w:rsidR="00A97EAE" w:rsidRPr="0029195A" w:rsidRDefault="00A97EAE" w:rsidP="00A97EAE">
            <w:pPr>
              <w:pStyle w:val="TableText0"/>
              <w:jc w:val="center"/>
              <w:rPr>
                <w:b/>
                <w:bCs w:val="0"/>
              </w:rPr>
            </w:pPr>
            <w:r w:rsidRPr="0029195A">
              <w:rPr>
                <w:b/>
                <w:bCs w:val="0"/>
              </w:rPr>
              <w:t>14 (8.4)</w:t>
            </w:r>
          </w:p>
        </w:tc>
        <w:tc>
          <w:tcPr>
            <w:tcW w:w="852" w:type="pct"/>
          </w:tcPr>
          <w:p w14:paraId="2D016B9C" w14:textId="70B54796" w:rsidR="00A97EAE" w:rsidRPr="0029195A" w:rsidRDefault="00A97EAE" w:rsidP="00A97EAE">
            <w:pPr>
              <w:pStyle w:val="TableText0"/>
              <w:jc w:val="center"/>
              <w:rPr>
                <w:b/>
                <w:bCs w:val="0"/>
              </w:rPr>
            </w:pPr>
            <w:r w:rsidRPr="0029195A">
              <w:rPr>
                <w:b/>
                <w:bCs w:val="0"/>
              </w:rPr>
              <w:t>28 (17.1)</w:t>
            </w:r>
          </w:p>
        </w:tc>
        <w:tc>
          <w:tcPr>
            <w:tcW w:w="1141" w:type="pct"/>
          </w:tcPr>
          <w:p w14:paraId="2A89FB77" w14:textId="714269C0" w:rsidR="00A97EAE" w:rsidRPr="0029195A" w:rsidRDefault="00A97EAE" w:rsidP="00A97EAE">
            <w:pPr>
              <w:pStyle w:val="TableText0"/>
              <w:jc w:val="center"/>
              <w:rPr>
                <w:b/>
                <w:bCs w:val="0"/>
              </w:rPr>
            </w:pPr>
            <w:r w:rsidRPr="0029195A">
              <w:rPr>
                <w:b/>
                <w:bCs w:val="0"/>
              </w:rPr>
              <w:t>-8.6 (-16.2, -1.0)</w:t>
            </w:r>
          </w:p>
        </w:tc>
      </w:tr>
      <w:tr w:rsidR="00EA21AF" w:rsidRPr="0029195A" w14:paraId="16B8E638" w14:textId="6F543E71" w:rsidTr="004F58A8">
        <w:tc>
          <w:tcPr>
            <w:tcW w:w="2156" w:type="pct"/>
          </w:tcPr>
          <w:p w14:paraId="11430954" w14:textId="2A9E8191" w:rsidR="00897229" w:rsidRPr="0029195A" w:rsidRDefault="0044613B" w:rsidP="00897229">
            <w:pPr>
              <w:pStyle w:val="TableText0"/>
              <w:rPr>
                <w:rFonts w:eastAsia="Times New Roman"/>
                <w:b/>
              </w:rPr>
            </w:pPr>
            <w:r w:rsidRPr="0029195A">
              <w:rPr>
                <w:b/>
              </w:rPr>
              <w:t xml:space="preserve">  </w:t>
            </w:r>
            <w:r w:rsidR="00897229" w:rsidRPr="0029195A">
              <w:rPr>
                <w:b/>
              </w:rPr>
              <w:t xml:space="preserve">Endocrine/metabolic </w:t>
            </w:r>
          </w:p>
        </w:tc>
        <w:tc>
          <w:tcPr>
            <w:tcW w:w="851" w:type="pct"/>
          </w:tcPr>
          <w:p w14:paraId="53C99E20" w14:textId="57339859" w:rsidR="00897229" w:rsidRPr="0029195A" w:rsidRDefault="00897229" w:rsidP="00897229">
            <w:pPr>
              <w:pStyle w:val="TableText0"/>
              <w:jc w:val="center"/>
              <w:rPr>
                <w:b/>
              </w:rPr>
            </w:pPr>
            <w:r w:rsidRPr="0029195A">
              <w:rPr>
                <w:b/>
              </w:rPr>
              <w:t>23 (13.9)</w:t>
            </w:r>
          </w:p>
        </w:tc>
        <w:tc>
          <w:tcPr>
            <w:tcW w:w="852" w:type="pct"/>
          </w:tcPr>
          <w:p w14:paraId="78C41DD1" w14:textId="20314EC4" w:rsidR="00897229" w:rsidRPr="0029195A" w:rsidRDefault="00897229" w:rsidP="00897229">
            <w:pPr>
              <w:pStyle w:val="TableText0"/>
              <w:jc w:val="center"/>
              <w:rPr>
                <w:b/>
              </w:rPr>
            </w:pPr>
            <w:r w:rsidRPr="0029195A">
              <w:rPr>
                <w:b/>
              </w:rPr>
              <w:t>48 (29.3)</w:t>
            </w:r>
          </w:p>
        </w:tc>
        <w:tc>
          <w:tcPr>
            <w:tcW w:w="1141" w:type="pct"/>
          </w:tcPr>
          <w:p w14:paraId="0DEC6E37" w14:textId="455DF8AF" w:rsidR="00897229" w:rsidRPr="0029195A" w:rsidRDefault="00897229" w:rsidP="00897229">
            <w:pPr>
              <w:pStyle w:val="TableText0"/>
              <w:jc w:val="center"/>
              <w:rPr>
                <w:b/>
              </w:rPr>
            </w:pPr>
            <w:r w:rsidRPr="0029195A">
              <w:rPr>
                <w:b/>
              </w:rPr>
              <w:t>-15.4 (-24.3, -6.0)</w:t>
            </w:r>
          </w:p>
        </w:tc>
      </w:tr>
    </w:tbl>
    <w:p w14:paraId="1CB745BE" w14:textId="0CA76080" w:rsidR="00AF5DB5" w:rsidRPr="0029195A" w:rsidRDefault="00AF5DB5" w:rsidP="00AF5DB5">
      <w:pPr>
        <w:pStyle w:val="FooterTableFigure"/>
      </w:pPr>
      <w:r w:rsidRPr="0029195A">
        <w:t>Source: Table 2.29, p92 of the submission, Table 2.31, p95 of the submission, Table 2.32, p96 of the submission</w:t>
      </w:r>
      <w:r w:rsidR="00AE4DA1" w:rsidRPr="0029195A">
        <w:t>, Table 14.3.1.3.2, pp1924-1930</w:t>
      </w:r>
      <w:r w:rsidR="009D02F5" w:rsidRPr="0029195A">
        <w:t xml:space="preserve"> and Table </w:t>
      </w:r>
      <w:r w:rsidR="00E506D3" w:rsidRPr="0029195A">
        <w:t>14.3.1.6.2</w:t>
      </w:r>
      <w:r w:rsidR="00104481" w:rsidRPr="0029195A">
        <w:t>, p1990</w:t>
      </w:r>
      <w:r w:rsidR="00AE4DA1" w:rsidRPr="0029195A">
        <w:t xml:space="preserve"> of Attachment 9.</w:t>
      </w:r>
    </w:p>
    <w:p w14:paraId="3DFB3FBF" w14:textId="469966BE" w:rsidR="00AF5DB5" w:rsidRPr="0029195A" w:rsidRDefault="00AF5DB5" w:rsidP="00AF5DB5">
      <w:pPr>
        <w:pStyle w:val="FooterTableFigure"/>
      </w:pPr>
      <w:r w:rsidRPr="0029195A">
        <w:t xml:space="preserve">Abbreviations: </w:t>
      </w:r>
      <w:r w:rsidR="00450D34" w:rsidRPr="0029195A">
        <w:t>AE,</w:t>
      </w:r>
      <w:r w:rsidRPr="0029195A">
        <w:t xml:space="preserve"> adverse event; GC, glucocorticoid; </w:t>
      </w:r>
      <w:r w:rsidR="008A3F22" w:rsidRPr="0029195A">
        <w:t xml:space="preserve">NR, not reported; </w:t>
      </w:r>
      <w:r w:rsidRPr="0029195A">
        <w:t xml:space="preserve">SAE, serious adverse event; SOC, standard of care; TEAE, treatment-emergent adverse event. </w:t>
      </w:r>
    </w:p>
    <w:p w14:paraId="1743656C" w14:textId="4A87E75D" w:rsidR="00C91EFA" w:rsidRPr="0029195A" w:rsidRDefault="00C91EFA" w:rsidP="00AF5DB5">
      <w:pPr>
        <w:pStyle w:val="FooterTableFigure"/>
      </w:pPr>
      <w:r w:rsidRPr="0029195A">
        <w:rPr>
          <w:vertAlign w:val="superscript"/>
        </w:rPr>
        <w:t>a</w:t>
      </w:r>
      <w:r w:rsidRPr="0029195A">
        <w:t xml:space="preserve"> The proportions </w:t>
      </w:r>
      <w:r w:rsidR="00847EE2" w:rsidRPr="0029195A">
        <w:t>presented is equivalent to the event rate/100 patients</w:t>
      </w:r>
      <w:r w:rsidR="00A97EAE" w:rsidRPr="0029195A">
        <w:t>.</w:t>
      </w:r>
    </w:p>
    <w:p w14:paraId="75AD07F0" w14:textId="08582089" w:rsidR="00247B45" w:rsidRPr="0029195A" w:rsidRDefault="00247B45" w:rsidP="00AF5DB5">
      <w:pPr>
        <w:pStyle w:val="FooterTableFigure"/>
      </w:pPr>
      <w:r w:rsidRPr="0029195A">
        <w:rPr>
          <w:vertAlign w:val="superscript"/>
        </w:rPr>
        <w:t xml:space="preserve">b </w:t>
      </w:r>
      <w:r w:rsidR="004853D2" w:rsidRPr="0029195A">
        <w:t>S</w:t>
      </w:r>
      <w:r w:rsidR="00555571" w:rsidRPr="0029195A">
        <w:t>elected s</w:t>
      </w:r>
      <w:r w:rsidR="004853D2" w:rsidRPr="0029195A">
        <w:t>afety o</w:t>
      </w:r>
      <w:r w:rsidR="00676891" w:rsidRPr="0029195A">
        <w:t>utcome</w:t>
      </w:r>
      <w:r w:rsidR="00555571" w:rsidRPr="0029195A">
        <w:t xml:space="preserve"> </w:t>
      </w:r>
      <w:r w:rsidR="00360705" w:rsidRPr="0029195A">
        <w:t xml:space="preserve">used in the economic </w:t>
      </w:r>
      <w:r w:rsidR="00DC5713" w:rsidRPr="0029195A">
        <w:t>analysis</w:t>
      </w:r>
      <w:r w:rsidR="0056425E" w:rsidRPr="0029195A">
        <w:t xml:space="preserve"> to</w:t>
      </w:r>
      <w:r w:rsidR="004B201F" w:rsidRPr="0029195A">
        <w:t xml:space="preserve"> reflect reduction in mortality due to infection from </w:t>
      </w:r>
      <w:r w:rsidR="00C10DC5" w:rsidRPr="0029195A">
        <w:t>GC</w:t>
      </w:r>
    </w:p>
    <w:p w14:paraId="07CEF42C" w14:textId="5F08691D" w:rsidR="00C22350" w:rsidRPr="0029195A" w:rsidRDefault="00A97EAE" w:rsidP="00AF5DB5">
      <w:pPr>
        <w:pStyle w:val="FooterTableFigure"/>
        <w:rPr>
          <w:b/>
        </w:rPr>
      </w:pPr>
      <w:r w:rsidRPr="0029195A">
        <w:rPr>
          <w:b/>
          <w:bCs/>
        </w:rPr>
        <w:t xml:space="preserve">Bold </w:t>
      </w:r>
      <w:r w:rsidRPr="0029195A">
        <w:t xml:space="preserve">indicates statistically significant results. </w:t>
      </w:r>
    </w:p>
    <w:p w14:paraId="6AC9654A" w14:textId="63A2E8BE" w:rsidR="00AF5DB5" w:rsidRPr="0029195A" w:rsidRDefault="00AF5DB5" w:rsidP="007A6355">
      <w:pPr>
        <w:pStyle w:val="3-BodyText"/>
      </w:pPr>
      <w:bookmarkStart w:id="44" w:name="_Ref141727618"/>
      <w:r w:rsidRPr="0029195A">
        <w:t xml:space="preserve">In the ADVOCATE trial, almost all patients in both the avacopan + SOC and prednisone + SOC groups experienced a treatment-emergent adverse event (TEAE), with a similar proportion of patients in each group (98.8% and 98.2%, respectively). The avacopan + SOC group had a higher incidence of moderate TEAE (49.4%) compared to the prednisone + SOC group (41.5%). There were fewer treatment-emergent infections, </w:t>
      </w:r>
      <w:r w:rsidRPr="0029195A">
        <w:lastRenderedPageBreak/>
        <w:t xml:space="preserve">and potentially glucocorticoid-related adverse events (AE) in the avacopan + SOC group compared to the prednisone + SOC group. </w:t>
      </w:r>
      <w:r w:rsidR="00AE4DA1" w:rsidRPr="0029195A">
        <w:t xml:space="preserve">However, patients in the avacopan + SOC group experienced higher incidences of several SAE including acute kidney injury, angina pectoris, cardiac failure, device-related infections, </w:t>
      </w:r>
      <w:r w:rsidRPr="0029195A">
        <w:t xml:space="preserve">GPA, </w:t>
      </w:r>
      <w:r w:rsidR="00AE4DA1" w:rsidRPr="0029195A">
        <w:t>hyperglycaemia, influenza, pneumonia, and UTI</w:t>
      </w:r>
      <w:r w:rsidRPr="0029195A">
        <w:t>. There were two (1.2%) deaths in the avacopan + SOC group from worsening of vasculitis and pneumonia and four (2.4%) in the prednisone + SOC group from generalised fungal infection, infectious pleural effusion, acute myocardial infarction, and death of unknown cause.</w:t>
      </w:r>
      <w:bookmarkEnd w:id="44"/>
      <w:r w:rsidRPr="0029195A">
        <w:t xml:space="preserve"> </w:t>
      </w:r>
    </w:p>
    <w:p w14:paraId="7C3CA692" w14:textId="72AB84E9" w:rsidR="006148D4" w:rsidRPr="0029195A" w:rsidRDefault="00AF5DB5" w:rsidP="007A6355">
      <w:pPr>
        <w:pStyle w:val="3-BodyText"/>
      </w:pPr>
      <w:bookmarkStart w:id="45" w:name="_Ref141728073"/>
      <w:r w:rsidRPr="0029195A">
        <w:t xml:space="preserve">There was a statistically significant reduction in potentially GC-related AE in favour of avacopan + SOC compared to prednisone + SOC (treatment difference of -14.2 percentage points; 95% CI -23.7 to -3.8; p&lt;0.05). </w:t>
      </w:r>
      <w:r w:rsidR="00AE4DA1" w:rsidRPr="0029195A">
        <w:t>Moreover, a significant difference in the incidence of potentially GC-related adverse events was observed between the avacopan + SOC and prednisone + SOC groups in the endocrine/metabolic (13.9% vs 29.3% respectively) and dermatological (8.4% vs 17.1% respectively) systems.</w:t>
      </w:r>
      <w:bookmarkEnd w:id="45"/>
      <w:r w:rsidR="009D5F18" w:rsidRPr="0029195A">
        <w:t xml:space="preserve"> </w:t>
      </w:r>
    </w:p>
    <w:p w14:paraId="6792D542" w14:textId="66E04F5C" w:rsidR="00AF5DB5" w:rsidRPr="0029195A" w:rsidRDefault="00AF5DB5" w:rsidP="007A6355">
      <w:pPr>
        <w:pStyle w:val="3-BodyText"/>
      </w:pPr>
      <w:r w:rsidRPr="0029195A">
        <w:t xml:space="preserve">The ADVOCATE trial only provided safety evidence supporting the use of avacopan + SOC for treatment induction. Given the relatively short duration of the treatment period (52 weeks), there is no safety evidence on the cumulative risk of reinduction or long-term safety data for maintenance treatment. </w:t>
      </w:r>
      <w:r w:rsidR="006702A5" w:rsidRPr="0029195A">
        <w:t>There was</w:t>
      </w:r>
      <w:r w:rsidRPr="0029195A">
        <w:t xml:space="preserve"> no open-label extension study for the ADVOCATE trial.</w:t>
      </w:r>
    </w:p>
    <w:p w14:paraId="04908C7F" w14:textId="415B9B7D" w:rsidR="007F1017" w:rsidRPr="0029195A" w:rsidRDefault="007F1017" w:rsidP="00D86231">
      <w:pPr>
        <w:pStyle w:val="4-SubsectionHeading"/>
      </w:pPr>
      <w:bookmarkStart w:id="46" w:name="_Toc135230133"/>
      <w:r w:rsidRPr="0029195A">
        <w:t>Benefits/harms</w:t>
      </w:r>
      <w:bookmarkEnd w:id="42"/>
      <w:bookmarkEnd w:id="46"/>
    </w:p>
    <w:p w14:paraId="60BAB56C" w14:textId="79FA3076" w:rsidR="00BD0DE3" w:rsidRPr="0029195A" w:rsidRDefault="00D26827" w:rsidP="007A6355">
      <w:pPr>
        <w:pStyle w:val="3-BodyText"/>
      </w:pPr>
      <w:bookmarkStart w:id="47" w:name="_Toc22897644"/>
      <w:r w:rsidRPr="0029195A">
        <w:t xml:space="preserve">On the basis of direct evidence presented by the submission, for every 100 patients treated with avacopan + SOC in comparison with prednisone + SOC over </w:t>
      </w:r>
      <w:r w:rsidR="00744C49" w:rsidRPr="0029195A">
        <w:t>the following treatment periods</w:t>
      </w:r>
      <w:r w:rsidRPr="0029195A">
        <w:t>:</w:t>
      </w:r>
    </w:p>
    <w:p w14:paraId="5EA38EC2" w14:textId="69FEBD76" w:rsidR="00734BB1" w:rsidRPr="0029195A" w:rsidRDefault="00734BB1" w:rsidP="008515B4">
      <w:pPr>
        <w:pStyle w:val="ListParagraph"/>
      </w:pPr>
      <w:r w:rsidRPr="0029195A">
        <w:t>There would be no difference in disease remission at 26 weeks.</w:t>
      </w:r>
    </w:p>
    <w:p w14:paraId="422F6BED" w14:textId="56CE40A6" w:rsidR="00430D3C" w:rsidRPr="0029195A" w:rsidRDefault="000B7F32" w:rsidP="008515B4">
      <w:pPr>
        <w:pStyle w:val="ListParagraph"/>
      </w:pPr>
      <w:r w:rsidRPr="0029195A">
        <w:t xml:space="preserve">Approximately </w:t>
      </w:r>
      <w:r w:rsidR="007D79CE" w:rsidRPr="0029195A">
        <w:t>1</w:t>
      </w:r>
      <w:r w:rsidR="007A35CB" w:rsidRPr="0029195A">
        <w:t>1</w:t>
      </w:r>
      <w:r w:rsidR="00AE0EA8" w:rsidRPr="0029195A">
        <w:t xml:space="preserve"> </w:t>
      </w:r>
      <w:r w:rsidRPr="0029195A">
        <w:t xml:space="preserve">additional patients </w:t>
      </w:r>
      <w:r w:rsidR="00016531" w:rsidRPr="0029195A">
        <w:t xml:space="preserve">who achieved remission at 26 weeks </w:t>
      </w:r>
      <w:r w:rsidRPr="0029195A">
        <w:t>would</w:t>
      </w:r>
      <w:r w:rsidR="00AE0EA8" w:rsidRPr="0029195A">
        <w:t xml:space="preserve"> achieve</w:t>
      </w:r>
      <w:r w:rsidRPr="0029195A" w:rsidDel="00AE0EA8">
        <w:t xml:space="preserve"> </w:t>
      </w:r>
      <w:r w:rsidRPr="0029195A">
        <w:t>sustained remission at Week 52</w:t>
      </w:r>
      <w:r w:rsidR="003147C9" w:rsidRPr="0029195A">
        <w:t xml:space="preserve"> (</w:t>
      </w:r>
      <w:r w:rsidR="003147C9" w:rsidRPr="0029195A">
        <w:fldChar w:fldCharType="begin" w:fldLock="1"/>
      </w:r>
      <w:r w:rsidR="003147C9" w:rsidRPr="0029195A">
        <w:instrText xml:space="preserve"> REF _Ref132295158 \h </w:instrText>
      </w:r>
      <w:r w:rsidR="008515B4">
        <w:instrText xml:space="preserve"> \* MERGEFORMAT </w:instrText>
      </w:r>
      <w:r w:rsidR="003147C9" w:rsidRPr="0029195A">
        <w:fldChar w:fldCharType="separate"/>
      </w:r>
      <w:r w:rsidR="00740D9D" w:rsidRPr="0029195A">
        <w:t>Table 4</w:t>
      </w:r>
      <w:r w:rsidR="003147C9" w:rsidRPr="0029195A">
        <w:fldChar w:fldCharType="end"/>
      </w:r>
      <w:r w:rsidR="003147C9" w:rsidRPr="0029195A">
        <w:t>)</w:t>
      </w:r>
      <w:r w:rsidRPr="0029195A">
        <w:t xml:space="preserve">. </w:t>
      </w:r>
    </w:p>
    <w:p w14:paraId="17AD322D" w14:textId="4192FEF0" w:rsidR="00BC7884" w:rsidRPr="0029195A" w:rsidRDefault="00581705" w:rsidP="008515B4">
      <w:pPr>
        <w:pStyle w:val="ListParagraph"/>
      </w:pPr>
      <w:r w:rsidRPr="0029195A">
        <w:t>Approximately</w:t>
      </w:r>
      <w:r w:rsidR="00AF46DA" w:rsidRPr="0029195A">
        <w:t xml:space="preserve"> </w:t>
      </w:r>
      <w:r w:rsidR="00847861" w:rsidRPr="0029195A">
        <w:t>15</w:t>
      </w:r>
      <w:r w:rsidR="00597C93" w:rsidRPr="0029195A">
        <w:t xml:space="preserve"> fewer patients</w:t>
      </w:r>
      <w:r w:rsidR="008D6F1B" w:rsidRPr="0029195A">
        <w:t xml:space="preserve"> would experience </w:t>
      </w:r>
      <w:r w:rsidR="00B023FA" w:rsidRPr="0029195A">
        <w:t xml:space="preserve">endocrine or </w:t>
      </w:r>
      <w:r w:rsidR="006E5B1A" w:rsidRPr="0029195A">
        <w:t>metabolic GC-related adverse event</w:t>
      </w:r>
      <w:r w:rsidR="001162C8" w:rsidRPr="0029195A">
        <w:t>s</w:t>
      </w:r>
      <w:r w:rsidR="00BC71D5" w:rsidRPr="0029195A">
        <w:t xml:space="preserve"> at Week 52</w:t>
      </w:r>
      <w:r w:rsidR="003735B2" w:rsidRPr="0029195A">
        <w:t xml:space="preserve"> (</w:t>
      </w:r>
      <w:r w:rsidR="003735B2" w:rsidRPr="0029195A">
        <w:fldChar w:fldCharType="begin" w:fldLock="1"/>
      </w:r>
      <w:r w:rsidR="003735B2" w:rsidRPr="0029195A">
        <w:instrText xml:space="preserve"> REF _Ref132295290 \h </w:instrText>
      </w:r>
      <w:r w:rsidR="008515B4">
        <w:instrText xml:space="preserve"> \* MERGEFORMAT </w:instrText>
      </w:r>
      <w:r w:rsidR="003735B2" w:rsidRPr="0029195A">
        <w:fldChar w:fldCharType="separate"/>
      </w:r>
      <w:r w:rsidR="00740D9D" w:rsidRPr="0029195A">
        <w:t>Table 9</w:t>
      </w:r>
      <w:r w:rsidR="003735B2" w:rsidRPr="0029195A">
        <w:fldChar w:fldCharType="end"/>
      </w:r>
      <w:r w:rsidR="003735B2" w:rsidRPr="0029195A">
        <w:t>)</w:t>
      </w:r>
      <w:r w:rsidR="00BC71D5" w:rsidRPr="0029195A">
        <w:t>.</w:t>
      </w:r>
    </w:p>
    <w:p w14:paraId="36B58E47" w14:textId="3F4B26D6" w:rsidR="001162C8" w:rsidRPr="0029195A" w:rsidRDefault="001162C8" w:rsidP="008515B4">
      <w:pPr>
        <w:pStyle w:val="ListParagraph"/>
      </w:pPr>
      <w:r w:rsidRPr="0029195A">
        <w:t xml:space="preserve">Approximately </w:t>
      </w:r>
      <w:r w:rsidR="00BC71D5" w:rsidRPr="0029195A">
        <w:t>9 fewer patients would experience dermatological GC-related adverse events at Week 52</w:t>
      </w:r>
      <w:r w:rsidR="003735B2" w:rsidRPr="0029195A">
        <w:t xml:space="preserve"> (</w:t>
      </w:r>
      <w:r w:rsidR="003735B2" w:rsidRPr="0029195A">
        <w:fldChar w:fldCharType="begin" w:fldLock="1"/>
      </w:r>
      <w:r w:rsidR="003735B2" w:rsidRPr="0029195A">
        <w:instrText xml:space="preserve"> REF _Ref132295290 \h </w:instrText>
      </w:r>
      <w:r w:rsidR="008515B4">
        <w:instrText xml:space="preserve"> \* MERGEFORMAT </w:instrText>
      </w:r>
      <w:r w:rsidR="003735B2" w:rsidRPr="0029195A">
        <w:fldChar w:fldCharType="separate"/>
      </w:r>
      <w:r w:rsidR="00740D9D" w:rsidRPr="0029195A">
        <w:t>Table 9</w:t>
      </w:r>
      <w:r w:rsidR="003735B2" w:rsidRPr="0029195A">
        <w:fldChar w:fldCharType="end"/>
      </w:r>
      <w:r w:rsidR="003735B2" w:rsidRPr="0029195A">
        <w:t>)</w:t>
      </w:r>
      <w:r w:rsidR="00BC71D5" w:rsidRPr="0029195A">
        <w:t>.</w:t>
      </w:r>
    </w:p>
    <w:p w14:paraId="7A1772B6" w14:textId="23BB3145" w:rsidR="00B60939" w:rsidRPr="0029195A" w:rsidRDefault="00B60939" w:rsidP="00E9094A">
      <w:pPr>
        <w:pStyle w:val="4-SubsectionHeading"/>
      </w:pPr>
      <w:bookmarkStart w:id="48" w:name="_Toc135230134"/>
      <w:r w:rsidRPr="0029195A">
        <w:t>Clinical claim</w:t>
      </w:r>
      <w:bookmarkEnd w:id="47"/>
      <w:bookmarkEnd w:id="48"/>
    </w:p>
    <w:p w14:paraId="0EC82ADD" w14:textId="58D4EDC7" w:rsidR="00043552" w:rsidRPr="0029195A" w:rsidRDefault="00020878" w:rsidP="007A6355">
      <w:pPr>
        <w:pStyle w:val="3-BodyText"/>
      </w:pPr>
      <w:bookmarkStart w:id="49" w:name="_Ref137753081"/>
      <w:bookmarkStart w:id="50" w:name="_Toc22897645"/>
      <w:r w:rsidRPr="0029195A">
        <w:t xml:space="preserve">The submission described avacopan + SOC as superior in terms of effectiveness compared to prednisone + SOC and superior in terms of safety compared to prednisone + SOC. </w:t>
      </w:r>
      <w:r w:rsidR="000F0B03" w:rsidRPr="0029195A">
        <w:t xml:space="preserve">The </w:t>
      </w:r>
      <w:r w:rsidR="00043552" w:rsidRPr="0029195A">
        <w:t xml:space="preserve">evaluation considered the comparative efficacy </w:t>
      </w:r>
      <w:r w:rsidR="000F0B03" w:rsidRPr="0029195A">
        <w:t xml:space="preserve">claim </w:t>
      </w:r>
      <w:r w:rsidR="00440555" w:rsidRPr="0029195A">
        <w:t>wa</w:t>
      </w:r>
      <w:r w:rsidR="000F0B03" w:rsidRPr="0029195A">
        <w:t>s not supported for induction therapy proposed for PBS listing, which covers up to 6 months therapy, as the ADVOCATE trial demonstrated avacopan</w:t>
      </w:r>
      <w:r w:rsidR="00803C92" w:rsidRPr="0029195A">
        <w:t xml:space="preserve"> </w:t>
      </w:r>
      <w:r w:rsidR="000F0B03" w:rsidRPr="0029195A">
        <w:t>+</w:t>
      </w:r>
      <w:r w:rsidR="00803C92" w:rsidRPr="0029195A">
        <w:t xml:space="preserve"> </w:t>
      </w:r>
      <w:r w:rsidR="000F0B03" w:rsidRPr="0029195A">
        <w:t>SOC was non-inferior to prednisone</w:t>
      </w:r>
      <w:r w:rsidR="00803C92" w:rsidRPr="0029195A">
        <w:t xml:space="preserve"> </w:t>
      </w:r>
      <w:r w:rsidR="000F0B03" w:rsidRPr="0029195A">
        <w:t>+</w:t>
      </w:r>
      <w:r w:rsidR="00803C92" w:rsidRPr="0029195A">
        <w:t xml:space="preserve"> </w:t>
      </w:r>
      <w:r w:rsidR="000F0B03" w:rsidRPr="0029195A">
        <w:t>SOC</w:t>
      </w:r>
      <w:r w:rsidR="00440555" w:rsidRPr="0029195A">
        <w:t xml:space="preserve"> at 26 weeks for disease remission</w:t>
      </w:r>
      <w:r w:rsidR="000F0B03" w:rsidRPr="0029195A">
        <w:t xml:space="preserve">. </w:t>
      </w:r>
      <w:r w:rsidR="00043552" w:rsidRPr="0029195A">
        <w:t xml:space="preserve">However, in terms of the superior safety claim the ESC agreed with the PSCR that the total study and non-study supplied GC dosage required during the induction period was lower in avacopan + SOC group </w:t>
      </w:r>
      <w:r w:rsidR="00043552" w:rsidRPr="0029195A">
        <w:lastRenderedPageBreak/>
        <w:t>(1373.7 mg) relative to prednisone + SOC group (3364.0 mg). The ESC considered this corresponded to a more favourable safety profile for avacopan given fewer steroid related adverse events.</w:t>
      </w:r>
      <w:bookmarkEnd w:id="49"/>
      <w:r w:rsidR="00043552" w:rsidRPr="0029195A">
        <w:rPr>
          <w:i/>
          <w:iCs/>
        </w:rPr>
        <w:t xml:space="preserve"> </w:t>
      </w:r>
    </w:p>
    <w:p w14:paraId="6BAA5BD5" w14:textId="7771AB70" w:rsidR="00020878" w:rsidRPr="0029195A" w:rsidRDefault="00440555" w:rsidP="007A6355">
      <w:pPr>
        <w:pStyle w:val="3-BodyText"/>
      </w:pPr>
      <w:bookmarkStart w:id="51" w:name="_Ref137749939"/>
      <w:r w:rsidRPr="0029195A">
        <w:t xml:space="preserve">The </w:t>
      </w:r>
      <w:r w:rsidR="00043552" w:rsidRPr="0029195A">
        <w:t xml:space="preserve">evaluation considered that a claim of superior effectiveness and safety compared to prednisone + SOC </w:t>
      </w:r>
      <w:r w:rsidRPr="0029195A">
        <w:t xml:space="preserve">was not </w:t>
      </w:r>
      <w:r w:rsidR="00822CA1" w:rsidRPr="0029195A">
        <w:t>supported for treatment reinduction and maintenance</w:t>
      </w:r>
      <w:r w:rsidR="000F0B03" w:rsidRPr="0029195A">
        <w:t>.</w:t>
      </w:r>
      <w:r w:rsidR="00822CA1" w:rsidRPr="0029195A">
        <w:t xml:space="preserve"> </w:t>
      </w:r>
      <w:r w:rsidR="00020878" w:rsidRPr="0029195A">
        <w:t>The key issues were:</w:t>
      </w:r>
      <w:bookmarkEnd w:id="51"/>
      <w:r w:rsidR="00020878" w:rsidRPr="0029195A">
        <w:t xml:space="preserve"> </w:t>
      </w:r>
    </w:p>
    <w:p w14:paraId="52FB2697" w14:textId="4AC2847A" w:rsidR="000F0B03" w:rsidRPr="0029195A" w:rsidRDefault="000F0B03" w:rsidP="008515B4">
      <w:pPr>
        <w:pStyle w:val="ListParagraph"/>
      </w:pPr>
      <w:r w:rsidRPr="0029195A">
        <w:t>The ADVOCATE trial provided efficacy and safety evidence supporting the use of avacopan + SOC for treatment induction in patients with GPA or MPA, with no evidence for reinduction or maintenance therapy as requested in the PBS listing.</w:t>
      </w:r>
      <w:r w:rsidR="003E48F2" w:rsidRPr="0029195A">
        <w:t xml:space="preserve"> </w:t>
      </w:r>
      <w:r w:rsidR="000B4614" w:rsidRPr="0029195A">
        <w:t xml:space="preserve">The ESC considered the ADVOCATE trial design created uncertainty regarding the phases of therapy incorporated but agreed with the PSCR that </w:t>
      </w:r>
      <w:r w:rsidR="00DF0F1F" w:rsidRPr="0029195A">
        <w:t>the trial</w:t>
      </w:r>
      <w:r w:rsidR="000B4614" w:rsidRPr="0029195A">
        <w:t xml:space="preserve"> included both induction and maintenance therapy. As outlined in paragraph </w:t>
      </w:r>
      <w:r w:rsidR="000B4614" w:rsidRPr="0029195A">
        <w:fldChar w:fldCharType="begin" w:fldLock="1"/>
      </w:r>
      <w:r w:rsidR="000B4614" w:rsidRPr="0029195A">
        <w:instrText xml:space="preserve"> REF _Ref137665780 \r \h </w:instrText>
      </w:r>
      <w:r w:rsidR="000A4378" w:rsidRPr="0029195A">
        <w:instrText xml:space="preserve"> \* MERGEFORMAT </w:instrText>
      </w:r>
      <w:r w:rsidR="000B4614" w:rsidRPr="0029195A">
        <w:fldChar w:fldCharType="separate"/>
      </w:r>
      <w:r w:rsidR="00740D9D">
        <w:t>6.7</w:t>
      </w:r>
      <w:r w:rsidR="000B4614" w:rsidRPr="0029195A">
        <w:fldChar w:fldCharType="end"/>
      </w:r>
      <w:r w:rsidR="000B4614" w:rsidRPr="0029195A">
        <w:t xml:space="preserve">, </w:t>
      </w:r>
      <w:r w:rsidR="00DF0F1F" w:rsidRPr="0029195A">
        <w:t xml:space="preserve">the ESC considered the ADVOCATE trial compared avacopan + SOC with prednisolone + SOC for induction only due to the weaning of prednisolone over this period. In addition, the ESC noted the </w:t>
      </w:r>
      <w:r w:rsidR="000B4614" w:rsidRPr="0029195A">
        <w:t>maintenance phase included a comparison with patients who were on a background of either azathioprine</w:t>
      </w:r>
      <w:r w:rsidR="0081568D" w:rsidRPr="0029195A">
        <w:t xml:space="preserve"> or </w:t>
      </w:r>
      <w:r w:rsidR="000B4614" w:rsidRPr="0029195A">
        <w:t>mycophenolate mofetil (following cyclophosphamide) or no further treatment (following rituximab induction). The ESC considered the latter was not consistent with clinical practice, nor international guidelines (EULAR 2022) and, therefore, had no relevance to the current submission.</w:t>
      </w:r>
    </w:p>
    <w:p w14:paraId="0B4C9C10" w14:textId="7CC5E8A5" w:rsidR="000F0B03" w:rsidRPr="0029195A" w:rsidRDefault="00440555" w:rsidP="008515B4">
      <w:pPr>
        <w:pStyle w:val="ListParagraph"/>
        <w:rPr>
          <w:rFonts w:eastAsia="Calibri"/>
        </w:rPr>
      </w:pPr>
      <w:r w:rsidRPr="0029195A">
        <w:rPr>
          <w:lang w:eastAsia="en-GB"/>
        </w:rPr>
        <w:t xml:space="preserve">Based on the </w:t>
      </w:r>
      <w:r w:rsidR="00E66BE7" w:rsidRPr="0029195A">
        <w:rPr>
          <w:lang w:eastAsia="en-GB"/>
        </w:rPr>
        <w:t>pre-specified</w:t>
      </w:r>
      <w:r w:rsidR="002820DF" w:rsidRPr="0029195A">
        <w:rPr>
          <w:lang w:eastAsia="en-GB"/>
        </w:rPr>
        <w:t xml:space="preserve"> subgroup analyses, a</w:t>
      </w:r>
      <w:r w:rsidR="000F0B03" w:rsidRPr="0029195A">
        <w:rPr>
          <w:lang w:eastAsia="en-GB"/>
        </w:rPr>
        <w:t>vacopan + SOC treatment did not s</w:t>
      </w:r>
      <w:r w:rsidR="009D5F18" w:rsidRPr="0029195A">
        <w:rPr>
          <w:lang w:eastAsia="en-GB"/>
        </w:rPr>
        <w:t>ubstantial</w:t>
      </w:r>
      <w:r w:rsidR="000F0B03" w:rsidRPr="0029195A">
        <w:rPr>
          <w:lang w:eastAsia="en-GB"/>
        </w:rPr>
        <w:t xml:space="preserve">ly improve sustained remission rates at Week 52 for some PBS eligible patients, including those receiving cyclophosphamide, anti-PR3 positive patients, newly diagnosed patients, </w:t>
      </w:r>
      <w:r w:rsidR="009A31A0" w:rsidRPr="0029195A">
        <w:rPr>
          <w:lang w:eastAsia="en-GB"/>
        </w:rPr>
        <w:t xml:space="preserve">and </w:t>
      </w:r>
      <w:r w:rsidR="000F0B03" w:rsidRPr="0029195A">
        <w:rPr>
          <w:lang w:eastAsia="en-GB"/>
        </w:rPr>
        <w:t>those with GPA.</w:t>
      </w:r>
      <w:r w:rsidR="00DF0F1F" w:rsidRPr="0029195A">
        <w:rPr>
          <w:lang w:eastAsia="en-GB"/>
        </w:rPr>
        <w:t xml:space="preserve"> </w:t>
      </w:r>
      <w:r w:rsidR="00DF0F1F" w:rsidRPr="0029195A">
        <w:t>The ESC considered that the modest 12.5% difference in the proportion of patients achieving sustained remission between the two treatment arms (see paragraph</w:t>
      </w:r>
      <w:r w:rsidR="0061340C" w:rsidRPr="0029195A">
        <w:t xml:space="preserve"> </w:t>
      </w:r>
      <w:r w:rsidR="0061340C" w:rsidRPr="0029195A">
        <w:fldChar w:fldCharType="begin" w:fldLock="1"/>
      </w:r>
      <w:r w:rsidR="0061340C" w:rsidRPr="0029195A">
        <w:instrText xml:space="preserve"> REF _Ref141693428 \r \h </w:instrText>
      </w:r>
      <w:r w:rsidR="008515B4">
        <w:instrText xml:space="preserve"> \* MERGEFORMAT </w:instrText>
      </w:r>
      <w:r w:rsidR="0061340C" w:rsidRPr="0029195A">
        <w:fldChar w:fldCharType="separate"/>
      </w:r>
      <w:r w:rsidR="00740D9D">
        <w:t>6.21</w:t>
      </w:r>
      <w:r w:rsidR="0061340C" w:rsidRPr="0029195A">
        <w:fldChar w:fldCharType="end"/>
      </w:r>
      <w:r w:rsidR="00DF0F1F" w:rsidRPr="0029195A">
        <w:t xml:space="preserve">) was </w:t>
      </w:r>
      <w:r w:rsidR="00E605A3" w:rsidRPr="0029195A">
        <w:t xml:space="preserve">likely </w:t>
      </w:r>
      <w:r w:rsidR="00DF0F1F" w:rsidRPr="0029195A">
        <w:t xml:space="preserve">driven by those who were not on any maintenance therapy after rituximab (see paragraph </w:t>
      </w:r>
      <w:r w:rsidR="00DF0F1F" w:rsidRPr="0029195A">
        <w:fldChar w:fldCharType="begin" w:fldLock="1"/>
      </w:r>
      <w:r w:rsidR="00DF0F1F" w:rsidRPr="0029195A">
        <w:instrText xml:space="preserve"> REF _Ref137721507 \r \h </w:instrText>
      </w:r>
      <w:r w:rsidR="000A4378" w:rsidRPr="0029195A">
        <w:instrText xml:space="preserve"> \* MERGEFORMAT </w:instrText>
      </w:r>
      <w:r w:rsidR="00DF0F1F" w:rsidRPr="0029195A">
        <w:fldChar w:fldCharType="separate"/>
      </w:r>
      <w:r w:rsidR="00740D9D">
        <w:t>6.26</w:t>
      </w:r>
      <w:r w:rsidR="00DF0F1F" w:rsidRPr="0029195A">
        <w:fldChar w:fldCharType="end"/>
      </w:r>
      <w:r w:rsidR="00DF0F1F" w:rsidRPr="0029195A">
        <w:t>).</w:t>
      </w:r>
      <w:r w:rsidR="00285F19" w:rsidRPr="0029195A">
        <w:t xml:space="preserve"> </w:t>
      </w:r>
      <w:r w:rsidR="00F60A78" w:rsidRPr="0029195A">
        <w:rPr>
          <w:rFonts w:eastAsia="Calibri"/>
        </w:rPr>
        <w:t xml:space="preserve">The </w:t>
      </w:r>
      <w:r w:rsidR="007508D2" w:rsidRPr="0029195A">
        <w:rPr>
          <w:rFonts w:eastAsia="Calibri"/>
        </w:rPr>
        <w:t>p</w:t>
      </w:r>
      <w:r w:rsidR="00F60A78" w:rsidRPr="0029195A">
        <w:rPr>
          <w:rFonts w:eastAsia="Calibri"/>
        </w:rPr>
        <w:t>re-PBAC response contend</w:t>
      </w:r>
      <w:r w:rsidR="007508D2" w:rsidRPr="0029195A">
        <w:rPr>
          <w:rFonts w:eastAsia="Calibri"/>
        </w:rPr>
        <w:t>ed</w:t>
      </w:r>
      <w:r w:rsidR="00F60A78" w:rsidRPr="0029195A">
        <w:rPr>
          <w:rFonts w:eastAsia="Calibri"/>
        </w:rPr>
        <w:t xml:space="preserve"> that for patients with severe active MPA/GPA, a 12.5% difference in sustained remission is substantial (NNT = 9) and translates to a clinically significant 54% reduction in the rate of relapse, in the context of a substantial reduction (2171.4mg) in steroid exposure.</w:t>
      </w:r>
    </w:p>
    <w:p w14:paraId="3273AEED" w14:textId="7AE1B517" w:rsidR="00285F19" w:rsidRPr="0029195A" w:rsidRDefault="00020878" w:rsidP="008515B4">
      <w:pPr>
        <w:pStyle w:val="ListParagraph"/>
      </w:pPr>
      <w:r w:rsidRPr="0029195A">
        <w:t>Higher cumulative dose of non-study supplied GCs in the avacopan + SOC group during the trial, particularly in the first 26 weeks, could confound part of the treatment effect for avacopan + SOC</w:t>
      </w:r>
      <w:r w:rsidR="00561842" w:rsidRPr="0029195A">
        <w:t xml:space="preserve"> by</w:t>
      </w:r>
      <w:r w:rsidRPr="0029195A">
        <w:t xml:space="preserve"> masking a delayed or less potent treatment effect of avacopan + SOC. </w:t>
      </w:r>
      <w:r w:rsidR="009C2C8A" w:rsidRPr="0029195A">
        <w:t xml:space="preserve">The PSCR  stated that with the presence of active disease during the first 26 weeks, it was not surprising that the use of rescue GC is higher in the avacopan arm as the comparator is GC-based. The ESC considered the treatment effect observed in the ADVOCATE trial for avacopan + SOC should be interpreted considering the combination use of GCs. </w:t>
      </w:r>
    </w:p>
    <w:p w14:paraId="6844DB12" w14:textId="60926C6C" w:rsidR="00285F19" w:rsidRPr="0029195A" w:rsidRDefault="00285F19" w:rsidP="008515B4">
      <w:pPr>
        <w:pStyle w:val="ListParagraph"/>
      </w:pPr>
      <w:r w:rsidRPr="0029195A">
        <w:t>Acknowledging the evaluation</w:t>
      </w:r>
      <w:r w:rsidR="00253737">
        <w:t>’</w:t>
      </w:r>
      <w:r w:rsidRPr="0029195A">
        <w:t xml:space="preserve">s concerns that there was no evidence for reinduction, the ESC considered that if considered suitable for induction, on </w:t>
      </w:r>
      <w:r w:rsidRPr="0029195A">
        <w:lastRenderedPageBreak/>
        <w:t>balance, avacopan would likely be suitable for reinduction therapy based on the mechanism of action.</w:t>
      </w:r>
    </w:p>
    <w:p w14:paraId="4ECCC066" w14:textId="440EB934" w:rsidR="00411EDA" w:rsidRPr="0029195A" w:rsidRDefault="00411EDA" w:rsidP="007A6355">
      <w:pPr>
        <w:pStyle w:val="3-BodyText"/>
      </w:pPr>
      <w:bookmarkStart w:id="52" w:name="_Hlk76376200"/>
      <w:r w:rsidRPr="0029195A">
        <w:rPr>
          <w:iCs/>
        </w:rPr>
        <w:t>The</w:t>
      </w:r>
      <w:r w:rsidRPr="0029195A">
        <w:rPr>
          <w:szCs w:val="20"/>
        </w:rPr>
        <w:t xml:space="preserve"> PBAC considered that the claim of superior </w:t>
      </w:r>
      <w:r w:rsidRPr="0029195A">
        <w:t xml:space="preserve">comparative effectiveness was </w:t>
      </w:r>
      <w:r w:rsidR="0074334E" w:rsidRPr="0029195A">
        <w:t xml:space="preserve">highly uncertain for induction therapy and </w:t>
      </w:r>
      <w:r w:rsidRPr="0029195A">
        <w:t>was not adequately supported by the data</w:t>
      </w:r>
      <w:r w:rsidR="0074334E" w:rsidRPr="0029195A">
        <w:t xml:space="preserve"> for maintenance therapy.</w:t>
      </w:r>
    </w:p>
    <w:p w14:paraId="734B6242" w14:textId="322C6C8E" w:rsidR="00411EDA" w:rsidRPr="0029195A" w:rsidRDefault="00411EDA" w:rsidP="007A6355">
      <w:pPr>
        <w:pStyle w:val="3-BodyText"/>
      </w:pPr>
      <w:r w:rsidRPr="0029195A">
        <w:t>The PBAC considered that the claim of</w:t>
      </w:r>
      <w:r w:rsidR="0074334E" w:rsidRPr="0029195A">
        <w:t xml:space="preserve"> </w:t>
      </w:r>
      <w:r w:rsidRPr="0029195A">
        <w:t>superior comparative safety was reasonable.</w:t>
      </w:r>
      <w:bookmarkEnd w:id="52"/>
    </w:p>
    <w:p w14:paraId="74A1172E" w14:textId="128C170E" w:rsidR="00B60939" w:rsidRPr="0029195A" w:rsidRDefault="00B60939" w:rsidP="00E9094A">
      <w:pPr>
        <w:pStyle w:val="4-SubsectionHeading"/>
      </w:pPr>
      <w:bookmarkStart w:id="53" w:name="_Toc135230135"/>
      <w:r w:rsidRPr="0029195A">
        <w:t>Economic analysis</w:t>
      </w:r>
      <w:bookmarkEnd w:id="50"/>
      <w:bookmarkEnd w:id="53"/>
      <w:r w:rsidR="00491B3A" w:rsidRPr="0029195A">
        <w:t xml:space="preserve"> </w:t>
      </w:r>
    </w:p>
    <w:p w14:paraId="3800EB9D" w14:textId="69E43B0F" w:rsidR="00DB3C0E" w:rsidRPr="0029195A" w:rsidRDefault="00E512AE" w:rsidP="007A6355">
      <w:pPr>
        <w:pStyle w:val="3-BodyText"/>
      </w:pPr>
      <w:bookmarkStart w:id="54" w:name="_Toc22897646"/>
      <w:r w:rsidRPr="0029195A">
        <w:t xml:space="preserve">The submission presented a modelled cost-utility analysis based on a randomised trial (ADVOCATE trial) </w:t>
      </w:r>
      <w:r w:rsidR="00625AE6" w:rsidRPr="0029195A">
        <w:t xml:space="preserve">directly </w:t>
      </w:r>
      <w:r w:rsidRPr="0029195A">
        <w:t xml:space="preserve">comparing avacopan + SOC and </w:t>
      </w:r>
      <w:r w:rsidR="00117C94" w:rsidRPr="0029195A">
        <w:t>prednisolone</w:t>
      </w:r>
      <w:r w:rsidRPr="0029195A">
        <w:t xml:space="preserve"> + SOC. A stepped economic evaluation was not presented. Given that the </w:t>
      </w:r>
      <w:r w:rsidR="001D312E" w:rsidRPr="0029195A">
        <w:t xml:space="preserve">ADVOCATE trial </w:t>
      </w:r>
      <w:r w:rsidR="00671935" w:rsidRPr="0029195A">
        <w:t xml:space="preserve">was based on </w:t>
      </w:r>
      <w:r w:rsidR="00455835" w:rsidRPr="0029195A">
        <w:t xml:space="preserve">outcomes for </w:t>
      </w:r>
      <w:r w:rsidR="00E36667" w:rsidRPr="0029195A">
        <w:t>sustained remission at 52 weeks</w:t>
      </w:r>
      <w:r w:rsidR="00750FAA" w:rsidRPr="0029195A">
        <w:t xml:space="preserve">, </w:t>
      </w:r>
      <w:r w:rsidR="00245AFF" w:rsidRPr="0029195A">
        <w:t xml:space="preserve">the evaluation considered </w:t>
      </w:r>
      <w:r w:rsidRPr="0029195A">
        <w:t xml:space="preserve">a stepped approach demonstrating the </w:t>
      </w:r>
      <w:r w:rsidR="009D7C81" w:rsidRPr="0029195A">
        <w:t xml:space="preserve">impact of </w:t>
      </w:r>
      <w:r w:rsidR="00215426" w:rsidRPr="0029195A">
        <w:t xml:space="preserve">the </w:t>
      </w:r>
      <w:r w:rsidR="009D7C81" w:rsidRPr="0029195A">
        <w:t>transform</w:t>
      </w:r>
      <w:r w:rsidR="000356D0" w:rsidRPr="0029195A">
        <w:t>ation of costs and outcomes</w:t>
      </w:r>
      <w:r w:rsidR="00830D0B" w:rsidRPr="0029195A">
        <w:t xml:space="preserve"> </w:t>
      </w:r>
      <w:r w:rsidR="00E605D1" w:rsidRPr="0029195A">
        <w:t>to include</w:t>
      </w:r>
      <w:r w:rsidR="00830D0B" w:rsidRPr="0029195A">
        <w:t xml:space="preserve"> multiple relapse, re</w:t>
      </w:r>
      <w:r w:rsidR="0085694D" w:rsidRPr="0029195A">
        <w:t xml:space="preserve">-inductions with avacopan and </w:t>
      </w:r>
      <w:r w:rsidR="00AC67E2" w:rsidRPr="0029195A">
        <w:t xml:space="preserve">maintenance treatments over 30 years would have </w:t>
      </w:r>
      <w:r w:rsidR="00715C07" w:rsidRPr="0029195A">
        <w:t xml:space="preserve">been informative. </w:t>
      </w:r>
    </w:p>
    <w:p w14:paraId="0256E989" w14:textId="3FED1CDB" w:rsidR="00DC355F" w:rsidRPr="0029195A" w:rsidRDefault="00DC355F" w:rsidP="007A6355">
      <w:pPr>
        <w:pStyle w:val="3-BodyText"/>
      </w:pPr>
      <w:r w:rsidRPr="0029195A">
        <w:t xml:space="preserve">Overall, the ESC considered the model was not reliable for decision making given the concerns raised regarding the clinical claims related to induction therapy in paragraph </w:t>
      </w:r>
      <w:r w:rsidR="00843E0B">
        <w:fldChar w:fldCharType="begin" w:fldLock="1"/>
      </w:r>
      <w:r w:rsidR="00843E0B">
        <w:instrText xml:space="preserve"> REF _Ref137753081 \r \h </w:instrText>
      </w:r>
      <w:r w:rsidR="00843E0B">
        <w:fldChar w:fldCharType="separate"/>
      </w:r>
      <w:r w:rsidR="00740D9D">
        <w:t>6.36</w:t>
      </w:r>
      <w:r w:rsidR="00843E0B">
        <w:fldChar w:fldCharType="end"/>
      </w:r>
      <w:r w:rsidR="00843E0B">
        <w:t xml:space="preserve"> </w:t>
      </w:r>
      <w:r w:rsidRPr="0029195A">
        <w:t xml:space="preserve">and maintenance therapy in paragraph </w:t>
      </w:r>
      <w:r w:rsidR="00843E0B">
        <w:fldChar w:fldCharType="begin" w:fldLock="1"/>
      </w:r>
      <w:r w:rsidR="00843E0B">
        <w:instrText xml:space="preserve"> REF _Ref137749939 \r \h </w:instrText>
      </w:r>
      <w:r w:rsidR="00843E0B">
        <w:fldChar w:fldCharType="separate"/>
      </w:r>
      <w:r w:rsidR="00740D9D">
        <w:t>6.37</w:t>
      </w:r>
      <w:r w:rsidR="00843E0B">
        <w:fldChar w:fldCharType="end"/>
      </w:r>
      <w:r w:rsidRPr="0029195A">
        <w:t>. The ESC noted that at Week 26, avacopan + SOC was non-inferior to prednisone + SOC in achieving disease remission, however superiority was not demonstrated. The ESC considered that with prednisolone + SOC an appropriate comparator for induction therapy, a cost-minimisation approach that accounts for differences in the adverse event profiles may be an appropriate way forward. The pre-PBAC response  strongly disagreed that a cost-minimisation approach was relevant in assessing the cost effectiveness of avacopan and argued that such an approach would undervalue avacopan.</w:t>
      </w:r>
    </w:p>
    <w:p w14:paraId="623AA247" w14:textId="5A26C72D" w:rsidR="00E512AE" w:rsidRPr="0029195A" w:rsidRDefault="00E512AE" w:rsidP="007A6355">
      <w:pPr>
        <w:pStyle w:val="3-BodyText"/>
        <w:rPr>
          <w:color w:val="0066FF"/>
        </w:rPr>
      </w:pPr>
      <w:r w:rsidRPr="0029195A">
        <w:fldChar w:fldCharType="begin" w:fldLock="1"/>
      </w:r>
      <w:r w:rsidRPr="0029195A">
        <w:instrText xml:space="preserve"> REF _Ref132098689 \h </w:instrText>
      </w:r>
      <w:r w:rsidRPr="0029195A">
        <w:fldChar w:fldCharType="separate"/>
      </w:r>
      <w:r w:rsidR="00740D9D" w:rsidRPr="0029195A">
        <w:t>Table 10</w:t>
      </w:r>
      <w:r w:rsidRPr="0029195A">
        <w:fldChar w:fldCharType="end"/>
      </w:r>
      <w:r w:rsidRPr="0029195A">
        <w:t xml:space="preserve"> presents the key components of the economic model.</w:t>
      </w:r>
      <w:r w:rsidRPr="0029195A">
        <w:rPr>
          <w:color w:val="0066FF"/>
        </w:rPr>
        <w:t xml:space="preserve"> </w:t>
      </w:r>
    </w:p>
    <w:p w14:paraId="7E706FE8" w14:textId="0017E7D3" w:rsidR="00E512AE" w:rsidRPr="0029195A" w:rsidRDefault="00E512AE" w:rsidP="00E512AE">
      <w:pPr>
        <w:pStyle w:val="Caption"/>
        <w:jc w:val="left"/>
        <w:rPr>
          <w:rStyle w:val="CommentReference"/>
          <w:b/>
          <w:szCs w:val="24"/>
        </w:rPr>
      </w:pPr>
      <w:bookmarkStart w:id="55" w:name="_Ref132098689"/>
      <w:r w:rsidRPr="0029195A">
        <w:lastRenderedPageBreak/>
        <w:t xml:space="preserve">Table </w:t>
      </w:r>
      <w:r w:rsidRPr="0029195A">
        <w:fldChar w:fldCharType="begin" w:fldLock="1"/>
      </w:r>
      <w:r w:rsidRPr="0029195A">
        <w:instrText>SEQ Table \* ARABIC</w:instrText>
      </w:r>
      <w:r w:rsidRPr="0029195A">
        <w:fldChar w:fldCharType="separate"/>
      </w:r>
      <w:r w:rsidR="00631406" w:rsidRPr="0029195A">
        <w:t>10</w:t>
      </w:r>
      <w:r w:rsidRPr="0029195A">
        <w:fldChar w:fldCharType="end"/>
      </w:r>
      <w:bookmarkEnd w:id="55"/>
      <w:r w:rsidRPr="0029195A">
        <w:t>:</w:t>
      </w:r>
      <w:r w:rsidRPr="0029195A">
        <w:rPr>
          <w:rStyle w:val="CommentReference"/>
          <w:b/>
          <w:szCs w:val="24"/>
        </w:rPr>
        <w:t xml:space="preserve">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6499"/>
      </w:tblGrid>
      <w:tr w:rsidR="00E512AE" w:rsidRPr="0029195A" w14:paraId="11F6C334" w14:textId="77777777">
        <w:trPr>
          <w:tblHeader/>
        </w:trPr>
        <w:tc>
          <w:tcPr>
            <w:tcW w:w="1396" w:type="pct"/>
            <w:shd w:val="clear" w:color="auto" w:fill="auto"/>
            <w:vAlign w:val="center"/>
          </w:tcPr>
          <w:p w14:paraId="3A82099F" w14:textId="77777777" w:rsidR="00E512AE" w:rsidRPr="0029195A" w:rsidRDefault="00E512AE">
            <w:pPr>
              <w:pStyle w:val="In-tableHeading"/>
              <w:rPr>
                <w:lang w:val="en-AU"/>
              </w:rPr>
            </w:pPr>
            <w:r w:rsidRPr="0029195A">
              <w:rPr>
                <w:lang w:val="en-AU"/>
              </w:rPr>
              <w:t>Component</w:t>
            </w:r>
          </w:p>
        </w:tc>
        <w:tc>
          <w:tcPr>
            <w:tcW w:w="3604" w:type="pct"/>
            <w:shd w:val="clear" w:color="auto" w:fill="auto"/>
            <w:vAlign w:val="center"/>
          </w:tcPr>
          <w:p w14:paraId="29B7F9CC" w14:textId="77777777" w:rsidR="00E512AE" w:rsidRPr="0029195A" w:rsidRDefault="00E512AE">
            <w:pPr>
              <w:pStyle w:val="In-tableHeading"/>
              <w:rPr>
                <w:lang w:val="en-AU"/>
              </w:rPr>
            </w:pPr>
            <w:r w:rsidRPr="0029195A">
              <w:rPr>
                <w:lang w:val="en-AU"/>
              </w:rPr>
              <w:t>Summary</w:t>
            </w:r>
          </w:p>
        </w:tc>
      </w:tr>
      <w:tr w:rsidR="00E512AE" w:rsidRPr="0029195A" w14:paraId="3EAE17D9" w14:textId="77777777">
        <w:tc>
          <w:tcPr>
            <w:tcW w:w="1396" w:type="pct"/>
            <w:shd w:val="clear" w:color="auto" w:fill="auto"/>
            <w:vAlign w:val="center"/>
          </w:tcPr>
          <w:p w14:paraId="42AB6F4B" w14:textId="77777777" w:rsidR="00E512AE" w:rsidRPr="0029195A" w:rsidRDefault="00E512AE">
            <w:pPr>
              <w:pStyle w:val="TableText0"/>
            </w:pPr>
            <w:r w:rsidRPr="0029195A">
              <w:t>Treatments</w:t>
            </w:r>
          </w:p>
        </w:tc>
        <w:tc>
          <w:tcPr>
            <w:tcW w:w="3604" w:type="pct"/>
            <w:shd w:val="clear" w:color="auto" w:fill="auto"/>
            <w:vAlign w:val="center"/>
          </w:tcPr>
          <w:p w14:paraId="45D95C13" w14:textId="12957E1F" w:rsidR="00E512AE" w:rsidRPr="0029195A" w:rsidRDefault="00E512AE">
            <w:pPr>
              <w:pStyle w:val="TableText0"/>
            </w:pPr>
            <w:r w:rsidRPr="0029195A">
              <w:t xml:space="preserve">Avacopan + SOC vs </w:t>
            </w:r>
            <w:r w:rsidR="00117C94" w:rsidRPr="0029195A">
              <w:t>prednisolone</w:t>
            </w:r>
            <w:r w:rsidRPr="0029195A">
              <w:t xml:space="preserve"> + SOC</w:t>
            </w:r>
          </w:p>
        </w:tc>
      </w:tr>
      <w:tr w:rsidR="00E512AE" w:rsidRPr="0029195A" w14:paraId="26C572A9" w14:textId="77777777">
        <w:tc>
          <w:tcPr>
            <w:tcW w:w="1396" w:type="pct"/>
            <w:shd w:val="clear" w:color="auto" w:fill="auto"/>
            <w:vAlign w:val="center"/>
          </w:tcPr>
          <w:p w14:paraId="37D5BC98" w14:textId="77777777" w:rsidR="00E512AE" w:rsidRPr="0029195A" w:rsidRDefault="00E512AE">
            <w:pPr>
              <w:pStyle w:val="TableText0"/>
            </w:pPr>
            <w:r w:rsidRPr="0029195A">
              <w:t>Time horizon</w:t>
            </w:r>
          </w:p>
        </w:tc>
        <w:tc>
          <w:tcPr>
            <w:tcW w:w="3604" w:type="pct"/>
            <w:shd w:val="clear" w:color="auto" w:fill="auto"/>
            <w:vAlign w:val="center"/>
          </w:tcPr>
          <w:p w14:paraId="1DB0E81D" w14:textId="088B8A8F" w:rsidR="00E512AE" w:rsidRPr="0029195A" w:rsidRDefault="00E512AE">
            <w:pPr>
              <w:pStyle w:val="TableText0"/>
            </w:pPr>
            <w:r w:rsidRPr="0029195A">
              <w:t>30 years in the model base case versus 52 week</w:t>
            </w:r>
            <w:r w:rsidR="00CC7CEB" w:rsidRPr="0029195A">
              <w:t>s</w:t>
            </w:r>
            <w:r w:rsidRPr="0029195A">
              <w:t xml:space="preserve"> in trial</w:t>
            </w:r>
          </w:p>
        </w:tc>
      </w:tr>
      <w:tr w:rsidR="00E512AE" w:rsidRPr="0029195A" w14:paraId="690F5ABD" w14:textId="77777777">
        <w:tc>
          <w:tcPr>
            <w:tcW w:w="1396" w:type="pct"/>
            <w:shd w:val="clear" w:color="auto" w:fill="auto"/>
            <w:vAlign w:val="center"/>
          </w:tcPr>
          <w:p w14:paraId="7FCC73DD" w14:textId="77777777" w:rsidR="00E512AE" w:rsidRPr="0029195A" w:rsidRDefault="00E512AE">
            <w:pPr>
              <w:pStyle w:val="TableText0"/>
            </w:pPr>
            <w:r w:rsidRPr="0029195A">
              <w:t>Outcomes</w:t>
            </w:r>
          </w:p>
        </w:tc>
        <w:tc>
          <w:tcPr>
            <w:tcW w:w="3604" w:type="pct"/>
            <w:shd w:val="clear" w:color="auto" w:fill="auto"/>
            <w:vAlign w:val="center"/>
          </w:tcPr>
          <w:p w14:paraId="6185E782" w14:textId="77777777" w:rsidR="00E512AE" w:rsidRPr="0029195A" w:rsidRDefault="00E512AE">
            <w:pPr>
              <w:pStyle w:val="TableText0"/>
            </w:pPr>
            <w:r w:rsidRPr="0029195A">
              <w:t>Quality-adjusted life years</w:t>
            </w:r>
          </w:p>
        </w:tc>
      </w:tr>
      <w:tr w:rsidR="00E512AE" w:rsidRPr="0029195A" w14:paraId="7DA94C1D" w14:textId="77777777">
        <w:tc>
          <w:tcPr>
            <w:tcW w:w="1396" w:type="pct"/>
            <w:shd w:val="clear" w:color="auto" w:fill="auto"/>
            <w:vAlign w:val="center"/>
          </w:tcPr>
          <w:p w14:paraId="0D18EFD0" w14:textId="77777777" w:rsidR="00E512AE" w:rsidRPr="0029195A" w:rsidRDefault="00E512AE">
            <w:pPr>
              <w:pStyle w:val="TableText0"/>
            </w:pPr>
            <w:r w:rsidRPr="0029195A">
              <w:t>Methods used to generate results</w:t>
            </w:r>
          </w:p>
        </w:tc>
        <w:tc>
          <w:tcPr>
            <w:tcW w:w="3604" w:type="pct"/>
            <w:shd w:val="clear" w:color="auto" w:fill="auto"/>
            <w:vAlign w:val="center"/>
          </w:tcPr>
          <w:p w14:paraId="10B4A84D" w14:textId="77777777" w:rsidR="00E512AE" w:rsidRPr="0029195A" w:rsidRDefault="00E512AE">
            <w:pPr>
              <w:pStyle w:val="TableText0"/>
            </w:pPr>
            <w:r w:rsidRPr="0029195A">
              <w:t>Markov cohort model</w:t>
            </w:r>
          </w:p>
        </w:tc>
      </w:tr>
      <w:tr w:rsidR="00E512AE" w:rsidRPr="0029195A" w14:paraId="501130C3" w14:textId="77777777">
        <w:tc>
          <w:tcPr>
            <w:tcW w:w="1396" w:type="pct"/>
            <w:shd w:val="clear" w:color="auto" w:fill="auto"/>
            <w:vAlign w:val="center"/>
          </w:tcPr>
          <w:p w14:paraId="62D9F2F0" w14:textId="77777777" w:rsidR="00E512AE" w:rsidRPr="0029195A" w:rsidRDefault="00E512AE">
            <w:pPr>
              <w:pStyle w:val="TableText0"/>
            </w:pPr>
            <w:r w:rsidRPr="0029195A">
              <w:t xml:space="preserve">Treatment duration and re-inductions with avacopan </w:t>
            </w:r>
          </w:p>
        </w:tc>
        <w:tc>
          <w:tcPr>
            <w:tcW w:w="3604" w:type="pct"/>
            <w:shd w:val="clear" w:color="auto" w:fill="auto"/>
            <w:vAlign w:val="center"/>
          </w:tcPr>
          <w:p w14:paraId="5E49CB82" w14:textId="77777777" w:rsidR="00E512AE" w:rsidRPr="0029195A" w:rsidRDefault="00E512AE">
            <w:pPr>
              <w:pStyle w:val="TableText0"/>
            </w:pPr>
            <w:r w:rsidRPr="0029195A">
              <w:t xml:space="preserve">Patients treated for 6 months (induction) followed by 18 months of maintenance (approximately 24 months) and up to 3 inductions (i.e., 2 re-inductions) with avacopan allowed. </w:t>
            </w:r>
          </w:p>
        </w:tc>
      </w:tr>
      <w:tr w:rsidR="00E512AE" w:rsidRPr="0029195A" w14:paraId="6A9ABDE6" w14:textId="77777777">
        <w:tc>
          <w:tcPr>
            <w:tcW w:w="1396" w:type="pct"/>
            <w:shd w:val="clear" w:color="auto" w:fill="auto"/>
            <w:vAlign w:val="center"/>
          </w:tcPr>
          <w:p w14:paraId="3E889051" w14:textId="77777777" w:rsidR="00E512AE" w:rsidRPr="0029195A" w:rsidRDefault="00E512AE">
            <w:pPr>
              <w:pStyle w:val="TableText0"/>
            </w:pPr>
            <w:r w:rsidRPr="0029195A">
              <w:t>Health states</w:t>
            </w:r>
          </w:p>
        </w:tc>
        <w:tc>
          <w:tcPr>
            <w:tcW w:w="3604" w:type="pct"/>
            <w:shd w:val="clear" w:color="auto" w:fill="auto"/>
            <w:vAlign w:val="center"/>
          </w:tcPr>
          <w:p w14:paraId="18154759" w14:textId="77777777" w:rsidR="00E512AE" w:rsidRPr="0029195A" w:rsidRDefault="00E512AE">
            <w:pPr>
              <w:pStyle w:val="TableText0"/>
              <w:keepNext w:val="0"/>
              <w:widowControl w:val="0"/>
            </w:pPr>
            <w:r w:rsidRPr="0029195A">
              <w:t xml:space="preserve">Nine health states in total: </w:t>
            </w:r>
          </w:p>
          <w:p w14:paraId="035EE599" w14:textId="77777777" w:rsidR="00E512AE" w:rsidRPr="0029195A" w:rsidRDefault="00E512AE">
            <w:pPr>
              <w:pStyle w:val="TableText0"/>
              <w:keepNext w:val="0"/>
              <w:widowControl w:val="0"/>
            </w:pPr>
            <w:r w:rsidRPr="0029195A">
              <w:t>Active Disease, Remission (x3), Relapse (x3), ESRD, Death</w:t>
            </w:r>
          </w:p>
        </w:tc>
      </w:tr>
      <w:tr w:rsidR="00E512AE" w:rsidRPr="0029195A" w14:paraId="3E7BC759" w14:textId="77777777">
        <w:tc>
          <w:tcPr>
            <w:tcW w:w="1396" w:type="pct"/>
            <w:shd w:val="clear" w:color="auto" w:fill="auto"/>
            <w:vAlign w:val="center"/>
          </w:tcPr>
          <w:p w14:paraId="4D741DE9" w14:textId="77777777" w:rsidR="00E512AE" w:rsidRPr="0029195A" w:rsidRDefault="00E512AE">
            <w:pPr>
              <w:pStyle w:val="TableText0"/>
            </w:pPr>
            <w:r w:rsidRPr="0029195A">
              <w:t>Cycle length</w:t>
            </w:r>
          </w:p>
        </w:tc>
        <w:tc>
          <w:tcPr>
            <w:tcW w:w="3604" w:type="pct"/>
            <w:shd w:val="clear" w:color="auto" w:fill="auto"/>
            <w:vAlign w:val="center"/>
          </w:tcPr>
          <w:p w14:paraId="7AAC490F" w14:textId="77777777" w:rsidR="00E512AE" w:rsidRPr="0029195A" w:rsidRDefault="00E512AE">
            <w:pPr>
              <w:pStyle w:val="TableText0"/>
            </w:pPr>
            <w:r w:rsidRPr="0029195A">
              <w:t>4 weeks</w:t>
            </w:r>
          </w:p>
        </w:tc>
      </w:tr>
      <w:tr w:rsidR="00E512AE" w:rsidRPr="0029195A" w14:paraId="4AEEA066" w14:textId="77777777">
        <w:tc>
          <w:tcPr>
            <w:tcW w:w="1396" w:type="pct"/>
            <w:shd w:val="clear" w:color="auto" w:fill="auto"/>
            <w:vAlign w:val="center"/>
          </w:tcPr>
          <w:p w14:paraId="2D9B87C3" w14:textId="77777777" w:rsidR="00E512AE" w:rsidRPr="0029195A" w:rsidRDefault="00E512AE">
            <w:pPr>
              <w:pStyle w:val="TableText0"/>
            </w:pPr>
            <w:r w:rsidRPr="0029195A">
              <w:t xml:space="preserve">Transition probabilities </w:t>
            </w:r>
          </w:p>
          <w:p w14:paraId="42B402EE" w14:textId="77777777" w:rsidR="00E512AE" w:rsidRPr="0029195A" w:rsidRDefault="00E512AE">
            <w:pPr>
              <w:pStyle w:val="TableText0"/>
            </w:pPr>
          </w:p>
        </w:tc>
        <w:tc>
          <w:tcPr>
            <w:tcW w:w="3604" w:type="pct"/>
            <w:shd w:val="clear" w:color="auto" w:fill="auto"/>
            <w:vAlign w:val="center"/>
          </w:tcPr>
          <w:p w14:paraId="0EE13C0E" w14:textId="77777777" w:rsidR="00E512AE" w:rsidRPr="0029195A" w:rsidRDefault="00E512AE">
            <w:pPr>
              <w:pStyle w:val="TableText0"/>
            </w:pPr>
            <w:r w:rsidRPr="0029195A">
              <w:rPr>
                <w:u w:val="single"/>
              </w:rPr>
              <w:t>Active disease to relapse and remission:</w:t>
            </w:r>
            <w:r w:rsidRPr="0029195A">
              <w:t xml:space="preserve"> Proportions of patients in remission at week 26 and 52 from the ADVOCATE trial</w:t>
            </w:r>
          </w:p>
          <w:p w14:paraId="71C9A586" w14:textId="77777777" w:rsidR="00E512AE" w:rsidRPr="0029195A" w:rsidRDefault="00E512AE">
            <w:pPr>
              <w:pStyle w:val="TableText0"/>
            </w:pPr>
          </w:p>
          <w:p w14:paraId="5FDFE79C" w14:textId="697455E4" w:rsidR="00E512AE" w:rsidRPr="0029195A" w:rsidRDefault="00E512AE">
            <w:pPr>
              <w:pStyle w:val="TableText0"/>
            </w:pPr>
            <w:r w:rsidRPr="0029195A">
              <w:rPr>
                <w:u w:val="single"/>
              </w:rPr>
              <w:t>Relapse rate over time</w:t>
            </w:r>
            <w:r w:rsidRPr="0029195A">
              <w:t xml:space="preserve">: </w:t>
            </w:r>
            <w:r w:rsidR="00C96389" w:rsidRPr="0029195A">
              <w:t xml:space="preserve">Assumed to be </w:t>
            </w:r>
            <w:r w:rsidR="007D17B3" w:rsidRPr="0029195A">
              <w:t>1/5</w:t>
            </w:r>
            <w:r w:rsidR="00C272F7" w:rsidRPr="0029195A">
              <w:t xml:space="preserve"> (20% reduction) of transition probability after 2 years</w:t>
            </w:r>
          </w:p>
          <w:p w14:paraId="2BC53519" w14:textId="77777777" w:rsidR="00E512AE" w:rsidRPr="0029195A" w:rsidRDefault="00E512AE">
            <w:pPr>
              <w:pStyle w:val="TableText0"/>
            </w:pPr>
          </w:p>
          <w:p w14:paraId="4792C95D" w14:textId="2F100942" w:rsidR="00E512AE" w:rsidRPr="0029195A" w:rsidRDefault="00E512AE">
            <w:pPr>
              <w:pStyle w:val="TableText0"/>
            </w:pPr>
            <w:r w:rsidRPr="0029195A">
              <w:rPr>
                <w:u w:val="single"/>
              </w:rPr>
              <w:t>Transition to ESRD:</w:t>
            </w:r>
            <w:r w:rsidRPr="0029195A">
              <w:t xml:space="preserve"> Based on renal outcomes (eGFR) from the ADVOCATE trial, the association between eGFR and the probability of ESRD using HR of 0.90 from Gercik et al. (2020) and assumed a decrement of 10 mL/min in eGFR for each subsequent relapse based on advice from clinical experts and data from Slot et al. (2003).</w:t>
            </w:r>
          </w:p>
          <w:p w14:paraId="6543C0FC" w14:textId="77777777" w:rsidR="00E512AE" w:rsidRPr="0029195A" w:rsidRDefault="00E512AE">
            <w:pPr>
              <w:pStyle w:val="TableText0"/>
            </w:pPr>
          </w:p>
          <w:p w14:paraId="734F7955" w14:textId="77777777" w:rsidR="00E512AE" w:rsidRPr="0029195A" w:rsidRDefault="00E512AE">
            <w:pPr>
              <w:pStyle w:val="TableText0"/>
            </w:pPr>
            <w:r w:rsidRPr="0029195A">
              <w:rPr>
                <w:u w:val="single"/>
              </w:rPr>
              <w:t>Background mortality</w:t>
            </w:r>
            <w:r w:rsidRPr="0029195A">
              <w:t>: Based on Australian life tables adjusted to reflect increased risk due to AAV (Wallace et al. 2016), ESRD (Choi et al. 2014) and risk of infection due to GC use (Little et al. 2014 and data from ADVOCATE trial).</w:t>
            </w:r>
          </w:p>
        </w:tc>
      </w:tr>
      <w:tr w:rsidR="00E512AE" w:rsidRPr="0029195A" w14:paraId="2EBF7EF9" w14:textId="77777777">
        <w:tc>
          <w:tcPr>
            <w:tcW w:w="1396" w:type="pct"/>
            <w:shd w:val="clear" w:color="auto" w:fill="auto"/>
            <w:vAlign w:val="center"/>
          </w:tcPr>
          <w:p w14:paraId="3F8C3FE6" w14:textId="77777777" w:rsidR="00E512AE" w:rsidRPr="0029195A" w:rsidRDefault="00E512AE">
            <w:pPr>
              <w:pStyle w:val="TableText0"/>
            </w:pPr>
            <w:r w:rsidRPr="0029195A">
              <w:t>Extrapolation method</w:t>
            </w:r>
          </w:p>
        </w:tc>
        <w:tc>
          <w:tcPr>
            <w:tcW w:w="3604" w:type="pct"/>
            <w:shd w:val="clear" w:color="auto" w:fill="auto"/>
            <w:vAlign w:val="center"/>
          </w:tcPr>
          <w:p w14:paraId="027C220A" w14:textId="0C141CCB" w:rsidR="00E512AE" w:rsidRPr="0029195A" w:rsidRDefault="00E512AE">
            <w:pPr>
              <w:pStyle w:val="TableText0"/>
            </w:pPr>
            <w:r w:rsidRPr="0029195A">
              <w:t xml:space="preserve">Treatment effect for avacopan was assumed to wane linearly to match the </w:t>
            </w:r>
            <w:r w:rsidR="00117C94" w:rsidRPr="0029195A">
              <w:t>prednisolone</w:t>
            </w:r>
            <w:r w:rsidRPr="0029195A">
              <w:t xml:space="preserve"> + SOC arm after 52 weeks of cessation of avacopan treatment. </w:t>
            </w:r>
          </w:p>
          <w:p w14:paraId="6F32980C" w14:textId="77777777" w:rsidR="00E512AE" w:rsidRPr="0029195A" w:rsidRDefault="00E512AE">
            <w:pPr>
              <w:pStyle w:val="TableText0"/>
            </w:pPr>
          </w:p>
          <w:p w14:paraId="02FFE9F8" w14:textId="7AA14DB1" w:rsidR="00E512AE" w:rsidRPr="0029195A" w:rsidRDefault="00E512AE">
            <w:pPr>
              <w:pStyle w:val="TableText0"/>
            </w:pPr>
            <w:r w:rsidRPr="0029195A">
              <w:t xml:space="preserve">91% of QALYs (and 77% of costs) for the avacopan + SOC arm occur in the extrapolated period. The corresponding distributions for the </w:t>
            </w:r>
            <w:r w:rsidR="00117C94" w:rsidRPr="0029195A">
              <w:t>prednisolone</w:t>
            </w:r>
            <w:r w:rsidRPr="0029195A">
              <w:t xml:space="preserve"> + SOC arm are 90% and 99% respectively. </w:t>
            </w:r>
          </w:p>
        </w:tc>
      </w:tr>
      <w:tr w:rsidR="00E512AE" w:rsidRPr="0029195A" w14:paraId="33A2C15A" w14:textId="77777777">
        <w:tc>
          <w:tcPr>
            <w:tcW w:w="1396" w:type="pct"/>
            <w:shd w:val="clear" w:color="auto" w:fill="auto"/>
            <w:vAlign w:val="center"/>
          </w:tcPr>
          <w:p w14:paraId="0376F2ED" w14:textId="77777777" w:rsidR="00E512AE" w:rsidRPr="0029195A" w:rsidRDefault="00E512AE">
            <w:pPr>
              <w:pStyle w:val="TableText0"/>
            </w:pPr>
            <w:r w:rsidRPr="0029195A">
              <w:t>Health related quality of life</w:t>
            </w:r>
          </w:p>
        </w:tc>
        <w:tc>
          <w:tcPr>
            <w:tcW w:w="3604" w:type="pct"/>
            <w:shd w:val="clear" w:color="auto" w:fill="auto"/>
            <w:vAlign w:val="center"/>
          </w:tcPr>
          <w:p w14:paraId="055217C3" w14:textId="77777777" w:rsidR="00E512AE" w:rsidRPr="0029195A" w:rsidRDefault="00E512AE">
            <w:pPr>
              <w:pStyle w:val="TableText0"/>
            </w:pPr>
            <w:r w:rsidRPr="0029195A">
              <w:t>Health state utility values for the following health states were sourced from the ADVOCATE trial: Active disease = 0.702, Remission = 0.778, Relapse = 0.696.</w:t>
            </w:r>
          </w:p>
          <w:p w14:paraId="39664704" w14:textId="77777777" w:rsidR="00E512AE" w:rsidRPr="0029195A" w:rsidRDefault="00E512AE">
            <w:pPr>
              <w:pStyle w:val="TableText0"/>
            </w:pPr>
          </w:p>
          <w:p w14:paraId="64775E0B" w14:textId="77777777" w:rsidR="00F821C5" w:rsidRPr="0029195A" w:rsidRDefault="00F821C5" w:rsidP="00F821C5">
            <w:pPr>
              <w:pStyle w:val="TableText0"/>
            </w:pPr>
            <w:r w:rsidRPr="0029195A">
              <w:t xml:space="preserve">For the ESRD health state, the following utility values were applied: Dialysis = 0.458 (Submission’s own calculations based on weighted average for dialysis based on utility values for peritoneal dialysis and haemodialysis from NICE 2020 HTA assessment of patiromer for treating hyperkalaemia and proportion of patients for each dialysis type from ANZDATA Annual Report 2021), Transplant = 0.712 (NICE 2020 HTA assessment of patiromer for treating hyperkalaemia), Conservative management = 0.696 (assumed to be the same as utility for relapse health state). </w:t>
            </w:r>
          </w:p>
          <w:p w14:paraId="7B1EB0E8" w14:textId="77777777" w:rsidR="00E512AE" w:rsidRPr="0029195A" w:rsidRDefault="00E512AE">
            <w:pPr>
              <w:pStyle w:val="TableText0"/>
            </w:pPr>
          </w:p>
          <w:p w14:paraId="6375A75F" w14:textId="1824BAD7" w:rsidR="00245AFF" w:rsidRPr="0029195A" w:rsidRDefault="00E512AE">
            <w:pPr>
              <w:pStyle w:val="TableText0"/>
            </w:pPr>
            <w:r w:rsidRPr="0029195A">
              <w:t>Decrement due to GC-related infection = 0.1 (Assumption).</w:t>
            </w:r>
          </w:p>
        </w:tc>
      </w:tr>
    </w:tbl>
    <w:p w14:paraId="05E06B5F" w14:textId="77777777" w:rsidR="00E512AE" w:rsidRPr="0029195A" w:rsidRDefault="00E512AE" w:rsidP="00E512AE">
      <w:pPr>
        <w:pStyle w:val="FooterTableFigure"/>
      </w:pPr>
      <w:r w:rsidRPr="0029195A">
        <w:t>Source: Table 3-1, p102 of the submission.</w:t>
      </w:r>
    </w:p>
    <w:p w14:paraId="0D83CE8B" w14:textId="77777777" w:rsidR="00E512AE" w:rsidRPr="0029195A" w:rsidRDefault="00E512AE" w:rsidP="00E512AE">
      <w:pPr>
        <w:pStyle w:val="FooterTableFigure"/>
        <w:rPr>
          <w:rFonts w:asciiTheme="minorHAnsi" w:hAnsiTheme="minorHAnsi"/>
          <w:color w:val="0066FF"/>
          <w:sz w:val="24"/>
          <w:szCs w:val="24"/>
        </w:rPr>
      </w:pPr>
      <w:r w:rsidRPr="0029195A">
        <w:t>Abbreviations: AAV, anti-neutrophil cytoplasmic autoantibody associated vasculitis; eGFR, estimated glomerular filtration rate; ESRD, end-stage renal disease; GC, glucocorticoid; HTA, health technology assessment; NICE, National Institute for Health and Care Excellence; QALY, quality-adjusted life year; HR, hazard ratio; SOC, standard of care</w:t>
      </w:r>
    </w:p>
    <w:p w14:paraId="1497525C" w14:textId="0B187861" w:rsidR="00E512AE" w:rsidRPr="0029195A" w:rsidRDefault="00E512AE" w:rsidP="007A6355">
      <w:pPr>
        <w:pStyle w:val="3-BodyText"/>
      </w:pPr>
      <w:r w:rsidRPr="0029195A">
        <w:rPr>
          <w:lang w:eastAsia="en-GB"/>
        </w:rPr>
        <w:t xml:space="preserve">Newly diagnosed patients or relapsing patients enter the model in the Active disease health state, where they receive a first course of induction therapy. </w:t>
      </w:r>
      <w:r w:rsidRPr="0029195A">
        <w:t xml:space="preserve">Depending on response to treatment, patients either move to Remission or Relapse health states. Patients in the Relapse health state can receive a subsequent induction (up to 3 times) and can either remain in </w:t>
      </w:r>
      <w:r w:rsidR="00C13B6C" w:rsidRPr="0029195A">
        <w:t>R</w:t>
      </w:r>
      <w:r w:rsidRPr="0029195A">
        <w:t xml:space="preserve">elapse (considered to have refractory disease) or move into </w:t>
      </w:r>
      <w:r w:rsidRPr="0029195A">
        <w:lastRenderedPageBreak/>
        <w:t>the Remission health state. Patients can develop ESRD at any stage of the disease and stay in the ESRD health state until death or end of the time horizon. Patients can transition into the Death health state from any health state, depending on the background mortality applied.</w:t>
      </w:r>
    </w:p>
    <w:p w14:paraId="0C3F5F2E" w14:textId="6026AFA6" w:rsidR="00E512AE" w:rsidRPr="0029195A" w:rsidRDefault="00E512AE" w:rsidP="007A6355">
      <w:pPr>
        <w:pStyle w:val="3-BodyText"/>
      </w:pPr>
      <w:r w:rsidRPr="0029195A">
        <w:t xml:space="preserve">The model assumed that all patients with active disease who did not respond to the first induction would transition into the Relapse 1 health state for an opportunity to be re-induced with avacopan. This may not reflect clinical practice given that non-severe relapses are likely to be common and could be treated with GC. This assumption may bias in favour of avacopan given that patients transition into the Relapse health state more frequently in the comparator arm and relapse is associated with higher costs and poorer outcomes. </w:t>
      </w:r>
    </w:p>
    <w:p w14:paraId="76330D52" w14:textId="29B966C8" w:rsidR="00E512AE" w:rsidRPr="0029195A" w:rsidRDefault="00F44E48" w:rsidP="007A6355">
      <w:pPr>
        <w:pStyle w:val="3-BodyText"/>
        <w:rPr>
          <w:color w:val="0066FF"/>
        </w:rPr>
      </w:pPr>
      <w:r w:rsidRPr="0029195A">
        <w:rPr>
          <w:lang w:eastAsia="en-GB"/>
        </w:rPr>
        <w:t xml:space="preserve">Newly diagnosed </w:t>
      </w:r>
      <w:r w:rsidR="00977157" w:rsidRPr="0029195A">
        <w:rPr>
          <w:lang w:eastAsia="en-GB"/>
        </w:rPr>
        <w:t xml:space="preserve">patients </w:t>
      </w:r>
      <w:r w:rsidRPr="0029195A">
        <w:rPr>
          <w:lang w:eastAsia="en-GB"/>
        </w:rPr>
        <w:t>and relapsing</w:t>
      </w:r>
      <w:r w:rsidR="00A25886" w:rsidRPr="0029195A">
        <w:rPr>
          <w:lang w:eastAsia="en-GB"/>
        </w:rPr>
        <w:t xml:space="preserve"> </w:t>
      </w:r>
      <w:r w:rsidR="00977157" w:rsidRPr="0029195A">
        <w:rPr>
          <w:lang w:eastAsia="en-GB"/>
        </w:rPr>
        <w:t xml:space="preserve">patients (those </w:t>
      </w:r>
      <w:r w:rsidR="007D5E61" w:rsidRPr="0029195A">
        <w:rPr>
          <w:lang w:eastAsia="en-GB"/>
        </w:rPr>
        <w:t>with worsening disease after having previously achieved remission on</w:t>
      </w:r>
      <w:r w:rsidR="00977157" w:rsidRPr="0029195A">
        <w:rPr>
          <w:lang w:eastAsia="en-GB"/>
        </w:rPr>
        <w:t xml:space="preserve"> other treatments)</w:t>
      </w:r>
      <w:r w:rsidRPr="0029195A">
        <w:rPr>
          <w:lang w:eastAsia="en-GB"/>
        </w:rPr>
        <w:t xml:space="preserve"> </w:t>
      </w:r>
      <w:r w:rsidR="00977157" w:rsidRPr="0029195A">
        <w:rPr>
          <w:lang w:eastAsia="en-GB"/>
        </w:rPr>
        <w:t xml:space="preserve">entering the model </w:t>
      </w:r>
      <w:r w:rsidRPr="0029195A">
        <w:rPr>
          <w:lang w:eastAsia="en-GB"/>
        </w:rPr>
        <w:t>were treated the same in the model with the same transition probabilities</w:t>
      </w:r>
      <w:r w:rsidR="00E672C7" w:rsidRPr="0029195A">
        <w:rPr>
          <w:lang w:eastAsia="en-GB"/>
        </w:rPr>
        <w:t xml:space="preserve">. </w:t>
      </w:r>
      <w:r w:rsidR="00F821C5" w:rsidRPr="0029195A">
        <w:rPr>
          <w:lang w:eastAsia="en-GB"/>
        </w:rPr>
        <w:t>A</w:t>
      </w:r>
      <w:r w:rsidR="00483F9F" w:rsidRPr="0029195A">
        <w:rPr>
          <w:lang w:eastAsia="en-GB"/>
        </w:rPr>
        <w:t>DVOCATE trial s</w:t>
      </w:r>
      <w:r w:rsidR="00E512AE" w:rsidRPr="0029195A">
        <w:t xml:space="preserve">ubgroup analyses on </w:t>
      </w:r>
      <w:r w:rsidR="00985CF7" w:rsidRPr="0029195A">
        <w:t>newly diagnosed vs relapsed patients indicated differences in</w:t>
      </w:r>
      <w:r w:rsidR="00E512AE" w:rsidRPr="0029195A">
        <w:t xml:space="preserve"> </w:t>
      </w:r>
      <w:r w:rsidR="00234313" w:rsidRPr="0029195A">
        <w:t>the</w:t>
      </w:r>
      <w:r w:rsidR="00E512AE" w:rsidRPr="0029195A">
        <w:t xml:space="preserve"> proportions of patients </w:t>
      </w:r>
      <w:r w:rsidR="00985CF7" w:rsidRPr="0029195A">
        <w:t>achieving</w:t>
      </w:r>
      <w:r w:rsidR="00E512AE" w:rsidRPr="0029195A">
        <w:t xml:space="preserve"> remission at Weeks 26 and 52 (</w:t>
      </w:r>
      <w:r w:rsidR="00E512AE" w:rsidRPr="0029195A">
        <w:fldChar w:fldCharType="begin" w:fldLock="1"/>
      </w:r>
      <w:r w:rsidR="00E512AE" w:rsidRPr="0029195A">
        <w:instrText xml:space="preserve"> REF _Ref132295226 \h </w:instrText>
      </w:r>
      <w:r w:rsidR="00254B6F" w:rsidRPr="0029195A">
        <w:instrText xml:space="preserve"> \* MERGEFORMAT </w:instrText>
      </w:r>
      <w:r w:rsidR="00E512AE" w:rsidRPr="0029195A">
        <w:fldChar w:fldCharType="separate"/>
      </w:r>
      <w:r w:rsidR="00740D9D" w:rsidRPr="0029195A">
        <w:t>Table 6</w:t>
      </w:r>
      <w:r w:rsidR="00E512AE" w:rsidRPr="0029195A">
        <w:fldChar w:fldCharType="end"/>
      </w:r>
      <w:r w:rsidR="00E512AE" w:rsidRPr="0029195A">
        <w:t xml:space="preserve">). These differences have a substantial impact on the ICER. </w:t>
      </w:r>
      <w:r w:rsidR="001517F0" w:rsidRPr="0029195A">
        <w:t xml:space="preserve">Sensitivity </w:t>
      </w:r>
      <w:r w:rsidR="00E512AE" w:rsidRPr="0029195A">
        <w:t>analys</w:t>
      </w:r>
      <w:r w:rsidR="001517F0" w:rsidRPr="0029195A">
        <w:t>e</w:t>
      </w:r>
      <w:r w:rsidR="00E512AE" w:rsidRPr="0029195A">
        <w:t>s conducted during the evaluation showed that the ICER for only newly diagnosed AAV patients was $</w:t>
      </w:r>
      <w:r w:rsidR="00726079">
        <w:t>155,000</w:t>
      </w:r>
      <w:r w:rsidR="00E817E3">
        <w:t> </w:t>
      </w:r>
      <w:r w:rsidR="00726079">
        <w:t>to</w:t>
      </w:r>
      <w:r w:rsidR="00E817E3">
        <w:t> </w:t>
      </w:r>
      <w:r w:rsidR="00726079">
        <w:t>&lt;</w:t>
      </w:r>
      <w:r w:rsidR="00E817E3">
        <w:t> </w:t>
      </w:r>
      <w:r w:rsidR="00726079">
        <w:t>$255,000</w:t>
      </w:r>
      <w:r w:rsidR="00E512AE" w:rsidRPr="0029195A">
        <w:t xml:space="preserve">/QALY </w:t>
      </w:r>
      <w:r w:rsidR="00E512AE" w:rsidRPr="00465DBB">
        <w:t>gained (169% increase from base case of $</w:t>
      </w:r>
      <w:r w:rsidR="00726079" w:rsidRPr="00465DBB">
        <w:t>55,000</w:t>
      </w:r>
      <w:r w:rsidR="00E817E3">
        <w:t> </w:t>
      </w:r>
      <w:r w:rsidR="00726079" w:rsidRPr="00465DBB">
        <w:t>to</w:t>
      </w:r>
      <w:r w:rsidR="00E817E3">
        <w:t> </w:t>
      </w:r>
      <w:r w:rsidR="00726079" w:rsidRPr="00465DBB">
        <w:t>&lt;</w:t>
      </w:r>
      <w:r w:rsidR="00E817E3">
        <w:t> </w:t>
      </w:r>
      <w:r w:rsidR="00726079" w:rsidRPr="00465DBB">
        <w:t>$75,000</w:t>
      </w:r>
      <w:r w:rsidR="00E512AE" w:rsidRPr="00465DBB">
        <w:t>/QALY gained) and for only relapsed patients was $</w:t>
      </w:r>
      <w:r w:rsidR="00726079" w:rsidRPr="00465DBB">
        <w:t>25,000</w:t>
      </w:r>
      <w:r w:rsidR="00E817E3">
        <w:t> </w:t>
      </w:r>
      <w:r w:rsidR="00726079" w:rsidRPr="00465DBB">
        <w:t>to</w:t>
      </w:r>
      <w:r w:rsidR="00E817E3">
        <w:t> </w:t>
      </w:r>
      <w:r w:rsidR="00726079" w:rsidRPr="00465DBB">
        <w:t>&lt;</w:t>
      </w:r>
      <w:r w:rsidR="00E817E3">
        <w:t> </w:t>
      </w:r>
      <w:r w:rsidR="00726079" w:rsidRPr="00465DBB">
        <w:t>$35,000</w:t>
      </w:r>
      <w:r w:rsidR="00E512AE" w:rsidRPr="00465DBB">
        <w:t>/QALY gained (63% decrease</w:t>
      </w:r>
      <w:r w:rsidR="00E512AE" w:rsidRPr="0029195A">
        <w:t xml:space="preserve"> from base case).</w:t>
      </w:r>
      <w:r w:rsidR="00156FF8" w:rsidRPr="0029195A">
        <w:t xml:space="preserve"> </w:t>
      </w:r>
      <w:r w:rsidR="005B2366" w:rsidRPr="0029195A">
        <w:t xml:space="preserve">The </w:t>
      </w:r>
      <w:r w:rsidR="00E523DD" w:rsidRPr="0029195A">
        <w:t>PSCR argued</w:t>
      </w:r>
      <w:r w:rsidR="005B2366" w:rsidRPr="0029195A">
        <w:t xml:space="preserve"> that, consistent with the restriction which does not limit use by AAV subtype or newly diagnosed/relapsed patients, the severe AAV cohort should be modelled as a whole based on the ITT population from ADVOCATE. The ESC considered that even if a decision is based on the full cohort, there were substantial differences in effectiveness and subsequent cost-effectiveness for patient subtypes. The ESC considered the current approach obscures these differences. </w:t>
      </w:r>
      <w:r w:rsidR="00F12C5C" w:rsidRPr="0029195A">
        <w:t xml:space="preserve">The pre-PBAC </w:t>
      </w:r>
      <w:r w:rsidR="00E523DD" w:rsidRPr="0029195A">
        <w:t>response reiterated</w:t>
      </w:r>
      <w:r w:rsidR="00F12C5C" w:rsidRPr="0029195A">
        <w:t xml:space="preserve"> that the ADVOCATE trial was not powered to consider differences in GPA/MPA cohorts, relapsed/newly diagnosed or any subgroups</w:t>
      </w:r>
      <w:r w:rsidR="0029195A">
        <w:t xml:space="preserve">. </w:t>
      </w:r>
    </w:p>
    <w:p w14:paraId="1F930A09" w14:textId="0ACF1765" w:rsidR="00E512AE" w:rsidRPr="0029195A" w:rsidRDefault="00E512AE" w:rsidP="007A6355">
      <w:pPr>
        <w:pStyle w:val="3-BodyText"/>
      </w:pPr>
      <w:r w:rsidRPr="0029195A">
        <w:t xml:space="preserve">Similarly, the treatment effect for GPA and MPA patients </w:t>
      </w:r>
      <w:r w:rsidR="006E4B1E" w:rsidRPr="0029195A">
        <w:t xml:space="preserve">was </w:t>
      </w:r>
      <w:r w:rsidRPr="0029195A">
        <w:t xml:space="preserve">assumed to be the same. Subgroup analyses by AAV type indicate differences in remission rates at Weeks 26 and 52 with results driven by </w:t>
      </w:r>
      <w:r w:rsidR="00F13F3D" w:rsidRPr="0029195A">
        <w:t xml:space="preserve">a larger treatment effect for </w:t>
      </w:r>
      <w:r w:rsidRPr="0029195A">
        <w:t>MPA patients (</w:t>
      </w:r>
      <w:r w:rsidRPr="0029195A">
        <w:fldChar w:fldCharType="begin" w:fldLock="1"/>
      </w:r>
      <w:r w:rsidRPr="0029195A">
        <w:instrText xml:space="preserve"> REF _Ref132295226 \h </w:instrText>
      </w:r>
      <w:r w:rsidR="009306CF" w:rsidRPr="0029195A">
        <w:instrText xml:space="preserve"> \* MERGEFORMAT </w:instrText>
      </w:r>
      <w:r w:rsidRPr="0029195A">
        <w:fldChar w:fldCharType="separate"/>
      </w:r>
      <w:r w:rsidR="00740D9D" w:rsidRPr="0029195A">
        <w:t>Table 6</w:t>
      </w:r>
      <w:r w:rsidRPr="0029195A">
        <w:fldChar w:fldCharType="end"/>
      </w:r>
      <w:r w:rsidRPr="0029195A">
        <w:t xml:space="preserve">) </w:t>
      </w:r>
      <w:r w:rsidR="00F13F3D" w:rsidRPr="0029195A">
        <w:t>who</w:t>
      </w:r>
      <w:r w:rsidRPr="0029195A">
        <w:t xml:space="preserve"> likely make up a smaller proportion of AAV patients in the Australian setting.</w:t>
      </w:r>
    </w:p>
    <w:p w14:paraId="66F4CFDD" w14:textId="1123C089" w:rsidR="00E512AE" w:rsidRPr="0029195A" w:rsidRDefault="00E512AE" w:rsidP="007A6355">
      <w:pPr>
        <w:pStyle w:val="3-BodyText"/>
      </w:pPr>
      <w:r w:rsidRPr="0029195A">
        <w:t>The model assumed that patients would be treated with avacopan over 24 months (6</w:t>
      </w:r>
      <w:r w:rsidR="008515B4">
        <w:t> </w:t>
      </w:r>
      <w:r w:rsidRPr="0029195A">
        <w:t>months of induction, followed by 18 months of maintenance). The model also allowed patients in remission to be re-inducted with avacopan up to two times. There is currently no evidence to support the use of avacopan beyond 52 weeks</w:t>
      </w:r>
      <w:r w:rsidR="00BB3484" w:rsidRPr="0029195A">
        <w:t>,</w:t>
      </w:r>
      <w:r w:rsidRPr="0029195A">
        <w:t xml:space="preserve"> as maintenance </w:t>
      </w:r>
      <w:r w:rsidR="00BB3484" w:rsidRPr="0029195A">
        <w:t>therapy</w:t>
      </w:r>
      <w:r w:rsidRPr="0029195A">
        <w:t>. Similarly, there is no evidence to support the use of avacopan for multiple inductions.</w:t>
      </w:r>
      <w:r w:rsidR="009140F5" w:rsidRPr="0029195A">
        <w:t xml:space="preserve"> The </w:t>
      </w:r>
      <w:r w:rsidR="00E523DD" w:rsidRPr="0029195A">
        <w:t>PSCR argued</w:t>
      </w:r>
      <w:r w:rsidR="009140F5" w:rsidRPr="0029195A">
        <w:t xml:space="preserve"> that clinicians present at the sponsors October 2022 Advisory Board Meeting indicated it would be clinically inappropriate to limit treatment to 52-weeks if a patient has exhibited a positive response to treatment simply because the clinical trial data extends only to 52 weeks. The ESC reiterated </w:t>
      </w:r>
      <w:r w:rsidR="009140F5" w:rsidRPr="0029195A">
        <w:lastRenderedPageBreak/>
        <w:t>concerns that the difference in the proportion of patients achieving sustained remission between the two treatment arms (see paragraph</w:t>
      </w:r>
      <w:r w:rsidR="0061340C" w:rsidRPr="0029195A">
        <w:t xml:space="preserve"> </w:t>
      </w:r>
      <w:r w:rsidR="0061340C" w:rsidRPr="0029195A">
        <w:fldChar w:fldCharType="begin" w:fldLock="1"/>
      </w:r>
      <w:r w:rsidR="0061340C" w:rsidRPr="0029195A">
        <w:instrText xml:space="preserve"> REF _Ref141693428 \r \h </w:instrText>
      </w:r>
      <w:r w:rsidR="0061340C" w:rsidRPr="0029195A">
        <w:fldChar w:fldCharType="separate"/>
      </w:r>
      <w:r w:rsidR="00740D9D">
        <w:t>6.21</w:t>
      </w:r>
      <w:r w:rsidR="0061340C" w:rsidRPr="0029195A">
        <w:fldChar w:fldCharType="end"/>
      </w:r>
      <w:r w:rsidR="009140F5" w:rsidRPr="0029195A">
        <w:t xml:space="preserve">) was driven by those who were not on any maintenance therapy after rituximab (see paragraph </w:t>
      </w:r>
      <w:r w:rsidR="009140F5" w:rsidRPr="0029195A">
        <w:fldChar w:fldCharType="begin" w:fldLock="1"/>
      </w:r>
      <w:r w:rsidR="009140F5" w:rsidRPr="0029195A">
        <w:instrText xml:space="preserve"> REF _Ref137721507 \r \h </w:instrText>
      </w:r>
      <w:r w:rsidR="000A4378" w:rsidRPr="0029195A">
        <w:instrText xml:space="preserve"> \* MERGEFORMAT </w:instrText>
      </w:r>
      <w:r w:rsidR="009140F5" w:rsidRPr="0029195A">
        <w:fldChar w:fldCharType="separate"/>
      </w:r>
      <w:r w:rsidR="00740D9D">
        <w:t>6.26</w:t>
      </w:r>
      <w:r w:rsidR="009140F5" w:rsidRPr="0029195A">
        <w:fldChar w:fldCharType="end"/>
      </w:r>
      <w:r w:rsidR="009140F5" w:rsidRPr="0029195A">
        <w:t>).</w:t>
      </w:r>
      <w:r w:rsidR="009140F5" w:rsidRPr="0029195A">
        <w:rPr>
          <w:i/>
          <w:iCs/>
        </w:rPr>
        <w:t xml:space="preserve"> </w:t>
      </w:r>
    </w:p>
    <w:p w14:paraId="58D72DE5" w14:textId="02098B8A" w:rsidR="00E512AE" w:rsidRPr="0029195A" w:rsidRDefault="00E512AE" w:rsidP="007A6355">
      <w:pPr>
        <w:pStyle w:val="3-BodyText"/>
      </w:pPr>
      <w:bookmarkStart w:id="56" w:name="_Ref141774181"/>
      <w:r w:rsidRPr="0029195A">
        <w:t xml:space="preserve">The duration of the time horizon (30 years) is long relative to the ADVOCATE trial duration of 52 weeks. </w:t>
      </w:r>
      <w:r w:rsidR="00EF7737" w:rsidRPr="0029195A">
        <w:t xml:space="preserve">The </w:t>
      </w:r>
      <w:r w:rsidR="00E523DD" w:rsidRPr="0029195A">
        <w:t>PSCR argued</w:t>
      </w:r>
      <w:r w:rsidR="00EF7737" w:rsidRPr="0029195A">
        <w:t xml:space="preserve"> that treatment with avacopan will have lasting impacts on renal disease progression and mortality which can only be appropriately captured with a 30-year time horizon. The ESC noted the sensitivity analysis presented in </w:t>
      </w:r>
      <w:r w:rsidR="00EF7737" w:rsidRPr="0029195A">
        <w:fldChar w:fldCharType="begin" w:fldLock="1"/>
      </w:r>
      <w:r w:rsidR="00EF7737" w:rsidRPr="0029195A">
        <w:instrText xml:space="preserve"> REF _Ref104804865 \h  \* MERGEFORMAT </w:instrText>
      </w:r>
      <w:r w:rsidR="00EF7737" w:rsidRPr="0029195A">
        <w:fldChar w:fldCharType="separate"/>
      </w:r>
      <w:r w:rsidR="00740D9D" w:rsidRPr="0029195A">
        <w:t>Table 15</w:t>
      </w:r>
      <w:r w:rsidR="00EF7737" w:rsidRPr="0029195A">
        <w:fldChar w:fldCharType="end"/>
      </w:r>
      <w:r w:rsidR="00EF7737" w:rsidRPr="0029195A">
        <w:t xml:space="preserve"> shows that the ICER is sensitive to the time horizon selected</w:t>
      </w:r>
      <w:r w:rsidR="00B9475E" w:rsidRPr="0029195A">
        <w:t xml:space="preserve">. The ESC </w:t>
      </w:r>
      <w:r w:rsidR="00117C94" w:rsidRPr="0029195A">
        <w:t xml:space="preserve">considered </w:t>
      </w:r>
      <w:r w:rsidR="00880068" w:rsidRPr="0029195A">
        <w:t xml:space="preserve">the </w:t>
      </w:r>
      <w:r w:rsidR="00117C94" w:rsidRPr="0029195A">
        <w:t>modelled effectiveness of avacopan is perpetuated over a long time horizon, biasing in favour of avacopan</w:t>
      </w:r>
      <w:r w:rsidR="00EF7737" w:rsidRPr="0029195A">
        <w:t>. The ESC noted that the mortality benefit is built into the model a priori. The ESC considered the modelled difference in mortality was not supported by the clinical evidence and appeared to be mainly driven by increased deaths due to infections from GC in the SOC arm</w:t>
      </w:r>
      <w:r w:rsidR="00117C94" w:rsidRPr="0029195A">
        <w:t xml:space="preserve"> (see paragraph </w:t>
      </w:r>
      <w:r w:rsidR="00117C94" w:rsidRPr="0029195A">
        <w:fldChar w:fldCharType="begin" w:fldLock="1"/>
      </w:r>
      <w:r w:rsidR="00117C94" w:rsidRPr="0029195A">
        <w:instrText xml:space="preserve"> REF _Ref137735755 \r \h </w:instrText>
      </w:r>
      <w:r w:rsidR="00880068" w:rsidRPr="0029195A">
        <w:instrText xml:space="preserve"> \* MERGEFORMAT </w:instrText>
      </w:r>
      <w:r w:rsidR="00117C94" w:rsidRPr="0029195A">
        <w:fldChar w:fldCharType="separate"/>
      </w:r>
      <w:r w:rsidR="00740D9D">
        <w:t>6.63</w:t>
      </w:r>
      <w:r w:rsidR="00117C94" w:rsidRPr="0029195A">
        <w:fldChar w:fldCharType="end"/>
      </w:r>
      <w:r w:rsidR="00117C94" w:rsidRPr="0029195A">
        <w:t>)</w:t>
      </w:r>
      <w:r w:rsidR="00EF7737" w:rsidRPr="0029195A">
        <w:t>.</w:t>
      </w:r>
      <w:bookmarkEnd w:id="56"/>
    </w:p>
    <w:p w14:paraId="52089783" w14:textId="3E8D88A4" w:rsidR="00E512AE" w:rsidRPr="0029195A" w:rsidRDefault="00E512AE" w:rsidP="008515B4">
      <w:pPr>
        <w:pStyle w:val="5-SubsectionSubheading"/>
      </w:pPr>
      <w:r w:rsidRPr="0029195A">
        <w:t>Transition probabilities</w:t>
      </w:r>
    </w:p>
    <w:p w14:paraId="013AB2A3" w14:textId="75A193C4" w:rsidR="00B81077" w:rsidRPr="0029195A" w:rsidRDefault="00B81077" w:rsidP="007A6355">
      <w:pPr>
        <w:pStyle w:val="3-BodyText"/>
      </w:pPr>
      <w:r w:rsidRPr="0029195A">
        <w:t xml:space="preserve">The remission and relapse rates </w:t>
      </w:r>
      <w:r w:rsidR="00AF4A08" w:rsidRPr="0029195A">
        <w:t xml:space="preserve">and transition probabilities </w:t>
      </w:r>
      <w:r w:rsidRPr="0029195A">
        <w:t>applied in the model were based on proportions of patients in remission at Weeks 26 and 52 from the ADVOCATE trial</w:t>
      </w:r>
      <w:r w:rsidR="00715A13" w:rsidRPr="0029195A">
        <w:t>, although it is noted that the model validation outputs show that remission at 52</w:t>
      </w:r>
      <w:r w:rsidR="008515B4">
        <w:t> </w:t>
      </w:r>
      <w:r w:rsidR="00715A13" w:rsidRPr="0029195A">
        <w:t>weeks is overestimated</w:t>
      </w:r>
      <w:r w:rsidRPr="0029195A">
        <w:t xml:space="preserve">. There is uncertainty in the </w:t>
      </w:r>
      <w:r w:rsidR="00B749B5" w:rsidRPr="0029195A">
        <w:t xml:space="preserve">comparative effectiveness of avacopan + SOC versus </w:t>
      </w:r>
      <w:r w:rsidR="00B9475E" w:rsidRPr="0029195A">
        <w:t>prednisolone</w:t>
      </w:r>
      <w:r w:rsidR="00B749B5" w:rsidRPr="0029195A">
        <w:t xml:space="preserve"> + SOC</w:t>
      </w:r>
      <w:r w:rsidRPr="0029195A">
        <w:t xml:space="preserve"> given that patients in the avacopan + SOC arm were treated with higher mean non-study supplied GCs dose. This could confound part of the treatment effect for avacopan + SOC, by masking a delayed or less potent treatment effect of avacopan + SOC leading to uncertainty in the treatment effect modelled.</w:t>
      </w:r>
    </w:p>
    <w:p w14:paraId="3179AABB" w14:textId="3D91BA55" w:rsidR="00E512AE" w:rsidRPr="0029195A" w:rsidRDefault="00E512AE" w:rsidP="007A6355">
      <w:pPr>
        <w:pStyle w:val="3-BodyText"/>
      </w:pPr>
      <w:r w:rsidRPr="0029195A">
        <w:t xml:space="preserve">The submission assumed that the treatment effect for the first induction is the same as that for subsequent re-inductions. While avacopan appeared to have more favourable </w:t>
      </w:r>
      <w:r w:rsidR="00B749B5" w:rsidRPr="0029195A">
        <w:t xml:space="preserve">sustained </w:t>
      </w:r>
      <w:r w:rsidRPr="0029195A">
        <w:t>remission rates among relapsed patients</w:t>
      </w:r>
      <w:r w:rsidR="00B749B5" w:rsidRPr="0029195A">
        <w:t xml:space="preserve"> at 52 weeks</w:t>
      </w:r>
      <w:r w:rsidRPr="0029195A">
        <w:t>, it remains uncertain if subsequent inductions with avacopan would result in the same treatment effect.</w:t>
      </w:r>
    </w:p>
    <w:p w14:paraId="2397847A" w14:textId="3A2F5B76" w:rsidR="00E512AE" w:rsidRPr="0029195A" w:rsidRDefault="00E512AE" w:rsidP="007A6355">
      <w:pPr>
        <w:pStyle w:val="3-BodyText"/>
      </w:pPr>
      <w:r w:rsidRPr="0029195A">
        <w:t xml:space="preserve">The model assumed that the probability of moving from </w:t>
      </w:r>
      <w:r w:rsidR="00BB6CF8" w:rsidRPr="0029195A">
        <w:t>R</w:t>
      </w:r>
      <w:r w:rsidRPr="0029195A">
        <w:t xml:space="preserve">emission to </w:t>
      </w:r>
      <w:r w:rsidR="00BB6CF8" w:rsidRPr="0029195A">
        <w:t>R</w:t>
      </w:r>
      <w:r w:rsidRPr="0029195A">
        <w:t xml:space="preserve">elapse </w:t>
      </w:r>
      <w:r w:rsidR="007A685F" w:rsidRPr="0029195A">
        <w:t xml:space="preserve">health states </w:t>
      </w:r>
      <w:r w:rsidRPr="0029195A">
        <w:t xml:space="preserve">decreases with time, with </w:t>
      </w:r>
      <w:r w:rsidR="008B580B" w:rsidRPr="0029195A">
        <w:t>an</w:t>
      </w:r>
      <w:r w:rsidRPr="0029195A">
        <w:t xml:space="preserve"> increased risk in the first two years from remission. To account for this, the transition probability from </w:t>
      </w:r>
      <w:r w:rsidR="00BB6CF8" w:rsidRPr="0029195A">
        <w:t>R</w:t>
      </w:r>
      <w:r w:rsidRPr="0029195A">
        <w:t xml:space="preserve">emission to </w:t>
      </w:r>
      <w:r w:rsidR="00BB6CF8" w:rsidRPr="0029195A">
        <w:t>R</w:t>
      </w:r>
      <w:r w:rsidRPr="0029195A">
        <w:t xml:space="preserve">elapse after two years in remission was assumed to be 1/5 (20% reduction) of the transition probability in the first two years. While a reduced risk of relapse over time after remission is plausible, there </w:t>
      </w:r>
      <w:r w:rsidR="008B580B" w:rsidRPr="0029195A">
        <w:t>is</w:t>
      </w:r>
      <w:r w:rsidRPr="0029195A">
        <w:t xml:space="preserve"> uncertainty in the magnitude of reduction. It is noted that this assumption similarly applies to both the intervention and comparator arms. The ICER is sensitive to this assumption. Applying 10% and 30% reductions changes the ICER from $</w:t>
      </w:r>
      <w:r w:rsidR="00726079">
        <w:t>55,000</w:t>
      </w:r>
      <w:r w:rsidR="00E817E3">
        <w:t> </w:t>
      </w:r>
      <w:r w:rsidR="00726079">
        <w:t>to</w:t>
      </w:r>
      <w:r w:rsidR="00E817E3">
        <w:t> </w:t>
      </w:r>
      <w:r w:rsidR="00726079">
        <w:t>&lt;</w:t>
      </w:r>
      <w:r w:rsidR="00E817E3">
        <w:t> </w:t>
      </w:r>
      <w:r w:rsidR="00726079">
        <w:t>$75,000</w:t>
      </w:r>
      <w:r w:rsidRPr="0029195A">
        <w:t>/QALY gained to $</w:t>
      </w:r>
      <w:r w:rsidR="00726079">
        <w:t>55,000</w:t>
      </w:r>
      <w:r w:rsidR="00E817E3">
        <w:t> </w:t>
      </w:r>
      <w:r w:rsidR="00726079">
        <w:t>to</w:t>
      </w:r>
      <w:r w:rsidR="00E817E3">
        <w:t> </w:t>
      </w:r>
      <w:r w:rsidR="00726079">
        <w:t>&lt;</w:t>
      </w:r>
      <w:r w:rsidR="00E817E3">
        <w:t> </w:t>
      </w:r>
      <w:r w:rsidR="00726079">
        <w:t>$75,000</w:t>
      </w:r>
      <w:r w:rsidRPr="0029195A">
        <w:t>/QALY gained (14% decrease from base case) and $</w:t>
      </w:r>
      <w:r w:rsidR="00726079">
        <w:t>75,000</w:t>
      </w:r>
      <w:r w:rsidR="00E817E3">
        <w:t> </w:t>
      </w:r>
      <w:r w:rsidR="00726079">
        <w:t>to</w:t>
      </w:r>
      <w:r w:rsidR="00E817E3">
        <w:t> </w:t>
      </w:r>
      <w:r w:rsidR="00726079">
        <w:t>&lt;</w:t>
      </w:r>
      <w:r w:rsidR="00E817E3">
        <w:t> </w:t>
      </w:r>
      <w:r w:rsidR="00726079">
        <w:t>$95,000</w:t>
      </w:r>
      <w:r w:rsidRPr="0029195A">
        <w:t xml:space="preserve">/QALY gained </w:t>
      </w:r>
      <w:r w:rsidRPr="00465DBB">
        <w:t>(14% increase) respectively</w:t>
      </w:r>
      <w:r w:rsidRPr="0029195A">
        <w:t>.</w:t>
      </w:r>
    </w:p>
    <w:p w14:paraId="06C20D2C" w14:textId="2A05E839" w:rsidR="00E512AE" w:rsidRPr="0029195A" w:rsidRDefault="00E512AE" w:rsidP="007A6355">
      <w:pPr>
        <w:pStyle w:val="3-BodyText"/>
      </w:pPr>
      <w:bookmarkStart w:id="57" w:name="_Ref141776699"/>
      <w:r w:rsidRPr="0029195A">
        <w:t xml:space="preserve">The economic model incorporated eGFR data reported from the ADVOCATE trial to estimate the risk of ESRD for patients on avacopan + SOC and </w:t>
      </w:r>
      <w:r w:rsidR="00117C94" w:rsidRPr="0029195A">
        <w:t>prednisolone</w:t>
      </w:r>
      <w:r w:rsidRPr="0029195A">
        <w:t xml:space="preserve"> + SOC. </w:t>
      </w:r>
      <w:r w:rsidRPr="0029195A">
        <w:lastRenderedPageBreak/>
        <w:t>Improvements in eGFR as reported in the trial were converted into the corresponding change in ESRD risk using the hazard ratio (HR) (0.90; 95% CI, 0.86, 0.95) reported in Gercik et al. (2020) for ESRD per mL/min change in eGFR from baseline. There is uncertainty in the assumptions made in estimating the transition probabilities for ESRD because:</w:t>
      </w:r>
      <w:bookmarkEnd w:id="57"/>
    </w:p>
    <w:p w14:paraId="5D800416" w14:textId="507C339E" w:rsidR="00E512AE" w:rsidRPr="0029195A" w:rsidRDefault="00E512AE" w:rsidP="008515B4">
      <w:pPr>
        <w:pStyle w:val="ListParagraph"/>
      </w:pPr>
      <w:r w:rsidRPr="0029195A">
        <w:t>There may be selection bias for the eGFR outcomes presented in the ADVOCATE trial as patients without renal disease at baseline were excluded from analysis of this outcome. Absolute eGFR improvement was greater among patients with lower baseline eGFR. As such, improvements in eGFR may have been overestimated, favouring avacopan.</w:t>
      </w:r>
      <w:r w:rsidR="00B9475E" w:rsidRPr="0029195A">
        <w:t xml:space="preserve"> </w:t>
      </w:r>
      <w:r w:rsidR="00880068" w:rsidRPr="0029195A">
        <w:t xml:space="preserve">The </w:t>
      </w:r>
      <w:r w:rsidR="00E523DD" w:rsidRPr="0029195A">
        <w:t>PSCR argued</w:t>
      </w:r>
      <w:r w:rsidR="00A97D59" w:rsidRPr="0029195A">
        <w:t xml:space="preserve"> that improvement in eGFR from patients was based on all </w:t>
      </w:r>
      <w:r w:rsidR="008607F3" w:rsidRPr="0029195A">
        <w:t>patients</w:t>
      </w:r>
      <w:r w:rsidR="00A97D59" w:rsidRPr="0029195A">
        <w:t xml:space="preserve"> with renal activity and eGFR measurement at baseline, which accounted for over 80% of patients in ADVOCATE. The ESC noted that change from baseline in eGFR, was measured in subjects with renal disease based on the BVAS renal component. The ESC noted that </w:t>
      </w:r>
      <w:r w:rsidR="00715CD4" w:rsidRPr="0029195A">
        <w:t>just under 20% of the ITT population did not meet the renal disease criteria and were excluded from the analysis of this outcome</w:t>
      </w:r>
      <w:r w:rsidR="00715CD4" w:rsidRPr="0029195A">
        <w:rPr>
          <w:i/>
          <w:iCs/>
        </w:rPr>
        <w:t xml:space="preserve">. </w:t>
      </w:r>
    </w:p>
    <w:p w14:paraId="13299530" w14:textId="11D033DD" w:rsidR="00E512AE" w:rsidRPr="0029195A" w:rsidRDefault="00E512AE" w:rsidP="008515B4">
      <w:pPr>
        <w:pStyle w:val="ListParagraph"/>
      </w:pPr>
      <w:r w:rsidRPr="0029195A">
        <w:t xml:space="preserve">Although the differences in eGFR recovery at Weeks 26 and 52 between the avacopan + SOC and </w:t>
      </w:r>
      <w:r w:rsidR="00880068" w:rsidRPr="0029195A">
        <w:t>prednisolone</w:t>
      </w:r>
      <w:r w:rsidRPr="0029195A">
        <w:t xml:space="preserve"> + SOC arms from the ADVOCATE trial were statistically significant, the 95% CIs were wide. For example, at Week 26 the 95%</w:t>
      </w:r>
      <w:r w:rsidR="00AF6C7B" w:rsidRPr="0029195A">
        <w:t xml:space="preserve"> </w:t>
      </w:r>
      <w:r w:rsidRPr="0029195A">
        <w:t>CI for eGFR recovery was 0.1 to 5.8mL/min. Th</w:t>
      </w:r>
      <w:r w:rsidR="006E4B1E" w:rsidRPr="0029195A">
        <w:t>e</w:t>
      </w:r>
      <w:r w:rsidRPr="0029195A">
        <w:t xml:space="preserve"> difference is maintained and compounded over subsequent relapses in the economic model which favours the avacopan + SOC arm. </w:t>
      </w:r>
    </w:p>
    <w:p w14:paraId="3D4D1A12" w14:textId="5097DB7F" w:rsidR="00E512AE" w:rsidRPr="0029195A" w:rsidRDefault="00E512AE" w:rsidP="008515B4">
      <w:pPr>
        <w:pStyle w:val="ListParagraph"/>
      </w:pPr>
      <w:r w:rsidRPr="0029195A">
        <w:t>The HR of 0.90 from Gercik et al. (2020) was among the lowest HR</w:t>
      </w:r>
      <w:r w:rsidR="00663258" w:rsidRPr="0029195A">
        <w:t>s</w:t>
      </w:r>
      <w:r w:rsidRPr="0029195A">
        <w:t xml:space="preserve"> reported across available studies. A pooled estimated of 0.955 from Brix et al., Gercik et al. and Ford et al. was recommended by NICE (NICE avacopan HTA, 2022). Applying </w:t>
      </w:r>
      <w:r w:rsidR="00663258" w:rsidRPr="0029195A">
        <w:t xml:space="preserve">a </w:t>
      </w:r>
      <w:r w:rsidRPr="0029195A">
        <w:t>HR of 0.955 (pooled estimate) changed the ICER from $</w:t>
      </w:r>
      <w:r w:rsidR="00A26C26">
        <w:t>55,000</w:t>
      </w:r>
      <w:r w:rsidR="00E817E3">
        <w:t> </w:t>
      </w:r>
      <w:r w:rsidR="00A26C26">
        <w:t>to</w:t>
      </w:r>
      <w:r w:rsidR="00E817E3">
        <w:t> </w:t>
      </w:r>
      <w:r w:rsidR="00A26C26">
        <w:t>&lt;</w:t>
      </w:r>
      <w:r w:rsidR="00E817E3">
        <w:t> </w:t>
      </w:r>
      <w:r w:rsidR="00A26C26">
        <w:t>$75,000</w:t>
      </w:r>
      <w:r w:rsidRPr="0029195A">
        <w:t>/QALY gained to $</w:t>
      </w:r>
      <w:r w:rsidR="00A26C26">
        <w:t>75,000</w:t>
      </w:r>
      <w:r w:rsidR="00E817E3">
        <w:t> </w:t>
      </w:r>
      <w:r w:rsidR="00A26C26">
        <w:t>to</w:t>
      </w:r>
      <w:r w:rsidR="00E817E3">
        <w:t> </w:t>
      </w:r>
      <w:r w:rsidR="00A26C26">
        <w:t>&lt;</w:t>
      </w:r>
      <w:r w:rsidR="00E817E3">
        <w:t> </w:t>
      </w:r>
      <w:r w:rsidR="00A26C26">
        <w:t>$95,000</w:t>
      </w:r>
      <w:r w:rsidRPr="0029195A">
        <w:t xml:space="preserve">/QALY </w:t>
      </w:r>
      <w:r w:rsidRPr="00465DBB">
        <w:t>gained (20</w:t>
      </w:r>
      <w:r w:rsidRPr="0029195A">
        <w:t>% increase).</w:t>
      </w:r>
      <w:r w:rsidR="00C00FB4" w:rsidRPr="0029195A">
        <w:t xml:space="preserve"> </w:t>
      </w:r>
    </w:p>
    <w:p w14:paraId="51EDF0E4" w14:textId="7B6266B2" w:rsidR="00E512AE" w:rsidRPr="0029195A" w:rsidRDefault="00E512AE" w:rsidP="008515B4">
      <w:pPr>
        <w:pStyle w:val="ListParagraph"/>
      </w:pPr>
      <w:r w:rsidRPr="0029195A">
        <w:t xml:space="preserve">These assumptions and changes in eGFR drive the risk of ESRD (particularly for the </w:t>
      </w:r>
      <w:r w:rsidR="00C00AA3" w:rsidRPr="0029195A">
        <w:t>prednisolone</w:t>
      </w:r>
      <w:r w:rsidRPr="0029195A">
        <w:t xml:space="preserve"> + SOC arm) and have considerable impact on the ICER given that ESRD is an expensive health state.</w:t>
      </w:r>
    </w:p>
    <w:p w14:paraId="69325C37" w14:textId="48D29B7F" w:rsidR="00C00FB4" w:rsidRPr="0029195A" w:rsidRDefault="00E512AE" w:rsidP="007A6355">
      <w:pPr>
        <w:pStyle w:val="3-BodyText"/>
        <w:rPr>
          <w:lang w:eastAsia="en-GB"/>
        </w:rPr>
      </w:pPr>
      <w:r w:rsidRPr="0029195A">
        <w:t xml:space="preserve">The submission assumed each subsequent relapse was </w:t>
      </w:r>
      <w:r w:rsidRPr="0029195A">
        <w:rPr>
          <w:lang w:eastAsia="en-GB"/>
        </w:rPr>
        <w:t>associated with a 10</w:t>
      </w:r>
      <w:r w:rsidR="008515B4">
        <w:rPr>
          <w:lang w:eastAsia="en-GB"/>
        </w:rPr>
        <w:t> </w:t>
      </w:r>
      <w:r w:rsidRPr="0029195A">
        <w:rPr>
          <w:lang w:eastAsia="en-GB"/>
        </w:rPr>
        <w:t>mL/min decrease in eGFR based on advice from clinical experts and data from Slot et al. (2003).</w:t>
      </w:r>
      <w:r w:rsidRPr="0029195A">
        <w:t xml:space="preserve"> </w:t>
      </w:r>
      <w:r w:rsidRPr="0029195A">
        <w:rPr>
          <w:lang w:eastAsia="en-GB"/>
        </w:rPr>
        <w:t>The magnitude of eGFR decrement applied is uncertain because of the variance (large standard deviation) in the observed data from Slot et al. (2003). Halving the assumed eGFR decrease associated with relapse changed the ICER from $</w:t>
      </w:r>
      <w:r w:rsidR="00A26C26">
        <w:rPr>
          <w:lang w:eastAsia="en-GB"/>
        </w:rPr>
        <w:t>55,000</w:t>
      </w:r>
      <w:r w:rsidR="00E817E3">
        <w:rPr>
          <w:lang w:eastAsia="en-GB"/>
        </w:rPr>
        <w:t> </w:t>
      </w:r>
      <w:r w:rsidR="00A26C26">
        <w:rPr>
          <w:lang w:eastAsia="en-GB"/>
        </w:rPr>
        <w:t>to</w:t>
      </w:r>
      <w:r w:rsidR="00E817E3">
        <w:rPr>
          <w:lang w:eastAsia="en-GB"/>
        </w:rPr>
        <w:t> </w:t>
      </w:r>
      <w:r w:rsidR="00A26C26">
        <w:rPr>
          <w:lang w:eastAsia="en-GB"/>
        </w:rPr>
        <w:t>&lt;</w:t>
      </w:r>
      <w:r w:rsidR="00E817E3">
        <w:rPr>
          <w:lang w:eastAsia="en-GB"/>
        </w:rPr>
        <w:t> </w:t>
      </w:r>
      <w:r w:rsidR="00A26C26">
        <w:rPr>
          <w:lang w:eastAsia="en-GB"/>
        </w:rPr>
        <w:t>$75,000</w:t>
      </w:r>
      <w:r w:rsidRPr="0029195A">
        <w:rPr>
          <w:lang w:eastAsia="en-GB"/>
        </w:rPr>
        <w:t>/QALY gained to $</w:t>
      </w:r>
      <w:r w:rsidR="00A26C26">
        <w:rPr>
          <w:lang w:eastAsia="en-GB"/>
        </w:rPr>
        <w:t>75,000</w:t>
      </w:r>
      <w:r w:rsidR="00E817E3">
        <w:rPr>
          <w:lang w:eastAsia="en-GB"/>
        </w:rPr>
        <w:t> </w:t>
      </w:r>
      <w:r w:rsidR="00A26C26">
        <w:rPr>
          <w:lang w:eastAsia="en-GB"/>
        </w:rPr>
        <w:t>to</w:t>
      </w:r>
      <w:r w:rsidR="00E817E3">
        <w:rPr>
          <w:lang w:eastAsia="en-GB"/>
        </w:rPr>
        <w:t> </w:t>
      </w:r>
      <w:r w:rsidR="00A26C26">
        <w:rPr>
          <w:lang w:eastAsia="en-GB"/>
        </w:rPr>
        <w:t>&lt;</w:t>
      </w:r>
      <w:r w:rsidR="00E817E3">
        <w:rPr>
          <w:lang w:eastAsia="en-GB"/>
        </w:rPr>
        <w:t> </w:t>
      </w:r>
      <w:r w:rsidR="00A26C26">
        <w:rPr>
          <w:lang w:eastAsia="en-GB"/>
        </w:rPr>
        <w:t>$95,000</w:t>
      </w:r>
      <w:r w:rsidRPr="0029195A">
        <w:rPr>
          <w:lang w:eastAsia="en-GB"/>
        </w:rPr>
        <w:t>/QALY gained (14% increase) and removing this effect (assuming no decrement) changes the ICER to $</w:t>
      </w:r>
      <w:r w:rsidR="00A26C26">
        <w:rPr>
          <w:lang w:eastAsia="en-GB"/>
        </w:rPr>
        <w:t>75,000</w:t>
      </w:r>
      <w:r w:rsidR="00E817E3">
        <w:rPr>
          <w:lang w:eastAsia="en-GB"/>
        </w:rPr>
        <w:t> </w:t>
      </w:r>
      <w:r w:rsidR="00A26C26">
        <w:rPr>
          <w:lang w:eastAsia="en-GB"/>
        </w:rPr>
        <w:t>to</w:t>
      </w:r>
      <w:r w:rsidR="00E817E3">
        <w:rPr>
          <w:lang w:eastAsia="en-GB"/>
        </w:rPr>
        <w:t> </w:t>
      </w:r>
      <w:r w:rsidR="00A26C26">
        <w:rPr>
          <w:lang w:eastAsia="en-GB"/>
        </w:rPr>
        <w:t>&lt;</w:t>
      </w:r>
      <w:r w:rsidR="00E817E3">
        <w:rPr>
          <w:lang w:eastAsia="en-GB"/>
        </w:rPr>
        <w:t> </w:t>
      </w:r>
      <w:r w:rsidR="00A26C26">
        <w:rPr>
          <w:lang w:eastAsia="en-GB"/>
        </w:rPr>
        <w:t>$95,000</w:t>
      </w:r>
      <w:r w:rsidRPr="0029195A">
        <w:rPr>
          <w:lang w:eastAsia="en-GB"/>
        </w:rPr>
        <w:t>/QALY gained (33% increase).</w:t>
      </w:r>
      <w:r w:rsidR="00C00FB4" w:rsidRPr="0029195A">
        <w:rPr>
          <w:lang w:eastAsia="en-GB"/>
        </w:rPr>
        <w:t xml:space="preserve"> </w:t>
      </w:r>
      <w:r w:rsidR="00C00FB4" w:rsidRPr="0029195A">
        <w:t xml:space="preserve">The </w:t>
      </w:r>
      <w:r w:rsidR="00D83243" w:rsidRPr="0029195A">
        <w:t>PSCR argued</w:t>
      </w:r>
      <w:r w:rsidR="00C00FB4" w:rsidRPr="0029195A">
        <w:t xml:space="preserve"> that clinicians considered a decline of 10 m</w:t>
      </w:r>
      <w:r w:rsidR="00F74808" w:rsidRPr="0029195A">
        <w:t>L</w:t>
      </w:r>
      <w:r w:rsidR="00C00FB4" w:rsidRPr="0029195A">
        <w:t>/min to be at the lower end typically observed upon relapse. When a 20 mL/min decrease in eGFR is assumed, the ICER decreased to $</w:t>
      </w:r>
      <w:r w:rsidR="00A26C26">
        <w:t>55,000</w:t>
      </w:r>
      <w:r w:rsidR="00E817E3">
        <w:t> </w:t>
      </w:r>
      <w:r w:rsidR="00A26C26">
        <w:t>to</w:t>
      </w:r>
      <w:r w:rsidR="00E817E3">
        <w:t> </w:t>
      </w:r>
      <w:r w:rsidR="00A26C26">
        <w:t>&lt;</w:t>
      </w:r>
      <w:r w:rsidR="00E817E3">
        <w:t> </w:t>
      </w:r>
      <w:r w:rsidR="00A26C26">
        <w:t>$75,000</w:t>
      </w:r>
      <w:r w:rsidR="00C00FB4" w:rsidRPr="0029195A">
        <w:t>/QALY.</w:t>
      </w:r>
      <w:r w:rsidR="00BE2E4E" w:rsidRPr="0029195A">
        <w:t xml:space="preserve"> </w:t>
      </w:r>
      <w:r w:rsidR="00413A8F" w:rsidRPr="0029195A">
        <w:t xml:space="preserve">The ESC considered the ICER is very sensitive to the </w:t>
      </w:r>
      <w:r w:rsidR="00413A8F" w:rsidRPr="0029195A">
        <w:lastRenderedPageBreak/>
        <w:t>assumed change in eGFR at relapse as it drives the utilities and costs when ESRD is reached. Separately, t</w:t>
      </w:r>
      <w:r w:rsidR="00BE2E4E" w:rsidRPr="0029195A">
        <w:t>he ESC noted that Appendix 1 of the PBAC Guidelines, version 5, details how expert opinion can be incorporated into PBAC submissions and considered that the information from on the clinicians referred to the by PSCR was not provided</w:t>
      </w:r>
      <w:r w:rsidR="0029195A">
        <w:t xml:space="preserve">. </w:t>
      </w:r>
    </w:p>
    <w:p w14:paraId="045B6FB8" w14:textId="235E9311" w:rsidR="00E512AE" w:rsidRPr="0029195A" w:rsidRDefault="00E512AE" w:rsidP="007A6355">
      <w:pPr>
        <w:pStyle w:val="3-BodyText"/>
      </w:pPr>
      <w:r w:rsidRPr="0029195A">
        <w:rPr>
          <w:lang w:eastAsia="en-GB"/>
        </w:rPr>
        <w:t>To reflect the reduced burden of infection-related deaths resulting from the GC sparing due to avacopan use</w:t>
      </w:r>
      <w:r w:rsidRPr="0029195A">
        <w:t xml:space="preserve">, the model incorporated a morality risk due to increased risk of infection related to GC use using the reported </w:t>
      </w:r>
      <w:r w:rsidRPr="0029195A">
        <w:rPr>
          <w:lang w:eastAsia="en-GB"/>
        </w:rPr>
        <w:t xml:space="preserve">incidence of GC-related adverse events from the ADVOCATE trial (1.8% in avacopan + SOC and 6.7% in </w:t>
      </w:r>
      <w:r w:rsidR="00C00AA3" w:rsidRPr="0029195A">
        <w:rPr>
          <w:lang w:eastAsia="en-GB"/>
        </w:rPr>
        <w:t>prednisolone</w:t>
      </w:r>
      <w:r w:rsidRPr="0029195A">
        <w:rPr>
          <w:lang w:eastAsia="en-GB"/>
        </w:rPr>
        <w:t xml:space="preserve"> + SOC).</w:t>
      </w:r>
      <w:r w:rsidR="00EA31C3" w:rsidRPr="0029195A">
        <w:rPr>
          <w:lang w:eastAsia="en-GB"/>
        </w:rPr>
        <w:t xml:space="preserve"> Data from the ADVOCATE trial only reported proportions therefore, the significance of this difference is unclear. Furthermore, the trial data does not support the impact of this outcome on mortality</w:t>
      </w:r>
      <w:r w:rsidR="0029195A">
        <w:rPr>
          <w:lang w:eastAsia="en-GB"/>
        </w:rPr>
        <w:t xml:space="preserve">. </w:t>
      </w:r>
      <w:r w:rsidRPr="0029195A">
        <w:t xml:space="preserve">The model assumed </w:t>
      </w:r>
      <w:r w:rsidRPr="0029195A">
        <w:rPr>
          <w:lang w:eastAsia="en-GB"/>
        </w:rPr>
        <w:t>half of deaths in the first year in AAV are attributed to infections and 73.1% of infections were avoided due to avacopan use. The ICER is sensitive to this parameter. Removing this mortality risk changed ICER changed from $</w:t>
      </w:r>
      <w:r w:rsidR="00A26C26">
        <w:rPr>
          <w:lang w:eastAsia="en-GB"/>
        </w:rPr>
        <w:t>55,000</w:t>
      </w:r>
      <w:r w:rsidR="00E817E3">
        <w:rPr>
          <w:lang w:eastAsia="en-GB"/>
        </w:rPr>
        <w:t> </w:t>
      </w:r>
      <w:r w:rsidR="00A26C26">
        <w:rPr>
          <w:lang w:eastAsia="en-GB"/>
        </w:rPr>
        <w:t>to</w:t>
      </w:r>
      <w:r w:rsidR="00E817E3">
        <w:rPr>
          <w:lang w:eastAsia="en-GB"/>
        </w:rPr>
        <w:t> </w:t>
      </w:r>
      <w:r w:rsidR="00A26C26">
        <w:rPr>
          <w:lang w:eastAsia="en-GB"/>
        </w:rPr>
        <w:t>&lt;</w:t>
      </w:r>
      <w:r w:rsidR="00E817E3">
        <w:rPr>
          <w:lang w:eastAsia="en-GB"/>
        </w:rPr>
        <w:t> </w:t>
      </w:r>
      <w:r w:rsidR="00A26C26">
        <w:rPr>
          <w:lang w:eastAsia="en-GB"/>
        </w:rPr>
        <w:t>$75,000</w:t>
      </w:r>
      <w:r w:rsidRPr="0029195A">
        <w:rPr>
          <w:lang w:eastAsia="en-GB"/>
        </w:rPr>
        <w:t>/QALY (base case) to $</w:t>
      </w:r>
      <w:r w:rsidR="00A26C26">
        <w:rPr>
          <w:lang w:eastAsia="en-GB"/>
        </w:rPr>
        <w:t>75,000</w:t>
      </w:r>
      <w:r w:rsidR="00E817E3">
        <w:rPr>
          <w:lang w:eastAsia="en-GB"/>
        </w:rPr>
        <w:t> </w:t>
      </w:r>
      <w:r w:rsidR="00A26C26">
        <w:rPr>
          <w:lang w:eastAsia="en-GB"/>
        </w:rPr>
        <w:t>to</w:t>
      </w:r>
      <w:r w:rsidR="00E817E3">
        <w:rPr>
          <w:lang w:eastAsia="en-GB"/>
        </w:rPr>
        <w:t> </w:t>
      </w:r>
      <w:r w:rsidR="00A26C26">
        <w:rPr>
          <w:lang w:eastAsia="en-GB"/>
        </w:rPr>
        <w:t>&lt;</w:t>
      </w:r>
      <w:r w:rsidR="00E817E3">
        <w:rPr>
          <w:lang w:eastAsia="en-GB"/>
        </w:rPr>
        <w:t> </w:t>
      </w:r>
      <w:r w:rsidR="00A26C26">
        <w:rPr>
          <w:lang w:eastAsia="en-GB"/>
        </w:rPr>
        <w:t>$85,000</w:t>
      </w:r>
      <w:r w:rsidRPr="0029195A">
        <w:rPr>
          <w:lang w:eastAsia="en-GB"/>
        </w:rPr>
        <w:t>/</w:t>
      </w:r>
      <w:r w:rsidRPr="00465DBB">
        <w:rPr>
          <w:lang w:eastAsia="en-GB"/>
        </w:rPr>
        <w:t>QALY (17% increase).</w:t>
      </w:r>
      <w:r w:rsidR="00413A8F" w:rsidRPr="0029195A">
        <w:rPr>
          <w:lang w:eastAsia="en-GB"/>
        </w:rPr>
        <w:t xml:space="preserve"> </w:t>
      </w:r>
    </w:p>
    <w:p w14:paraId="42D996FF" w14:textId="77777777" w:rsidR="00E512AE" w:rsidRPr="0029195A" w:rsidRDefault="00E512AE" w:rsidP="008515B4">
      <w:pPr>
        <w:pStyle w:val="5-SubsectionSubheading"/>
      </w:pPr>
      <w:r w:rsidRPr="0029195A">
        <w:rPr>
          <w:lang w:eastAsia="en-GB"/>
        </w:rPr>
        <w:t>Extrapolation</w:t>
      </w:r>
    </w:p>
    <w:p w14:paraId="30829479" w14:textId="15384602" w:rsidR="00E512AE" w:rsidRPr="0029195A" w:rsidRDefault="00E512AE" w:rsidP="007A6355">
      <w:pPr>
        <w:pStyle w:val="3-BodyText"/>
      </w:pPr>
      <w:bookmarkStart w:id="58" w:name="_Ref141775694"/>
      <w:r w:rsidRPr="0029195A">
        <w:t xml:space="preserve">The treatment effect of avacopan was assumed to wane linearly over one year to match the </w:t>
      </w:r>
      <w:r w:rsidR="00413A8F" w:rsidRPr="0029195A">
        <w:t>prednisolone</w:t>
      </w:r>
      <w:r w:rsidRPr="0029195A">
        <w:t xml:space="preserve"> + SOC following the cessation of avacopan. There </w:t>
      </w:r>
      <w:r w:rsidR="00663258" w:rsidRPr="0029195A">
        <w:t>are</w:t>
      </w:r>
      <w:r w:rsidRPr="0029195A">
        <w:t xml:space="preserve"> limited data on treatment </w:t>
      </w:r>
      <w:r w:rsidR="00724898" w:rsidRPr="0029195A">
        <w:t xml:space="preserve">effect </w:t>
      </w:r>
      <w:r w:rsidRPr="0029195A">
        <w:t>waning as the follow-up period without avacopan treatment in the ADVOCATE trial was 56 days (8 weeks). Within this 8-week period, it was reported that 6 subjects (3.8%) in the avacopan +</w:t>
      </w:r>
      <w:r w:rsidR="00206038" w:rsidRPr="0029195A">
        <w:t xml:space="preserve"> </w:t>
      </w:r>
      <w:r w:rsidRPr="0029195A">
        <w:t xml:space="preserve">SOC and 7 subjects (4.5%) in the </w:t>
      </w:r>
      <w:r w:rsidR="00413A8F" w:rsidRPr="0029195A">
        <w:t>prednisolone</w:t>
      </w:r>
      <w:r w:rsidRPr="0029195A">
        <w:t xml:space="preserve"> + SOC relapsed. The method of extrapolating treatment effectiveness beyond the study period is highly uncertain. The base case ICER changed from $</w:t>
      </w:r>
      <w:r w:rsidR="00A26C26">
        <w:t>55,000</w:t>
      </w:r>
      <w:r w:rsidR="00E817E3">
        <w:t> </w:t>
      </w:r>
      <w:r w:rsidR="00A26C26">
        <w:t>to</w:t>
      </w:r>
      <w:r w:rsidR="00E817E3">
        <w:t> </w:t>
      </w:r>
      <w:r w:rsidR="00A26C26">
        <w:t>&lt;</w:t>
      </w:r>
      <w:r w:rsidR="00E817E3">
        <w:t> </w:t>
      </w:r>
      <w:r w:rsidR="00A26C26">
        <w:t>$75,000</w:t>
      </w:r>
      <w:r w:rsidRPr="0029195A">
        <w:t>/QALY gained to $</w:t>
      </w:r>
      <w:r w:rsidR="00A26C26">
        <w:t>95,000</w:t>
      </w:r>
      <w:r w:rsidR="00E817E3">
        <w:t> </w:t>
      </w:r>
      <w:r w:rsidR="00A26C26">
        <w:t>to</w:t>
      </w:r>
      <w:r w:rsidR="00E817E3">
        <w:t> </w:t>
      </w:r>
      <w:r w:rsidR="00A26C26">
        <w:t>&lt;</w:t>
      </w:r>
      <w:r w:rsidR="00E817E3">
        <w:t> </w:t>
      </w:r>
      <w:r w:rsidR="00A26C26">
        <w:t>$115,000</w:t>
      </w:r>
      <w:r w:rsidRPr="0029195A">
        <w:t>/QALY gained when the treatment effect was turned off after 52 weeks. When treatment effect waned after 6 months of stopping avacopan</w:t>
      </w:r>
      <w:r w:rsidR="008D6BCA" w:rsidRPr="0029195A">
        <w:t xml:space="preserve"> (instead of 52 weeks base case),</w:t>
      </w:r>
      <w:r w:rsidRPr="0029195A">
        <w:t xml:space="preserve"> the ICER was $</w:t>
      </w:r>
      <w:r w:rsidR="00A26C26">
        <w:t>75,000</w:t>
      </w:r>
      <w:r w:rsidR="00E817E3">
        <w:t> </w:t>
      </w:r>
      <w:r w:rsidR="00A26C26">
        <w:t>to</w:t>
      </w:r>
      <w:r w:rsidR="00E817E3">
        <w:t> </w:t>
      </w:r>
      <w:r w:rsidR="00A26C26">
        <w:t>&lt;</w:t>
      </w:r>
      <w:r w:rsidR="00E817E3">
        <w:t> </w:t>
      </w:r>
      <w:r w:rsidR="00A26C26">
        <w:t>$95,000</w:t>
      </w:r>
      <w:r w:rsidRPr="0029195A">
        <w:t xml:space="preserve">/QALY gained (16% increase from base case). </w:t>
      </w:r>
      <w:r w:rsidR="00413A8F" w:rsidRPr="0029195A">
        <w:rPr>
          <w:lang w:eastAsia="en-GB"/>
        </w:rPr>
        <w:t>The PSCR  argued that the efficacy of avacopan compared with prednisolone was maintained following the 8</w:t>
      </w:r>
      <w:r w:rsidR="00DB6007" w:rsidRPr="0029195A">
        <w:rPr>
          <w:lang w:eastAsia="en-GB"/>
        </w:rPr>
        <w:t>-week follow-up period after cessation of avacopan. The ESC considered the data from the 8-week follow-up period was unlikely to robustly inform a 12 month waning period and noted this had a substantial effect on the ICER</w:t>
      </w:r>
      <w:bookmarkEnd w:id="58"/>
      <w:r w:rsidR="0029195A">
        <w:rPr>
          <w:lang w:eastAsia="en-GB"/>
        </w:rPr>
        <w:t xml:space="preserve">. </w:t>
      </w:r>
    </w:p>
    <w:p w14:paraId="1C86A5A6" w14:textId="77777777" w:rsidR="00E512AE" w:rsidRPr="0029195A" w:rsidRDefault="00E512AE" w:rsidP="008515B4">
      <w:pPr>
        <w:pStyle w:val="5-SubsectionSubheading"/>
      </w:pPr>
      <w:r w:rsidRPr="0029195A">
        <w:t>Utility values</w:t>
      </w:r>
    </w:p>
    <w:p w14:paraId="748D93EA" w14:textId="7F71EBBF" w:rsidR="00E512AE" w:rsidRPr="0029195A" w:rsidRDefault="00E512AE" w:rsidP="007A6355">
      <w:pPr>
        <w:pStyle w:val="3-BodyText"/>
      </w:pPr>
      <w:r w:rsidRPr="0029195A">
        <w:t xml:space="preserve">The model applied utility values </w:t>
      </w:r>
      <w:r w:rsidRPr="0029195A">
        <w:rPr>
          <w:lang w:eastAsia="en-GB"/>
        </w:rPr>
        <w:t>from EQ-5D-5L data from the ADVOCATE trial stratified by health state (Active disease, Remission and Relapse) according to remission and relapse definitions of the</w:t>
      </w:r>
      <w:r w:rsidR="008D6BCA" w:rsidRPr="0029195A">
        <w:rPr>
          <w:lang w:eastAsia="en-GB"/>
        </w:rPr>
        <w:t xml:space="preserve"> ADVOCATE</w:t>
      </w:r>
      <w:r w:rsidRPr="0029195A">
        <w:rPr>
          <w:lang w:eastAsia="en-GB"/>
        </w:rPr>
        <w:t xml:space="preserve"> trial. Pooled utility values across the two study arms were applied. This is reasonable and the use of non-treatment specific health state values represents a conservative approach.</w:t>
      </w:r>
    </w:p>
    <w:p w14:paraId="76706434" w14:textId="6C517A09" w:rsidR="00E512AE" w:rsidRPr="0029195A" w:rsidRDefault="00E512AE" w:rsidP="007A6355">
      <w:pPr>
        <w:pStyle w:val="3-BodyText"/>
      </w:pPr>
      <w:r w:rsidRPr="0029195A">
        <w:t xml:space="preserve">The utility values applied in the model for dialysis and transplant were 0.443 and 0.712, respectively. An alternative source for utility values from a systematic review and meta-analysis (Wyld et al. 2012) reported a utility value of 0.70 (95% CI, 0.62-0.78) </w:t>
      </w:r>
      <w:r w:rsidRPr="0029195A">
        <w:lastRenderedPageBreak/>
        <w:t>among patients on dialysis and 0.82 (95% CI, 0.74, 0.90) among patients with transplant. The ICER is sensitive to these ESRD utility values. Revising the utility values for both the transplant and dialysis health states changed the ICER from $</w:t>
      </w:r>
      <w:r w:rsidR="00A26C26">
        <w:t>55,000</w:t>
      </w:r>
      <w:r w:rsidR="00E817E3">
        <w:t> </w:t>
      </w:r>
      <w:r w:rsidR="00A26C26">
        <w:t>to</w:t>
      </w:r>
      <w:r w:rsidR="00E817E3">
        <w:t> </w:t>
      </w:r>
      <w:r w:rsidR="00A26C26">
        <w:t>&lt;</w:t>
      </w:r>
      <w:r w:rsidR="00E817E3">
        <w:t> </w:t>
      </w:r>
      <w:r w:rsidR="00A26C26">
        <w:t>$75,000</w:t>
      </w:r>
      <w:r w:rsidRPr="0029195A">
        <w:t>/QALY at base case to $</w:t>
      </w:r>
      <w:r w:rsidR="00A26C26">
        <w:t>75,000</w:t>
      </w:r>
      <w:r w:rsidR="00E817E3">
        <w:t> </w:t>
      </w:r>
      <w:r w:rsidR="00A26C26">
        <w:t>to</w:t>
      </w:r>
      <w:r w:rsidR="00E817E3">
        <w:t> </w:t>
      </w:r>
      <w:r w:rsidR="00A26C26">
        <w:t>&lt; $95,000</w:t>
      </w:r>
      <w:r w:rsidRPr="0029195A">
        <w:t>/QALY (21% increase).</w:t>
      </w:r>
    </w:p>
    <w:p w14:paraId="50C103D1" w14:textId="3AD638B8" w:rsidR="00E512AE" w:rsidRPr="0029195A" w:rsidRDefault="00E512AE" w:rsidP="007A6355">
      <w:pPr>
        <w:pStyle w:val="3-BodyText"/>
      </w:pPr>
      <w:r w:rsidRPr="0029195A">
        <w:t xml:space="preserve">The submission applied an assumed decrement of 0.1 for the occurrence of any GC-related infections. This parameter was tested in sensitivity analysis during the evaluation, and it did not appear to have any </w:t>
      </w:r>
      <w:r w:rsidR="00724898" w:rsidRPr="0029195A">
        <w:t xml:space="preserve">substantial </w:t>
      </w:r>
      <w:r w:rsidRPr="0029195A">
        <w:t xml:space="preserve">impact the ICER. </w:t>
      </w:r>
    </w:p>
    <w:p w14:paraId="17BC5C8B" w14:textId="77777777" w:rsidR="00E512AE" w:rsidRPr="0029195A" w:rsidRDefault="00E512AE" w:rsidP="008515B4">
      <w:pPr>
        <w:pStyle w:val="5-SubsectionSubheading"/>
      </w:pPr>
      <w:r w:rsidRPr="0029195A">
        <w:t>Costs</w:t>
      </w:r>
    </w:p>
    <w:p w14:paraId="3036FE63" w14:textId="24C7A004" w:rsidR="00E512AE" w:rsidRPr="0029195A" w:rsidRDefault="00E512AE" w:rsidP="007A6355">
      <w:pPr>
        <w:pStyle w:val="3-BodyText"/>
        <w:rPr>
          <w:i/>
          <w:iCs/>
        </w:rPr>
      </w:pPr>
      <w:r w:rsidRPr="0029195A">
        <w:t>The model incorporated treatment costs relevant to both induction and maintenance therapies which included avacopan and recommended concomitant medications. Costs related to resource use for monitoring of the disease, and hospitalisation and clinic visits to cover serious adverse events including infections were included and were informed by the Australian Vasculitis Advisory Board and an unpublished draft manuscript from Monash Health Vasculitis Clinic. Hospitalisation data reporting average number of hospitalisation</w:t>
      </w:r>
      <w:r w:rsidR="006E6110" w:rsidRPr="0029195A">
        <w:t>s</w:t>
      </w:r>
      <w:r w:rsidRPr="0029195A">
        <w:t xml:space="preserve"> and length of stay were available from the ADVOCATE trial but were not described in the submission. The model did provide an option to include hospitalisation data from ADVOCATE and this was presented in </w:t>
      </w:r>
      <w:r w:rsidR="006E6110" w:rsidRPr="0029195A">
        <w:t xml:space="preserve">a </w:t>
      </w:r>
      <w:r w:rsidRPr="0029195A">
        <w:t>sensitivity analysis in the submission. Including this option changed the ICER from $</w:t>
      </w:r>
      <w:r w:rsidR="00A26C26">
        <w:t>55,000</w:t>
      </w:r>
      <w:r w:rsidR="00E817E3">
        <w:t> </w:t>
      </w:r>
      <w:r w:rsidR="00A26C26">
        <w:t>to</w:t>
      </w:r>
      <w:r w:rsidR="00E817E3">
        <w:t> </w:t>
      </w:r>
      <w:r w:rsidR="00A26C26">
        <w:t>&lt;</w:t>
      </w:r>
      <w:r w:rsidR="00E817E3">
        <w:t> </w:t>
      </w:r>
      <w:r w:rsidR="00A26C26">
        <w:t>$75,000</w:t>
      </w:r>
      <w:r w:rsidRPr="0029195A">
        <w:t>/QALY gained at base case to $</w:t>
      </w:r>
      <w:r w:rsidR="00A26C26">
        <w:t>75,000</w:t>
      </w:r>
      <w:r w:rsidR="00E817E3">
        <w:t> </w:t>
      </w:r>
      <w:r w:rsidR="00A26C26">
        <w:t>to</w:t>
      </w:r>
      <w:r w:rsidR="00E817E3">
        <w:t> </w:t>
      </w:r>
      <w:r w:rsidR="00A26C26">
        <w:t>&lt;</w:t>
      </w:r>
      <w:r w:rsidR="00E817E3">
        <w:t> </w:t>
      </w:r>
      <w:r w:rsidR="00A26C26">
        <w:t>$95,000</w:t>
      </w:r>
      <w:r w:rsidRPr="0029195A">
        <w:t>/QALY gained (18% increase).</w:t>
      </w:r>
    </w:p>
    <w:p w14:paraId="48C9F727" w14:textId="78FB97CA" w:rsidR="00E512AE" w:rsidRPr="0029195A" w:rsidRDefault="00E512AE" w:rsidP="007A6355">
      <w:pPr>
        <w:pStyle w:val="3-BodyText"/>
      </w:pPr>
      <w:r w:rsidRPr="0029195A">
        <w:t xml:space="preserve">The costs related to ESRD treatment were estimated based on the treatment options available to ESRD patients. The cost for the ESRD health state was calculated based on cost of the treatment options including dialysis, transplant and conservative management (NSW Dialysis Costing Study conducted in 2008) and the proportion of ESRD patients for each of the options (annual report of ANZDATA 2020). This appears to be a similar approach applied in the chronic kidney disease model </w:t>
      </w:r>
      <w:r w:rsidR="009569E9" w:rsidRPr="0029195A">
        <w:t>for</w:t>
      </w:r>
      <w:r w:rsidRPr="0029195A">
        <w:t xml:space="preserve"> a previous PBAC submission</w:t>
      </w:r>
      <w:r w:rsidR="006E6110" w:rsidRPr="0029195A">
        <w:t xml:space="preserve"> for dapagliflozin in CKD</w:t>
      </w:r>
      <w:r w:rsidRPr="0029195A">
        <w:t xml:space="preserve">. </w:t>
      </w:r>
      <w:r w:rsidR="00C00AA3" w:rsidRPr="0029195A">
        <w:t xml:space="preserve">At that time, the </w:t>
      </w:r>
      <w:r w:rsidRPr="0029195A">
        <w:t>ESC noted that there was substantial uncertainty in the approach of estimating ESRD costs due to the assumed fixed distribution of patients among ESRD treatment modalities (17.4% conservative management, 43.0% dialysis, 39.6% transplant), and the use of unit costs based on inflation of older data that may not reflect current costs in clinical practice (para 6.47, dapagliflozin, Public Summary Document, September (addendum) 2021 PBAC meeting). Similar issues are present for this economic evaluation resulting in high uncertainty in the cost estimates used.</w:t>
      </w:r>
    </w:p>
    <w:p w14:paraId="071B6F2F" w14:textId="77777777" w:rsidR="00E512AE" w:rsidRPr="0029195A" w:rsidRDefault="00E512AE" w:rsidP="007A6355">
      <w:pPr>
        <w:pStyle w:val="3-BodyText"/>
      </w:pPr>
      <w:r w:rsidRPr="0029195A">
        <w:t>Overall, the observed costs applied for the ESRD-related treatments appear to be high for the following reasons:</w:t>
      </w:r>
    </w:p>
    <w:p w14:paraId="064F9C47" w14:textId="56C66915" w:rsidR="00E512AE" w:rsidRPr="008515B4" w:rsidRDefault="00E512AE" w:rsidP="008515B4">
      <w:pPr>
        <w:pStyle w:val="ListParagraph"/>
      </w:pPr>
      <w:r w:rsidRPr="008515B4">
        <w:t xml:space="preserve">The submission applied a constant cost for each year of the model (more reflective of first year costs) in its estimations thus may have overestimated dialysis </w:t>
      </w:r>
      <w:r w:rsidR="00C26885" w:rsidRPr="008515B4">
        <w:t xml:space="preserve">and transplant </w:t>
      </w:r>
      <w:r w:rsidRPr="008515B4">
        <w:t xml:space="preserve">costs for subsequent years. </w:t>
      </w:r>
    </w:p>
    <w:p w14:paraId="372B0285" w14:textId="77777777" w:rsidR="00E512AE" w:rsidRPr="008515B4" w:rsidRDefault="00E512AE" w:rsidP="008515B4">
      <w:pPr>
        <w:pStyle w:val="ListParagraph"/>
      </w:pPr>
      <w:r w:rsidRPr="008515B4">
        <w:lastRenderedPageBreak/>
        <w:t xml:space="preserve">The source used (report from Deloitte Access Economics, 2011) to estimate the cost of conservative management may be overestimated because they include costs beyond those that are relevant to the healthcare system perspective (i.e., included patient transport, aids and appliances, health research and administration systems). </w:t>
      </w:r>
    </w:p>
    <w:p w14:paraId="03E997A4" w14:textId="31B34E30" w:rsidR="006E6110" w:rsidRPr="0029195A" w:rsidRDefault="00E512AE" w:rsidP="008515B4">
      <w:pPr>
        <w:pStyle w:val="ListBullet"/>
        <w:numPr>
          <w:ilvl w:val="0"/>
          <w:numId w:val="0"/>
        </w:numPr>
        <w:spacing w:after="120"/>
        <w:ind w:left="709"/>
      </w:pPr>
      <w:r w:rsidRPr="0029195A">
        <w:t xml:space="preserve">This is important because cost offsets were largely driven by costs in the ESRD health state. </w:t>
      </w:r>
    </w:p>
    <w:p w14:paraId="62BEEC24" w14:textId="7D6E20E2" w:rsidR="00E512AE" w:rsidRPr="0029195A" w:rsidRDefault="00E512AE" w:rsidP="007A6355">
      <w:pPr>
        <w:pStyle w:val="3-BodyText"/>
      </w:pPr>
      <w:r w:rsidRPr="0029195A">
        <w:t xml:space="preserve">Compared with the results observed in the ADVOCATE trial, the proportions of patients in the Remission health state in the economic model were lower at Week 26 and higher at Week 52. </w:t>
      </w:r>
      <w:r w:rsidR="00267981" w:rsidRPr="0029195A">
        <w:t>T</w:t>
      </w:r>
      <w:r w:rsidR="00C00AA3" w:rsidRPr="0029195A">
        <w:t>he evaluation considered t</w:t>
      </w:r>
      <w:r w:rsidR="00267981" w:rsidRPr="0029195A">
        <w:t>his will favour avacopan given the 30-year time horizon</w:t>
      </w:r>
      <w:r w:rsidR="0029195A">
        <w:t xml:space="preserve">. </w:t>
      </w:r>
    </w:p>
    <w:p w14:paraId="4CE616E9" w14:textId="3C460F67" w:rsidR="00E47458" w:rsidRPr="0029195A" w:rsidRDefault="00E512AE" w:rsidP="007A6355">
      <w:pPr>
        <w:pStyle w:val="3-BodyText"/>
      </w:pPr>
      <w:bookmarkStart w:id="59" w:name="_Ref137735755"/>
      <w:r w:rsidRPr="0029195A">
        <w:t>Based on the validation checks presented in the submission,</w:t>
      </w:r>
      <w:r w:rsidR="00382EAE" w:rsidRPr="0029195A">
        <w:t xml:space="preserve"> the</w:t>
      </w:r>
      <w:r w:rsidR="00AE4C87" w:rsidRPr="0029195A">
        <w:t xml:space="preserve">re is an observed difference in </w:t>
      </w:r>
      <w:r w:rsidR="00CF20E5" w:rsidRPr="0029195A">
        <w:t xml:space="preserve">mortality between the avacopan + SOC and </w:t>
      </w:r>
      <w:r w:rsidR="00C00AA3" w:rsidRPr="0029195A">
        <w:t>prednisolone</w:t>
      </w:r>
      <w:r w:rsidR="00CF20E5" w:rsidRPr="0029195A">
        <w:t xml:space="preserve"> + SOC arms</w:t>
      </w:r>
      <w:r w:rsidRPr="0029195A">
        <w:t xml:space="preserve"> </w:t>
      </w:r>
      <w:r w:rsidR="00CF20E5" w:rsidRPr="0029195A">
        <w:t>(of up to 15% in Year 15</w:t>
      </w:r>
      <w:r w:rsidR="0084451E" w:rsidRPr="0029195A">
        <w:t xml:space="preserve">). </w:t>
      </w:r>
      <w:r w:rsidR="00C37860" w:rsidRPr="0029195A">
        <w:t>This is not supported by clinical evidence as mortality was not assessed in the ADVOCATE trial and follow up was only up to 1 year. M</w:t>
      </w:r>
      <w:r w:rsidRPr="0029195A">
        <w:t>ortality appears to be mainly driven by deaths due to infections avoided through use of avacopan.</w:t>
      </w:r>
      <w:r w:rsidR="00E47458" w:rsidRPr="0029195A">
        <w:t xml:space="preserve"> The submission applied </w:t>
      </w:r>
      <w:r w:rsidR="003D541A" w:rsidRPr="0029195A">
        <w:t>a relative risk reduction in infections</w:t>
      </w:r>
      <w:r w:rsidR="00957F6E" w:rsidRPr="0029195A">
        <w:t xml:space="preserve"> </w:t>
      </w:r>
      <w:r w:rsidR="008C2589" w:rsidRPr="0029195A">
        <w:t xml:space="preserve">of </w:t>
      </w:r>
      <w:r w:rsidR="003D541A" w:rsidRPr="0029195A">
        <w:t>73.1%</w:t>
      </w:r>
      <w:r w:rsidR="00CB03A5" w:rsidRPr="0029195A">
        <w:t xml:space="preserve"> </w:t>
      </w:r>
      <w:r w:rsidR="006D7BA2" w:rsidRPr="0029195A">
        <w:t>based on</w:t>
      </w:r>
      <w:r w:rsidR="000774AD" w:rsidRPr="0029195A">
        <w:t xml:space="preserve"> reported incidence of serious adverse events considered related to prednisone</w:t>
      </w:r>
      <w:r w:rsidR="001B7C89" w:rsidRPr="0029195A">
        <w:t xml:space="preserve"> from the ADVOCATE trial. </w:t>
      </w:r>
      <w:r w:rsidR="00C64C14" w:rsidRPr="0029195A">
        <w:t>T</w:t>
      </w:r>
      <w:r w:rsidR="00B96ACA" w:rsidRPr="0029195A">
        <w:t>ur</w:t>
      </w:r>
      <w:r w:rsidR="00C64C14" w:rsidRPr="0029195A">
        <w:t>ning off this mortality adjustment (i.e</w:t>
      </w:r>
      <w:r w:rsidR="00CB5D0E" w:rsidRPr="0029195A">
        <w:t xml:space="preserve">., </w:t>
      </w:r>
      <w:r w:rsidR="00977F22" w:rsidRPr="0029195A">
        <w:t>no deaths due to infections avoided by avacopan) changed the ICER from $</w:t>
      </w:r>
      <w:r w:rsidR="00A26C26">
        <w:t>55,000</w:t>
      </w:r>
      <w:r w:rsidR="00E817E3">
        <w:t> </w:t>
      </w:r>
      <w:r w:rsidR="00A26C26">
        <w:t>to</w:t>
      </w:r>
      <w:r w:rsidR="00E817E3">
        <w:t> </w:t>
      </w:r>
      <w:r w:rsidR="00A26C26">
        <w:t>&lt;</w:t>
      </w:r>
      <w:r w:rsidR="00E817E3">
        <w:t> </w:t>
      </w:r>
      <w:r w:rsidR="00A26C26">
        <w:t>$75,000</w:t>
      </w:r>
      <w:r w:rsidR="00977F22" w:rsidRPr="0029195A">
        <w:t>/QALY (base case) to $</w:t>
      </w:r>
      <w:r w:rsidR="00A26C26">
        <w:t>75,000</w:t>
      </w:r>
      <w:r w:rsidR="00E817E3">
        <w:t> </w:t>
      </w:r>
      <w:r w:rsidR="00A26C26">
        <w:t>to</w:t>
      </w:r>
      <w:r w:rsidR="00E817E3">
        <w:t> </w:t>
      </w:r>
      <w:r w:rsidR="00A26C26">
        <w:t>&lt;</w:t>
      </w:r>
      <w:r w:rsidR="00E817E3">
        <w:t> </w:t>
      </w:r>
      <w:r w:rsidR="00A26C26">
        <w:t>$95,000</w:t>
      </w:r>
      <w:r w:rsidR="00977F22" w:rsidRPr="0029195A">
        <w:t>/QALY (17% increase)</w:t>
      </w:r>
      <w:bookmarkEnd w:id="59"/>
      <w:r w:rsidR="0029195A">
        <w:t xml:space="preserve">. </w:t>
      </w:r>
    </w:p>
    <w:p w14:paraId="517611EB" w14:textId="5BDAF395" w:rsidR="00E512AE" w:rsidRPr="0029195A" w:rsidRDefault="00E512AE" w:rsidP="007A6355">
      <w:pPr>
        <w:pStyle w:val="3-BodyText"/>
      </w:pPr>
      <w:r w:rsidRPr="0029195A">
        <w:t xml:space="preserve">Compared to the survival estimates from the literature, survival is likely overestimated in the model. </w:t>
      </w:r>
      <w:r w:rsidR="001D5A0B" w:rsidRPr="0029195A">
        <w:t xml:space="preserve">With more patients surviving this means that </w:t>
      </w:r>
      <w:r w:rsidR="00A110C8" w:rsidRPr="0029195A">
        <w:t>in absolute terms</w:t>
      </w:r>
      <w:r w:rsidR="00DE0D93" w:rsidRPr="0029195A">
        <w:t xml:space="preserve"> there would be</w:t>
      </w:r>
      <w:r w:rsidR="007945A6" w:rsidRPr="0029195A">
        <w:t xml:space="preserve"> more patients available to transition into other health states. </w:t>
      </w:r>
      <w:r w:rsidR="006F29BB" w:rsidRPr="0029195A">
        <w:t xml:space="preserve">For example, </w:t>
      </w:r>
      <w:r w:rsidR="00CC6CC4" w:rsidRPr="0029195A">
        <w:t xml:space="preserve">treatment </w:t>
      </w:r>
      <w:r w:rsidR="00FC5AEE" w:rsidRPr="0029195A">
        <w:t xml:space="preserve">with avacopan </w:t>
      </w:r>
      <w:r w:rsidR="00E047F5" w:rsidRPr="0029195A">
        <w:t>was assumed to</w:t>
      </w:r>
      <w:r w:rsidR="00E464D7" w:rsidRPr="0029195A">
        <w:t xml:space="preserve"> result in an improvement in eGF</w:t>
      </w:r>
      <w:r w:rsidR="00843A68" w:rsidRPr="0029195A">
        <w:t>R, therefore comparatively</w:t>
      </w:r>
      <w:r w:rsidR="00F0310D" w:rsidRPr="0029195A">
        <w:t xml:space="preserve"> more patients</w:t>
      </w:r>
      <w:r w:rsidR="00ED7BA4" w:rsidRPr="0029195A">
        <w:t xml:space="preserve"> in the </w:t>
      </w:r>
      <w:r w:rsidR="00C00AA3" w:rsidRPr="0029195A">
        <w:t>prednisolone</w:t>
      </w:r>
      <w:r w:rsidR="00ED7BA4" w:rsidRPr="0029195A">
        <w:t xml:space="preserve"> + SOC arm </w:t>
      </w:r>
      <w:r w:rsidR="003B437B" w:rsidRPr="0029195A">
        <w:t xml:space="preserve">compared to the avacopan + SOC arm </w:t>
      </w:r>
      <w:r w:rsidR="00ED7BA4" w:rsidRPr="0029195A">
        <w:t>would transition into the ESRD health state</w:t>
      </w:r>
      <w:r w:rsidR="001769DE" w:rsidRPr="0029195A">
        <w:t xml:space="preserve"> (w</w:t>
      </w:r>
      <w:r w:rsidR="006D3BD3" w:rsidRPr="0029195A">
        <w:t>hich has higher costs and poorer outcomes)</w:t>
      </w:r>
      <w:r w:rsidR="00D23946" w:rsidRPr="0029195A">
        <w:t>. As such</w:t>
      </w:r>
      <w:r w:rsidR="00601604" w:rsidRPr="0029195A">
        <w:t xml:space="preserve">, </w:t>
      </w:r>
      <w:r w:rsidRPr="0029195A">
        <w:t>higher survival (with more patients remaining alive in the model) is likely to favour avacopan.</w:t>
      </w:r>
    </w:p>
    <w:p w14:paraId="034CD75E" w14:textId="17D2C4EF" w:rsidR="008C2A48" w:rsidRPr="0029195A" w:rsidRDefault="008C2A48" w:rsidP="007A6355">
      <w:pPr>
        <w:pStyle w:val="3-BodyText"/>
      </w:pPr>
      <w:r w:rsidRPr="0029195A">
        <w:t>The disaggregated cos</w:t>
      </w:r>
      <w:r w:rsidR="00330D73" w:rsidRPr="0029195A">
        <w:t xml:space="preserve">ts for comparison of avacopan with GC are presented in </w:t>
      </w:r>
      <w:r w:rsidR="00DD390A" w:rsidRPr="0029195A">
        <w:fldChar w:fldCharType="begin" w:fldLock="1"/>
      </w:r>
      <w:r w:rsidR="00DD390A" w:rsidRPr="0029195A">
        <w:instrText xml:space="preserve"> REF _Ref132114098 \h </w:instrText>
      </w:r>
      <w:r w:rsidR="008A2BA2" w:rsidRPr="0029195A">
        <w:instrText xml:space="preserve"> \* MERGEFORMAT </w:instrText>
      </w:r>
      <w:r w:rsidR="00DD390A" w:rsidRPr="0029195A">
        <w:fldChar w:fldCharType="separate"/>
      </w:r>
      <w:r w:rsidR="001828CD" w:rsidRPr="0029195A">
        <w:t>Table 11</w:t>
      </w:r>
      <w:r w:rsidR="00DD390A" w:rsidRPr="0029195A">
        <w:fldChar w:fldCharType="end"/>
      </w:r>
      <w:r w:rsidR="00330D73" w:rsidRPr="0029195A">
        <w:t xml:space="preserve">. The </w:t>
      </w:r>
      <w:r w:rsidR="00DB5081" w:rsidRPr="0029195A">
        <w:t>model resulted in an incremental cost of</w:t>
      </w:r>
      <w:r w:rsidR="00A4391B" w:rsidRPr="0029195A">
        <w:t xml:space="preserve"> </w:t>
      </w:r>
      <w:r w:rsidR="00DB5081" w:rsidRPr="0029195A">
        <w:t>$</w:t>
      </w:r>
      <w:r w:rsidR="00A26F4F" w:rsidRPr="00B10578">
        <w:rPr>
          <w:color w:val="000000"/>
          <w:w w:val="15"/>
          <w:shd w:val="solid" w:color="000000" w:fill="000000"/>
          <w:fitText w:val="-20" w:id="-1168989948"/>
          <w14:textFill>
            <w14:solidFill>
              <w14:srgbClr w14:val="000000">
                <w14:alpha w14:val="100000"/>
              </w14:srgbClr>
            </w14:solidFill>
          </w14:textFill>
        </w:rPr>
        <w:t xml:space="preserve">|  </w:t>
      </w:r>
      <w:r w:rsidR="00A26F4F" w:rsidRPr="00B10578">
        <w:rPr>
          <w:color w:val="000000"/>
          <w:spacing w:val="-69"/>
          <w:w w:val="15"/>
          <w:shd w:val="solid" w:color="000000" w:fill="000000"/>
          <w:fitText w:val="-20" w:id="-1168989948"/>
          <w14:textFill>
            <w14:solidFill>
              <w14:srgbClr w14:val="000000">
                <w14:alpha w14:val="100000"/>
              </w14:srgbClr>
            </w14:solidFill>
          </w14:textFill>
        </w:rPr>
        <w:t>|</w:t>
      </w:r>
      <w:r w:rsidR="00A4391B" w:rsidRPr="0029195A">
        <w:t xml:space="preserve"> which was driven by the cost of</w:t>
      </w:r>
      <w:r w:rsidR="000E40E6" w:rsidRPr="0029195A">
        <w:t xml:space="preserve"> </w:t>
      </w:r>
      <w:r w:rsidR="00A4391B" w:rsidRPr="0029195A">
        <w:t xml:space="preserve">avacopan treatment in the Remission health state and largely offset by resource use in the ESDR health state. </w:t>
      </w:r>
    </w:p>
    <w:p w14:paraId="707C0AD1" w14:textId="6C9268D1" w:rsidR="00E512AE" w:rsidRPr="0029195A" w:rsidRDefault="00E512AE" w:rsidP="00E512AE">
      <w:pPr>
        <w:pStyle w:val="Caption"/>
        <w:rPr>
          <w:rStyle w:val="CommentReference"/>
          <w:b/>
          <w:szCs w:val="24"/>
        </w:rPr>
      </w:pPr>
      <w:bookmarkStart w:id="60" w:name="_Ref132114098"/>
      <w:r w:rsidRPr="0029195A">
        <w:lastRenderedPageBreak/>
        <w:t xml:space="preserve">Table </w:t>
      </w:r>
      <w:r w:rsidRPr="0029195A">
        <w:fldChar w:fldCharType="begin" w:fldLock="1"/>
      </w:r>
      <w:r w:rsidRPr="0029195A">
        <w:instrText>SEQ Table \* ARABIC</w:instrText>
      </w:r>
      <w:r w:rsidRPr="0029195A">
        <w:fldChar w:fldCharType="separate"/>
      </w:r>
      <w:r w:rsidR="00631406" w:rsidRPr="0029195A">
        <w:t>11</w:t>
      </w:r>
      <w:r w:rsidRPr="0029195A">
        <w:fldChar w:fldCharType="end"/>
      </w:r>
      <w:bookmarkEnd w:id="60"/>
      <w:r w:rsidRPr="0029195A">
        <w:t xml:space="preserve">: </w:t>
      </w:r>
      <w:r w:rsidRPr="0029195A">
        <w:rPr>
          <w:rStyle w:val="CommentReference"/>
          <w:b/>
          <w:szCs w:val="24"/>
        </w:rPr>
        <w:t>Disaggregated summary of costs by health states and resource use</w:t>
      </w:r>
    </w:p>
    <w:tbl>
      <w:tblPr>
        <w:tblW w:w="492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9"/>
        <w:gridCol w:w="1671"/>
        <w:gridCol w:w="1411"/>
        <w:gridCol w:w="1257"/>
        <w:gridCol w:w="1674"/>
        <w:gridCol w:w="1468"/>
      </w:tblGrid>
      <w:tr w:rsidR="00E512AE" w:rsidRPr="0029195A" w14:paraId="0451442D" w14:textId="77777777" w:rsidTr="00A26F4F">
        <w:trPr>
          <w:cantSplit/>
        </w:trPr>
        <w:tc>
          <w:tcPr>
            <w:tcW w:w="139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1B7E870" w14:textId="77777777" w:rsidR="00E512AE" w:rsidRPr="0029195A" w:rsidRDefault="00E512AE">
            <w:pPr>
              <w:pStyle w:val="In-tableHeading"/>
              <w:rPr>
                <w:lang w:val="en-AU"/>
              </w:rPr>
            </w:pPr>
            <w:r w:rsidRPr="0029195A">
              <w:rPr>
                <w:lang w:val="en-AU"/>
              </w:rPr>
              <w:t>Health state</w:t>
            </w:r>
          </w:p>
        </w:tc>
        <w:tc>
          <w:tcPr>
            <w:tcW w:w="167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75CFBE8" w14:textId="77777777" w:rsidR="00E512AE" w:rsidRPr="0029195A" w:rsidRDefault="00E512AE">
            <w:pPr>
              <w:pStyle w:val="In-tableHeading"/>
              <w:jc w:val="center"/>
              <w:rPr>
                <w:lang w:val="en-AU"/>
              </w:rPr>
            </w:pPr>
            <w:r w:rsidRPr="0029195A">
              <w:rPr>
                <w:lang w:val="en-AU"/>
              </w:rPr>
              <w:t>Resource use by health state</w:t>
            </w:r>
          </w:p>
        </w:tc>
        <w:tc>
          <w:tcPr>
            <w:tcW w:w="1411" w:type="dxa"/>
            <w:tcBorders>
              <w:top w:val="single" w:sz="4" w:space="0" w:color="auto"/>
              <w:left w:val="single" w:sz="4" w:space="0" w:color="auto"/>
              <w:bottom w:val="single" w:sz="4" w:space="0" w:color="auto"/>
              <w:right w:val="single" w:sz="4" w:space="0" w:color="auto"/>
            </w:tcBorders>
          </w:tcPr>
          <w:p w14:paraId="7538F0B5" w14:textId="77777777" w:rsidR="00E512AE" w:rsidRPr="0029195A" w:rsidRDefault="00E512AE">
            <w:pPr>
              <w:pStyle w:val="In-tableHeading"/>
              <w:jc w:val="center"/>
              <w:rPr>
                <w:lang w:val="en-AU"/>
              </w:rPr>
            </w:pPr>
            <w:r w:rsidRPr="0029195A">
              <w:rPr>
                <w:lang w:val="en-AU"/>
              </w:rPr>
              <w:t>Avacopan + SOC cost</w:t>
            </w:r>
          </w:p>
        </w:tc>
        <w:tc>
          <w:tcPr>
            <w:tcW w:w="1257" w:type="dxa"/>
            <w:tcBorders>
              <w:top w:val="single" w:sz="4" w:space="0" w:color="auto"/>
              <w:left w:val="single" w:sz="4" w:space="0" w:color="auto"/>
              <w:bottom w:val="single" w:sz="4" w:space="0" w:color="auto"/>
              <w:right w:val="single" w:sz="4" w:space="0" w:color="auto"/>
            </w:tcBorders>
          </w:tcPr>
          <w:p w14:paraId="24775281" w14:textId="77777777" w:rsidR="00E512AE" w:rsidRPr="0029195A" w:rsidRDefault="00E512AE">
            <w:pPr>
              <w:pStyle w:val="In-tableHeading"/>
              <w:jc w:val="center"/>
              <w:rPr>
                <w:lang w:val="en-AU"/>
              </w:rPr>
            </w:pPr>
            <w:r w:rsidRPr="0029195A">
              <w:rPr>
                <w:lang w:val="en-AU"/>
              </w:rPr>
              <w:t>GC + SOC cost</w:t>
            </w:r>
          </w:p>
        </w:tc>
        <w:tc>
          <w:tcPr>
            <w:tcW w:w="16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0A4F75B" w14:textId="77777777" w:rsidR="00E512AE" w:rsidRPr="0029195A" w:rsidRDefault="00E512AE">
            <w:pPr>
              <w:pStyle w:val="In-tableHeading"/>
              <w:jc w:val="center"/>
              <w:rPr>
                <w:lang w:val="en-AU"/>
              </w:rPr>
            </w:pPr>
            <w:r w:rsidRPr="0029195A">
              <w:rPr>
                <w:lang w:val="en-AU"/>
              </w:rPr>
              <w:t>Incremental cost</w:t>
            </w:r>
          </w:p>
        </w:tc>
        <w:tc>
          <w:tcPr>
            <w:tcW w:w="14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B22564" w14:textId="77777777" w:rsidR="00E512AE" w:rsidRPr="0029195A" w:rsidRDefault="00E512AE">
            <w:pPr>
              <w:pStyle w:val="In-tableHeading"/>
              <w:jc w:val="center"/>
              <w:rPr>
                <w:lang w:val="en-AU"/>
              </w:rPr>
            </w:pPr>
            <w:r w:rsidRPr="0029195A">
              <w:rPr>
                <w:lang w:val="en-AU"/>
              </w:rPr>
              <w:t>% of total incremental cost</w:t>
            </w:r>
          </w:p>
        </w:tc>
      </w:tr>
      <w:tr w:rsidR="00E512AE" w:rsidRPr="0029195A" w14:paraId="079E4403" w14:textId="77777777" w:rsidTr="00A26F4F">
        <w:trPr>
          <w:cantSplit/>
        </w:trPr>
        <w:tc>
          <w:tcPr>
            <w:tcW w:w="1399" w:type="dxa"/>
            <w:vMerge w:val="restart"/>
            <w:tcBorders>
              <w:top w:val="single" w:sz="4" w:space="0" w:color="auto"/>
              <w:left w:val="single" w:sz="4" w:space="0" w:color="auto"/>
              <w:right w:val="single" w:sz="4" w:space="0" w:color="auto"/>
            </w:tcBorders>
            <w:tcMar>
              <w:left w:w="57" w:type="dxa"/>
              <w:right w:w="57" w:type="dxa"/>
            </w:tcMar>
            <w:vAlign w:val="center"/>
          </w:tcPr>
          <w:p w14:paraId="3CB11377" w14:textId="77777777" w:rsidR="00E512AE" w:rsidRPr="0029195A" w:rsidRDefault="00E512AE">
            <w:pPr>
              <w:pStyle w:val="TableText0"/>
              <w:jc w:val="center"/>
            </w:pPr>
            <w:r w:rsidRPr="0029195A">
              <w:t>Active disease</w:t>
            </w:r>
          </w:p>
        </w:tc>
        <w:tc>
          <w:tcPr>
            <w:tcW w:w="167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044A102" w14:textId="77777777" w:rsidR="00E512AE" w:rsidRPr="0029195A" w:rsidRDefault="00E512AE">
            <w:pPr>
              <w:pStyle w:val="TableText0"/>
              <w:jc w:val="center"/>
            </w:pPr>
            <w:r w:rsidRPr="0029195A">
              <w:t>Drug cost</w:t>
            </w:r>
          </w:p>
        </w:tc>
        <w:tc>
          <w:tcPr>
            <w:tcW w:w="1411" w:type="dxa"/>
            <w:tcBorders>
              <w:top w:val="single" w:sz="4" w:space="0" w:color="auto"/>
              <w:left w:val="single" w:sz="4" w:space="0" w:color="auto"/>
              <w:bottom w:val="single" w:sz="4" w:space="0" w:color="auto"/>
              <w:right w:val="single" w:sz="4" w:space="0" w:color="auto"/>
            </w:tcBorders>
            <w:vAlign w:val="center"/>
          </w:tcPr>
          <w:p w14:paraId="13E1AF55" w14:textId="51A40269" w:rsidR="00E512AE" w:rsidRPr="0029195A" w:rsidRDefault="00E512AE">
            <w:pPr>
              <w:pStyle w:val="TableText0"/>
              <w:jc w:val="center"/>
            </w:pPr>
            <w:r w:rsidRPr="0029195A">
              <w:rPr>
                <w:rFonts w:cs="Calibri"/>
                <w:color w:val="000000"/>
                <w:szCs w:val="20"/>
              </w:rPr>
              <w:t>$</w:t>
            </w:r>
            <w:r w:rsidR="00A26F4F" w:rsidRPr="00A26F4F">
              <w:rPr>
                <w:rFonts w:cs="Calibri"/>
                <w:color w:val="000000"/>
                <w:szCs w:val="20"/>
                <w:shd w:val="solid" w:color="000000" w:fill="000000"/>
                <w14:textFill>
                  <w14:solidFill>
                    <w14:srgbClr w14:val="000000">
                      <w14:alpha w14:val="100000"/>
                    </w14:srgbClr>
                  </w14:solidFill>
                </w14:textFill>
              </w:rPr>
              <w:t>|</w:t>
            </w:r>
          </w:p>
        </w:tc>
        <w:tc>
          <w:tcPr>
            <w:tcW w:w="1257" w:type="dxa"/>
            <w:tcBorders>
              <w:top w:val="single" w:sz="4" w:space="0" w:color="auto"/>
              <w:left w:val="single" w:sz="4" w:space="0" w:color="auto"/>
              <w:bottom w:val="single" w:sz="4" w:space="0" w:color="auto"/>
              <w:right w:val="single" w:sz="4" w:space="0" w:color="auto"/>
            </w:tcBorders>
            <w:vAlign w:val="center"/>
          </w:tcPr>
          <w:p w14:paraId="54100F0B" w14:textId="77777777" w:rsidR="00E512AE" w:rsidRPr="0029195A" w:rsidRDefault="00E512AE">
            <w:pPr>
              <w:pStyle w:val="TableText0"/>
              <w:jc w:val="center"/>
            </w:pPr>
            <w:r w:rsidRPr="0029195A">
              <w:rPr>
                <w:rFonts w:cs="Calibri"/>
                <w:color w:val="000000"/>
                <w:szCs w:val="20"/>
              </w:rPr>
              <w:t>$1,931</w:t>
            </w:r>
          </w:p>
        </w:tc>
        <w:tc>
          <w:tcPr>
            <w:tcW w:w="16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71DF78F" w14:textId="30908607" w:rsidR="00E512AE" w:rsidRPr="0029195A" w:rsidRDefault="00E512AE">
            <w:pPr>
              <w:pStyle w:val="TableText0"/>
              <w:jc w:val="center"/>
            </w:pPr>
            <w:r w:rsidRPr="0029195A">
              <w:rPr>
                <w:rFonts w:cs="Calibri"/>
                <w:color w:val="000000"/>
                <w:szCs w:val="20"/>
              </w:rPr>
              <w:t>$</w:t>
            </w:r>
            <w:r w:rsidR="00A26F4F" w:rsidRPr="00A26F4F">
              <w:rPr>
                <w:rFonts w:cs="Calibri"/>
                <w:color w:val="000000"/>
                <w:szCs w:val="20"/>
                <w:shd w:val="solid" w:color="000000" w:fill="000000"/>
                <w14:textFill>
                  <w14:solidFill>
                    <w14:srgbClr w14:val="000000">
                      <w14:alpha w14:val="100000"/>
                    </w14:srgbClr>
                  </w14:solidFill>
                </w14:textFill>
              </w:rPr>
              <w:t>|</w:t>
            </w:r>
          </w:p>
        </w:tc>
        <w:tc>
          <w:tcPr>
            <w:tcW w:w="1468" w:type="dxa"/>
            <w:tcBorders>
              <w:top w:val="single" w:sz="4" w:space="0" w:color="auto"/>
              <w:left w:val="single" w:sz="4" w:space="0" w:color="auto"/>
              <w:bottom w:val="single" w:sz="4" w:space="0" w:color="auto"/>
              <w:right w:val="single" w:sz="4" w:space="0" w:color="auto"/>
            </w:tcBorders>
            <w:shd w:val="solid" w:color="000000" w:fill="000000"/>
            <w:tcMar>
              <w:left w:w="57" w:type="dxa"/>
              <w:right w:w="57" w:type="dxa"/>
            </w:tcMar>
            <w:vAlign w:val="center"/>
          </w:tcPr>
          <w:p w14:paraId="23AEE545" w14:textId="4356B4E7" w:rsidR="00E512AE" w:rsidRPr="006846C9" w:rsidRDefault="00A26F4F">
            <w:pPr>
              <w:pStyle w:val="TableText0"/>
              <w:jc w:val="center"/>
            </w:pPr>
            <w:r w:rsidRPr="00A26F4F">
              <w:rPr>
                <w:rFonts w:cs="Calibri"/>
                <w:color w:val="000000"/>
                <w:szCs w:val="20"/>
                <w14:textFill>
                  <w14:solidFill>
                    <w14:srgbClr w14:val="000000">
                      <w14:alpha w14:val="100000"/>
                    </w14:srgbClr>
                  </w14:solidFill>
                </w14:textFill>
              </w:rPr>
              <w:t>|</w:t>
            </w:r>
          </w:p>
        </w:tc>
      </w:tr>
      <w:tr w:rsidR="00E512AE" w:rsidRPr="0029195A" w14:paraId="7C029951" w14:textId="77777777" w:rsidTr="00A26F4F">
        <w:trPr>
          <w:cantSplit/>
        </w:trPr>
        <w:tc>
          <w:tcPr>
            <w:tcW w:w="1399" w:type="dxa"/>
            <w:vMerge/>
            <w:tcBorders>
              <w:left w:val="single" w:sz="4" w:space="0" w:color="auto"/>
              <w:right w:val="single" w:sz="4" w:space="0" w:color="auto"/>
            </w:tcBorders>
            <w:tcMar>
              <w:left w:w="57" w:type="dxa"/>
              <w:right w:w="57" w:type="dxa"/>
            </w:tcMar>
            <w:vAlign w:val="center"/>
          </w:tcPr>
          <w:p w14:paraId="5DA3E68D" w14:textId="77777777" w:rsidR="00E512AE" w:rsidRPr="0029195A" w:rsidRDefault="00E512AE">
            <w:pPr>
              <w:pStyle w:val="TableText0"/>
              <w:jc w:val="center"/>
            </w:pPr>
          </w:p>
        </w:tc>
        <w:tc>
          <w:tcPr>
            <w:tcW w:w="167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D0A9A7" w14:textId="77777777" w:rsidR="00E512AE" w:rsidRPr="0029195A" w:rsidRDefault="00E512AE">
            <w:pPr>
              <w:pStyle w:val="TableText0"/>
              <w:jc w:val="center"/>
            </w:pPr>
            <w:r w:rsidRPr="0029195A">
              <w:t>Resource use</w:t>
            </w:r>
          </w:p>
        </w:tc>
        <w:tc>
          <w:tcPr>
            <w:tcW w:w="1411" w:type="dxa"/>
            <w:tcBorders>
              <w:top w:val="single" w:sz="4" w:space="0" w:color="auto"/>
              <w:left w:val="single" w:sz="4" w:space="0" w:color="auto"/>
              <w:bottom w:val="single" w:sz="4" w:space="0" w:color="auto"/>
              <w:right w:val="single" w:sz="4" w:space="0" w:color="auto"/>
            </w:tcBorders>
            <w:vAlign w:val="center"/>
          </w:tcPr>
          <w:p w14:paraId="2709643B" w14:textId="77777777" w:rsidR="00E512AE" w:rsidRPr="0029195A" w:rsidRDefault="00E512AE">
            <w:pPr>
              <w:pStyle w:val="TableText0"/>
              <w:jc w:val="center"/>
            </w:pPr>
            <w:r w:rsidRPr="0029195A">
              <w:rPr>
                <w:rFonts w:cs="Calibri"/>
                <w:color w:val="000000"/>
                <w:szCs w:val="20"/>
              </w:rPr>
              <w:t>$5,144</w:t>
            </w:r>
          </w:p>
        </w:tc>
        <w:tc>
          <w:tcPr>
            <w:tcW w:w="1257" w:type="dxa"/>
            <w:tcBorders>
              <w:top w:val="single" w:sz="4" w:space="0" w:color="auto"/>
              <w:left w:val="single" w:sz="4" w:space="0" w:color="auto"/>
              <w:bottom w:val="single" w:sz="4" w:space="0" w:color="auto"/>
              <w:right w:val="single" w:sz="4" w:space="0" w:color="auto"/>
            </w:tcBorders>
            <w:vAlign w:val="center"/>
          </w:tcPr>
          <w:p w14:paraId="2E56E8F3" w14:textId="77777777" w:rsidR="00E512AE" w:rsidRPr="0029195A" w:rsidRDefault="00E512AE">
            <w:pPr>
              <w:pStyle w:val="TableText0"/>
              <w:jc w:val="center"/>
            </w:pPr>
            <w:r w:rsidRPr="0029195A">
              <w:rPr>
                <w:rFonts w:cs="Calibri"/>
                <w:color w:val="000000"/>
                <w:szCs w:val="20"/>
              </w:rPr>
              <w:t>$5,624</w:t>
            </w:r>
          </w:p>
        </w:tc>
        <w:tc>
          <w:tcPr>
            <w:tcW w:w="16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3390FC" w14:textId="77777777" w:rsidR="00E512AE" w:rsidRPr="0029195A" w:rsidRDefault="00E512AE">
            <w:pPr>
              <w:pStyle w:val="TableText0"/>
              <w:jc w:val="center"/>
            </w:pPr>
            <w:r w:rsidRPr="0029195A">
              <w:rPr>
                <w:rFonts w:cs="Calibri"/>
                <w:szCs w:val="20"/>
              </w:rPr>
              <w:t>-$480</w:t>
            </w:r>
          </w:p>
        </w:tc>
        <w:tc>
          <w:tcPr>
            <w:tcW w:w="14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04E0429" w14:textId="77777777" w:rsidR="00E512AE" w:rsidRPr="006846C9" w:rsidRDefault="00E512AE">
            <w:pPr>
              <w:pStyle w:val="TableText0"/>
              <w:jc w:val="center"/>
            </w:pPr>
            <w:r w:rsidRPr="006846C9">
              <w:rPr>
                <w:rFonts w:cs="Calibri"/>
                <w:color w:val="000000"/>
                <w:szCs w:val="20"/>
              </w:rPr>
              <w:t>-1%</w:t>
            </w:r>
          </w:p>
        </w:tc>
      </w:tr>
      <w:tr w:rsidR="00E512AE" w:rsidRPr="0029195A" w14:paraId="00A43D72" w14:textId="77777777" w:rsidTr="00A26F4F">
        <w:trPr>
          <w:cantSplit/>
        </w:trPr>
        <w:tc>
          <w:tcPr>
            <w:tcW w:w="1399" w:type="dxa"/>
            <w:vMerge/>
            <w:tcBorders>
              <w:left w:val="single" w:sz="4" w:space="0" w:color="auto"/>
              <w:right w:val="single" w:sz="4" w:space="0" w:color="auto"/>
            </w:tcBorders>
            <w:tcMar>
              <w:left w:w="57" w:type="dxa"/>
              <w:right w:w="57" w:type="dxa"/>
            </w:tcMar>
            <w:vAlign w:val="center"/>
          </w:tcPr>
          <w:p w14:paraId="0AC0C585" w14:textId="77777777" w:rsidR="00E512AE" w:rsidRPr="0029195A" w:rsidRDefault="00E512AE">
            <w:pPr>
              <w:pStyle w:val="TableText0"/>
              <w:jc w:val="center"/>
            </w:pPr>
          </w:p>
        </w:tc>
        <w:tc>
          <w:tcPr>
            <w:tcW w:w="1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vAlign w:val="center"/>
          </w:tcPr>
          <w:p w14:paraId="206633FE" w14:textId="77777777" w:rsidR="00E512AE" w:rsidRPr="0029195A" w:rsidRDefault="00E512AE">
            <w:pPr>
              <w:pStyle w:val="TableText0"/>
              <w:jc w:val="center"/>
            </w:pPr>
            <w:r w:rsidRPr="0029195A">
              <w:t xml:space="preserve">Total </w:t>
            </w:r>
          </w:p>
        </w:tc>
        <w:tc>
          <w:tcPr>
            <w:tcW w:w="14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E5655A" w14:textId="68D2E1BE" w:rsidR="00E512AE" w:rsidRPr="0029195A" w:rsidRDefault="00E512AE">
            <w:pPr>
              <w:pStyle w:val="TableText0"/>
              <w:jc w:val="center"/>
            </w:pPr>
            <w:r w:rsidRPr="0029195A">
              <w:rPr>
                <w:rFonts w:cs="Calibri"/>
                <w:color w:val="000000"/>
                <w:szCs w:val="20"/>
              </w:rPr>
              <w:t>$</w:t>
            </w:r>
            <w:r w:rsidR="00A26F4F" w:rsidRPr="00A26F4F">
              <w:rPr>
                <w:rFonts w:cs="Calibri"/>
                <w:color w:val="000000"/>
                <w:szCs w:val="20"/>
                <w:shd w:val="solid" w:color="000000" w:fill="000000"/>
                <w14:textFill>
                  <w14:solidFill>
                    <w14:srgbClr w14:val="000000">
                      <w14:alpha w14:val="100000"/>
                    </w14:srgbClr>
                  </w14:solidFill>
                </w14:textFill>
              </w:rPr>
              <w:t>|</w:t>
            </w:r>
          </w:p>
        </w:tc>
        <w:tc>
          <w:tcPr>
            <w:tcW w:w="12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DEB82" w14:textId="77777777" w:rsidR="00E512AE" w:rsidRPr="0029195A" w:rsidRDefault="00E512AE">
            <w:pPr>
              <w:pStyle w:val="TableText0"/>
              <w:jc w:val="center"/>
            </w:pPr>
            <w:r w:rsidRPr="0029195A">
              <w:rPr>
                <w:rFonts w:cs="Calibri"/>
                <w:color w:val="000000"/>
                <w:szCs w:val="20"/>
              </w:rPr>
              <w:t>$7,555</w:t>
            </w:r>
          </w:p>
        </w:tc>
        <w:tc>
          <w:tcPr>
            <w:tcW w:w="167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vAlign w:val="center"/>
          </w:tcPr>
          <w:p w14:paraId="65F0D4CF" w14:textId="754A5454" w:rsidR="00E512AE" w:rsidRPr="0029195A" w:rsidRDefault="00E512AE">
            <w:pPr>
              <w:pStyle w:val="TableText0"/>
              <w:jc w:val="center"/>
            </w:pPr>
            <w:r w:rsidRPr="0029195A">
              <w:rPr>
                <w:rFonts w:cs="Calibri"/>
                <w:szCs w:val="20"/>
              </w:rPr>
              <w:t>$</w:t>
            </w:r>
            <w:r w:rsidR="00A26F4F" w:rsidRPr="00A26F4F">
              <w:rPr>
                <w:rFonts w:cs="Calibri"/>
                <w:color w:val="000000"/>
                <w:szCs w:val="20"/>
                <w:shd w:val="solid" w:color="000000" w:fill="000000"/>
                <w14:textFill>
                  <w14:solidFill>
                    <w14:srgbClr w14:val="000000">
                      <w14:alpha w14:val="100000"/>
                    </w14:srgbClr>
                  </w14:solidFill>
                </w14:textFill>
              </w:rPr>
              <w:t>|</w:t>
            </w:r>
          </w:p>
        </w:tc>
        <w:tc>
          <w:tcPr>
            <w:tcW w:w="1468" w:type="dxa"/>
            <w:tcBorders>
              <w:top w:val="single" w:sz="4" w:space="0" w:color="auto"/>
              <w:left w:val="single" w:sz="4" w:space="0" w:color="auto"/>
              <w:bottom w:val="single" w:sz="4" w:space="0" w:color="auto"/>
              <w:right w:val="single" w:sz="4" w:space="0" w:color="auto"/>
            </w:tcBorders>
            <w:shd w:val="solid" w:color="000000" w:fill="000000"/>
            <w:tcMar>
              <w:left w:w="57" w:type="dxa"/>
              <w:right w:w="57" w:type="dxa"/>
            </w:tcMar>
            <w:vAlign w:val="center"/>
          </w:tcPr>
          <w:p w14:paraId="6320E955" w14:textId="6E6E6655" w:rsidR="00E512AE" w:rsidRPr="00465DBB" w:rsidRDefault="00A26F4F">
            <w:pPr>
              <w:pStyle w:val="TableText0"/>
              <w:jc w:val="center"/>
              <w:rPr>
                <w:highlight w:val="darkGray"/>
              </w:rPr>
            </w:pPr>
            <w:r w:rsidRPr="00A26F4F">
              <w:rPr>
                <w:rFonts w:cs="Calibri"/>
                <w:color w:val="000000"/>
                <w:szCs w:val="20"/>
                <w14:textFill>
                  <w14:solidFill>
                    <w14:srgbClr w14:val="000000">
                      <w14:alpha w14:val="100000"/>
                    </w14:srgbClr>
                  </w14:solidFill>
                </w14:textFill>
              </w:rPr>
              <w:t>|</w:t>
            </w:r>
          </w:p>
        </w:tc>
      </w:tr>
      <w:tr w:rsidR="00E512AE" w:rsidRPr="0029195A" w14:paraId="1E601C31" w14:textId="77777777" w:rsidTr="00A26F4F">
        <w:trPr>
          <w:cantSplit/>
        </w:trPr>
        <w:tc>
          <w:tcPr>
            <w:tcW w:w="1399" w:type="dxa"/>
            <w:vMerge w:val="restart"/>
            <w:tcBorders>
              <w:top w:val="single" w:sz="4" w:space="0" w:color="auto"/>
              <w:left w:val="single" w:sz="4" w:space="0" w:color="auto"/>
              <w:right w:val="single" w:sz="4" w:space="0" w:color="auto"/>
            </w:tcBorders>
            <w:tcMar>
              <w:left w:w="57" w:type="dxa"/>
              <w:right w:w="57" w:type="dxa"/>
            </w:tcMar>
            <w:vAlign w:val="center"/>
          </w:tcPr>
          <w:p w14:paraId="37D5F08B" w14:textId="77777777" w:rsidR="00E512AE" w:rsidRPr="0029195A" w:rsidRDefault="00E512AE">
            <w:pPr>
              <w:pStyle w:val="TableText0"/>
              <w:jc w:val="center"/>
            </w:pPr>
            <w:r w:rsidRPr="0029195A">
              <w:t>Remission</w:t>
            </w:r>
          </w:p>
        </w:tc>
        <w:tc>
          <w:tcPr>
            <w:tcW w:w="167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579CBD5" w14:textId="77777777" w:rsidR="00E512AE" w:rsidRPr="0029195A" w:rsidRDefault="00E512AE">
            <w:pPr>
              <w:pStyle w:val="TableText0"/>
              <w:jc w:val="center"/>
            </w:pPr>
            <w:r w:rsidRPr="0029195A">
              <w:t>Drug cost</w:t>
            </w:r>
          </w:p>
        </w:tc>
        <w:tc>
          <w:tcPr>
            <w:tcW w:w="1411" w:type="dxa"/>
            <w:tcBorders>
              <w:top w:val="single" w:sz="4" w:space="0" w:color="auto"/>
              <w:left w:val="single" w:sz="4" w:space="0" w:color="auto"/>
              <w:bottom w:val="single" w:sz="4" w:space="0" w:color="auto"/>
              <w:right w:val="single" w:sz="4" w:space="0" w:color="auto"/>
            </w:tcBorders>
            <w:vAlign w:val="center"/>
          </w:tcPr>
          <w:p w14:paraId="4C8D6652" w14:textId="17B62121" w:rsidR="00E512AE" w:rsidRPr="0029195A" w:rsidRDefault="00E512AE">
            <w:pPr>
              <w:pStyle w:val="TableText0"/>
              <w:jc w:val="center"/>
            </w:pPr>
            <w:r w:rsidRPr="00E817E3">
              <w:rPr>
                <w:rFonts w:cs="Calibri"/>
                <w:color w:val="000000"/>
                <w:szCs w:val="20"/>
              </w:rPr>
              <w:t>$</w:t>
            </w:r>
            <w:r w:rsidR="00A26F4F" w:rsidRPr="00A26F4F">
              <w:rPr>
                <w:rFonts w:cs="Calibri"/>
                <w:color w:val="000000"/>
                <w:szCs w:val="20"/>
                <w:shd w:val="solid" w:color="000000" w:fill="000000"/>
                <w14:textFill>
                  <w14:solidFill>
                    <w14:srgbClr w14:val="000000">
                      <w14:alpha w14:val="100000"/>
                    </w14:srgbClr>
                  </w14:solidFill>
                </w14:textFill>
              </w:rPr>
              <w:t>|</w:t>
            </w:r>
          </w:p>
        </w:tc>
        <w:tc>
          <w:tcPr>
            <w:tcW w:w="1257" w:type="dxa"/>
            <w:tcBorders>
              <w:top w:val="single" w:sz="4" w:space="0" w:color="auto"/>
              <w:left w:val="single" w:sz="4" w:space="0" w:color="auto"/>
              <w:bottom w:val="single" w:sz="4" w:space="0" w:color="auto"/>
              <w:right w:val="single" w:sz="4" w:space="0" w:color="auto"/>
            </w:tcBorders>
            <w:vAlign w:val="center"/>
          </w:tcPr>
          <w:p w14:paraId="679B3D9D" w14:textId="77777777" w:rsidR="00E512AE" w:rsidRPr="0029195A" w:rsidRDefault="00E512AE">
            <w:pPr>
              <w:pStyle w:val="TableText0"/>
              <w:jc w:val="center"/>
            </w:pPr>
            <w:r w:rsidRPr="0029195A">
              <w:rPr>
                <w:rFonts w:cs="Calibri"/>
                <w:color w:val="000000"/>
                <w:szCs w:val="20"/>
              </w:rPr>
              <w:t>$1,218</w:t>
            </w:r>
          </w:p>
        </w:tc>
        <w:tc>
          <w:tcPr>
            <w:tcW w:w="16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97AA78" w14:textId="76BC8A1F" w:rsidR="00E512AE" w:rsidRPr="0029195A" w:rsidRDefault="00E512AE">
            <w:pPr>
              <w:pStyle w:val="TableText0"/>
              <w:jc w:val="center"/>
            </w:pPr>
            <w:r w:rsidRPr="00E817E3">
              <w:rPr>
                <w:rFonts w:cs="Calibri"/>
                <w:szCs w:val="20"/>
              </w:rPr>
              <w:t>$</w:t>
            </w:r>
            <w:r w:rsidR="00A26F4F" w:rsidRPr="00A26F4F">
              <w:rPr>
                <w:rFonts w:cs="Calibri"/>
                <w:color w:val="000000"/>
                <w:szCs w:val="20"/>
                <w:shd w:val="solid" w:color="000000" w:fill="000000"/>
                <w14:textFill>
                  <w14:solidFill>
                    <w14:srgbClr w14:val="000000">
                      <w14:alpha w14:val="100000"/>
                    </w14:srgbClr>
                  </w14:solidFill>
                </w14:textFill>
              </w:rPr>
              <w:t>|</w:t>
            </w:r>
          </w:p>
        </w:tc>
        <w:tc>
          <w:tcPr>
            <w:tcW w:w="1468" w:type="dxa"/>
            <w:tcBorders>
              <w:top w:val="single" w:sz="4" w:space="0" w:color="auto"/>
              <w:left w:val="single" w:sz="4" w:space="0" w:color="auto"/>
              <w:bottom w:val="single" w:sz="4" w:space="0" w:color="auto"/>
              <w:right w:val="single" w:sz="4" w:space="0" w:color="auto"/>
            </w:tcBorders>
            <w:shd w:val="solid" w:color="000000" w:fill="000000"/>
            <w:tcMar>
              <w:left w:w="57" w:type="dxa"/>
              <w:right w:w="57" w:type="dxa"/>
            </w:tcMar>
            <w:vAlign w:val="center"/>
          </w:tcPr>
          <w:p w14:paraId="5A738FCA" w14:textId="35F8475D" w:rsidR="00E512AE" w:rsidRPr="00465DBB" w:rsidRDefault="00A26F4F">
            <w:pPr>
              <w:pStyle w:val="TableText0"/>
              <w:jc w:val="center"/>
              <w:rPr>
                <w:highlight w:val="darkGray"/>
              </w:rPr>
            </w:pPr>
            <w:r w:rsidRPr="00A26F4F">
              <w:rPr>
                <w:rFonts w:cs="Calibri"/>
                <w:color w:val="000000"/>
                <w:szCs w:val="20"/>
                <w14:textFill>
                  <w14:solidFill>
                    <w14:srgbClr w14:val="000000">
                      <w14:alpha w14:val="100000"/>
                    </w14:srgbClr>
                  </w14:solidFill>
                </w14:textFill>
              </w:rPr>
              <w:t>|</w:t>
            </w:r>
          </w:p>
        </w:tc>
      </w:tr>
      <w:tr w:rsidR="00E512AE" w:rsidRPr="0029195A" w14:paraId="3A1619DB" w14:textId="77777777" w:rsidTr="00A26F4F">
        <w:trPr>
          <w:cantSplit/>
        </w:trPr>
        <w:tc>
          <w:tcPr>
            <w:tcW w:w="1399" w:type="dxa"/>
            <w:vMerge/>
            <w:tcBorders>
              <w:left w:val="single" w:sz="4" w:space="0" w:color="auto"/>
              <w:right w:val="single" w:sz="4" w:space="0" w:color="auto"/>
            </w:tcBorders>
            <w:tcMar>
              <w:left w:w="57" w:type="dxa"/>
              <w:right w:w="57" w:type="dxa"/>
            </w:tcMar>
            <w:vAlign w:val="center"/>
          </w:tcPr>
          <w:p w14:paraId="6826352D" w14:textId="77777777" w:rsidR="00E512AE" w:rsidRPr="0029195A" w:rsidRDefault="00E512AE">
            <w:pPr>
              <w:pStyle w:val="TableText0"/>
              <w:jc w:val="center"/>
            </w:pPr>
          </w:p>
        </w:tc>
        <w:tc>
          <w:tcPr>
            <w:tcW w:w="167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CD2F417" w14:textId="77777777" w:rsidR="00E512AE" w:rsidRPr="0029195A" w:rsidRDefault="00E512AE">
            <w:pPr>
              <w:pStyle w:val="TableText0"/>
              <w:jc w:val="center"/>
            </w:pPr>
            <w:r w:rsidRPr="0029195A">
              <w:t>Resource use</w:t>
            </w:r>
          </w:p>
        </w:tc>
        <w:tc>
          <w:tcPr>
            <w:tcW w:w="1411" w:type="dxa"/>
            <w:tcBorders>
              <w:top w:val="single" w:sz="4" w:space="0" w:color="auto"/>
              <w:left w:val="single" w:sz="4" w:space="0" w:color="auto"/>
              <w:bottom w:val="single" w:sz="4" w:space="0" w:color="auto"/>
              <w:right w:val="single" w:sz="4" w:space="0" w:color="auto"/>
            </w:tcBorders>
            <w:vAlign w:val="center"/>
          </w:tcPr>
          <w:p w14:paraId="63EAC9AE" w14:textId="77777777" w:rsidR="00E512AE" w:rsidRPr="0029195A" w:rsidRDefault="00E512AE">
            <w:pPr>
              <w:pStyle w:val="TableText0"/>
              <w:jc w:val="center"/>
            </w:pPr>
            <w:r w:rsidRPr="0029195A">
              <w:rPr>
                <w:rFonts w:cs="Calibri"/>
                <w:color w:val="000000"/>
                <w:szCs w:val="20"/>
              </w:rPr>
              <w:t>$32,535</w:t>
            </w:r>
          </w:p>
        </w:tc>
        <w:tc>
          <w:tcPr>
            <w:tcW w:w="1257" w:type="dxa"/>
            <w:tcBorders>
              <w:top w:val="single" w:sz="4" w:space="0" w:color="auto"/>
              <w:left w:val="single" w:sz="4" w:space="0" w:color="auto"/>
              <w:bottom w:val="single" w:sz="4" w:space="0" w:color="auto"/>
              <w:right w:val="single" w:sz="4" w:space="0" w:color="auto"/>
            </w:tcBorders>
            <w:vAlign w:val="center"/>
          </w:tcPr>
          <w:p w14:paraId="4148024F" w14:textId="77777777" w:rsidR="00E512AE" w:rsidRPr="0029195A" w:rsidRDefault="00E512AE">
            <w:pPr>
              <w:pStyle w:val="TableText0"/>
              <w:jc w:val="center"/>
            </w:pPr>
            <w:r w:rsidRPr="0029195A">
              <w:rPr>
                <w:rFonts w:cs="Calibri"/>
                <w:color w:val="000000"/>
                <w:szCs w:val="20"/>
              </w:rPr>
              <w:t>$27,551</w:t>
            </w:r>
          </w:p>
        </w:tc>
        <w:tc>
          <w:tcPr>
            <w:tcW w:w="16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28D7256" w14:textId="77777777" w:rsidR="00E512AE" w:rsidRPr="0029195A" w:rsidRDefault="00E512AE">
            <w:pPr>
              <w:pStyle w:val="TableText0"/>
              <w:jc w:val="center"/>
            </w:pPr>
            <w:r w:rsidRPr="0029195A">
              <w:rPr>
                <w:rFonts w:cs="Calibri"/>
                <w:szCs w:val="20"/>
              </w:rPr>
              <w:t>$4,985</w:t>
            </w:r>
          </w:p>
        </w:tc>
        <w:tc>
          <w:tcPr>
            <w:tcW w:w="14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767F45C" w14:textId="77777777" w:rsidR="00E512AE" w:rsidRPr="006846C9" w:rsidRDefault="00E512AE">
            <w:pPr>
              <w:pStyle w:val="TableText0"/>
              <w:jc w:val="center"/>
            </w:pPr>
            <w:r w:rsidRPr="006846C9">
              <w:rPr>
                <w:rFonts w:cs="Calibri"/>
                <w:color w:val="000000"/>
                <w:szCs w:val="20"/>
              </w:rPr>
              <w:t>8%</w:t>
            </w:r>
          </w:p>
        </w:tc>
      </w:tr>
      <w:tr w:rsidR="00E512AE" w:rsidRPr="0029195A" w14:paraId="07C1888D" w14:textId="77777777" w:rsidTr="00A26F4F">
        <w:trPr>
          <w:cantSplit/>
        </w:trPr>
        <w:tc>
          <w:tcPr>
            <w:tcW w:w="1399" w:type="dxa"/>
            <w:vMerge/>
            <w:tcBorders>
              <w:left w:val="single" w:sz="4" w:space="0" w:color="auto"/>
              <w:bottom w:val="single" w:sz="4" w:space="0" w:color="auto"/>
              <w:right w:val="single" w:sz="4" w:space="0" w:color="auto"/>
            </w:tcBorders>
            <w:tcMar>
              <w:left w:w="57" w:type="dxa"/>
              <w:right w:w="57" w:type="dxa"/>
            </w:tcMar>
            <w:vAlign w:val="center"/>
          </w:tcPr>
          <w:p w14:paraId="7CEACC60" w14:textId="77777777" w:rsidR="00E512AE" w:rsidRPr="0029195A" w:rsidRDefault="00E512AE">
            <w:pPr>
              <w:pStyle w:val="TableText0"/>
              <w:jc w:val="center"/>
            </w:pPr>
          </w:p>
        </w:tc>
        <w:tc>
          <w:tcPr>
            <w:tcW w:w="1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vAlign w:val="center"/>
          </w:tcPr>
          <w:p w14:paraId="56AF6A05" w14:textId="77777777" w:rsidR="00E512AE" w:rsidRPr="0029195A" w:rsidRDefault="00E512AE">
            <w:pPr>
              <w:pStyle w:val="TableText0"/>
              <w:jc w:val="center"/>
            </w:pPr>
            <w:r w:rsidRPr="0029195A">
              <w:t xml:space="preserve">Total </w:t>
            </w:r>
          </w:p>
        </w:tc>
        <w:tc>
          <w:tcPr>
            <w:tcW w:w="14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83386E" w14:textId="7CB37E89" w:rsidR="00E512AE" w:rsidRPr="00465DBB" w:rsidRDefault="00E512AE">
            <w:pPr>
              <w:pStyle w:val="TableText0"/>
              <w:jc w:val="center"/>
              <w:rPr>
                <w:highlight w:val="darkGray"/>
              </w:rPr>
            </w:pPr>
            <w:r w:rsidRPr="00E817E3">
              <w:rPr>
                <w:rFonts w:cs="Calibri"/>
                <w:color w:val="000000"/>
                <w:szCs w:val="20"/>
              </w:rPr>
              <w:t>$</w:t>
            </w:r>
            <w:r w:rsidR="00A26F4F" w:rsidRPr="00A26F4F">
              <w:rPr>
                <w:rFonts w:cs="Calibri"/>
                <w:color w:val="000000"/>
                <w:szCs w:val="20"/>
                <w:shd w:val="solid" w:color="000000" w:fill="000000"/>
                <w14:textFill>
                  <w14:solidFill>
                    <w14:srgbClr w14:val="000000">
                      <w14:alpha w14:val="100000"/>
                    </w14:srgbClr>
                  </w14:solidFill>
                </w14:textFill>
              </w:rPr>
              <w:t>|</w:t>
            </w:r>
          </w:p>
        </w:tc>
        <w:tc>
          <w:tcPr>
            <w:tcW w:w="12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189C0B" w14:textId="77777777" w:rsidR="00E512AE" w:rsidRPr="0029195A" w:rsidRDefault="00E512AE">
            <w:pPr>
              <w:pStyle w:val="TableText0"/>
              <w:jc w:val="center"/>
            </w:pPr>
            <w:r w:rsidRPr="0029195A">
              <w:rPr>
                <w:rFonts w:cs="Calibri"/>
                <w:color w:val="000000"/>
                <w:szCs w:val="20"/>
              </w:rPr>
              <w:t>$28,769</w:t>
            </w:r>
          </w:p>
        </w:tc>
        <w:tc>
          <w:tcPr>
            <w:tcW w:w="167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vAlign w:val="center"/>
          </w:tcPr>
          <w:p w14:paraId="0E2721CC" w14:textId="4174839C" w:rsidR="00E512AE" w:rsidRPr="00465DBB" w:rsidRDefault="00E512AE">
            <w:pPr>
              <w:pStyle w:val="TableText0"/>
              <w:jc w:val="center"/>
              <w:rPr>
                <w:highlight w:val="darkGray"/>
              </w:rPr>
            </w:pPr>
            <w:r w:rsidRPr="00E817E3">
              <w:rPr>
                <w:rFonts w:cs="Calibri"/>
                <w:szCs w:val="20"/>
              </w:rPr>
              <w:t>$</w:t>
            </w:r>
            <w:r w:rsidR="00A26F4F" w:rsidRPr="00A26F4F">
              <w:rPr>
                <w:rFonts w:cs="Calibri"/>
                <w:color w:val="000000"/>
                <w:szCs w:val="20"/>
                <w:shd w:val="solid" w:color="000000" w:fill="000000"/>
                <w14:textFill>
                  <w14:solidFill>
                    <w14:srgbClr w14:val="000000">
                      <w14:alpha w14:val="100000"/>
                    </w14:srgbClr>
                  </w14:solidFill>
                </w14:textFill>
              </w:rPr>
              <w:t>|</w:t>
            </w:r>
          </w:p>
        </w:tc>
        <w:tc>
          <w:tcPr>
            <w:tcW w:w="1468" w:type="dxa"/>
            <w:tcBorders>
              <w:top w:val="single" w:sz="4" w:space="0" w:color="auto"/>
              <w:left w:val="single" w:sz="4" w:space="0" w:color="auto"/>
              <w:bottom w:val="single" w:sz="4" w:space="0" w:color="auto"/>
              <w:right w:val="single" w:sz="4" w:space="0" w:color="auto"/>
            </w:tcBorders>
            <w:shd w:val="solid" w:color="000000" w:fill="000000"/>
            <w:tcMar>
              <w:left w:w="57" w:type="dxa"/>
              <w:right w:w="57" w:type="dxa"/>
            </w:tcMar>
            <w:vAlign w:val="center"/>
          </w:tcPr>
          <w:p w14:paraId="0E4853BF" w14:textId="4679AE92" w:rsidR="00E512AE" w:rsidRPr="00465DBB" w:rsidRDefault="00A26F4F">
            <w:pPr>
              <w:pStyle w:val="TableText0"/>
              <w:jc w:val="center"/>
              <w:rPr>
                <w:highlight w:val="darkGray"/>
              </w:rPr>
            </w:pPr>
            <w:r w:rsidRPr="00A26F4F">
              <w:rPr>
                <w:rFonts w:cs="Calibri"/>
                <w:color w:val="000000"/>
                <w:szCs w:val="20"/>
                <w14:textFill>
                  <w14:solidFill>
                    <w14:srgbClr w14:val="000000">
                      <w14:alpha w14:val="100000"/>
                    </w14:srgbClr>
                  </w14:solidFill>
                </w14:textFill>
              </w:rPr>
              <w:t>|</w:t>
            </w:r>
          </w:p>
        </w:tc>
      </w:tr>
      <w:tr w:rsidR="00E512AE" w:rsidRPr="0029195A" w14:paraId="6B312E5A" w14:textId="77777777" w:rsidTr="00A26F4F">
        <w:trPr>
          <w:cantSplit/>
        </w:trPr>
        <w:tc>
          <w:tcPr>
            <w:tcW w:w="1399" w:type="dxa"/>
            <w:vMerge w:val="restart"/>
            <w:tcBorders>
              <w:top w:val="single" w:sz="4" w:space="0" w:color="auto"/>
              <w:left w:val="single" w:sz="4" w:space="0" w:color="auto"/>
              <w:right w:val="single" w:sz="4" w:space="0" w:color="auto"/>
            </w:tcBorders>
            <w:tcMar>
              <w:left w:w="57" w:type="dxa"/>
              <w:right w:w="57" w:type="dxa"/>
            </w:tcMar>
            <w:vAlign w:val="center"/>
          </w:tcPr>
          <w:p w14:paraId="26A04B9C" w14:textId="77777777" w:rsidR="00E512AE" w:rsidRPr="0029195A" w:rsidRDefault="00E512AE">
            <w:pPr>
              <w:pStyle w:val="TableText0"/>
              <w:jc w:val="center"/>
            </w:pPr>
            <w:r w:rsidRPr="0029195A">
              <w:t>Relapse</w:t>
            </w:r>
          </w:p>
        </w:tc>
        <w:tc>
          <w:tcPr>
            <w:tcW w:w="167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E8176F6" w14:textId="77777777" w:rsidR="00E512AE" w:rsidRPr="0029195A" w:rsidRDefault="00E512AE">
            <w:pPr>
              <w:pStyle w:val="TableText0"/>
              <w:jc w:val="center"/>
            </w:pPr>
            <w:r w:rsidRPr="0029195A">
              <w:t>Drug cost</w:t>
            </w:r>
          </w:p>
        </w:tc>
        <w:tc>
          <w:tcPr>
            <w:tcW w:w="1411" w:type="dxa"/>
            <w:tcBorders>
              <w:top w:val="single" w:sz="4" w:space="0" w:color="auto"/>
              <w:left w:val="single" w:sz="4" w:space="0" w:color="auto"/>
              <w:bottom w:val="single" w:sz="4" w:space="0" w:color="auto"/>
              <w:right w:val="single" w:sz="4" w:space="0" w:color="auto"/>
            </w:tcBorders>
            <w:vAlign w:val="center"/>
          </w:tcPr>
          <w:p w14:paraId="77BDACA8" w14:textId="4F9C2222" w:rsidR="00E512AE" w:rsidRPr="00465DBB" w:rsidRDefault="00E512AE">
            <w:pPr>
              <w:pStyle w:val="TableText0"/>
              <w:jc w:val="center"/>
              <w:rPr>
                <w:highlight w:val="darkGray"/>
              </w:rPr>
            </w:pPr>
            <w:r w:rsidRPr="00E817E3">
              <w:rPr>
                <w:rFonts w:cs="Calibri"/>
                <w:color w:val="000000"/>
                <w:szCs w:val="20"/>
              </w:rPr>
              <w:t>$</w:t>
            </w:r>
            <w:r w:rsidR="00A26F4F" w:rsidRPr="00A26F4F">
              <w:rPr>
                <w:rFonts w:cs="Calibri"/>
                <w:color w:val="000000"/>
                <w:szCs w:val="20"/>
                <w:shd w:val="solid" w:color="000000" w:fill="000000"/>
                <w14:textFill>
                  <w14:solidFill>
                    <w14:srgbClr w14:val="000000">
                      <w14:alpha w14:val="100000"/>
                    </w14:srgbClr>
                  </w14:solidFill>
                </w14:textFill>
              </w:rPr>
              <w:t>|</w:t>
            </w:r>
          </w:p>
        </w:tc>
        <w:tc>
          <w:tcPr>
            <w:tcW w:w="1257" w:type="dxa"/>
            <w:tcBorders>
              <w:top w:val="single" w:sz="4" w:space="0" w:color="auto"/>
              <w:left w:val="single" w:sz="4" w:space="0" w:color="auto"/>
              <w:bottom w:val="single" w:sz="4" w:space="0" w:color="auto"/>
              <w:right w:val="single" w:sz="4" w:space="0" w:color="auto"/>
            </w:tcBorders>
            <w:vAlign w:val="center"/>
          </w:tcPr>
          <w:p w14:paraId="42959B72" w14:textId="77777777" w:rsidR="00E512AE" w:rsidRPr="0029195A" w:rsidRDefault="00E512AE">
            <w:pPr>
              <w:pStyle w:val="TableText0"/>
              <w:jc w:val="center"/>
            </w:pPr>
            <w:r w:rsidRPr="0029195A">
              <w:rPr>
                <w:rFonts w:cs="Calibri"/>
                <w:color w:val="000000"/>
                <w:szCs w:val="20"/>
              </w:rPr>
              <w:t>$3,160</w:t>
            </w:r>
          </w:p>
        </w:tc>
        <w:tc>
          <w:tcPr>
            <w:tcW w:w="16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0794C58" w14:textId="1B13CF11" w:rsidR="00E512AE" w:rsidRPr="00465DBB" w:rsidRDefault="00E512AE">
            <w:pPr>
              <w:pStyle w:val="TableText0"/>
              <w:jc w:val="center"/>
              <w:rPr>
                <w:highlight w:val="darkGray"/>
              </w:rPr>
            </w:pPr>
            <w:r w:rsidRPr="00E817E3">
              <w:rPr>
                <w:rFonts w:cs="Calibri"/>
                <w:szCs w:val="20"/>
              </w:rPr>
              <w:t>$</w:t>
            </w:r>
            <w:r w:rsidR="00A26F4F" w:rsidRPr="00A26F4F">
              <w:rPr>
                <w:rFonts w:cs="Calibri"/>
                <w:color w:val="000000"/>
                <w:szCs w:val="20"/>
                <w:shd w:val="solid" w:color="000000" w:fill="000000"/>
                <w14:textFill>
                  <w14:solidFill>
                    <w14:srgbClr w14:val="000000">
                      <w14:alpha w14:val="100000"/>
                    </w14:srgbClr>
                  </w14:solidFill>
                </w14:textFill>
              </w:rPr>
              <w:t>|</w:t>
            </w:r>
          </w:p>
        </w:tc>
        <w:tc>
          <w:tcPr>
            <w:tcW w:w="1468" w:type="dxa"/>
            <w:tcBorders>
              <w:top w:val="single" w:sz="4" w:space="0" w:color="auto"/>
              <w:left w:val="single" w:sz="4" w:space="0" w:color="auto"/>
              <w:bottom w:val="single" w:sz="4" w:space="0" w:color="auto"/>
              <w:right w:val="single" w:sz="4" w:space="0" w:color="auto"/>
            </w:tcBorders>
            <w:shd w:val="solid" w:color="000000" w:fill="000000"/>
            <w:tcMar>
              <w:left w:w="57" w:type="dxa"/>
              <w:right w:w="57" w:type="dxa"/>
            </w:tcMar>
            <w:vAlign w:val="center"/>
          </w:tcPr>
          <w:p w14:paraId="48727CF9" w14:textId="283A74C7" w:rsidR="00E512AE" w:rsidRPr="00465DBB" w:rsidRDefault="00A26F4F">
            <w:pPr>
              <w:pStyle w:val="TableText0"/>
              <w:jc w:val="center"/>
              <w:rPr>
                <w:highlight w:val="darkGray"/>
              </w:rPr>
            </w:pPr>
            <w:r w:rsidRPr="00A26F4F">
              <w:rPr>
                <w:rFonts w:cs="Calibri"/>
                <w:color w:val="000000"/>
                <w:szCs w:val="20"/>
                <w14:textFill>
                  <w14:solidFill>
                    <w14:srgbClr w14:val="000000">
                      <w14:alpha w14:val="100000"/>
                    </w14:srgbClr>
                  </w14:solidFill>
                </w14:textFill>
              </w:rPr>
              <w:t>|</w:t>
            </w:r>
          </w:p>
        </w:tc>
      </w:tr>
      <w:tr w:rsidR="00E512AE" w:rsidRPr="0029195A" w14:paraId="6A0A9667" w14:textId="77777777" w:rsidTr="00A26F4F">
        <w:trPr>
          <w:cantSplit/>
        </w:trPr>
        <w:tc>
          <w:tcPr>
            <w:tcW w:w="1399" w:type="dxa"/>
            <w:vMerge/>
            <w:tcBorders>
              <w:left w:val="single" w:sz="4" w:space="0" w:color="auto"/>
              <w:right w:val="single" w:sz="4" w:space="0" w:color="auto"/>
            </w:tcBorders>
            <w:tcMar>
              <w:left w:w="57" w:type="dxa"/>
              <w:right w:w="57" w:type="dxa"/>
            </w:tcMar>
            <w:vAlign w:val="center"/>
          </w:tcPr>
          <w:p w14:paraId="58CC2C74" w14:textId="77777777" w:rsidR="00E512AE" w:rsidRPr="0029195A" w:rsidRDefault="00E512AE">
            <w:pPr>
              <w:pStyle w:val="TableText0"/>
              <w:jc w:val="center"/>
            </w:pPr>
          </w:p>
        </w:tc>
        <w:tc>
          <w:tcPr>
            <w:tcW w:w="167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BD23E6D" w14:textId="77777777" w:rsidR="00E512AE" w:rsidRPr="0029195A" w:rsidRDefault="00E512AE">
            <w:pPr>
              <w:pStyle w:val="TableText0"/>
              <w:jc w:val="center"/>
            </w:pPr>
            <w:r w:rsidRPr="0029195A">
              <w:t>Resource use</w:t>
            </w:r>
          </w:p>
        </w:tc>
        <w:tc>
          <w:tcPr>
            <w:tcW w:w="1411" w:type="dxa"/>
            <w:tcBorders>
              <w:top w:val="single" w:sz="4" w:space="0" w:color="auto"/>
              <w:left w:val="single" w:sz="4" w:space="0" w:color="auto"/>
              <w:bottom w:val="single" w:sz="4" w:space="0" w:color="auto"/>
              <w:right w:val="single" w:sz="4" w:space="0" w:color="auto"/>
            </w:tcBorders>
            <w:vAlign w:val="center"/>
          </w:tcPr>
          <w:p w14:paraId="3BB19EBC" w14:textId="77777777" w:rsidR="00E512AE" w:rsidRPr="0029195A" w:rsidRDefault="00E512AE">
            <w:pPr>
              <w:pStyle w:val="TableText0"/>
              <w:jc w:val="center"/>
            </w:pPr>
            <w:r w:rsidRPr="0029195A">
              <w:rPr>
                <w:rFonts w:cs="Calibri"/>
                <w:color w:val="000000"/>
                <w:szCs w:val="20"/>
              </w:rPr>
              <w:t>$24,871</w:t>
            </w:r>
          </w:p>
        </w:tc>
        <w:tc>
          <w:tcPr>
            <w:tcW w:w="1257" w:type="dxa"/>
            <w:tcBorders>
              <w:top w:val="single" w:sz="4" w:space="0" w:color="auto"/>
              <w:left w:val="single" w:sz="4" w:space="0" w:color="auto"/>
              <w:bottom w:val="single" w:sz="4" w:space="0" w:color="auto"/>
              <w:right w:val="single" w:sz="4" w:space="0" w:color="auto"/>
            </w:tcBorders>
            <w:vAlign w:val="center"/>
          </w:tcPr>
          <w:p w14:paraId="2823628C" w14:textId="77777777" w:rsidR="00E512AE" w:rsidRPr="0029195A" w:rsidRDefault="00E512AE">
            <w:pPr>
              <w:pStyle w:val="TableText0"/>
              <w:jc w:val="center"/>
            </w:pPr>
            <w:r w:rsidRPr="0029195A">
              <w:rPr>
                <w:rFonts w:cs="Calibri"/>
                <w:color w:val="000000"/>
                <w:szCs w:val="20"/>
              </w:rPr>
              <w:t>$34,706</w:t>
            </w:r>
          </w:p>
        </w:tc>
        <w:tc>
          <w:tcPr>
            <w:tcW w:w="16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0885CF0" w14:textId="77777777" w:rsidR="00E512AE" w:rsidRPr="0029195A" w:rsidRDefault="00E512AE">
            <w:pPr>
              <w:pStyle w:val="TableText0"/>
              <w:jc w:val="center"/>
            </w:pPr>
            <w:r w:rsidRPr="0029195A">
              <w:rPr>
                <w:rFonts w:cs="Calibri"/>
                <w:szCs w:val="20"/>
              </w:rPr>
              <w:t>-$9,835</w:t>
            </w:r>
          </w:p>
        </w:tc>
        <w:tc>
          <w:tcPr>
            <w:tcW w:w="14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A62595A" w14:textId="77777777" w:rsidR="00E512AE" w:rsidRPr="006846C9" w:rsidRDefault="00E512AE">
            <w:pPr>
              <w:pStyle w:val="TableText0"/>
              <w:jc w:val="center"/>
            </w:pPr>
            <w:r w:rsidRPr="006846C9">
              <w:rPr>
                <w:rFonts w:cs="Calibri"/>
                <w:color w:val="000000"/>
                <w:szCs w:val="20"/>
              </w:rPr>
              <w:t>-16%</w:t>
            </w:r>
          </w:p>
        </w:tc>
      </w:tr>
      <w:tr w:rsidR="00E512AE" w:rsidRPr="0029195A" w14:paraId="5DFB0A67" w14:textId="77777777" w:rsidTr="00A26F4F">
        <w:trPr>
          <w:cantSplit/>
        </w:trPr>
        <w:tc>
          <w:tcPr>
            <w:tcW w:w="1399" w:type="dxa"/>
            <w:vMerge/>
            <w:tcBorders>
              <w:left w:val="single" w:sz="4" w:space="0" w:color="auto"/>
              <w:bottom w:val="single" w:sz="4" w:space="0" w:color="auto"/>
              <w:right w:val="single" w:sz="4" w:space="0" w:color="auto"/>
            </w:tcBorders>
            <w:tcMar>
              <w:left w:w="57" w:type="dxa"/>
              <w:right w:w="57" w:type="dxa"/>
            </w:tcMar>
            <w:vAlign w:val="center"/>
          </w:tcPr>
          <w:p w14:paraId="3338DCEA" w14:textId="77777777" w:rsidR="00E512AE" w:rsidRPr="0029195A" w:rsidRDefault="00E512AE">
            <w:pPr>
              <w:pStyle w:val="TableText0"/>
              <w:jc w:val="center"/>
            </w:pPr>
          </w:p>
        </w:tc>
        <w:tc>
          <w:tcPr>
            <w:tcW w:w="1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vAlign w:val="center"/>
          </w:tcPr>
          <w:p w14:paraId="277FBB46" w14:textId="77777777" w:rsidR="00E512AE" w:rsidRPr="0029195A" w:rsidRDefault="00E512AE">
            <w:pPr>
              <w:pStyle w:val="TableText0"/>
              <w:jc w:val="center"/>
            </w:pPr>
            <w:r w:rsidRPr="0029195A">
              <w:t xml:space="preserve">Total </w:t>
            </w:r>
          </w:p>
        </w:tc>
        <w:tc>
          <w:tcPr>
            <w:tcW w:w="14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404418" w14:textId="3CC4A07F" w:rsidR="00E512AE" w:rsidRPr="0029195A" w:rsidRDefault="00E512AE">
            <w:pPr>
              <w:pStyle w:val="TableText0"/>
              <w:jc w:val="center"/>
            </w:pPr>
            <w:r w:rsidRPr="00E817E3">
              <w:rPr>
                <w:rFonts w:cs="Calibri"/>
                <w:color w:val="000000"/>
                <w:szCs w:val="20"/>
              </w:rPr>
              <w:t>$</w:t>
            </w:r>
            <w:r w:rsidR="00A26F4F" w:rsidRPr="00A26F4F">
              <w:rPr>
                <w:rFonts w:cs="Calibri"/>
                <w:color w:val="000000"/>
                <w:szCs w:val="20"/>
                <w:shd w:val="solid" w:color="000000" w:fill="000000"/>
                <w14:textFill>
                  <w14:solidFill>
                    <w14:srgbClr w14:val="000000">
                      <w14:alpha w14:val="100000"/>
                    </w14:srgbClr>
                  </w14:solidFill>
                </w14:textFill>
              </w:rPr>
              <w:t>|</w:t>
            </w:r>
          </w:p>
        </w:tc>
        <w:tc>
          <w:tcPr>
            <w:tcW w:w="12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813A7D" w14:textId="77777777" w:rsidR="00E512AE" w:rsidRPr="0029195A" w:rsidRDefault="00E512AE">
            <w:pPr>
              <w:pStyle w:val="TableText0"/>
              <w:jc w:val="center"/>
            </w:pPr>
            <w:r w:rsidRPr="0029195A">
              <w:rPr>
                <w:rFonts w:cs="Calibri"/>
                <w:color w:val="000000"/>
                <w:szCs w:val="20"/>
              </w:rPr>
              <w:t>$37,865</w:t>
            </w:r>
          </w:p>
        </w:tc>
        <w:tc>
          <w:tcPr>
            <w:tcW w:w="167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vAlign w:val="center"/>
          </w:tcPr>
          <w:p w14:paraId="7EADAB38" w14:textId="414645C3" w:rsidR="00E512AE" w:rsidRPr="0029195A" w:rsidRDefault="00E512AE">
            <w:pPr>
              <w:pStyle w:val="TableText0"/>
              <w:jc w:val="center"/>
            </w:pPr>
            <w:r w:rsidRPr="00E817E3">
              <w:rPr>
                <w:rFonts w:cs="Calibri"/>
                <w:szCs w:val="20"/>
              </w:rPr>
              <w:t>$</w:t>
            </w:r>
            <w:r w:rsidR="00A26F4F" w:rsidRPr="00A26F4F">
              <w:rPr>
                <w:rFonts w:cs="Calibri"/>
                <w:color w:val="000000"/>
                <w:szCs w:val="20"/>
                <w:shd w:val="solid" w:color="000000" w:fill="000000"/>
                <w14:textFill>
                  <w14:solidFill>
                    <w14:srgbClr w14:val="000000">
                      <w14:alpha w14:val="100000"/>
                    </w14:srgbClr>
                  </w14:solidFill>
                </w14:textFill>
              </w:rPr>
              <w:t>|</w:t>
            </w:r>
          </w:p>
        </w:tc>
        <w:tc>
          <w:tcPr>
            <w:tcW w:w="1468" w:type="dxa"/>
            <w:tcBorders>
              <w:top w:val="single" w:sz="4" w:space="0" w:color="auto"/>
              <w:left w:val="single" w:sz="4" w:space="0" w:color="auto"/>
              <w:bottom w:val="single" w:sz="4" w:space="0" w:color="auto"/>
              <w:right w:val="single" w:sz="4" w:space="0" w:color="auto"/>
            </w:tcBorders>
            <w:shd w:val="solid" w:color="000000" w:fill="000000"/>
            <w:tcMar>
              <w:left w:w="57" w:type="dxa"/>
              <w:right w:w="57" w:type="dxa"/>
            </w:tcMar>
            <w:vAlign w:val="center"/>
          </w:tcPr>
          <w:p w14:paraId="678E6D11" w14:textId="7912D9B9" w:rsidR="00E512AE" w:rsidRPr="006846C9" w:rsidRDefault="00A26F4F">
            <w:pPr>
              <w:pStyle w:val="TableText0"/>
              <w:jc w:val="center"/>
            </w:pPr>
            <w:r w:rsidRPr="00A26F4F">
              <w:rPr>
                <w:rFonts w:cs="Calibri"/>
                <w:color w:val="000000"/>
                <w:szCs w:val="20"/>
                <w14:textFill>
                  <w14:solidFill>
                    <w14:srgbClr w14:val="000000">
                      <w14:alpha w14:val="100000"/>
                    </w14:srgbClr>
                  </w14:solidFill>
                </w14:textFill>
              </w:rPr>
              <w:t>|</w:t>
            </w:r>
          </w:p>
        </w:tc>
      </w:tr>
      <w:tr w:rsidR="00E512AE" w:rsidRPr="0029195A" w14:paraId="300C2F4C" w14:textId="77777777">
        <w:trPr>
          <w:cantSplit/>
        </w:trPr>
        <w:tc>
          <w:tcPr>
            <w:tcW w:w="1399" w:type="dxa"/>
            <w:vMerge w:val="restart"/>
            <w:tcBorders>
              <w:top w:val="single" w:sz="4" w:space="0" w:color="auto"/>
              <w:left w:val="single" w:sz="4" w:space="0" w:color="auto"/>
              <w:right w:val="single" w:sz="4" w:space="0" w:color="auto"/>
            </w:tcBorders>
            <w:tcMar>
              <w:left w:w="57" w:type="dxa"/>
              <w:right w:w="57" w:type="dxa"/>
            </w:tcMar>
            <w:vAlign w:val="center"/>
          </w:tcPr>
          <w:p w14:paraId="02CAFA79" w14:textId="77777777" w:rsidR="00E512AE" w:rsidRPr="0029195A" w:rsidRDefault="00E512AE">
            <w:pPr>
              <w:pStyle w:val="TableText0"/>
              <w:jc w:val="center"/>
            </w:pPr>
            <w:r w:rsidRPr="0029195A">
              <w:t>ESRD</w:t>
            </w:r>
          </w:p>
        </w:tc>
        <w:tc>
          <w:tcPr>
            <w:tcW w:w="167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FF79A65" w14:textId="77777777" w:rsidR="00E512AE" w:rsidRPr="0029195A" w:rsidRDefault="00E512AE">
            <w:pPr>
              <w:pStyle w:val="TableText0"/>
              <w:jc w:val="center"/>
            </w:pPr>
            <w:r w:rsidRPr="0029195A">
              <w:t>Drug cost</w:t>
            </w:r>
          </w:p>
        </w:tc>
        <w:tc>
          <w:tcPr>
            <w:tcW w:w="1411" w:type="dxa"/>
            <w:tcBorders>
              <w:top w:val="single" w:sz="4" w:space="0" w:color="auto"/>
              <w:left w:val="single" w:sz="4" w:space="0" w:color="auto"/>
              <w:bottom w:val="single" w:sz="4" w:space="0" w:color="auto"/>
              <w:right w:val="single" w:sz="4" w:space="0" w:color="auto"/>
            </w:tcBorders>
            <w:vAlign w:val="center"/>
          </w:tcPr>
          <w:p w14:paraId="18EAF581" w14:textId="77777777" w:rsidR="00E512AE" w:rsidRPr="0029195A" w:rsidRDefault="00E512AE">
            <w:pPr>
              <w:pStyle w:val="TableText0"/>
              <w:jc w:val="center"/>
            </w:pPr>
            <w:r w:rsidRPr="0029195A">
              <w:rPr>
                <w:rFonts w:cs="Calibri"/>
                <w:color w:val="000000"/>
                <w:szCs w:val="20"/>
              </w:rPr>
              <w:t>$0</w:t>
            </w:r>
          </w:p>
        </w:tc>
        <w:tc>
          <w:tcPr>
            <w:tcW w:w="1257" w:type="dxa"/>
            <w:tcBorders>
              <w:top w:val="single" w:sz="4" w:space="0" w:color="auto"/>
              <w:left w:val="single" w:sz="4" w:space="0" w:color="auto"/>
              <w:bottom w:val="single" w:sz="4" w:space="0" w:color="auto"/>
              <w:right w:val="single" w:sz="4" w:space="0" w:color="auto"/>
            </w:tcBorders>
            <w:vAlign w:val="center"/>
          </w:tcPr>
          <w:p w14:paraId="08D9140F" w14:textId="77777777" w:rsidR="00E512AE" w:rsidRPr="0029195A" w:rsidRDefault="00E512AE">
            <w:pPr>
              <w:pStyle w:val="TableText0"/>
              <w:jc w:val="center"/>
            </w:pPr>
            <w:r w:rsidRPr="0029195A">
              <w:rPr>
                <w:rFonts w:cs="Calibri"/>
                <w:color w:val="000000"/>
                <w:szCs w:val="20"/>
              </w:rPr>
              <w:t>$0</w:t>
            </w:r>
          </w:p>
        </w:tc>
        <w:tc>
          <w:tcPr>
            <w:tcW w:w="16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AE32DCA" w14:textId="77777777" w:rsidR="00E512AE" w:rsidRPr="0029195A" w:rsidRDefault="00E512AE">
            <w:pPr>
              <w:pStyle w:val="TableText0"/>
              <w:jc w:val="center"/>
            </w:pPr>
            <w:r w:rsidRPr="0029195A">
              <w:rPr>
                <w:rFonts w:cs="Calibri"/>
                <w:szCs w:val="20"/>
              </w:rPr>
              <w:t>$0</w:t>
            </w:r>
          </w:p>
        </w:tc>
        <w:tc>
          <w:tcPr>
            <w:tcW w:w="14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60438C" w14:textId="77777777" w:rsidR="00E512AE" w:rsidRPr="006846C9" w:rsidRDefault="00E512AE">
            <w:pPr>
              <w:pStyle w:val="TableText0"/>
              <w:jc w:val="center"/>
            </w:pPr>
            <w:r w:rsidRPr="006846C9">
              <w:rPr>
                <w:rFonts w:cs="Calibri"/>
                <w:color w:val="000000"/>
                <w:szCs w:val="20"/>
              </w:rPr>
              <w:t>0%</w:t>
            </w:r>
          </w:p>
        </w:tc>
      </w:tr>
      <w:tr w:rsidR="00E512AE" w:rsidRPr="0029195A" w14:paraId="23DC6C67" w14:textId="77777777">
        <w:trPr>
          <w:cantSplit/>
        </w:trPr>
        <w:tc>
          <w:tcPr>
            <w:tcW w:w="1399" w:type="dxa"/>
            <w:vMerge/>
            <w:tcBorders>
              <w:left w:val="single" w:sz="4" w:space="0" w:color="auto"/>
              <w:right w:val="single" w:sz="4" w:space="0" w:color="auto"/>
            </w:tcBorders>
            <w:tcMar>
              <w:left w:w="57" w:type="dxa"/>
              <w:right w:w="57" w:type="dxa"/>
            </w:tcMar>
            <w:vAlign w:val="center"/>
          </w:tcPr>
          <w:p w14:paraId="5E7F3D7D" w14:textId="77777777" w:rsidR="00E512AE" w:rsidRPr="0029195A" w:rsidRDefault="00E512AE">
            <w:pPr>
              <w:pStyle w:val="TableText0"/>
              <w:jc w:val="center"/>
            </w:pPr>
          </w:p>
        </w:tc>
        <w:tc>
          <w:tcPr>
            <w:tcW w:w="167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266DE2B" w14:textId="77777777" w:rsidR="00E512AE" w:rsidRPr="0029195A" w:rsidRDefault="00E512AE">
            <w:pPr>
              <w:pStyle w:val="TableText0"/>
              <w:jc w:val="center"/>
            </w:pPr>
            <w:r w:rsidRPr="0029195A">
              <w:t>Resource use</w:t>
            </w:r>
          </w:p>
        </w:tc>
        <w:tc>
          <w:tcPr>
            <w:tcW w:w="1411" w:type="dxa"/>
            <w:tcBorders>
              <w:top w:val="single" w:sz="4" w:space="0" w:color="auto"/>
              <w:left w:val="single" w:sz="4" w:space="0" w:color="auto"/>
              <w:bottom w:val="single" w:sz="4" w:space="0" w:color="auto"/>
              <w:right w:val="single" w:sz="4" w:space="0" w:color="auto"/>
            </w:tcBorders>
            <w:vAlign w:val="center"/>
          </w:tcPr>
          <w:p w14:paraId="4F65F7D4" w14:textId="77777777" w:rsidR="00E512AE" w:rsidRPr="0029195A" w:rsidRDefault="00E512AE">
            <w:pPr>
              <w:pStyle w:val="TableText0"/>
              <w:jc w:val="center"/>
            </w:pPr>
            <w:r w:rsidRPr="0029195A">
              <w:rPr>
                <w:rFonts w:cs="Calibri"/>
                <w:color w:val="000000"/>
                <w:szCs w:val="20"/>
              </w:rPr>
              <w:t>$111,305</w:t>
            </w:r>
          </w:p>
        </w:tc>
        <w:tc>
          <w:tcPr>
            <w:tcW w:w="1257" w:type="dxa"/>
            <w:tcBorders>
              <w:top w:val="single" w:sz="4" w:space="0" w:color="auto"/>
              <w:left w:val="single" w:sz="4" w:space="0" w:color="auto"/>
              <w:bottom w:val="single" w:sz="4" w:space="0" w:color="auto"/>
              <w:right w:val="single" w:sz="4" w:space="0" w:color="auto"/>
            </w:tcBorders>
            <w:vAlign w:val="center"/>
          </w:tcPr>
          <w:p w14:paraId="15E1628D" w14:textId="77777777" w:rsidR="00E512AE" w:rsidRPr="0029195A" w:rsidRDefault="00E512AE">
            <w:pPr>
              <w:pStyle w:val="TableText0"/>
              <w:jc w:val="center"/>
            </w:pPr>
            <w:r w:rsidRPr="0029195A">
              <w:rPr>
                <w:rFonts w:cs="Calibri"/>
                <w:color w:val="000000"/>
                <w:szCs w:val="20"/>
              </w:rPr>
              <w:t>$170,449</w:t>
            </w:r>
          </w:p>
        </w:tc>
        <w:tc>
          <w:tcPr>
            <w:tcW w:w="16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28E693C" w14:textId="77777777" w:rsidR="00E512AE" w:rsidRPr="0029195A" w:rsidRDefault="00E512AE">
            <w:pPr>
              <w:pStyle w:val="TableText0"/>
              <w:jc w:val="center"/>
            </w:pPr>
            <w:r w:rsidRPr="0029195A">
              <w:rPr>
                <w:rFonts w:cs="Calibri"/>
                <w:szCs w:val="20"/>
              </w:rPr>
              <w:t>-$59,144</w:t>
            </w:r>
          </w:p>
        </w:tc>
        <w:tc>
          <w:tcPr>
            <w:tcW w:w="14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C67C424" w14:textId="77777777" w:rsidR="00E512AE" w:rsidRPr="006846C9" w:rsidRDefault="00E512AE">
            <w:pPr>
              <w:pStyle w:val="TableText0"/>
              <w:jc w:val="center"/>
            </w:pPr>
            <w:r w:rsidRPr="006846C9">
              <w:rPr>
                <w:rFonts w:cs="Calibri"/>
                <w:color w:val="000000"/>
                <w:szCs w:val="20"/>
              </w:rPr>
              <w:t>-97%</w:t>
            </w:r>
          </w:p>
        </w:tc>
      </w:tr>
      <w:tr w:rsidR="00E512AE" w:rsidRPr="0029195A" w14:paraId="028ACACC" w14:textId="77777777">
        <w:trPr>
          <w:cantSplit/>
        </w:trPr>
        <w:tc>
          <w:tcPr>
            <w:tcW w:w="1399" w:type="dxa"/>
            <w:vMerge/>
            <w:tcBorders>
              <w:left w:val="single" w:sz="4" w:space="0" w:color="auto"/>
              <w:bottom w:val="single" w:sz="4" w:space="0" w:color="auto"/>
              <w:right w:val="single" w:sz="4" w:space="0" w:color="auto"/>
            </w:tcBorders>
            <w:tcMar>
              <w:left w:w="57" w:type="dxa"/>
              <w:right w:w="57" w:type="dxa"/>
            </w:tcMar>
            <w:vAlign w:val="center"/>
          </w:tcPr>
          <w:p w14:paraId="5A37754C" w14:textId="77777777" w:rsidR="00E512AE" w:rsidRPr="0029195A" w:rsidRDefault="00E512AE">
            <w:pPr>
              <w:pStyle w:val="TableText0"/>
              <w:jc w:val="center"/>
            </w:pPr>
          </w:p>
        </w:tc>
        <w:tc>
          <w:tcPr>
            <w:tcW w:w="1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vAlign w:val="center"/>
          </w:tcPr>
          <w:p w14:paraId="1C9BC233" w14:textId="77777777" w:rsidR="00E512AE" w:rsidRPr="0029195A" w:rsidRDefault="00E512AE">
            <w:pPr>
              <w:pStyle w:val="TableText0"/>
              <w:jc w:val="center"/>
            </w:pPr>
            <w:r w:rsidRPr="0029195A">
              <w:t>Total</w:t>
            </w:r>
          </w:p>
        </w:tc>
        <w:tc>
          <w:tcPr>
            <w:tcW w:w="14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75CCFC" w14:textId="77777777" w:rsidR="00E512AE" w:rsidRPr="0029195A" w:rsidRDefault="00E512AE">
            <w:pPr>
              <w:pStyle w:val="TableText0"/>
              <w:jc w:val="center"/>
              <w:rPr>
                <w:rFonts w:cs="Calibri"/>
                <w:color w:val="000000"/>
                <w:szCs w:val="20"/>
              </w:rPr>
            </w:pPr>
            <w:r w:rsidRPr="0029195A">
              <w:rPr>
                <w:rFonts w:cs="Calibri"/>
                <w:color w:val="000000"/>
                <w:szCs w:val="20"/>
              </w:rPr>
              <w:t>$111,305</w:t>
            </w:r>
          </w:p>
        </w:tc>
        <w:tc>
          <w:tcPr>
            <w:tcW w:w="12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45AAB4" w14:textId="77777777" w:rsidR="00E512AE" w:rsidRPr="0029195A" w:rsidRDefault="00E512AE">
            <w:pPr>
              <w:pStyle w:val="TableText0"/>
              <w:jc w:val="center"/>
              <w:rPr>
                <w:rFonts w:cs="Calibri"/>
                <w:color w:val="000000"/>
                <w:szCs w:val="20"/>
              </w:rPr>
            </w:pPr>
            <w:r w:rsidRPr="0029195A">
              <w:rPr>
                <w:rFonts w:cs="Calibri"/>
                <w:color w:val="000000"/>
                <w:szCs w:val="20"/>
              </w:rPr>
              <w:t>$170,449</w:t>
            </w:r>
          </w:p>
        </w:tc>
        <w:tc>
          <w:tcPr>
            <w:tcW w:w="167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vAlign w:val="center"/>
          </w:tcPr>
          <w:p w14:paraId="13B275FD" w14:textId="77777777" w:rsidR="00E512AE" w:rsidRPr="0029195A" w:rsidRDefault="00E512AE">
            <w:pPr>
              <w:pStyle w:val="TableText0"/>
              <w:jc w:val="center"/>
              <w:rPr>
                <w:rFonts w:cs="Calibri"/>
                <w:szCs w:val="20"/>
              </w:rPr>
            </w:pPr>
            <w:r w:rsidRPr="0029195A">
              <w:rPr>
                <w:rFonts w:cs="Calibri"/>
                <w:szCs w:val="20"/>
              </w:rPr>
              <w:t>-$59,144</w:t>
            </w:r>
          </w:p>
        </w:tc>
        <w:tc>
          <w:tcPr>
            <w:tcW w:w="14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vAlign w:val="center"/>
          </w:tcPr>
          <w:p w14:paraId="40652009" w14:textId="77777777" w:rsidR="00E512AE" w:rsidRPr="006846C9" w:rsidRDefault="00E512AE">
            <w:pPr>
              <w:pStyle w:val="TableText0"/>
              <w:jc w:val="center"/>
              <w:rPr>
                <w:rFonts w:cs="Calibri"/>
                <w:color w:val="000000"/>
                <w:szCs w:val="20"/>
              </w:rPr>
            </w:pPr>
            <w:r w:rsidRPr="006846C9">
              <w:rPr>
                <w:rFonts w:cs="Calibri"/>
                <w:color w:val="000000"/>
                <w:szCs w:val="20"/>
              </w:rPr>
              <w:t>-97%</w:t>
            </w:r>
          </w:p>
        </w:tc>
      </w:tr>
      <w:tr w:rsidR="00E512AE" w:rsidRPr="0029195A" w14:paraId="578F6E85" w14:textId="77777777">
        <w:trPr>
          <w:cantSplit/>
        </w:trPr>
        <w:tc>
          <w:tcPr>
            <w:tcW w:w="1399" w:type="dxa"/>
            <w:vMerge w:val="restart"/>
            <w:tcBorders>
              <w:top w:val="single" w:sz="4" w:space="0" w:color="auto"/>
              <w:left w:val="single" w:sz="4" w:space="0" w:color="auto"/>
              <w:right w:val="single" w:sz="4" w:space="0" w:color="auto"/>
            </w:tcBorders>
            <w:tcMar>
              <w:left w:w="57" w:type="dxa"/>
              <w:right w:w="57" w:type="dxa"/>
            </w:tcMar>
            <w:vAlign w:val="center"/>
          </w:tcPr>
          <w:p w14:paraId="21929933" w14:textId="77777777" w:rsidR="00E512AE" w:rsidRPr="0029195A" w:rsidRDefault="00E512AE">
            <w:pPr>
              <w:pStyle w:val="TableText0"/>
              <w:jc w:val="center"/>
            </w:pPr>
            <w:r w:rsidRPr="0029195A">
              <w:t>Death</w:t>
            </w:r>
          </w:p>
        </w:tc>
        <w:tc>
          <w:tcPr>
            <w:tcW w:w="167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00C1000" w14:textId="77777777" w:rsidR="00E512AE" w:rsidRPr="0029195A" w:rsidRDefault="00E512AE">
            <w:pPr>
              <w:pStyle w:val="TableText0"/>
              <w:jc w:val="center"/>
            </w:pPr>
            <w:r w:rsidRPr="0029195A">
              <w:t>Drug cost</w:t>
            </w:r>
          </w:p>
        </w:tc>
        <w:tc>
          <w:tcPr>
            <w:tcW w:w="1411" w:type="dxa"/>
            <w:tcBorders>
              <w:top w:val="single" w:sz="4" w:space="0" w:color="auto"/>
              <w:left w:val="single" w:sz="4" w:space="0" w:color="auto"/>
              <w:bottom w:val="single" w:sz="4" w:space="0" w:color="auto"/>
              <w:right w:val="single" w:sz="4" w:space="0" w:color="auto"/>
            </w:tcBorders>
            <w:vAlign w:val="center"/>
          </w:tcPr>
          <w:p w14:paraId="39CE8BA5" w14:textId="77777777" w:rsidR="00E512AE" w:rsidRPr="0029195A" w:rsidRDefault="00E512AE">
            <w:pPr>
              <w:pStyle w:val="TableText0"/>
              <w:jc w:val="center"/>
            </w:pPr>
            <w:r w:rsidRPr="0029195A">
              <w:rPr>
                <w:rFonts w:cs="Calibri"/>
                <w:color w:val="000000"/>
                <w:szCs w:val="20"/>
              </w:rPr>
              <w:t>$0</w:t>
            </w:r>
          </w:p>
        </w:tc>
        <w:tc>
          <w:tcPr>
            <w:tcW w:w="1257" w:type="dxa"/>
            <w:tcBorders>
              <w:top w:val="single" w:sz="4" w:space="0" w:color="auto"/>
              <w:left w:val="single" w:sz="4" w:space="0" w:color="auto"/>
              <w:bottom w:val="single" w:sz="4" w:space="0" w:color="auto"/>
              <w:right w:val="single" w:sz="4" w:space="0" w:color="auto"/>
            </w:tcBorders>
            <w:vAlign w:val="center"/>
          </w:tcPr>
          <w:p w14:paraId="43D002E5" w14:textId="77777777" w:rsidR="00E512AE" w:rsidRPr="0029195A" w:rsidRDefault="00E512AE">
            <w:pPr>
              <w:pStyle w:val="TableText0"/>
              <w:jc w:val="center"/>
            </w:pPr>
            <w:r w:rsidRPr="0029195A">
              <w:rPr>
                <w:rFonts w:cs="Calibri"/>
                <w:color w:val="000000"/>
                <w:szCs w:val="20"/>
              </w:rPr>
              <w:t>$0</w:t>
            </w:r>
          </w:p>
        </w:tc>
        <w:tc>
          <w:tcPr>
            <w:tcW w:w="16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E0BEFBF" w14:textId="77777777" w:rsidR="00E512AE" w:rsidRPr="0029195A" w:rsidRDefault="00E512AE">
            <w:pPr>
              <w:pStyle w:val="TableText0"/>
              <w:jc w:val="center"/>
            </w:pPr>
            <w:r w:rsidRPr="0029195A">
              <w:rPr>
                <w:rFonts w:cs="Calibri"/>
                <w:szCs w:val="20"/>
              </w:rPr>
              <w:t>$0</w:t>
            </w:r>
          </w:p>
        </w:tc>
        <w:tc>
          <w:tcPr>
            <w:tcW w:w="14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AF94316" w14:textId="77777777" w:rsidR="00E512AE" w:rsidRPr="006846C9" w:rsidRDefault="00E512AE">
            <w:pPr>
              <w:pStyle w:val="TableText0"/>
              <w:jc w:val="center"/>
            </w:pPr>
            <w:r w:rsidRPr="006846C9">
              <w:rPr>
                <w:rFonts w:cs="Calibri"/>
                <w:color w:val="000000"/>
                <w:szCs w:val="20"/>
              </w:rPr>
              <w:t>0%</w:t>
            </w:r>
          </w:p>
        </w:tc>
      </w:tr>
      <w:tr w:rsidR="00E512AE" w:rsidRPr="0029195A" w14:paraId="57092191" w14:textId="77777777">
        <w:trPr>
          <w:cantSplit/>
        </w:trPr>
        <w:tc>
          <w:tcPr>
            <w:tcW w:w="1399" w:type="dxa"/>
            <w:vMerge/>
            <w:tcBorders>
              <w:left w:val="single" w:sz="4" w:space="0" w:color="auto"/>
              <w:right w:val="single" w:sz="4" w:space="0" w:color="auto"/>
            </w:tcBorders>
            <w:tcMar>
              <w:left w:w="57" w:type="dxa"/>
              <w:right w:w="57" w:type="dxa"/>
            </w:tcMar>
            <w:vAlign w:val="center"/>
          </w:tcPr>
          <w:p w14:paraId="348FC1C1" w14:textId="77777777" w:rsidR="00E512AE" w:rsidRPr="0029195A" w:rsidRDefault="00E512AE">
            <w:pPr>
              <w:pStyle w:val="TableText0"/>
              <w:jc w:val="center"/>
            </w:pPr>
          </w:p>
        </w:tc>
        <w:tc>
          <w:tcPr>
            <w:tcW w:w="167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A08D000" w14:textId="77777777" w:rsidR="00E512AE" w:rsidRPr="0029195A" w:rsidRDefault="00E512AE">
            <w:pPr>
              <w:pStyle w:val="TableText0"/>
              <w:jc w:val="center"/>
            </w:pPr>
            <w:r w:rsidRPr="0029195A">
              <w:t>Resource use</w:t>
            </w:r>
          </w:p>
        </w:tc>
        <w:tc>
          <w:tcPr>
            <w:tcW w:w="1411" w:type="dxa"/>
            <w:tcBorders>
              <w:top w:val="single" w:sz="4" w:space="0" w:color="auto"/>
              <w:left w:val="single" w:sz="4" w:space="0" w:color="auto"/>
              <w:bottom w:val="single" w:sz="4" w:space="0" w:color="auto"/>
              <w:right w:val="single" w:sz="4" w:space="0" w:color="auto"/>
            </w:tcBorders>
            <w:vAlign w:val="center"/>
          </w:tcPr>
          <w:p w14:paraId="0F203D09" w14:textId="77777777" w:rsidR="00E512AE" w:rsidRPr="0029195A" w:rsidRDefault="00E512AE">
            <w:pPr>
              <w:pStyle w:val="TableText0"/>
              <w:jc w:val="center"/>
            </w:pPr>
            <w:r w:rsidRPr="0029195A">
              <w:rPr>
                <w:rFonts w:cs="Calibri"/>
                <w:color w:val="000000"/>
                <w:szCs w:val="20"/>
              </w:rPr>
              <w:t>$3,523</w:t>
            </w:r>
          </w:p>
        </w:tc>
        <w:tc>
          <w:tcPr>
            <w:tcW w:w="1257" w:type="dxa"/>
            <w:tcBorders>
              <w:top w:val="single" w:sz="4" w:space="0" w:color="auto"/>
              <w:left w:val="single" w:sz="4" w:space="0" w:color="auto"/>
              <w:bottom w:val="single" w:sz="4" w:space="0" w:color="auto"/>
              <w:right w:val="single" w:sz="4" w:space="0" w:color="auto"/>
            </w:tcBorders>
            <w:vAlign w:val="center"/>
          </w:tcPr>
          <w:p w14:paraId="62D23C1D" w14:textId="77777777" w:rsidR="00E512AE" w:rsidRPr="0029195A" w:rsidRDefault="00E512AE">
            <w:pPr>
              <w:pStyle w:val="TableText0"/>
              <w:jc w:val="center"/>
            </w:pPr>
            <w:r w:rsidRPr="0029195A">
              <w:rPr>
                <w:rFonts w:cs="Calibri"/>
                <w:color w:val="000000"/>
                <w:szCs w:val="20"/>
              </w:rPr>
              <w:t>$3,791</w:t>
            </w:r>
          </w:p>
        </w:tc>
        <w:tc>
          <w:tcPr>
            <w:tcW w:w="16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590711" w14:textId="77777777" w:rsidR="00E512AE" w:rsidRPr="0029195A" w:rsidRDefault="00E512AE">
            <w:pPr>
              <w:pStyle w:val="TableText0"/>
              <w:jc w:val="center"/>
            </w:pPr>
            <w:r w:rsidRPr="0029195A">
              <w:rPr>
                <w:rFonts w:cs="Calibri"/>
                <w:szCs w:val="20"/>
              </w:rPr>
              <w:t>-$268</w:t>
            </w:r>
          </w:p>
        </w:tc>
        <w:tc>
          <w:tcPr>
            <w:tcW w:w="14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070EB8C" w14:textId="77777777" w:rsidR="00E512AE" w:rsidRPr="006846C9" w:rsidRDefault="00E512AE">
            <w:pPr>
              <w:pStyle w:val="TableText0"/>
              <w:jc w:val="center"/>
            </w:pPr>
            <w:r w:rsidRPr="006846C9">
              <w:rPr>
                <w:rFonts w:cs="Calibri"/>
                <w:color w:val="000000"/>
                <w:szCs w:val="20"/>
              </w:rPr>
              <w:t>0%</w:t>
            </w:r>
          </w:p>
        </w:tc>
      </w:tr>
      <w:tr w:rsidR="00E512AE" w:rsidRPr="0029195A" w14:paraId="645430B2" w14:textId="77777777">
        <w:trPr>
          <w:cantSplit/>
        </w:trPr>
        <w:tc>
          <w:tcPr>
            <w:tcW w:w="1399" w:type="dxa"/>
            <w:vMerge/>
            <w:tcBorders>
              <w:left w:val="single" w:sz="4" w:space="0" w:color="auto"/>
              <w:bottom w:val="single" w:sz="4" w:space="0" w:color="auto"/>
              <w:right w:val="single" w:sz="4" w:space="0" w:color="auto"/>
            </w:tcBorders>
            <w:tcMar>
              <w:left w:w="57" w:type="dxa"/>
              <w:right w:w="57" w:type="dxa"/>
            </w:tcMar>
            <w:vAlign w:val="center"/>
          </w:tcPr>
          <w:p w14:paraId="14598B00" w14:textId="77777777" w:rsidR="00E512AE" w:rsidRPr="0029195A" w:rsidRDefault="00E512AE">
            <w:pPr>
              <w:pStyle w:val="TableText0"/>
            </w:pPr>
          </w:p>
        </w:tc>
        <w:tc>
          <w:tcPr>
            <w:tcW w:w="1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vAlign w:val="center"/>
          </w:tcPr>
          <w:p w14:paraId="4A3631E0" w14:textId="77777777" w:rsidR="00E512AE" w:rsidRPr="0029195A" w:rsidRDefault="00E512AE">
            <w:pPr>
              <w:pStyle w:val="TableText0"/>
              <w:jc w:val="center"/>
            </w:pPr>
            <w:r w:rsidRPr="0029195A">
              <w:t xml:space="preserve">Total </w:t>
            </w:r>
          </w:p>
        </w:tc>
        <w:tc>
          <w:tcPr>
            <w:tcW w:w="14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244507" w14:textId="77777777" w:rsidR="00E512AE" w:rsidRPr="0029195A" w:rsidRDefault="00E512AE">
            <w:pPr>
              <w:pStyle w:val="TableText0"/>
              <w:jc w:val="center"/>
            </w:pPr>
            <w:r w:rsidRPr="0029195A">
              <w:rPr>
                <w:rFonts w:cs="Calibri"/>
                <w:color w:val="000000"/>
                <w:szCs w:val="20"/>
              </w:rPr>
              <w:t>$3,523</w:t>
            </w:r>
          </w:p>
        </w:tc>
        <w:tc>
          <w:tcPr>
            <w:tcW w:w="12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78F18A" w14:textId="77777777" w:rsidR="00E512AE" w:rsidRPr="0029195A" w:rsidRDefault="00E512AE">
            <w:pPr>
              <w:pStyle w:val="TableText0"/>
              <w:jc w:val="center"/>
            </w:pPr>
            <w:r w:rsidRPr="0029195A">
              <w:rPr>
                <w:rFonts w:cs="Calibri"/>
                <w:color w:val="000000"/>
                <w:szCs w:val="20"/>
              </w:rPr>
              <w:t>$3,791</w:t>
            </w:r>
          </w:p>
        </w:tc>
        <w:tc>
          <w:tcPr>
            <w:tcW w:w="167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vAlign w:val="center"/>
          </w:tcPr>
          <w:p w14:paraId="58D7065C" w14:textId="77777777" w:rsidR="00E512AE" w:rsidRPr="0029195A" w:rsidRDefault="00E512AE">
            <w:pPr>
              <w:pStyle w:val="TableText0"/>
              <w:jc w:val="center"/>
            </w:pPr>
            <w:r w:rsidRPr="0029195A">
              <w:rPr>
                <w:rFonts w:cs="Calibri"/>
                <w:szCs w:val="20"/>
              </w:rPr>
              <w:t>-$268</w:t>
            </w:r>
          </w:p>
        </w:tc>
        <w:tc>
          <w:tcPr>
            <w:tcW w:w="14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vAlign w:val="center"/>
          </w:tcPr>
          <w:p w14:paraId="4C1BDF59" w14:textId="77777777" w:rsidR="00E512AE" w:rsidRPr="006846C9" w:rsidRDefault="00E512AE">
            <w:pPr>
              <w:pStyle w:val="TableText0"/>
              <w:jc w:val="center"/>
            </w:pPr>
            <w:r w:rsidRPr="006846C9">
              <w:rPr>
                <w:rFonts w:cs="Calibri"/>
                <w:color w:val="000000"/>
                <w:szCs w:val="20"/>
              </w:rPr>
              <w:t>0%</w:t>
            </w:r>
          </w:p>
        </w:tc>
      </w:tr>
      <w:tr w:rsidR="00E512AE" w:rsidRPr="0029195A" w14:paraId="29CF0272" w14:textId="77777777">
        <w:trPr>
          <w:cantSplit/>
        </w:trPr>
        <w:tc>
          <w:tcPr>
            <w:tcW w:w="3070"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DD14ED" w14:textId="77777777" w:rsidR="00E512AE" w:rsidRPr="0029195A" w:rsidRDefault="00E512AE">
            <w:pPr>
              <w:pStyle w:val="TableText0"/>
              <w:jc w:val="right"/>
            </w:pPr>
            <w:r w:rsidRPr="0029195A">
              <w:t>Total</w:t>
            </w:r>
          </w:p>
        </w:tc>
        <w:tc>
          <w:tcPr>
            <w:tcW w:w="1411" w:type="dxa"/>
            <w:tcBorders>
              <w:top w:val="single" w:sz="4" w:space="0" w:color="auto"/>
              <w:left w:val="single" w:sz="4" w:space="0" w:color="auto"/>
              <w:bottom w:val="single" w:sz="4" w:space="0" w:color="auto"/>
              <w:right w:val="single" w:sz="4" w:space="0" w:color="auto"/>
            </w:tcBorders>
            <w:vAlign w:val="center"/>
          </w:tcPr>
          <w:p w14:paraId="18789008" w14:textId="1F53A819" w:rsidR="00E512AE" w:rsidRPr="0029195A" w:rsidRDefault="00E512AE">
            <w:pPr>
              <w:pStyle w:val="TableText0"/>
              <w:jc w:val="center"/>
              <w:rPr>
                <w:rFonts w:cs="Calibri"/>
                <w:color w:val="000000"/>
                <w:szCs w:val="20"/>
              </w:rPr>
            </w:pPr>
            <w:r w:rsidRPr="0029195A">
              <w:rPr>
                <w:rFonts w:cs="Calibri"/>
                <w:color w:val="000000"/>
                <w:szCs w:val="20"/>
              </w:rPr>
              <w:t>$</w:t>
            </w:r>
            <w:r w:rsidR="00A26F4F" w:rsidRPr="00A26F4F">
              <w:rPr>
                <w:rFonts w:cs="Calibri"/>
                <w:color w:val="000000"/>
                <w:szCs w:val="20"/>
                <w:shd w:val="solid" w:color="000000" w:fill="000000"/>
                <w14:textFill>
                  <w14:solidFill>
                    <w14:srgbClr w14:val="000000">
                      <w14:alpha w14:val="100000"/>
                    </w14:srgbClr>
                  </w14:solidFill>
                </w14:textFill>
              </w:rPr>
              <w:t>|</w:t>
            </w:r>
          </w:p>
        </w:tc>
        <w:tc>
          <w:tcPr>
            <w:tcW w:w="1257" w:type="dxa"/>
            <w:tcBorders>
              <w:top w:val="single" w:sz="4" w:space="0" w:color="auto"/>
              <w:left w:val="single" w:sz="4" w:space="0" w:color="auto"/>
              <w:bottom w:val="single" w:sz="4" w:space="0" w:color="auto"/>
              <w:right w:val="single" w:sz="4" w:space="0" w:color="auto"/>
            </w:tcBorders>
            <w:vAlign w:val="center"/>
          </w:tcPr>
          <w:p w14:paraId="643A44C4" w14:textId="77777777" w:rsidR="00E512AE" w:rsidRPr="0029195A" w:rsidRDefault="00E512AE">
            <w:pPr>
              <w:pStyle w:val="TableText0"/>
              <w:jc w:val="center"/>
              <w:rPr>
                <w:rFonts w:cs="Calibri"/>
                <w:color w:val="000000"/>
                <w:szCs w:val="20"/>
              </w:rPr>
            </w:pPr>
            <w:r w:rsidRPr="0029195A">
              <w:rPr>
                <w:rFonts w:cs="Calibri"/>
                <w:color w:val="000000"/>
                <w:szCs w:val="20"/>
              </w:rPr>
              <w:t>$248,429</w:t>
            </w:r>
          </w:p>
        </w:tc>
        <w:tc>
          <w:tcPr>
            <w:tcW w:w="16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6D0672" w14:textId="04A065EB" w:rsidR="00E512AE" w:rsidRPr="0029195A" w:rsidRDefault="00E512AE">
            <w:pPr>
              <w:pStyle w:val="TableText0"/>
              <w:jc w:val="center"/>
              <w:rPr>
                <w:rFonts w:cs="Calibri"/>
                <w:color w:val="000000"/>
                <w:szCs w:val="20"/>
              </w:rPr>
            </w:pPr>
            <w:r w:rsidRPr="0029195A">
              <w:rPr>
                <w:rFonts w:cs="Calibri"/>
                <w:color w:val="000000"/>
                <w:szCs w:val="20"/>
              </w:rPr>
              <w:t>$</w:t>
            </w:r>
            <w:r w:rsidR="00A26F4F" w:rsidRPr="00A26F4F">
              <w:rPr>
                <w:rFonts w:cs="Calibri"/>
                <w:color w:val="000000"/>
                <w:szCs w:val="20"/>
                <w:shd w:val="solid" w:color="000000" w:fill="000000"/>
                <w14:textFill>
                  <w14:solidFill>
                    <w14:srgbClr w14:val="000000">
                      <w14:alpha w14:val="100000"/>
                    </w14:srgbClr>
                  </w14:solidFill>
                </w14:textFill>
              </w:rPr>
              <w:t>|</w:t>
            </w:r>
          </w:p>
        </w:tc>
        <w:tc>
          <w:tcPr>
            <w:tcW w:w="14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39D04D4" w14:textId="77777777" w:rsidR="00E512AE" w:rsidRPr="006846C9" w:rsidRDefault="00E512AE">
            <w:pPr>
              <w:pStyle w:val="TableText0"/>
              <w:jc w:val="center"/>
            </w:pPr>
            <w:r w:rsidRPr="006846C9">
              <w:t>100%</w:t>
            </w:r>
          </w:p>
        </w:tc>
      </w:tr>
    </w:tbl>
    <w:p w14:paraId="059DA98F" w14:textId="77777777" w:rsidR="00E512AE" w:rsidRPr="0029195A" w:rsidRDefault="00E512AE" w:rsidP="00E512AE">
      <w:pPr>
        <w:pStyle w:val="FooterTableFigure"/>
      </w:pPr>
      <w:r w:rsidRPr="0029195A">
        <w:t>Source: Compiled during the evaluation using data from ‘Engine AVA+CYC’ and ‘Engine CYC + GC’ tabs of the model (Attachment 14)</w:t>
      </w:r>
    </w:p>
    <w:p w14:paraId="0C7E73C5" w14:textId="77777777" w:rsidR="00E512AE" w:rsidRPr="0029195A" w:rsidRDefault="00E512AE" w:rsidP="00E512AE">
      <w:pPr>
        <w:pStyle w:val="FooterTableFigure"/>
        <w:widowControl w:val="0"/>
      </w:pPr>
      <w:r w:rsidRPr="0029195A">
        <w:t>Abbreviations: ESRD, end stage renal disease; GC, glucocorticoid; SOC, standard of care.</w:t>
      </w:r>
    </w:p>
    <w:p w14:paraId="6A2C1578" w14:textId="77777777" w:rsidR="00E512AE" w:rsidRPr="0029195A" w:rsidRDefault="00E512AE" w:rsidP="00E512AE">
      <w:pPr>
        <w:pStyle w:val="FooterTableFigure"/>
      </w:pPr>
      <w:r w:rsidRPr="0029195A">
        <w:t xml:space="preserve">Note: There is a slight discrepancy (of a few dollars) in the total costs presented in this table compared to Table 14. </w:t>
      </w:r>
    </w:p>
    <w:p w14:paraId="7D743535" w14:textId="31C8F95E" w:rsidR="00FB3C29" w:rsidRPr="0029195A" w:rsidRDefault="00FB3C29" w:rsidP="007A6355">
      <w:pPr>
        <w:pStyle w:val="3-BodyText"/>
      </w:pPr>
      <w:r w:rsidRPr="0029195A">
        <w:t xml:space="preserve">The disaggregated health outcomes for comparison of avacopan with GC are presented in </w:t>
      </w:r>
      <w:r w:rsidR="00DD390A" w:rsidRPr="0029195A">
        <w:fldChar w:fldCharType="begin" w:fldLock="1"/>
      </w:r>
      <w:r w:rsidR="00DD390A" w:rsidRPr="0029195A">
        <w:instrText xml:space="preserve"> REF _Ref132114571 \h </w:instrText>
      </w:r>
      <w:r w:rsidR="008A2BA2" w:rsidRPr="0029195A">
        <w:instrText xml:space="preserve"> \* MERGEFORMAT </w:instrText>
      </w:r>
      <w:r w:rsidR="00DD390A" w:rsidRPr="0029195A">
        <w:fldChar w:fldCharType="separate"/>
      </w:r>
      <w:r w:rsidR="00610CB8" w:rsidRPr="0029195A">
        <w:t>Table 12</w:t>
      </w:r>
      <w:r w:rsidR="00DD390A" w:rsidRPr="0029195A">
        <w:fldChar w:fldCharType="end"/>
      </w:r>
      <w:r w:rsidR="00DD390A" w:rsidRPr="0029195A">
        <w:t>.</w:t>
      </w:r>
      <w:r w:rsidRPr="0029195A">
        <w:t xml:space="preserve"> The main driver of the incremental outcomes was QALYs gained in the Remission health state and offsets were driven by the ESRD health state. </w:t>
      </w:r>
    </w:p>
    <w:p w14:paraId="2048013E" w14:textId="15AD1A20" w:rsidR="00E512AE" w:rsidRPr="0029195A" w:rsidRDefault="00E512AE" w:rsidP="00E512AE">
      <w:pPr>
        <w:pStyle w:val="Caption"/>
        <w:rPr>
          <w:rStyle w:val="CommentReference"/>
          <w:b/>
          <w:szCs w:val="24"/>
        </w:rPr>
      </w:pPr>
      <w:bookmarkStart w:id="61" w:name="_Ref132114571"/>
      <w:r w:rsidRPr="0029195A">
        <w:t xml:space="preserve">Table </w:t>
      </w:r>
      <w:r w:rsidRPr="0029195A">
        <w:fldChar w:fldCharType="begin" w:fldLock="1"/>
      </w:r>
      <w:r w:rsidRPr="0029195A">
        <w:instrText>SEQ Table \* ARABIC</w:instrText>
      </w:r>
      <w:r w:rsidRPr="0029195A">
        <w:fldChar w:fldCharType="separate"/>
      </w:r>
      <w:r w:rsidR="002F47E2" w:rsidRPr="0029195A">
        <w:t>12</w:t>
      </w:r>
      <w:r w:rsidRPr="0029195A">
        <w:fldChar w:fldCharType="end"/>
      </w:r>
      <w:bookmarkEnd w:id="61"/>
      <w:r w:rsidRPr="0029195A">
        <w:t xml:space="preserve">: </w:t>
      </w:r>
      <w:r w:rsidRPr="0029195A">
        <w:rPr>
          <w:rStyle w:val="CommentReference"/>
          <w:b/>
          <w:szCs w:val="24"/>
        </w:rPr>
        <w:t xml:space="preserve">Disaggregated summary of health outcomes by health states </w:t>
      </w:r>
    </w:p>
    <w:tbl>
      <w:tblPr>
        <w:tblW w:w="50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30"/>
        <w:gridCol w:w="1910"/>
        <w:gridCol w:w="1910"/>
        <w:gridCol w:w="1617"/>
        <w:gridCol w:w="2050"/>
      </w:tblGrid>
      <w:tr w:rsidR="00E512AE" w:rsidRPr="0029195A" w14:paraId="645BCD85" w14:textId="77777777">
        <w:trPr>
          <w:cantSplit/>
        </w:trPr>
        <w:tc>
          <w:tcPr>
            <w:tcW w:w="15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5646DCF" w14:textId="77777777" w:rsidR="00E512AE" w:rsidRPr="0029195A" w:rsidRDefault="00E512AE">
            <w:pPr>
              <w:pStyle w:val="In-tableHeading"/>
              <w:rPr>
                <w:lang w:val="en-AU"/>
              </w:rPr>
            </w:pPr>
            <w:r w:rsidRPr="0029195A">
              <w:rPr>
                <w:lang w:val="en-AU"/>
              </w:rPr>
              <w:t>Outcome/Health state</w:t>
            </w: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8D56035" w14:textId="77777777" w:rsidR="00E512AE" w:rsidRPr="0029195A" w:rsidRDefault="00E512AE">
            <w:pPr>
              <w:pStyle w:val="In-tableHeading"/>
              <w:jc w:val="center"/>
              <w:rPr>
                <w:lang w:val="en-AU"/>
              </w:rPr>
            </w:pPr>
            <w:r w:rsidRPr="0029195A">
              <w:rPr>
                <w:lang w:val="en-AU"/>
              </w:rPr>
              <w:t>Outcome for avacopan + SOC</w:t>
            </w: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CD8D26F" w14:textId="77777777" w:rsidR="00E512AE" w:rsidRPr="0029195A" w:rsidRDefault="00E512AE">
            <w:pPr>
              <w:pStyle w:val="In-tableHeading"/>
              <w:jc w:val="center"/>
              <w:rPr>
                <w:lang w:val="en-AU"/>
              </w:rPr>
            </w:pPr>
            <w:r w:rsidRPr="0029195A">
              <w:rPr>
                <w:lang w:val="en-AU"/>
              </w:rPr>
              <w:t>Outcome for GC + SOC</w:t>
            </w:r>
          </w:p>
        </w:tc>
        <w:tc>
          <w:tcPr>
            <w:tcW w:w="1617" w:type="dxa"/>
            <w:tcBorders>
              <w:top w:val="single" w:sz="4" w:space="0" w:color="auto"/>
              <w:left w:val="single" w:sz="4" w:space="0" w:color="auto"/>
              <w:bottom w:val="single" w:sz="4" w:space="0" w:color="auto"/>
              <w:right w:val="single" w:sz="4" w:space="0" w:color="auto"/>
            </w:tcBorders>
            <w:vAlign w:val="center"/>
          </w:tcPr>
          <w:p w14:paraId="150DA57F" w14:textId="77777777" w:rsidR="00E512AE" w:rsidRPr="0029195A" w:rsidRDefault="00E512AE">
            <w:pPr>
              <w:pStyle w:val="In-tableHeading"/>
              <w:jc w:val="center"/>
              <w:rPr>
                <w:lang w:val="en-AU"/>
              </w:rPr>
            </w:pPr>
            <w:r w:rsidRPr="0029195A">
              <w:rPr>
                <w:lang w:val="en-AU"/>
              </w:rPr>
              <w:t>Incremental outcome</w:t>
            </w:r>
          </w:p>
        </w:tc>
        <w:tc>
          <w:tcPr>
            <w:tcW w:w="20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792C351" w14:textId="77777777" w:rsidR="00E512AE" w:rsidRPr="0029195A" w:rsidRDefault="00E512AE">
            <w:pPr>
              <w:pStyle w:val="In-tableHeading"/>
              <w:jc w:val="center"/>
              <w:rPr>
                <w:lang w:val="en-AU"/>
              </w:rPr>
            </w:pPr>
            <w:r w:rsidRPr="0029195A">
              <w:rPr>
                <w:lang w:val="en-AU"/>
              </w:rPr>
              <w:t>% of total incremental outcome</w:t>
            </w:r>
          </w:p>
        </w:tc>
      </w:tr>
      <w:tr w:rsidR="00E512AE" w:rsidRPr="0029195A" w14:paraId="474A74FC" w14:textId="77777777">
        <w:trPr>
          <w:cantSplit/>
        </w:trPr>
        <w:tc>
          <w:tcPr>
            <w:tcW w:w="15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0E85204" w14:textId="77777777" w:rsidR="00E512AE" w:rsidRPr="0029195A" w:rsidRDefault="00E512AE">
            <w:pPr>
              <w:pStyle w:val="TableText0"/>
            </w:pPr>
            <w:r w:rsidRPr="0029195A">
              <w:t>QALYs</w:t>
            </w: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tcPr>
          <w:p w14:paraId="5B9F301A" w14:textId="77777777" w:rsidR="00E512AE" w:rsidRPr="0029195A" w:rsidRDefault="00E512AE">
            <w:pPr>
              <w:pStyle w:val="TableText0"/>
              <w:jc w:val="center"/>
            </w:pP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tcPr>
          <w:p w14:paraId="05054EAF" w14:textId="77777777" w:rsidR="00E512AE" w:rsidRPr="0029195A" w:rsidRDefault="00E512AE">
            <w:pPr>
              <w:pStyle w:val="TableText0"/>
              <w:jc w:val="center"/>
            </w:pPr>
          </w:p>
        </w:tc>
        <w:tc>
          <w:tcPr>
            <w:tcW w:w="1617" w:type="dxa"/>
            <w:tcBorders>
              <w:top w:val="single" w:sz="4" w:space="0" w:color="auto"/>
              <w:left w:val="single" w:sz="4" w:space="0" w:color="auto"/>
              <w:bottom w:val="single" w:sz="4" w:space="0" w:color="auto"/>
              <w:right w:val="single" w:sz="4" w:space="0" w:color="auto"/>
            </w:tcBorders>
          </w:tcPr>
          <w:p w14:paraId="37A83F01" w14:textId="77777777" w:rsidR="00E512AE" w:rsidRPr="0029195A" w:rsidRDefault="00E512AE">
            <w:pPr>
              <w:pStyle w:val="TableText0"/>
              <w:jc w:val="center"/>
            </w:pPr>
          </w:p>
        </w:tc>
        <w:tc>
          <w:tcPr>
            <w:tcW w:w="2050" w:type="dxa"/>
            <w:tcBorders>
              <w:top w:val="single" w:sz="4" w:space="0" w:color="auto"/>
              <w:left w:val="single" w:sz="4" w:space="0" w:color="auto"/>
              <w:bottom w:val="single" w:sz="4" w:space="0" w:color="auto"/>
              <w:right w:val="single" w:sz="4" w:space="0" w:color="auto"/>
            </w:tcBorders>
            <w:tcMar>
              <w:left w:w="57" w:type="dxa"/>
              <w:right w:w="57" w:type="dxa"/>
            </w:tcMar>
          </w:tcPr>
          <w:p w14:paraId="4C85E261" w14:textId="77777777" w:rsidR="00E512AE" w:rsidRPr="0029195A" w:rsidRDefault="00E512AE">
            <w:pPr>
              <w:pStyle w:val="TableText0"/>
              <w:jc w:val="center"/>
            </w:pPr>
          </w:p>
        </w:tc>
      </w:tr>
      <w:tr w:rsidR="00E512AE" w:rsidRPr="0029195A" w14:paraId="265C6E85" w14:textId="77777777">
        <w:trPr>
          <w:cantSplit/>
        </w:trPr>
        <w:tc>
          <w:tcPr>
            <w:tcW w:w="15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E76C7E8" w14:textId="77777777" w:rsidR="00E512AE" w:rsidRPr="0029195A" w:rsidRDefault="00E512AE">
            <w:pPr>
              <w:pStyle w:val="TableText0"/>
            </w:pPr>
            <w:r w:rsidRPr="0029195A">
              <w:t xml:space="preserve">  Active disease</w:t>
            </w: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DFD962" w14:textId="77777777" w:rsidR="00E512AE" w:rsidRPr="0029195A" w:rsidRDefault="00E512AE">
            <w:pPr>
              <w:pStyle w:val="TableText0"/>
              <w:jc w:val="center"/>
            </w:pPr>
            <w:r w:rsidRPr="0029195A">
              <w:rPr>
                <w:rFonts w:cs="Calibri"/>
                <w:color w:val="000000"/>
                <w:szCs w:val="20"/>
              </w:rPr>
              <w:t>0.19</w:t>
            </w: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FA37718" w14:textId="77777777" w:rsidR="00E512AE" w:rsidRPr="0029195A" w:rsidRDefault="00E512AE">
            <w:pPr>
              <w:pStyle w:val="TableText0"/>
              <w:jc w:val="center"/>
            </w:pPr>
            <w:r w:rsidRPr="0029195A">
              <w:rPr>
                <w:rFonts w:cs="Calibri"/>
                <w:color w:val="000000"/>
                <w:szCs w:val="20"/>
              </w:rPr>
              <w:t>0.20</w:t>
            </w:r>
          </w:p>
        </w:tc>
        <w:tc>
          <w:tcPr>
            <w:tcW w:w="1617" w:type="dxa"/>
            <w:tcBorders>
              <w:top w:val="single" w:sz="4" w:space="0" w:color="auto"/>
              <w:left w:val="single" w:sz="4" w:space="0" w:color="auto"/>
              <w:bottom w:val="single" w:sz="4" w:space="0" w:color="auto"/>
              <w:right w:val="single" w:sz="4" w:space="0" w:color="auto"/>
            </w:tcBorders>
            <w:vAlign w:val="center"/>
          </w:tcPr>
          <w:p w14:paraId="0D1C9C2E" w14:textId="77777777" w:rsidR="00E512AE" w:rsidRPr="0029195A" w:rsidRDefault="00E512AE">
            <w:pPr>
              <w:pStyle w:val="TableText0"/>
              <w:jc w:val="center"/>
            </w:pPr>
            <w:r w:rsidRPr="0029195A">
              <w:rPr>
                <w:rFonts w:cs="Calibri"/>
                <w:color w:val="000000"/>
                <w:szCs w:val="20"/>
              </w:rPr>
              <w:t>0.00</w:t>
            </w:r>
          </w:p>
        </w:tc>
        <w:tc>
          <w:tcPr>
            <w:tcW w:w="20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DA036A1" w14:textId="77777777" w:rsidR="00E512AE" w:rsidRPr="0029195A" w:rsidRDefault="00E512AE">
            <w:pPr>
              <w:pStyle w:val="TableText0"/>
              <w:jc w:val="center"/>
            </w:pPr>
            <w:r w:rsidRPr="0029195A">
              <w:rPr>
                <w:rFonts w:cs="Calibri"/>
                <w:color w:val="000000"/>
                <w:szCs w:val="20"/>
              </w:rPr>
              <w:t>0%</w:t>
            </w:r>
          </w:p>
        </w:tc>
      </w:tr>
      <w:tr w:rsidR="00E512AE" w:rsidRPr="0029195A" w14:paraId="730B5242" w14:textId="77777777">
        <w:trPr>
          <w:cantSplit/>
        </w:trPr>
        <w:tc>
          <w:tcPr>
            <w:tcW w:w="15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308A85A" w14:textId="77777777" w:rsidR="00E512AE" w:rsidRPr="0029195A" w:rsidRDefault="00E512AE">
            <w:pPr>
              <w:pStyle w:val="TableText0"/>
            </w:pPr>
            <w:r w:rsidRPr="0029195A">
              <w:t xml:space="preserve">  Remission</w:t>
            </w: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E2F5BD6" w14:textId="77777777" w:rsidR="00E512AE" w:rsidRPr="0029195A" w:rsidRDefault="00E512AE">
            <w:pPr>
              <w:pStyle w:val="TableText0"/>
              <w:jc w:val="center"/>
            </w:pPr>
            <w:r w:rsidRPr="0029195A">
              <w:rPr>
                <w:rFonts w:cs="Calibri"/>
                <w:color w:val="000000"/>
                <w:szCs w:val="20"/>
              </w:rPr>
              <w:t>4.98</w:t>
            </w: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9E30419" w14:textId="77777777" w:rsidR="00E512AE" w:rsidRPr="0029195A" w:rsidRDefault="00E512AE">
            <w:pPr>
              <w:pStyle w:val="TableText0"/>
              <w:jc w:val="center"/>
            </w:pPr>
            <w:r w:rsidRPr="0029195A">
              <w:rPr>
                <w:rFonts w:cs="Calibri"/>
                <w:color w:val="000000"/>
                <w:szCs w:val="20"/>
              </w:rPr>
              <w:t>3.33</w:t>
            </w:r>
          </w:p>
        </w:tc>
        <w:tc>
          <w:tcPr>
            <w:tcW w:w="1617" w:type="dxa"/>
            <w:tcBorders>
              <w:top w:val="single" w:sz="4" w:space="0" w:color="auto"/>
              <w:left w:val="single" w:sz="4" w:space="0" w:color="auto"/>
              <w:bottom w:val="single" w:sz="4" w:space="0" w:color="auto"/>
              <w:right w:val="single" w:sz="4" w:space="0" w:color="auto"/>
            </w:tcBorders>
            <w:vAlign w:val="center"/>
          </w:tcPr>
          <w:p w14:paraId="55210760" w14:textId="77777777" w:rsidR="00E512AE" w:rsidRPr="0029195A" w:rsidRDefault="00E512AE">
            <w:pPr>
              <w:pStyle w:val="TableText0"/>
              <w:jc w:val="center"/>
            </w:pPr>
            <w:r w:rsidRPr="0029195A">
              <w:rPr>
                <w:rFonts w:cs="Calibri"/>
                <w:color w:val="000000"/>
                <w:szCs w:val="20"/>
              </w:rPr>
              <w:t>1.65</w:t>
            </w:r>
          </w:p>
        </w:tc>
        <w:tc>
          <w:tcPr>
            <w:tcW w:w="20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F24D4F9" w14:textId="77777777" w:rsidR="00E512AE" w:rsidRPr="0029195A" w:rsidRDefault="00E512AE">
            <w:pPr>
              <w:pStyle w:val="TableText0"/>
              <w:jc w:val="center"/>
            </w:pPr>
            <w:r w:rsidRPr="0029195A">
              <w:rPr>
                <w:rFonts w:cs="Calibri"/>
                <w:color w:val="000000"/>
                <w:szCs w:val="20"/>
              </w:rPr>
              <w:t>189%</w:t>
            </w:r>
          </w:p>
        </w:tc>
      </w:tr>
      <w:tr w:rsidR="00E512AE" w:rsidRPr="0029195A" w14:paraId="30F3B215" w14:textId="77777777">
        <w:trPr>
          <w:cantSplit/>
        </w:trPr>
        <w:tc>
          <w:tcPr>
            <w:tcW w:w="15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45FAD48" w14:textId="77777777" w:rsidR="00E512AE" w:rsidRPr="0029195A" w:rsidRDefault="00E512AE">
            <w:pPr>
              <w:pStyle w:val="TableText0"/>
            </w:pPr>
            <w:r w:rsidRPr="0029195A">
              <w:t xml:space="preserve">  Relapse</w:t>
            </w: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876E03" w14:textId="77777777" w:rsidR="00E512AE" w:rsidRPr="0029195A" w:rsidRDefault="00E512AE">
            <w:pPr>
              <w:pStyle w:val="TableText0"/>
              <w:jc w:val="center"/>
            </w:pPr>
            <w:r w:rsidRPr="0029195A">
              <w:rPr>
                <w:rFonts w:cs="Calibri"/>
                <w:color w:val="000000"/>
                <w:szCs w:val="20"/>
              </w:rPr>
              <w:t>0.77</w:t>
            </w: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7942E2D" w14:textId="77777777" w:rsidR="00E512AE" w:rsidRPr="0029195A" w:rsidRDefault="00E512AE">
            <w:pPr>
              <w:pStyle w:val="TableText0"/>
              <w:jc w:val="center"/>
            </w:pPr>
            <w:r w:rsidRPr="0029195A">
              <w:rPr>
                <w:rFonts w:cs="Calibri"/>
                <w:color w:val="000000"/>
                <w:szCs w:val="20"/>
              </w:rPr>
              <w:t>1.01</w:t>
            </w:r>
          </w:p>
        </w:tc>
        <w:tc>
          <w:tcPr>
            <w:tcW w:w="1617" w:type="dxa"/>
            <w:tcBorders>
              <w:top w:val="single" w:sz="4" w:space="0" w:color="auto"/>
              <w:left w:val="single" w:sz="4" w:space="0" w:color="auto"/>
              <w:bottom w:val="single" w:sz="4" w:space="0" w:color="auto"/>
              <w:right w:val="single" w:sz="4" w:space="0" w:color="auto"/>
            </w:tcBorders>
            <w:vAlign w:val="center"/>
          </w:tcPr>
          <w:p w14:paraId="7ABC39F4" w14:textId="77777777" w:rsidR="00E512AE" w:rsidRPr="0029195A" w:rsidRDefault="00E512AE">
            <w:pPr>
              <w:pStyle w:val="TableText0"/>
              <w:jc w:val="center"/>
            </w:pPr>
            <w:r w:rsidRPr="0029195A">
              <w:rPr>
                <w:rFonts w:cs="Calibri"/>
                <w:color w:val="000000"/>
                <w:szCs w:val="20"/>
              </w:rPr>
              <w:t>-0.24</w:t>
            </w:r>
          </w:p>
        </w:tc>
        <w:tc>
          <w:tcPr>
            <w:tcW w:w="20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2083C08" w14:textId="77777777" w:rsidR="00E512AE" w:rsidRPr="0029195A" w:rsidRDefault="00E512AE">
            <w:pPr>
              <w:pStyle w:val="TableText0"/>
              <w:jc w:val="center"/>
            </w:pPr>
            <w:r w:rsidRPr="0029195A">
              <w:rPr>
                <w:rFonts w:cs="Calibri"/>
                <w:color w:val="000000"/>
                <w:szCs w:val="20"/>
              </w:rPr>
              <w:t>-28%</w:t>
            </w:r>
          </w:p>
        </w:tc>
      </w:tr>
      <w:tr w:rsidR="00E512AE" w:rsidRPr="0029195A" w14:paraId="4D261333" w14:textId="77777777">
        <w:trPr>
          <w:cantSplit/>
        </w:trPr>
        <w:tc>
          <w:tcPr>
            <w:tcW w:w="15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003ABCB" w14:textId="77777777" w:rsidR="00E512AE" w:rsidRPr="0029195A" w:rsidRDefault="00E512AE">
            <w:pPr>
              <w:pStyle w:val="TableText0"/>
            </w:pPr>
            <w:r w:rsidRPr="0029195A">
              <w:t xml:space="preserve">  ESRD</w:t>
            </w: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E24E41" w14:textId="77777777" w:rsidR="00E512AE" w:rsidRPr="0029195A" w:rsidRDefault="00E512AE">
            <w:pPr>
              <w:pStyle w:val="TableText0"/>
              <w:jc w:val="center"/>
            </w:pPr>
            <w:r w:rsidRPr="0029195A">
              <w:rPr>
                <w:rFonts w:cs="Calibri"/>
                <w:color w:val="000000"/>
                <w:szCs w:val="20"/>
              </w:rPr>
              <w:t>1.15</w:t>
            </w: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FE106B4" w14:textId="77777777" w:rsidR="00E512AE" w:rsidRPr="0029195A" w:rsidRDefault="00E512AE">
            <w:pPr>
              <w:pStyle w:val="TableText0"/>
              <w:jc w:val="center"/>
            </w:pPr>
            <w:r w:rsidRPr="0029195A">
              <w:rPr>
                <w:rFonts w:cs="Calibri"/>
                <w:color w:val="000000"/>
                <w:szCs w:val="20"/>
              </w:rPr>
              <w:t>1.78</w:t>
            </w:r>
          </w:p>
        </w:tc>
        <w:tc>
          <w:tcPr>
            <w:tcW w:w="1617" w:type="dxa"/>
            <w:tcBorders>
              <w:top w:val="single" w:sz="4" w:space="0" w:color="auto"/>
              <w:left w:val="single" w:sz="4" w:space="0" w:color="auto"/>
              <w:bottom w:val="single" w:sz="4" w:space="0" w:color="auto"/>
              <w:right w:val="single" w:sz="4" w:space="0" w:color="auto"/>
            </w:tcBorders>
            <w:vAlign w:val="center"/>
          </w:tcPr>
          <w:p w14:paraId="36CB013B" w14:textId="77777777" w:rsidR="00E512AE" w:rsidRPr="0029195A" w:rsidRDefault="00E512AE">
            <w:pPr>
              <w:pStyle w:val="TableText0"/>
              <w:jc w:val="center"/>
            </w:pPr>
            <w:r w:rsidRPr="0029195A">
              <w:rPr>
                <w:rFonts w:cs="Calibri"/>
                <w:color w:val="000000"/>
                <w:szCs w:val="20"/>
              </w:rPr>
              <w:t>-0.63</w:t>
            </w:r>
          </w:p>
        </w:tc>
        <w:tc>
          <w:tcPr>
            <w:tcW w:w="20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4FB061B" w14:textId="77777777" w:rsidR="00E512AE" w:rsidRPr="0029195A" w:rsidRDefault="00E512AE">
            <w:pPr>
              <w:pStyle w:val="TableText0"/>
              <w:jc w:val="center"/>
            </w:pPr>
            <w:r w:rsidRPr="0029195A">
              <w:rPr>
                <w:rFonts w:cs="Calibri"/>
                <w:color w:val="000000"/>
                <w:szCs w:val="20"/>
              </w:rPr>
              <w:t>-72%</w:t>
            </w:r>
          </w:p>
        </w:tc>
      </w:tr>
      <w:tr w:rsidR="00E512AE" w:rsidRPr="0029195A" w14:paraId="3F463267" w14:textId="77777777">
        <w:trPr>
          <w:cantSplit/>
        </w:trPr>
        <w:tc>
          <w:tcPr>
            <w:tcW w:w="15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BB59C1" w14:textId="77777777" w:rsidR="00E512AE" w:rsidRPr="0029195A" w:rsidRDefault="00E512AE">
            <w:pPr>
              <w:pStyle w:val="TableText0"/>
            </w:pPr>
            <w:r w:rsidRPr="0029195A">
              <w:t xml:space="preserve">  Adverse events</w:t>
            </w: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66F0CDD" w14:textId="77777777" w:rsidR="00E512AE" w:rsidRPr="0029195A" w:rsidRDefault="00E512AE">
            <w:pPr>
              <w:pStyle w:val="TableText0"/>
              <w:jc w:val="center"/>
              <w:rPr>
                <w:rFonts w:cs="Calibri"/>
                <w:color w:val="000000"/>
                <w:szCs w:val="20"/>
              </w:rPr>
            </w:pPr>
            <w:r w:rsidRPr="0029195A">
              <w:rPr>
                <w:rFonts w:cs="Calibri"/>
                <w:color w:val="000000"/>
                <w:szCs w:val="20"/>
              </w:rPr>
              <w:t>-0.39</w:t>
            </w: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4D6C9F" w14:textId="77777777" w:rsidR="00E512AE" w:rsidRPr="0029195A" w:rsidRDefault="00E512AE">
            <w:pPr>
              <w:pStyle w:val="TableText0"/>
              <w:jc w:val="center"/>
              <w:rPr>
                <w:rFonts w:cs="Calibri"/>
                <w:color w:val="000000"/>
                <w:szCs w:val="20"/>
              </w:rPr>
            </w:pPr>
            <w:r w:rsidRPr="0029195A">
              <w:rPr>
                <w:rFonts w:cs="Calibri"/>
                <w:color w:val="000000"/>
                <w:szCs w:val="20"/>
              </w:rPr>
              <w:t>-0.48</w:t>
            </w:r>
          </w:p>
        </w:tc>
        <w:tc>
          <w:tcPr>
            <w:tcW w:w="1617" w:type="dxa"/>
            <w:tcBorders>
              <w:top w:val="single" w:sz="4" w:space="0" w:color="auto"/>
              <w:left w:val="single" w:sz="4" w:space="0" w:color="auto"/>
              <w:bottom w:val="single" w:sz="4" w:space="0" w:color="auto"/>
              <w:right w:val="single" w:sz="4" w:space="0" w:color="auto"/>
            </w:tcBorders>
            <w:vAlign w:val="center"/>
          </w:tcPr>
          <w:p w14:paraId="1E4D1702" w14:textId="77777777" w:rsidR="00E512AE" w:rsidRPr="0029195A" w:rsidRDefault="00E512AE">
            <w:pPr>
              <w:pStyle w:val="TableText0"/>
              <w:jc w:val="center"/>
              <w:rPr>
                <w:rFonts w:cs="Calibri"/>
                <w:color w:val="000000"/>
                <w:szCs w:val="20"/>
              </w:rPr>
            </w:pPr>
            <w:r w:rsidRPr="0029195A">
              <w:rPr>
                <w:rFonts w:cs="Calibri"/>
                <w:color w:val="000000"/>
                <w:szCs w:val="20"/>
              </w:rPr>
              <w:t>0.09</w:t>
            </w:r>
          </w:p>
        </w:tc>
        <w:tc>
          <w:tcPr>
            <w:tcW w:w="20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E787C53" w14:textId="77777777" w:rsidR="00E512AE" w:rsidRPr="0029195A" w:rsidRDefault="00E512AE">
            <w:pPr>
              <w:pStyle w:val="TableText0"/>
              <w:jc w:val="center"/>
              <w:rPr>
                <w:rFonts w:cs="Calibri"/>
                <w:color w:val="000000"/>
                <w:szCs w:val="20"/>
              </w:rPr>
            </w:pPr>
            <w:r w:rsidRPr="0029195A">
              <w:rPr>
                <w:rFonts w:cs="Calibri"/>
                <w:color w:val="000000"/>
                <w:szCs w:val="20"/>
              </w:rPr>
              <w:t>11%</w:t>
            </w:r>
          </w:p>
        </w:tc>
      </w:tr>
      <w:tr w:rsidR="00E512AE" w:rsidRPr="0029195A" w14:paraId="7376411D" w14:textId="77777777">
        <w:trPr>
          <w:cantSplit/>
        </w:trPr>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vAlign w:val="center"/>
          </w:tcPr>
          <w:p w14:paraId="03086061" w14:textId="77777777" w:rsidR="00E512AE" w:rsidRPr="0029195A" w:rsidRDefault="00E512AE">
            <w:pPr>
              <w:pStyle w:val="TableText0"/>
            </w:pPr>
            <w:r w:rsidRPr="0029195A">
              <w:t xml:space="preserve">Total </w:t>
            </w:r>
          </w:p>
        </w:tc>
        <w:tc>
          <w:tcPr>
            <w:tcW w:w="19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vAlign w:val="center"/>
          </w:tcPr>
          <w:p w14:paraId="73661D3C" w14:textId="77777777" w:rsidR="00E512AE" w:rsidRPr="0029195A" w:rsidRDefault="00E512AE">
            <w:pPr>
              <w:pStyle w:val="TableText0"/>
              <w:jc w:val="center"/>
            </w:pPr>
            <w:r w:rsidRPr="0029195A">
              <w:rPr>
                <w:rFonts w:cs="Calibri"/>
                <w:color w:val="000000"/>
                <w:szCs w:val="20"/>
              </w:rPr>
              <w:t>6.70</w:t>
            </w:r>
          </w:p>
        </w:tc>
        <w:tc>
          <w:tcPr>
            <w:tcW w:w="19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vAlign w:val="center"/>
          </w:tcPr>
          <w:p w14:paraId="2F7C8940" w14:textId="77777777" w:rsidR="00E512AE" w:rsidRPr="0029195A" w:rsidRDefault="00E512AE">
            <w:pPr>
              <w:pStyle w:val="TableText0"/>
              <w:jc w:val="center"/>
            </w:pPr>
            <w:r w:rsidRPr="0029195A">
              <w:rPr>
                <w:rFonts w:cs="Calibri"/>
                <w:color w:val="000000"/>
                <w:szCs w:val="20"/>
              </w:rPr>
              <w:t>5.83</w:t>
            </w:r>
          </w:p>
        </w:tc>
        <w:tc>
          <w:tcPr>
            <w:tcW w:w="16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AA2FCB" w14:textId="77777777" w:rsidR="00E512AE" w:rsidRPr="0029195A" w:rsidRDefault="00E512AE">
            <w:pPr>
              <w:pStyle w:val="TableText0"/>
              <w:jc w:val="center"/>
            </w:pPr>
            <w:r w:rsidRPr="0029195A">
              <w:rPr>
                <w:rFonts w:cs="Calibri"/>
                <w:color w:val="000000"/>
                <w:szCs w:val="20"/>
              </w:rPr>
              <w:t>0.87</w:t>
            </w:r>
          </w:p>
        </w:tc>
        <w:tc>
          <w:tcPr>
            <w:tcW w:w="20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vAlign w:val="center"/>
          </w:tcPr>
          <w:p w14:paraId="36F86CE4" w14:textId="77777777" w:rsidR="00E512AE" w:rsidRPr="0029195A" w:rsidRDefault="00E512AE">
            <w:pPr>
              <w:pStyle w:val="TableText0"/>
              <w:jc w:val="center"/>
            </w:pPr>
            <w:r w:rsidRPr="0029195A">
              <w:rPr>
                <w:rFonts w:cs="Calibri"/>
                <w:color w:val="000000"/>
                <w:szCs w:val="20"/>
              </w:rPr>
              <w:t>100%</w:t>
            </w:r>
          </w:p>
        </w:tc>
      </w:tr>
    </w:tbl>
    <w:p w14:paraId="1AACF105" w14:textId="77777777" w:rsidR="00E512AE" w:rsidRPr="0029195A" w:rsidRDefault="00E512AE" w:rsidP="00E512AE">
      <w:pPr>
        <w:pStyle w:val="FooterTableFigure"/>
      </w:pPr>
      <w:r w:rsidRPr="0029195A">
        <w:t>Source: Compiled during the evaluation using data from ‘Engine AVA+CYC’ and ‘Engine CYC + GC’ tabs of the model (Attachment 14)</w:t>
      </w:r>
    </w:p>
    <w:p w14:paraId="77A70D7A" w14:textId="77777777" w:rsidR="00E512AE" w:rsidRPr="0029195A" w:rsidRDefault="00E512AE" w:rsidP="00E512AE">
      <w:pPr>
        <w:pStyle w:val="FooterTableFigure"/>
      </w:pPr>
      <w:r w:rsidRPr="0029195A">
        <w:t>Abbreviations: ESRD, end stage renal disease; GC, glucocorticoid; SOC, standard of care.</w:t>
      </w:r>
    </w:p>
    <w:p w14:paraId="5EBCF828" w14:textId="5FA2567A" w:rsidR="00E512AE" w:rsidRPr="0029195A" w:rsidRDefault="00BC3813" w:rsidP="007A6355">
      <w:pPr>
        <w:pStyle w:val="3-BodyText"/>
      </w:pPr>
      <w:r w:rsidRPr="0029195A">
        <w:fldChar w:fldCharType="begin" w:fldLock="1"/>
      </w:r>
      <w:r w:rsidRPr="0029195A">
        <w:instrText xml:space="preserve"> REF _Ref132295505 \h </w:instrText>
      </w:r>
      <w:r w:rsidRPr="0029195A">
        <w:fldChar w:fldCharType="separate"/>
      </w:r>
      <w:r w:rsidR="00610CB8" w:rsidRPr="0029195A">
        <w:t>Table 13</w:t>
      </w:r>
      <w:r w:rsidRPr="0029195A">
        <w:fldChar w:fldCharType="end"/>
      </w:r>
      <w:r w:rsidR="00107C51" w:rsidRPr="0029195A">
        <w:t xml:space="preserve"> </w:t>
      </w:r>
      <w:r w:rsidR="00E512AE" w:rsidRPr="0029195A">
        <w:t xml:space="preserve">summarises the key drivers of the model. </w:t>
      </w:r>
    </w:p>
    <w:p w14:paraId="1288F3AC" w14:textId="5F852075" w:rsidR="00E512AE" w:rsidRPr="0029195A" w:rsidRDefault="00E512AE" w:rsidP="00E512AE">
      <w:pPr>
        <w:pStyle w:val="Caption"/>
        <w:jc w:val="left"/>
        <w:rPr>
          <w:rStyle w:val="CommentReference"/>
          <w:b/>
          <w:szCs w:val="24"/>
        </w:rPr>
      </w:pPr>
      <w:bookmarkStart w:id="62" w:name="_Ref132295505"/>
      <w:r w:rsidRPr="0029195A">
        <w:lastRenderedPageBreak/>
        <w:t xml:space="preserve">Table </w:t>
      </w:r>
      <w:r w:rsidRPr="0029195A">
        <w:fldChar w:fldCharType="begin" w:fldLock="1"/>
      </w:r>
      <w:r w:rsidRPr="0029195A">
        <w:instrText>SEQ Table \* ARABIC</w:instrText>
      </w:r>
      <w:r w:rsidRPr="0029195A">
        <w:fldChar w:fldCharType="separate"/>
      </w:r>
      <w:r w:rsidR="00631406" w:rsidRPr="0029195A">
        <w:t>13</w:t>
      </w:r>
      <w:r w:rsidRPr="0029195A">
        <w:fldChar w:fldCharType="end"/>
      </w:r>
      <w:bookmarkEnd w:id="62"/>
      <w:r w:rsidRPr="0029195A">
        <w:t>:</w:t>
      </w:r>
      <w:r w:rsidRPr="0029195A">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3969"/>
        <w:gridCol w:w="3919"/>
      </w:tblGrid>
      <w:tr w:rsidR="00E512AE" w:rsidRPr="0029195A" w14:paraId="07CDC0D7" w14:textId="77777777">
        <w:trPr>
          <w:tblHeader/>
        </w:trPr>
        <w:tc>
          <w:tcPr>
            <w:tcW w:w="626" w:type="pct"/>
            <w:shd w:val="clear" w:color="auto" w:fill="auto"/>
            <w:vAlign w:val="center"/>
          </w:tcPr>
          <w:p w14:paraId="2AF8B87F" w14:textId="77777777" w:rsidR="00E512AE" w:rsidRPr="0029195A" w:rsidRDefault="00E512AE">
            <w:pPr>
              <w:pStyle w:val="In-tableHeading"/>
              <w:jc w:val="center"/>
              <w:rPr>
                <w:lang w:val="en-AU"/>
              </w:rPr>
            </w:pPr>
            <w:r w:rsidRPr="0029195A">
              <w:rPr>
                <w:lang w:val="en-AU"/>
              </w:rPr>
              <w:t>Description</w:t>
            </w:r>
          </w:p>
        </w:tc>
        <w:tc>
          <w:tcPr>
            <w:tcW w:w="2201" w:type="pct"/>
            <w:shd w:val="clear" w:color="auto" w:fill="auto"/>
            <w:vAlign w:val="center"/>
          </w:tcPr>
          <w:p w14:paraId="22CA9DA8" w14:textId="77777777" w:rsidR="00E512AE" w:rsidRPr="0029195A" w:rsidRDefault="00E512AE">
            <w:pPr>
              <w:pStyle w:val="In-tableHeading"/>
              <w:jc w:val="center"/>
              <w:rPr>
                <w:lang w:val="en-AU"/>
              </w:rPr>
            </w:pPr>
            <w:r w:rsidRPr="0029195A">
              <w:rPr>
                <w:lang w:val="en-AU"/>
              </w:rPr>
              <w:t>Method/Value</w:t>
            </w:r>
          </w:p>
        </w:tc>
        <w:tc>
          <w:tcPr>
            <w:tcW w:w="2173" w:type="pct"/>
            <w:shd w:val="clear" w:color="auto" w:fill="auto"/>
            <w:vAlign w:val="center"/>
          </w:tcPr>
          <w:p w14:paraId="520EEE60" w14:textId="77777777" w:rsidR="00E512AE" w:rsidRPr="0029195A" w:rsidRDefault="00E512AE">
            <w:pPr>
              <w:pStyle w:val="In-tableHeading"/>
              <w:jc w:val="center"/>
              <w:rPr>
                <w:lang w:val="en-AU"/>
              </w:rPr>
            </w:pPr>
            <w:r w:rsidRPr="0029195A">
              <w:rPr>
                <w:lang w:val="en-AU"/>
              </w:rPr>
              <w:t>Impact</w:t>
            </w:r>
          </w:p>
          <w:p w14:paraId="21DBC97F" w14:textId="555AAFBC" w:rsidR="00E512AE" w:rsidRPr="0029195A" w:rsidRDefault="00E512AE">
            <w:pPr>
              <w:pStyle w:val="In-tableHeading"/>
              <w:jc w:val="center"/>
              <w:rPr>
                <w:lang w:val="en-AU"/>
              </w:rPr>
            </w:pPr>
            <w:r w:rsidRPr="0029195A">
              <w:rPr>
                <w:rFonts w:cs="Arial"/>
                <w:szCs w:val="20"/>
                <w:lang w:val="en-AU"/>
              </w:rPr>
              <w:t>Base case: $</w:t>
            </w:r>
            <w:r w:rsidR="00A26F4F" w:rsidRPr="00A26F4F">
              <w:rPr>
                <w:rFonts w:cs="Arial"/>
                <w:color w:val="000000"/>
                <w:szCs w:val="20"/>
                <w:shd w:val="solid" w:color="000000" w:fill="000000"/>
                <w:lang w:val="en-AU"/>
                <w14:textFill>
                  <w14:solidFill>
                    <w14:srgbClr w14:val="000000">
                      <w14:alpha w14:val="100000"/>
                    </w14:srgbClr>
                  </w14:solidFill>
                </w14:textFill>
              </w:rPr>
              <w:t>|</w:t>
            </w:r>
            <w:r w:rsidR="00EA15A2">
              <w:rPr>
                <w:rFonts w:cs="Arial"/>
                <w:szCs w:val="20"/>
                <w:vertAlign w:val="superscript"/>
                <w:lang w:val="en-AU"/>
              </w:rPr>
              <w:t>1</w:t>
            </w:r>
            <w:r w:rsidRPr="0029195A">
              <w:rPr>
                <w:rFonts w:cs="Arial"/>
                <w:szCs w:val="20"/>
                <w:lang w:val="en-AU"/>
              </w:rPr>
              <w:t>/QALY gained</w:t>
            </w:r>
          </w:p>
        </w:tc>
      </w:tr>
      <w:tr w:rsidR="00E512AE" w:rsidRPr="0029195A" w14:paraId="51363AF1" w14:textId="77777777">
        <w:tc>
          <w:tcPr>
            <w:tcW w:w="626" w:type="pct"/>
            <w:shd w:val="clear" w:color="auto" w:fill="auto"/>
            <w:vAlign w:val="center"/>
          </w:tcPr>
          <w:p w14:paraId="7B6BB851" w14:textId="77777777" w:rsidR="00E512AE" w:rsidRPr="0029195A" w:rsidRDefault="00E512AE">
            <w:pPr>
              <w:pStyle w:val="TableText0"/>
            </w:pPr>
            <w:r w:rsidRPr="0029195A">
              <w:t>Time horizon</w:t>
            </w:r>
          </w:p>
        </w:tc>
        <w:tc>
          <w:tcPr>
            <w:tcW w:w="2201" w:type="pct"/>
            <w:shd w:val="clear" w:color="auto" w:fill="auto"/>
            <w:vAlign w:val="center"/>
          </w:tcPr>
          <w:p w14:paraId="6E8AEED0" w14:textId="77777777" w:rsidR="00E512AE" w:rsidRPr="0029195A" w:rsidRDefault="00E512AE">
            <w:pPr>
              <w:pStyle w:val="TableText0"/>
            </w:pPr>
            <w:r w:rsidRPr="0029195A">
              <w:t>30 years.</w:t>
            </w:r>
          </w:p>
        </w:tc>
        <w:tc>
          <w:tcPr>
            <w:tcW w:w="2173" w:type="pct"/>
            <w:shd w:val="clear" w:color="auto" w:fill="auto"/>
            <w:vAlign w:val="center"/>
          </w:tcPr>
          <w:p w14:paraId="62F89746" w14:textId="77777777" w:rsidR="00E512AE" w:rsidRPr="0029195A" w:rsidRDefault="00E512AE">
            <w:pPr>
              <w:pStyle w:val="TableText0"/>
              <w:rPr>
                <w:iCs/>
              </w:rPr>
            </w:pPr>
            <w:r w:rsidRPr="0029195A">
              <w:rPr>
                <w:iCs/>
              </w:rPr>
              <w:t>Very high, favours avacopan.</w:t>
            </w:r>
          </w:p>
          <w:p w14:paraId="75D0400D" w14:textId="13B6960A" w:rsidR="00E512AE" w:rsidRPr="0029195A" w:rsidRDefault="00E512AE">
            <w:pPr>
              <w:pStyle w:val="TableText0"/>
              <w:rPr>
                <w:iCs/>
              </w:rPr>
            </w:pPr>
            <w:r w:rsidRPr="0029195A">
              <w:rPr>
                <w:iCs/>
              </w:rPr>
              <w:t>Use of a 10- and 15-year time horizon increased the ICER to $</w:t>
            </w:r>
            <w:r w:rsidR="00A26F4F" w:rsidRPr="00A26F4F">
              <w:rPr>
                <w:iCs/>
                <w:color w:val="000000"/>
                <w:spacing w:val="53"/>
                <w:shd w:val="solid" w:color="000000" w:fill="000000"/>
                <w:fitText w:val="330" w:id="-1168989696"/>
                <w14:textFill>
                  <w14:solidFill>
                    <w14:srgbClr w14:val="000000">
                      <w14:alpha w14:val="100000"/>
                    </w14:srgbClr>
                  </w14:solidFill>
                </w14:textFill>
              </w:rPr>
              <w:t>|||</w:t>
            </w:r>
            <w:r w:rsidR="00A26F4F" w:rsidRPr="00A26F4F">
              <w:rPr>
                <w:iCs/>
                <w:color w:val="000000"/>
                <w:spacing w:val="1"/>
                <w:shd w:val="solid" w:color="000000" w:fill="000000"/>
                <w:fitText w:val="330" w:id="-1168989696"/>
                <w14:textFill>
                  <w14:solidFill>
                    <w14:srgbClr w14:val="000000">
                      <w14:alpha w14:val="100000"/>
                    </w14:srgbClr>
                  </w14:solidFill>
                </w14:textFill>
              </w:rPr>
              <w:t>|</w:t>
            </w:r>
            <w:r w:rsidR="00EA15A2">
              <w:rPr>
                <w:iCs/>
                <w:vertAlign w:val="superscript"/>
              </w:rPr>
              <w:t>2</w:t>
            </w:r>
            <w:r w:rsidRPr="0029195A">
              <w:rPr>
                <w:iCs/>
              </w:rPr>
              <w:t xml:space="preserve"> and $</w:t>
            </w:r>
            <w:r w:rsidR="00A26F4F" w:rsidRPr="00A26F4F">
              <w:rPr>
                <w:iCs/>
                <w:color w:val="000000"/>
                <w:spacing w:val="53"/>
                <w:shd w:val="solid" w:color="000000" w:fill="000000"/>
                <w:fitText w:val="330" w:id="-1168989695"/>
                <w14:textFill>
                  <w14:solidFill>
                    <w14:srgbClr w14:val="000000">
                      <w14:alpha w14:val="100000"/>
                    </w14:srgbClr>
                  </w14:solidFill>
                </w14:textFill>
              </w:rPr>
              <w:t>|||</w:t>
            </w:r>
            <w:r w:rsidR="00A26F4F" w:rsidRPr="00A26F4F">
              <w:rPr>
                <w:iCs/>
                <w:color w:val="000000"/>
                <w:spacing w:val="1"/>
                <w:shd w:val="solid" w:color="000000" w:fill="000000"/>
                <w:fitText w:val="330" w:id="-1168989695"/>
                <w14:textFill>
                  <w14:solidFill>
                    <w14:srgbClr w14:val="000000">
                      <w14:alpha w14:val="100000"/>
                    </w14:srgbClr>
                  </w14:solidFill>
                </w14:textFill>
              </w:rPr>
              <w:t>|</w:t>
            </w:r>
            <w:r w:rsidR="00EA15A2">
              <w:rPr>
                <w:iCs/>
                <w:vertAlign w:val="superscript"/>
              </w:rPr>
              <w:t>3</w:t>
            </w:r>
            <w:r w:rsidRPr="0029195A">
              <w:rPr>
                <w:iCs/>
              </w:rPr>
              <w:t>/QALY gained respectively</w:t>
            </w:r>
            <w:r w:rsidR="0029195A">
              <w:rPr>
                <w:iCs/>
              </w:rPr>
              <w:t xml:space="preserve">. </w:t>
            </w:r>
          </w:p>
        </w:tc>
      </w:tr>
      <w:tr w:rsidR="00E512AE" w:rsidRPr="0029195A" w14:paraId="1403E214" w14:textId="77777777">
        <w:tc>
          <w:tcPr>
            <w:tcW w:w="626" w:type="pct"/>
            <w:shd w:val="clear" w:color="auto" w:fill="auto"/>
            <w:vAlign w:val="center"/>
          </w:tcPr>
          <w:p w14:paraId="28801215" w14:textId="77777777" w:rsidR="00E512AE" w:rsidRPr="0029195A" w:rsidRDefault="00E512AE">
            <w:pPr>
              <w:pStyle w:val="TableText0"/>
            </w:pPr>
            <w:r w:rsidRPr="0029195A">
              <w:t>Patient subgroups</w:t>
            </w:r>
          </w:p>
        </w:tc>
        <w:tc>
          <w:tcPr>
            <w:tcW w:w="2201" w:type="pct"/>
            <w:shd w:val="clear" w:color="auto" w:fill="auto"/>
            <w:vAlign w:val="center"/>
          </w:tcPr>
          <w:p w14:paraId="544283FF" w14:textId="77777777" w:rsidR="00E512AE" w:rsidRPr="0029195A" w:rsidRDefault="00E512AE">
            <w:pPr>
              <w:pStyle w:val="TableText0"/>
            </w:pPr>
            <w:r w:rsidRPr="0029195A">
              <w:t>The same transition probabilities were applied for newly diagnosed or relapsed populations and for each AAV type (GPA or MPA)</w:t>
            </w:r>
          </w:p>
        </w:tc>
        <w:tc>
          <w:tcPr>
            <w:tcW w:w="2173" w:type="pct"/>
            <w:shd w:val="clear" w:color="auto" w:fill="auto"/>
            <w:vAlign w:val="center"/>
          </w:tcPr>
          <w:p w14:paraId="16CEBBB6" w14:textId="77777777" w:rsidR="00E512AE" w:rsidRPr="0029195A" w:rsidRDefault="00E512AE">
            <w:pPr>
              <w:pStyle w:val="TableText0"/>
              <w:rPr>
                <w:iCs/>
              </w:rPr>
            </w:pPr>
            <w:r w:rsidRPr="0029195A">
              <w:rPr>
                <w:iCs/>
              </w:rPr>
              <w:t xml:space="preserve">Very high, could favour either avacopan or comparator depending on the treatment effect observed and the distribution of these subgroups in the Australian population. </w:t>
            </w:r>
          </w:p>
        </w:tc>
      </w:tr>
      <w:tr w:rsidR="00E512AE" w:rsidRPr="0029195A" w14:paraId="34E8E097" w14:textId="77777777">
        <w:tc>
          <w:tcPr>
            <w:tcW w:w="626" w:type="pct"/>
            <w:shd w:val="clear" w:color="auto" w:fill="auto"/>
            <w:vAlign w:val="center"/>
          </w:tcPr>
          <w:p w14:paraId="7404CC24" w14:textId="77777777" w:rsidR="00E512AE" w:rsidRPr="0029195A" w:rsidRDefault="00E512AE">
            <w:pPr>
              <w:pStyle w:val="TableText0"/>
            </w:pPr>
            <w:r w:rsidRPr="0029195A">
              <w:t>Extrapolation</w:t>
            </w:r>
          </w:p>
        </w:tc>
        <w:tc>
          <w:tcPr>
            <w:tcW w:w="2201" w:type="pct"/>
            <w:shd w:val="clear" w:color="auto" w:fill="auto"/>
            <w:vAlign w:val="center"/>
          </w:tcPr>
          <w:p w14:paraId="771867BA" w14:textId="77777777" w:rsidR="00E512AE" w:rsidRPr="0029195A" w:rsidRDefault="00E512AE">
            <w:pPr>
              <w:pStyle w:val="TableText0"/>
            </w:pPr>
            <w:r w:rsidRPr="0029195A">
              <w:t xml:space="preserve">Treatment effect continued for 12 months following cessation of avacopan treatment. </w:t>
            </w:r>
          </w:p>
        </w:tc>
        <w:tc>
          <w:tcPr>
            <w:tcW w:w="2173" w:type="pct"/>
            <w:shd w:val="clear" w:color="auto" w:fill="auto"/>
            <w:vAlign w:val="center"/>
          </w:tcPr>
          <w:p w14:paraId="7E504513" w14:textId="77777777" w:rsidR="00E512AE" w:rsidRPr="0029195A" w:rsidRDefault="00E512AE">
            <w:pPr>
              <w:pStyle w:val="TableText0"/>
              <w:rPr>
                <w:iCs/>
              </w:rPr>
            </w:pPr>
            <w:r w:rsidRPr="0029195A">
              <w:rPr>
                <w:iCs/>
              </w:rPr>
              <w:t>High, favours avacopan.</w:t>
            </w:r>
          </w:p>
          <w:p w14:paraId="6876E981" w14:textId="48619BF5" w:rsidR="00E512AE" w:rsidRPr="0029195A" w:rsidRDefault="00E512AE">
            <w:pPr>
              <w:pStyle w:val="TableText0"/>
              <w:rPr>
                <w:iCs/>
              </w:rPr>
            </w:pPr>
            <w:r w:rsidRPr="0029195A">
              <w:rPr>
                <w:iCs/>
              </w:rPr>
              <w:t>ICER increased to $</w:t>
            </w:r>
            <w:r w:rsidR="00A26F4F" w:rsidRPr="00A26F4F">
              <w:rPr>
                <w:iCs/>
                <w:color w:val="000000"/>
                <w:spacing w:val="53"/>
                <w:shd w:val="solid" w:color="000000" w:fill="000000"/>
                <w:fitText w:val="330" w:id="-1168989694"/>
                <w14:textFill>
                  <w14:solidFill>
                    <w14:srgbClr w14:val="000000">
                      <w14:alpha w14:val="100000"/>
                    </w14:srgbClr>
                  </w14:solidFill>
                </w14:textFill>
              </w:rPr>
              <w:t>|||</w:t>
            </w:r>
            <w:r w:rsidR="00A26F4F" w:rsidRPr="00A26F4F">
              <w:rPr>
                <w:iCs/>
                <w:color w:val="000000"/>
                <w:spacing w:val="1"/>
                <w:shd w:val="solid" w:color="000000" w:fill="000000"/>
                <w:fitText w:val="330" w:id="-1168989694"/>
                <w14:textFill>
                  <w14:solidFill>
                    <w14:srgbClr w14:val="000000">
                      <w14:alpha w14:val="100000"/>
                    </w14:srgbClr>
                  </w14:solidFill>
                </w14:textFill>
              </w:rPr>
              <w:t>|</w:t>
            </w:r>
            <w:r w:rsidR="00EA15A2">
              <w:rPr>
                <w:iCs/>
                <w:vertAlign w:val="superscript"/>
              </w:rPr>
              <w:t>3</w:t>
            </w:r>
            <w:r w:rsidRPr="0029195A">
              <w:rPr>
                <w:iCs/>
              </w:rPr>
              <w:t xml:space="preserve">/QALY gained when the treatment effect was </w:t>
            </w:r>
            <w:r w:rsidR="004B03D3" w:rsidRPr="0029195A">
              <w:rPr>
                <w:iCs/>
              </w:rPr>
              <w:t>stopped</w:t>
            </w:r>
            <w:r w:rsidRPr="0029195A">
              <w:rPr>
                <w:iCs/>
              </w:rPr>
              <w:t xml:space="preserve"> upon </w:t>
            </w:r>
            <w:r w:rsidR="00CB0BC9" w:rsidRPr="0029195A">
              <w:rPr>
                <w:iCs/>
              </w:rPr>
              <w:t xml:space="preserve">avacopan </w:t>
            </w:r>
            <w:r w:rsidRPr="0029195A">
              <w:rPr>
                <w:iCs/>
              </w:rPr>
              <w:t xml:space="preserve">cessation). </w:t>
            </w:r>
          </w:p>
        </w:tc>
      </w:tr>
      <w:tr w:rsidR="00E512AE" w:rsidRPr="0029195A" w14:paraId="116D168E" w14:textId="77777777">
        <w:tc>
          <w:tcPr>
            <w:tcW w:w="626" w:type="pct"/>
            <w:shd w:val="clear" w:color="auto" w:fill="auto"/>
            <w:vAlign w:val="center"/>
          </w:tcPr>
          <w:p w14:paraId="64FCDBD1" w14:textId="77777777" w:rsidR="00E512AE" w:rsidRPr="0029195A" w:rsidRDefault="00E512AE">
            <w:pPr>
              <w:pStyle w:val="TableText0"/>
            </w:pPr>
            <w:r w:rsidRPr="0029195A">
              <w:t>Re-inductions with avacopan</w:t>
            </w:r>
          </w:p>
        </w:tc>
        <w:tc>
          <w:tcPr>
            <w:tcW w:w="2201" w:type="pct"/>
            <w:shd w:val="clear" w:color="auto" w:fill="auto"/>
            <w:vAlign w:val="center"/>
          </w:tcPr>
          <w:p w14:paraId="5389CE65" w14:textId="39BC67F0" w:rsidR="00E512AE" w:rsidRPr="0029195A" w:rsidRDefault="00950D69">
            <w:pPr>
              <w:pStyle w:val="TableText0"/>
            </w:pPr>
            <w:r w:rsidRPr="0029195A">
              <w:t>Two</w:t>
            </w:r>
            <w:r w:rsidR="00E512AE" w:rsidRPr="0029195A">
              <w:t xml:space="preserve"> re-inductions allowed over the course of a patient’s lifetime</w:t>
            </w:r>
          </w:p>
        </w:tc>
        <w:tc>
          <w:tcPr>
            <w:tcW w:w="2173" w:type="pct"/>
            <w:shd w:val="clear" w:color="auto" w:fill="auto"/>
            <w:vAlign w:val="center"/>
          </w:tcPr>
          <w:p w14:paraId="68BFE0FD" w14:textId="77777777" w:rsidR="00E512AE" w:rsidRPr="0029195A" w:rsidRDefault="00E512AE">
            <w:pPr>
              <w:pStyle w:val="TableText0"/>
              <w:rPr>
                <w:iCs/>
              </w:rPr>
            </w:pPr>
            <w:r w:rsidRPr="0029195A">
              <w:rPr>
                <w:iCs/>
              </w:rPr>
              <w:t>High, favours avacopan.</w:t>
            </w:r>
          </w:p>
          <w:p w14:paraId="2427441F" w14:textId="6A3A08C1" w:rsidR="00E512AE" w:rsidRPr="0029195A" w:rsidRDefault="00E512AE">
            <w:pPr>
              <w:pStyle w:val="TableText0"/>
              <w:rPr>
                <w:iCs/>
              </w:rPr>
            </w:pPr>
            <w:r w:rsidRPr="0029195A">
              <w:rPr>
                <w:iCs/>
              </w:rPr>
              <w:t>When no re-inductions w</w:t>
            </w:r>
            <w:r w:rsidR="00950D69" w:rsidRPr="0029195A">
              <w:rPr>
                <w:iCs/>
              </w:rPr>
              <w:t>ere</w:t>
            </w:r>
            <w:r w:rsidRPr="0029195A">
              <w:rPr>
                <w:iCs/>
              </w:rPr>
              <w:t xml:space="preserve"> allowed, the ICER increased to $</w:t>
            </w:r>
            <w:r w:rsidR="00A26F4F" w:rsidRPr="00A26F4F">
              <w:rPr>
                <w:iCs/>
                <w:color w:val="000000"/>
                <w:spacing w:val="53"/>
                <w:shd w:val="solid" w:color="000000" w:fill="000000"/>
                <w:fitText w:val="330" w:id="-1168989693"/>
                <w14:textFill>
                  <w14:solidFill>
                    <w14:srgbClr w14:val="000000">
                      <w14:alpha w14:val="100000"/>
                    </w14:srgbClr>
                  </w14:solidFill>
                </w14:textFill>
              </w:rPr>
              <w:t>|||</w:t>
            </w:r>
            <w:r w:rsidR="00A26F4F" w:rsidRPr="00A26F4F">
              <w:rPr>
                <w:iCs/>
                <w:color w:val="000000"/>
                <w:spacing w:val="1"/>
                <w:shd w:val="solid" w:color="000000" w:fill="000000"/>
                <w:fitText w:val="330" w:id="-1168989693"/>
                <w14:textFill>
                  <w14:solidFill>
                    <w14:srgbClr w14:val="000000">
                      <w14:alpha w14:val="100000"/>
                    </w14:srgbClr>
                  </w14:solidFill>
                </w14:textFill>
              </w:rPr>
              <w:t>|</w:t>
            </w:r>
            <w:r w:rsidR="00EA15A2">
              <w:rPr>
                <w:iCs/>
                <w:vertAlign w:val="superscript"/>
              </w:rPr>
              <w:t>3</w:t>
            </w:r>
            <w:r w:rsidRPr="0029195A">
              <w:rPr>
                <w:iCs/>
              </w:rPr>
              <w:t>/QALY gained.</w:t>
            </w:r>
          </w:p>
        </w:tc>
      </w:tr>
      <w:tr w:rsidR="00E512AE" w:rsidRPr="0029195A" w14:paraId="4675C8DF" w14:textId="77777777">
        <w:tc>
          <w:tcPr>
            <w:tcW w:w="626" w:type="pct"/>
            <w:shd w:val="clear" w:color="auto" w:fill="auto"/>
            <w:vAlign w:val="center"/>
          </w:tcPr>
          <w:p w14:paraId="21070F64" w14:textId="77777777" w:rsidR="00E512AE" w:rsidRPr="0029195A" w:rsidRDefault="00E512AE">
            <w:pPr>
              <w:pStyle w:val="TableText0"/>
            </w:pPr>
            <w:r w:rsidRPr="0029195A">
              <w:t>HR applied to corresponding change to eGRF</w:t>
            </w:r>
          </w:p>
        </w:tc>
        <w:tc>
          <w:tcPr>
            <w:tcW w:w="2201" w:type="pct"/>
            <w:shd w:val="clear" w:color="auto" w:fill="auto"/>
            <w:vAlign w:val="center"/>
          </w:tcPr>
          <w:p w14:paraId="26E645F2" w14:textId="77777777" w:rsidR="00E512AE" w:rsidRPr="0029195A" w:rsidRDefault="00E512AE">
            <w:pPr>
              <w:pStyle w:val="TableText0"/>
            </w:pPr>
            <w:r w:rsidRPr="0029195A">
              <w:rPr>
                <w:bCs w:val="0"/>
              </w:rPr>
              <w:t>HR=0.90 from Gercik et al. (2020)</w:t>
            </w:r>
          </w:p>
        </w:tc>
        <w:tc>
          <w:tcPr>
            <w:tcW w:w="2173" w:type="pct"/>
            <w:shd w:val="clear" w:color="auto" w:fill="auto"/>
            <w:vAlign w:val="center"/>
          </w:tcPr>
          <w:p w14:paraId="6B162DDA" w14:textId="77777777" w:rsidR="00E512AE" w:rsidRPr="0029195A" w:rsidRDefault="00E512AE">
            <w:pPr>
              <w:pStyle w:val="TableText0"/>
              <w:rPr>
                <w:iCs/>
              </w:rPr>
            </w:pPr>
            <w:r w:rsidRPr="0029195A">
              <w:rPr>
                <w:iCs/>
              </w:rPr>
              <w:t xml:space="preserve">High, favours avacopan. </w:t>
            </w:r>
          </w:p>
          <w:p w14:paraId="4CE9F556" w14:textId="538DB852" w:rsidR="00E512AE" w:rsidRPr="0029195A" w:rsidRDefault="00E512AE">
            <w:pPr>
              <w:pStyle w:val="TableText0"/>
              <w:rPr>
                <w:iCs/>
              </w:rPr>
            </w:pPr>
            <w:r w:rsidRPr="0029195A">
              <w:rPr>
                <w:iCs/>
              </w:rPr>
              <w:t xml:space="preserve">Using </w:t>
            </w:r>
            <w:r w:rsidRPr="0029195A">
              <w:rPr>
                <w:bCs w:val="0"/>
                <w:iCs/>
              </w:rPr>
              <w:t>HR=0.955 (pooled estimate from Brix et al., Gercik et al. and Ford et al.), the ICER increased to $</w:t>
            </w:r>
            <w:r w:rsidR="00A26F4F" w:rsidRPr="00A26F4F">
              <w:rPr>
                <w:bCs w:val="0"/>
                <w:iCs/>
                <w:color w:val="000000"/>
                <w:spacing w:val="53"/>
                <w:shd w:val="solid" w:color="000000" w:fill="000000"/>
                <w:fitText w:val="330" w:id="-1168989692"/>
                <w14:textFill>
                  <w14:solidFill>
                    <w14:srgbClr w14:val="000000">
                      <w14:alpha w14:val="100000"/>
                    </w14:srgbClr>
                  </w14:solidFill>
                </w14:textFill>
              </w:rPr>
              <w:t>|||</w:t>
            </w:r>
            <w:r w:rsidR="00A26F4F" w:rsidRPr="00A26F4F">
              <w:rPr>
                <w:bCs w:val="0"/>
                <w:iCs/>
                <w:color w:val="000000"/>
                <w:spacing w:val="1"/>
                <w:shd w:val="solid" w:color="000000" w:fill="000000"/>
                <w:fitText w:val="330" w:id="-1168989692"/>
                <w14:textFill>
                  <w14:solidFill>
                    <w14:srgbClr w14:val="000000">
                      <w14:alpha w14:val="100000"/>
                    </w14:srgbClr>
                  </w14:solidFill>
                </w14:textFill>
              </w:rPr>
              <w:t>|</w:t>
            </w:r>
            <w:r w:rsidR="00EA15A2">
              <w:rPr>
                <w:bCs w:val="0"/>
                <w:iCs/>
                <w:vertAlign w:val="superscript"/>
              </w:rPr>
              <w:t>4</w:t>
            </w:r>
            <w:r w:rsidRPr="0029195A">
              <w:rPr>
                <w:bCs w:val="0"/>
                <w:iCs/>
              </w:rPr>
              <w:t>/QALY gained.</w:t>
            </w:r>
          </w:p>
        </w:tc>
      </w:tr>
      <w:tr w:rsidR="00E512AE" w:rsidRPr="0029195A" w14:paraId="50BFFCF9" w14:textId="77777777">
        <w:tc>
          <w:tcPr>
            <w:tcW w:w="626" w:type="pct"/>
            <w:shd w:val="clear" w:color="auto" w:fill="auto"/>
            <w:vAlign w:val="center"/>
          </w:tcPr>
          <w:p w14:paraId="2FA7EAAE" w14:textId="77777777" w:rsidR="00E512AE" w:rsidRPr="0029195A" w:rsidRDefault="00E512AE">
            <w:pPr>
              <w:pStyle w:val="TableText0"/>
            </w:pPr>
            <w:r w:rsidRPr="0029195A">
              <w:t xml:space="preserve">Utility values </w:t>
            </w:r>
          </w:p>
        </w:tc>
        <w:tc>
          <w:tcPr>
            <w:tcW w:w="2201" w:type="pct"/>
            <w:shd w:val="clear" w:color="auto" w:fill="auto"/>
            <w:vAlign w:val="center"/>
          </w:tcPr>
          <w:p w14:paraId="57E2DC9E" w14:textId="77777777" w:rsidR="00E512AE" w:rsidRPr="0029195A" w:rsidRDefault="00E512AE">
            <w:pPr>
              <w:pStyle w:val="TableText0"/>
            </w:pPr>
            <w:r w:rsidRPr="0029195A">
              <w:rPr>
                <w:bCs w:val="0"/>
              </w:rPr>
              <w:t xml:space="preserve">0.458 and 0.712 </w:t>
            </w:r>
            <w:r w:rsidRPr="0029195A">
              <w:t>for dialysis and transplant</w:t>
            </w:r>
            <w:r w:rsidRPr="0029195A">
              <w:rPr>
                <w:bCs w:val="0"/>
              </w:rPr>
              <w:t xml:space="preserve"> respectively</w:t>
            </w:r>
          </w:p>
        </w:tc>
        <w:tc>
          <w:tcPr>
            <w:tcW w:w="2173" w:type="pct"/>
            <w:shd w:val="clear" w:color="auto" w:fill="auto"/>
            <w:vAlign w:val="center"/>
          </w:tcPr>
          <w:p w14:paraId="35367736" w14:textId="77777777" w:rsidR="00E512AE" w:rsidRPr="0029195A" w:rsidRDefault="00E512AE">
            <w:pPr>
              <w:pStyle w:val="TableText0"/>
              <w:rPr>
                <w:iCs/>
              </w:rPr>
            </w:pPr>
            <w:r w:rsidRPr="0029195A">
              <w:rPr>
                <w:iCs/>
              </w:rPr>
              <w:t xml:space="preserve">High, favours avacopan. </w:t>
            </w:r>
          </w:p>
          <w:p w14:paraId="058815FB" w14:textId="734548AB" w:rsidR="00E512AE" w:rsidRPr="0029195A" w:rsidRDefault="00E512AE">
            <w:pPr>
              <w:pStyle w:val="TableText0"/>
              <w:rPr>
                <w:iCs/>
              </w:rPr>
            </w:pPr>
            <w:r w:rsidRPr="0029195A">
              <w:rPr>
                <w:iCs/>
              </w:rPr>
              <w:t xml:space="preserve">Using corresponding values </w:t>
            </w:r>
            <w:r w:rsidRPr="0029195A">
              <w:rPr>
                <w:bCs w:val="0"/>
                <w:iCs/>
              </w:rPr>
              <w:t>from Wyld et al. (2012): 0.70 and 0.82 increased the ICER to $</w:t>
            </w:r>
            <w:r w:rsidR="00A26F4F" w:rsidRPr="00A26F4F">
              <w:rPr>
                <w:bCs w:val="0"/>
                <w:iCs/>
                <w:color w:val="000000"/>
                <w:spacing w:val="53"/>
                <w:shd w:val="solid" w:color="000000" w:fill="000000"/>
                <w:fitText w:val="330" w:id="-1168989691"/>
                <w14:textFill>
                  <w14:solidFill>
                    <w14:srgbClr w14:val="000000">
                      <w14:alpha w14:val="100000"/>
                    </w14:srgbClr>
                  </w14:solidFill>
                </w14:textFill>
              </w:rPr>
              <w:t>|||</w:t>
            </w:r>
            <w:r w:rsidR="00A26F4F" w:rsidRPr="00A26F4F">
              <w:rPr>
                <w:bCs w:val="0"/>
                <w:iCs/>
                <w:color w:val="000000"/>
                <w:spacing w:val="1"/>
                <w:shd w:val="solid" w:color="000000" w:fill="000000"/>
                <w:fitText w:val="330" w:id="-1168989691"/>
                <w14:textFill>
                  <w14:solidFill>
                    <w14:srgbClr w14:val="000000">
                      <w14:alpha w14:val="100000"/>
                    </w14:srgbClr>
                  </w14:solidFill>
                </w14:textFill>
              </w:rPr>
              <w:t>|</w:t>
            </w:r>
            <w:r w:rsidR="00EA15A2">
              <w:rPr>
                <w:bCs w:val="0"/>
                <w:iCs/>
                <w:vertAlign w:val="superscript"/>
              </w:rPr>
              <w:t>4</w:t>
            </w:r>
            <w:r w:rsidRPr="0029195A">
              <w:rPr>
                <w:bCs w:val="0"/>
                <w:iCs/>
              </w:rPr>
              <w:t>/QALY.</w:t>
            </w:r>
          </w:p>
        </w:tc>
      </w:tr>
    </w:tbl>
    <w:p w14:paraId="7058BE89" w14:textId="77777777" w:rsidR="00E512AE" w:rsidRPr="0029195A" w:rsidRDefault="00E512AE" w:rsidP="00E512AE">
      <w:pPr>
        <w:pStyle w:val="FooterTableFigure"/>
      </w:pPr>
      <w:r w:rsidRPr="0029195A">
        <w:t>Source:</w:t>
      </w:r>
      <w:r w:rsidRPr="0029195A">
        <w:rPr>
          <w:i/>
          <w:iCs/>
        </w:rPr>
        <w:t xml:space="preserve"> </w:t>
      </w:r>
      <w:r w:rsidRPr="0029195A">
        <w:t>Compiled during the evaluation using information from Table 3-20, p127-128 of the submission and outputs from Attachment 14</w:t>
      </w:r>
    </w:p>
    <w:p w14:paraId="10796873" w14:textId="735F41C3" w:rsidR="00EA15A2" w:rsidRDefault="00E512AE" w:rsidP="00EA15A2">
      <w:pPr>
        <w:pStyle w:val="FooterTableFigure"/>
      </w:pPr>
      <w:r w:rsidRPr="0029195A">
        <w:t xml:space="preserve">Abbreviations: AAV, anti-neutrophil cytoplasmic autoantibody associated vasculitis; eGFR, estimated glomerular filtration rate; GPA, </w:t>
      </w:r>
      <w:r w:rsidR="007543BF">
        <w:t>g</w:t>
      </w:r>
      <w:r w:rsidR="00EA15A2">
        <w:t>ranulomatosis</w:t>
      </w:r>
      <w:r w:rsidRPr="0029195A">
        <w:t xml:space="preserve"> with polyangiitis; HR, hazard ratio; ICER, incremental cost-effectiveness ratio; MPA, microscopic polyangiitis; QALY, quality-adjusted life year.</w:t>
      </w:r>
    </w:p>
    <w:p w14:paraId="18EF5399" w14:textId="0EAFFC94" w:rsidR="00EA15A2" w:rsidRPr="00EA15A2" w:rsidRDefault="00EA15A2" w:rsidP="006C573C">
      <w:pPr>
        <w:pStyle w:val="FooterTableFigure"/>
        <w:spacing w:after="0"/>
      </w:pPr>
      <w:r w:rsidRPr="009A6D58">
        <w:rPr>
          <w:i/>
          <w:szCs w:val="18"/>
        </w:rPr>
        <w:t xml:space="preserve">The redacted values correspond to the following ranges: </w:t>
      </w:r>
    </w:p>
    <w:p w14:paraId="3066CF07" w14:textId="1401AF0C" w:rsidR="00EA15A2" w:rsidRPr="006846C9" w:rsidRDefault="00EA15A2" w:rsidP="006C573C">
      <w:pPr>
        <w:rPr>
          <w:rFonts w:ascii="Arial Narrow" w:hAnsi="Arial Narrow"/>
          <w:i/>
          <w:sz w:val="18"/>
          <w:szCs w:val="18"/>
        </w:rPr>
      </w:pPr>
      <w:r w:rsidRPr="006846C9">
        <w:rPr>
          <w:rFonts w:ascii="Arial Narrow" w:hAnsi="Arial Narrow"/>
          <w:i/>
          <w:sz w:val="18"/>
          <w:szCs w:val="18"/>
          <w:vertAlign w:val="superscript"/>
        </w:rPr>
        <w:t>1</w:t>
      </w:r>
      <w:r w:rsidRPr="006846C9">
        <w:rPr>
          <w:rFonts w:ascii="Arial Narrow" w:hAnsi="Arial Narrow"/>
          <w:i/>
          <w:sz w:val="18"/>
          <w:szCs w:val="18"/>
        </w:rPr>
        <w:t xml:space="preserve"> $55,000 to &lt; $75,000</w:t>
      </w:r>
    </w:p>
    <w:p w14:paraId="73210D17" w14:textId="6F23A36C" w:rsidR="00EA15A2" w:rsidRPr="006846C9" w:rsidRDefault="00EA15A2" w:rsidP="006C573C">
      <w:pPr>
        <w:rPr>
          <w:rFonts w:ascii="Arial Narrow" w:hAnsi="Arial Narrow"/>
          <w:i/>
          <w:sz w:val="18"/>
          <w:szCs w:val="18"/>
        </w:rPr>
      </w:pPr>
      <w:r w:rsidRPr="006846C9">
        <w:rPr>
          <w:rFonts w:ascii="Arial Narrow" w:hAnsi="Arial Narrow"/>
          <w:i/>
          <w:sz w:val="18"/>
          <w:szCs w:val="18"/>
          <w:vertAlign w:val="superscript"/>
        </w:rPr>
        <w:t>2</w:t>
      </w:r>
      <w:r w:rsidRPr="006846C9">
        <w:rPr>
          <w:rFonts w:ascii="Arial Narrow" w:hAnsi="Arial Narrow"/>
          <w:i/>
          <w:sz w:val="18"/>
          <w:szCs w:val="18"/>
        </w:rPr>
        <w:t xml:space="preserve"> $155,000 to &lt; $255,000</w:t>
      </w:r>
    </w:p>
    <w:p w14:paraId="56002B7B" w14:textId="55764BA0" w:rsidR="00EA15A2" w:rsidRPr="006846C9" w:rsidRDefault="00EA15A2" w:rsidP="006C573C">
      <w:pPr>
        <w:rPr>
          <w:rFonts w:ascii="Arial Narrow" w:hAnsi="Arial Narrow"/>
          <w:i/>
          <w:sz w:val="18"/>
          <w:szCs w:val="18"/>
        </w:rPr>
      </w:pPr>
      <w:r w:rsidRPr="006846C9">
        <w:rPr>
          <w:rFonts w:ascii="Arial Narrow" w:hAnsi="Arial Narrow"/>
          <w:i/>
          <w:sz w:val="18"/>
          <w:szCs w:val="18"/>
          <w:vertAlign w:val="superscript"/>
        </w:rPr>
        <w:t>3</w:t>
      </w:r>
      <w:r w:rsidRPr="006846C9">
        <w:rPr>
          <w:rFonts w:ascii="Arial Narrow" w:hAnsi="Arial Narrow"/>
          <w:i/>
          <w:sz w:val="18"/>
          <w:szCs w:val="18"/>
        </w:rPr>
        <w:t xml:space="preserve"> $95,000 to &lt; $115,000</w:t>
      </w:r>
    </w:p>
    <w:p w14:paraId="5F90FEE6" w14:textId="387D1BF1" w:rsidR="00EA15A2" w:rsidRPr="006846C9" w:rsidRDefault="00EA15A2" w:rsidP="006C573C">
      <w:pPr>
        <w:rPr>
          <w:rFonts w:ascii="Arial Narrow" w:hAnsi="Arial Narrow"/>
          <w:i/>
          <w:sz w:val="18"/>
          <w:szCs w:val="18"/>
        </w:rPr>
      </w:pPr>
      <w:r w:rsidRPr="006846C9">
        <w:rPr>
          <w:rFonts w:ascii="Arial Narrow" w:hAnsi="Arial Narrow"/>
          <w:i/>
          <w:sz w:val="18"/>
          <w:szCs w:val="18"/>
          <w:vertAlign w:val="superscript"/>
        </w:rPr>
        <w:t>4</w:t>
      </w:r>
      <w:r w:rsidRPr="006846C9">
        <w:rPr>
          <w:rFonts w:ascii="Arial Narrow" w:hAnsi="Arial Narrow"/>
          <w:i/>
          <w:sz w:val="18"/>
          <w:szCs w:val="18"/>
        </w:rPr>
        <w:t xml:space="preserve"> $75,000 to &lt; $95,000</w:t>
      </w:r>
    </w:p>
    <w:p w14:paraId="304B83B5" w14:textId="77777777" w:rsidR="00EA15A2" w:rsidRPr="0029195A" w:rsidRDefault="00EA15A2" w:rsidP="00E512AE">
      <w:pPr>
        <w:pStyle w:val="FooterTableFigure"/>
      </w:pPr>
    </w:p>
    <w:p w14:paraId="6B074A84" w14:textId="1EB8D36B" w:rsidR="00E512AE" w:rsidRPr="0029195A" w:rsidRDefault="00E512AE" w:rsidP="007A6355">
      <w:pPr>
        <w:pStyle w:val="3-BodyText"/>
      </w:pPr>
      <w:r w:rsidRPr="0029195A">
        <w:fldChar w:fldCharType="begin" w:fldLock="1"/>
      </w:r>
      <w:r w:rsidRPr="0029195A">
        <w:instrText xml:space="preserve"> REF _Ref104805160 \h </w:instrText>
      </w:r>
      <w:r w:rsidR="000E50E4" w:rsidRPr="0029195A">
        <w:instrText xml:space="preserve"> \* MERGEFORMAT </w:instrText>
      </w:r>
      <w:r w:rsidRPr="0029195A">
        <w:fldChar w:fldCharType="separate"/>
      </w:r>
      <w:r w:rsidR="00610CB8" w:rsidRPr="0029195A">
        <w:t>Table 14</w:t>
      </w:r>
      <w:r w:rsidRPr="0029195A">
        <w:fldChar w:fldCharType="end"/>
      </w:r>
      <w:r w:rsidRPr="0029195A">
        <w:t xml:space="preserve"> presents the results of the economic evaluation. A trial-based evaluation based on outcomes from the ADVOCATE trial was conducted during the evaluation. </w:t>
      </w:r>
    </w:p>
    <w:p w14:paraId="11C2A164" w14:textId="77777777" w:rsidR="00E512AE" w:rsidRPr="0029195A" w:rsidRDefault="00E512AE" w:rsidP="00E512AE">
      <w:pPr>
        <w:jc w:val="left"/>
        <w:rPr>
          <w:rFonts w:asciiTheme="minorHAnsi" w:hAnsiTheme="minorHAnsi"/>
          <w:snapToGrid w:val="0"/>
        </w:rPr>
      </w:pPr>
      <w:r w:rsidRPr="0029195A">
        <w:br w:type="page"/>
      </w:r>
    </w:p>
    <w:p w14:paraId="72B6417B" w14:textId="589592FF" w:rsidR="00E512AE" w:rsidRPr="0029195A" w:rsidRDefault="00E512AE" w:rsidP="00E512AE">
      <w:pPr>
        <w:pStyle w:val="Caption"/>
        <w:rPr>
          <w:rStyle w:val="CommentReference"/>
          <w:b/>
          <w:szCs w:val="24"/>
        </w:rPr>
      </w:pPr>
      <w:bookmarkStart w:id="63" w:name="_Ref104805160"/>
      <w:r w:rsidRPr="0029195A">
        <w:lastRenderedPageBreak/>
        <w:t xml:space="preserve">Table </w:t>
      </w:r>
      <w:r w:rsidRPr="0029195A">
        <w:fldChar w:fldCharType="begin" w:fldLock="1"/>
      </w:r>
      <w:r w:rsidRPr="0029195A">
        <w:instrText>SEQ Table \* ARABIC</w:instrText>
      </w:r>
      <w:r w:rsidRPr="0029195A">
        <w:fldChar w:fldCharType="separate"/>
      </w:r>
      <w:r w:rsidR="00631406" w:rsidRPr="0029195A">
        <w:t>14</w:t>
      </w:r>
      <w:r w:rsidRPr="0029195A">
        <w:fldChar w:fldCharType="end"/>
      </w:r>
      <w:bookmarkEnd w:id="63"/>
      <w:r w:rsidRPr="0029195A">
        <w:t>:</w:t>
      </w:r>
      <w:r w:rsidRPr="0029195A">
        <w:rPr>
          <w:rStyle w:val="CommentReference"/>
          <w:b/>
          <w:szCs w:val="24"/>
        </w:rPr>
        <w:t xml:space="preserve">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E512AE" w:rsidRPr="0029195A" w14:paraId="2FC77A4D" w14:textId="77777777">
        <w:trPr>
          <w:tblHeader/>
        </w:trPr>
        <w:tc>
          <w:tcPr>
            <w:tcW w:w="1529" w:type="pct"/>
            <w:vAlign w:val="center"/>
          </w:tcPr>
          <w:p w14:paraId="54FB08D0" w14:textId="77777777" w:rsidR="00E512AE" w:rsidRPr="0029195A" w:rsidRDefault="00E512AE">
            <w:pPr>
              <w:pStyle w:val="In-tableHeading"/>
              <w:keepNext w:val="0"/>
              <w:widowControl w:val="0"/>
              <w:rPr>
                <w:lang w:val="en-AU"/>
              </w:rPr>
            </w:pPr>
            <w:r w:rsidRPr="0029195A">
              <w:rPr>
                <w:lang w:val="en-AU"/>
              </w:rPr>
              <w:t>Step and component</w:t>
            </w:r>
          </w:p>
        </w:tc>
        <w:tc>
          <w:tcPr>
            <w:tcW w:w="1359" w:type="pct"/>
            <w:vAlign w:val="center"/>
          </w:tcPr>
          <w:p w14:paraId="3D8DFA97" w14:textId="77777777" w:rsidR="00E512AE" w:rsidRPr="0029195A" w:rsidRDefault="00E512AE">
            <w:pPr>
              <w:pStyle w:val="In-tableHeading"/>
              <w:keepNext w:val="0"/>
              <w:widowControl w:val="0"/>
              <w:jc w:val="center"/>
              <w:rPr>
                <w:lang w:val="en-AU"/>
              </w:rPr>
            </w:pPr>
            <w:r w:rsidRPr="0029195A">
              <w:rPr>
                <w:lang w:val="en-AU"/>
              </w:rPr>
              <w:t>Avacopan + SOC</w:t>
            </w:r>
          </w:p>
        </w:tc>
        <w:tc>
          <w:tcPr>
            <w:tcW w:w="1274" w:type="pct"/>
            <w:vAlign w:val="center"/>
          </w:tcPr>
          <w:p w14:paraId="0AD34355" w14:textId="77777777" w:rsidR="00E512AE" w:rsidRPr="0029195A" w:rsidRDefault="00E512AE">
            <w:pPr>
              <w:pStyle w:val="In-tableHeading"/>
              <w:keepNext w:val="0"/>
              <w:widowControl w:val="0"/>
              <w:jc w:val="center"/>
              <w:rPr>
                <w:lang w:val="en-AU"/>
              </w:rPr>
            </w:pPr>
            <w:r w:rsidRPr="0029195A">
              <w:rPr>
                <w:lang w:val="en-AU"/>
              </w:rPr>
              <w:t>GC + SOC</w:t>
            </w:r>
          </w:p>
        </w:tc>
        <w:tc>
          <w:tcPr>
            <w:tcW w:w="838" w:type="pct"/>
            <w:vAlign w:val="center"/>
          </w:tcPr>
          <w:p w14:paraId="65CACA80" w14:textId="77777777" w:rsidR="00E512AE" w:rsidRPr="0029195A" w:rsidRDefault="00E512AE">
            <w:pPr>
              <w:pStyle w:val="In-tableHeading"/>
              <w:keepNext w:val="0"/>
              <w:widowControl w:val="0"/>
              <w:jc w:val="center"/>
              <w:rPr>
                <w:lang w:val="en-AU"/>
              </w:rPr>
            </w:pPr>
            <w:r w:rsidRPr="0029195A">
              <w:rPr>
                <w:lang w:val="en-AU"/>
              </w:rPr>
              <w:t>Increment</w:t>
            </w:r>
          </w:p>
        </w:tc>
      </w:tr>
      <w:tr w:rsidR="00E512AE" w:rsidRPr="0029195A" w14:paraId="5D6860E4" w14:textId="77777777">
        <w:tc>
          <w:tcPr>
            <w:tcW w:w="5000" w:type="pct"/>
            <w:gridSpan w:val="4"/>
            <w:vAlign w:val="center"/>
          </w:tcPr>
          <w:p w14:paraId="12ABA1BC" w14:textId="77777777" w:rsidR="00E512AE" w:rsidRPr="0029195A" w:rsidRDefault="00E512AE">
            <w:pPr>
              <w:pStyle w:val="TableText0"/>
              <w:keepNext w:val="0"/>
              <w:widowControl w:val="0"/>
              <w:rPr>
                <w:b/>
                <w:bCs w:val="0"/>
              </w:rPr>
            </w:pPr>
            <w:r w:rsidRPr="0029195A">
              <w:rPr>
                <w:b/>
                <w:bCs w:val="0"/>
              </w:rPr>
              <w:t>Step 1: Trial-based analysis (26 weeks, drug costs only, no discounting)</w:t>
            </w:r>
          </w:p>
        </w:tc>
      </w:tr>
      <w:tr w:rsidR="00E512AE" w:rsidRPr="0029195A" w14:paraId="5DA7AE8C" w14:textId="77777777">
        <w:tc>
          <w:tcPr>
            <w:tcW w:w="1529" w:type="pct"/>
            <w:vAlign w:val="center"/>
          </w:tcPr>
          <w:p w14:paraId="085A027E" w14:textId="289AF54A" w:rsidR="00E512AE" w:rsidRPr="0029195A" w:rsidRDefault="00E512AE">
            <w:pPr>
              <w:pStyle w:val="TableText0"/>
              <w:keepNext w:val="0"/>
              <w:widowControl w:val="0"/>
              <w:rPr>
                <w:rFonts w:ascii="Times" w:hAnsi="Times"/>
              </w:rPr>
            </w:pPr>
            <w:r w:rsidRPr="0029195A">
              <w:t>Costs</w:t>
            </w:r>
          </w:p>
        </w:tc>
        <w:tc>
          <w:tcPr>
            <w:tcW w:w="1359" w:type="pct"/>
          </w:tcPr>
          <w:p w14:paraId="001E5253" w14:textId="177AE70D" w:rsidR="00E512AE" w:rsidRPr="0029195A" w:rsidRDefault="00E512AE">
            <w:pPr>
              <w:pStyle w:val="TableText0"/>
              <w:keepNext w:val="0"/>
              <w:widowControl w:val="0"/>
              <w:jc w:val="center"/>
              <w:rPr>
                <w:rFonts w:ascii="Times" w:hAnsi="Times"/>
              </w:rPr>
            </w:pPr>
            <w:r w:rsidRPr="0029195A">
              <w:t>$</w:t>
            </w:r>
            <w:r w:rsidR="00A26F4F" w:rsidRPr="00A26F4F">
              <w:rPr>
                <w:color w:val="000000"/>
                <w:shd w:val="solid" w:color="000000" w:fill="000000"/>
                <w14:textFill>
                  <w14:solidFill>
                    <w14:srgbClr w14:val="000000">
                      <w14:alpha w14:val="100000"/>
                    </w14:srgbClr>
                  </w14:solidFill>
                </w14:textFill>
              </w:rPr>
              <w:t>|</w:t>
            </w:r>
          </w:p>
        </w:tc>
        <w:tc>
          <w:tcPr>
            <w:tcW w:w="1274" w:type="pct"/>
          </w:tcPr>
          <w:p w14:paraId="2648F69F" w14:textId="77777777" w:rsidR="00E512AE" w:rsidRPr="0029195A" w:rsidRDefault="00E512AE">
            <w:pPr>
              <w:pStyle w:val="TableText0"/>
              <w:keepNext w:val="0"/>
              <w:widowControl w:val="0"/>
              <w:jc w:val="center"/>
              <w:rPr>
                <w:rFonts w:ascii="Times" w:hAnsi="Times"/>
              </w:rPr>
            </w:pPr>
            <w:r w:rsidRPr="0029195A">
              <w:t>$2,623</w:t>
            </w:r>
          </w:p>
        </w:tc>
        <w:tc>
          <w:tcPr>
            <w:tcW w:w="838" w:type="pct"/>
          </w:tcPr>
          <w:p w14:paraId="5829FBA4" w14:textId="00E1C95D" w:rsidR="00E512AE" w:rsidRPr="0029195A" w:rsidRDefault="00E512AE">
            <w:pPr>
              <w:pStyle w:val="TableText0"/>
              <w:keepNext w:val="0"/>
              <w:widowControl w:val="0"/>
              <w:jc w:val="center"/>
              <w:rPr>
                <w:rFonts w:ascii="Times" w:hAnsi="Times"/>
              </w:rPr>
            </w:pPr>
            <w:r w:rsidRPr="0029195A">
              <w:t>$</w:t>
            </w:r>
            <w:r w:rsidR="00A26F4F" w:rsidRPr="00A26F4F">
              <w:rPr>
                <w:color w:val="000000"/>
                <w:shd w:val="solid" w:color="000000" w:fill="000000"/>
                <w14:textFill>
                  <w14:solidFill>
                    <w14:srgbClr w14:val="000000">
                      <w14:alpha w14:val="100000"/>
                    </w14:srgbClr>
                  </w14:solidFill>
                </w14:textFill>
              </w:rPr>
              <w:t>|</w:t>
            </w:r>
          </w:p>
        </w:tc>
      </w:tr>
      <w:tr w:rsidR="00E512AE" w:rsidRPr="0029195A" w14:paraId="14CB976D" w14:textId="77777777" w:rsidTr="004C171D">
        <w:tc>
          <w:tcPr>
            <w:tcW w:w="1529" w:type="pct"/>
            <w:vAlign w:val="center"/>
          </w:tcPr>
          <w:p w14:paraId="04E02740" w14:textId="040CD9E1" w:rsidR="00E512AE" w:rsidRPr="0029195A" w:rsidRDefault="00E512AE">
            <w:pPr>
              <w:pStyle w:val="TableText0"/>
              <w:keepNext w:val="0"/>
              <w:widowControl w:val="0"/>
              <w:rPr>
                <w:rFonts w:ascii="Times" w:hAnsi="Times"/>
              </w:rPr>
            </w:pPr>
            <w:r w:rsidRPr="0029195A">
              <w:t xml:space="preserve">Proportion of patients at </w:t>
            </w:r>
            <w:r w:rsidR="004744C5" w:rsidRPr="0029195A">
              <w:t xml:space="preserve">disease </w:t>
            </w:r>
            <w:r w:rsidRPr="0029195A">
              <w:t>remission</w:t>
            </w:r>
          </w:p>
        </w:tc>
        <w:tc>
          <w:tcPr>
            <w:tcW w:w="1359" w:type="pct"/>
            <w:vAlign w:val="center"/>
          </w:tcPr>
          <w:p w14:paraId="264E756E" w14:textId="77777777" w:rsidR="00E512AE" w:rsidRPr="0029195A" w:rsidRDefault="00E512AE">
            <w:pPr>
              <w:pStyle w:val="TableText0"/>
              <w:keepNext w:val="0"/>
              <w:widowControl w:val="0"/>
              <w:jc w:val="center"/>
              <w:rPr>
                <w:rFonts w:ascii="Times" w:hAnsi="Times"/>
              </w:rPr>
            </w:pPr>
            <w:r w:rsidRPr="0029195A">
              <w:t>72.3</w:t>
            </w:r>
          </w:p>
        </w:tc>
        <w:tc>
          <w:tcPr>
            <w:tcW w:w="1274" w:type="pct"/>
            <w:vAlign w:val="center"/>
          </w:tcPr>
          <w:p w14:paraId="2AFBB2C3" w14:textId="77777777" w:rsidR="00E512AE" w:rsidRPr="0029195A" w:rsidRDefault="00E512AE">
            <w:pPr>
              <w:pStyle w:val="TableText0"/>
              <w:keepNext w:val="0"/>
              <w:widowControl w:val="0"/>
              <w:jc w:val="center"/>
              <w:rPr>
                <w:rFonts w:ascii="Times" w:hAnsi="Times"/>
              </w:rPr>
            </w:pPr>
            <w:r w:rsidRPr="0029195A">
              <w:t>70.1</w:t>
            </w:r>
          </w:p>
        </w:tc>
        <w:tc>
          <w:tcPr>
            <w:tcW w:w="838" w:type="pct"/>
            <w:vAlign w:val="center"/>
          </w:tcPr>
          <w:p w14:paraId="1505A65A" w14:textId="54C2B881" w:rsidR="00E512AE" w:rsidRPr="0029195A" w:rsidRDefault="00E512AE">
            <w:pPr>
              <w:pStyle w:val="TableText0"/>
              <w:keepNext w:val="0"/>
              <w:widowControl w:val="0"/>
              <w:jc w:val="center"/>
            </w:pPr>
            <w:r w:rsidRPr="0029195A">
              <w:t>3.4</w:t>
            </w:r>
            <w:r w:rsidR="00B94DEB" w:rsidRPr="0029195A">
              <w:t xml:space="preserve"> (NS)</w:t>
            </w:r>
          </w:p>
        </w:tc>
      </w:tr>
      <w:tr w:rsidR="00E512AE" w:rsidRPr="0029195A" w14:paraId="1E72A6CB" w14:textId="77777777">
        <w:tc>
          <w:tcPr>
            <w:tcW w:w="4162" w:type="pct"/>
            <w:gridSpan w:val="3"/>
            <w:vAlign w:val="center"/>
          </w:tcPr>
          <w:p w14:paraId="617CE412" w14:textId="6F001E27" w:rsidR="00E512AE" w:rsidRPr="0029195A" w:rsidRDefault="00E512AE">
            <w:pPr>
              <w:pStyle w:val="TableText0"/>
              <w:keepNext w:val="0"/>
              <w:widowControl w:val="0"/>
              <w:jc w:val="right"/>
              <w:rPr>
                <w:rFonts w:ascii="Times" w:hAnsi="Times"/>
                <w:b/>
                <w:bCs w:val="0"/>
              </w:rPr>
            </w:pPr>
            <w:r w:rsidRPr="0029195A">
              <w:rPr>
                <w:b/>
                <w:bCs w:val="0"/>
              </w:rPr>
              <w:t>Incremental cost/</w:t>
            </w:r>
            <w:r w:rsidR="00494044" w:rsidRPr="0029195A">
              <w:rPr>
                <w:b/>
                <w:bCs w:val="0"/>
              </w:rPr>
              <w:t xml:space="preserve">extra </w:t>
            </w:r>
            <w:r w:rsidRPr="0029195A">
              <w:rPr>
                <w:b/>
                <w:bCs w:val="0"/>
              </w:rPr>
              <w:t xml:space="preserve">patient at </w:t>
            </w:r>
            <w:r w:rsidR="00494044" w:rsidRPr="0029195A">
              <w:rPr>
                <w:b/>
                <w:bCs w:val="0"/>
              </w:rPr>
              <w:t xml:space="preserve">disease </w:t>
            </w:r>
            <w:r w:rsidRPr="0029195A">
              <w:rPr>
                <w:b/>
                <w:bCs w:val="0"/>
              </w:rPr>
              <w:t>remission</w:t>
            </w:r>
          </w:p>
        </w:tc>
        <w:tc>
          <w:tcPr>
            <w:tcW w:w="838" w:type="pct"/>
            <w:vAlign w:val="center"/>
          </w:tcPr>
          <w:p w14:paraId="0F467E94" w14:textId="3E25D2C1" w:rsidR="00E512AE" w:rsidRPr="0029195A" w:rsidRDefault="00B87253">
            <w:pPr>
              <w:pStyle w:val="TableText0"/>
              <w:keepNext w:val="0"/>
              <w:widowControl w:val="0"/>
              <w:jc w:val="center"/>
              <w:rPr>
                <w:rFonts w:ascii="Times" w:hAnsi="Times"/>
                <w:b/>
                <w:bCs w:val="0"/>
                <w:vertAlign w:val="superscript"/>
              </w:rPr>
            </w:pPr>
            <w:r w:rsidRPr="0029195A">
              <w:rPr>
                <w:b/>
                <w:bCs w:val="0"/>
              </w:rPr>
              <w:t>Not reported</w:t>
            </w:r>
            <w:r w:rsidR="00772454" w:rsidRPr="0029195A">
              <w:rPr>
                <w:b/>
                <w:bCs w:val="0"/>
              </w:rPr>
              <w:t xml:space="preserve"> </w:t>
            </w:r>
            <w:r w:rsidR="00772454" w:rsidRPr="0029195A">
              <w:rPr>
                <w:b/>
                <w:bCs w:val="0"/>
                <w:vertAlign w:val="superscript"/>
              </w:rPr>
              <w:t>a</w:t>
            </w:r>
          </w:p>
        </w:tc>
      </w:tr>
      <w:tr w:rsidR="00E512AE" w:rsidRPr="0029195A" w14:paraId="4AEE2736" w14:textId="77777777">
        <w:trPr>
          <w:trHeight w:val="121"/>
        </w:trPr>
        <w:tc>
          <w:tcPr>
            <w:tcW w:w="5000" w:type="pct"/>
            <w:gridSpan w:val="4"/>
            <w:vAlign w:val="center"/>
          </w:tcPr>
          <w:p w14:paraId="2F7587F9" w14:textId="77777777" w:rsidR="00E512AE" w:rsidRPr="0029195A" w:rsidRDefault="00E512AE">
            <w:pPr>
              <w:pStyle w:val="In-tableHeading"/>
              <w:keepNext w:val="0"/>
              <w:widowControl w:val="0"/>
              <w:rPr>
                <w:lang w:val="en-AU"/>
              </w:rPr>
            </w:pPr>
            <w:r w:rsidRPr="0029195A">
              <w:rPr>
                <w:lang w:val="en-AU"/>
              </w:rPr>
              <w:t>Step 2: Trial-based analysis (52 weeks, drug costs only, no discounting)</w:t>
            </w:r>
          </w:p>
        </w:tc>
      </w:tr>
      <w:tr w:rsidR="00E512AE" w:rsidRPr="0029195A" w14:paraId="0595FA08" w14:textId="77777777">
        <w:tc>
          <w:tcPr>
            <w:tcW w:w="1529" w:type="pct"/>
            <w:vAlign w:val="center"/>
          </w:tcPr>
          <w:p w14:paraId="2D630E99" w14:textId="7892F3D8" w:rsidR="00E512AE" w:rsidRPr="0029195A" w:rsidRDefault="00E512AE">
            <w:pPr>
              <w:pStyle w:val="TableText0"/>
              <w:keepNext w:val="0"/>
              <w:widowControl w:val="0"/>
              <w:rPr>
                <w:rFonts w:ascii="Times" w:hAnsi="Times"/>
              </w:rPr>
            </w:pPr>
            <w:r w:rsidRPr="0029195A">
              <w:t>Costs</w:t>
            </w:r>
          </w:p>
        </w:tc>
        <w:tc>
          <w:tcPr>
            <w:tcW w:w="1359" w:type="pct"/>
          </w:tcPr>
          <w:p w14:paraId="4C33BE1A" w14:textId="4CD7DC7C" w:rsidR="00E512AE" w:rsidRPr="0029195A" w:rsidRDefault="00E512AE">
            <w:pPr>
              <w:pStyle w:val="TableText0"/>
              <w:keepNext w:val="0"/>
              <w:widowControl w:val="0"/>
              <w:jc w:val="center"/>
              <w:rPr>
                <w:rFonts w:ascii="Times" w:hAnsi="Times"/>
              </w:rPr>
            </w:pPr>
            <w:r w:rsidRPr="0029195A">
              <w:t>$</w:t>
            </w:r>
            <w:r w:rsidR="00A26F4F" w:rsidRPr="00A26F4F">
              <w:rPr>
                <w:color w:val="000000"/>
                <w:shd w:val="solid" w:color="000000" w:fill="000000"/>
                <w14:textFill>
                  <w14:solidFill>
                    <w14:srgbClr w14:val="000000">
                      <w14:alpha w14:val="100000"/>
                    </w14:srgbClr>
                  </w14:solidFill>
                </w14:textFill>
              </w:rPr>
              <w:t>|</w:t>
            </w:r>
          </w:p>
        </w:tc>
        <w:tc>
          <w:tcPr>
            <w:tcW w:w="1274" w:type="pct"/>
          </w:tcPr>
          <w:p w14:paraId="7810BFF6" w14:textId="77777777" w:rsidR="00E512AE" w:rsidRPr="0029195A" w:rsidRDefault="00E512AE">
            <w:pPr>
              <w:pStyle w:val="TableText0"/>
              <w:keepNext w:val="0"/>
              <w:widowControl w:val="0"/>
              <w:jc w:val="center"/>
              <w:rPr>
                <w:rFonts w:ascii="Times" w:hAnsi="Times"/>
              </w:rPr>
            </w:pPr>
            <w:r w:rsidRPr="0029195A">
              <w:t>$3,644</w:t>
            </w:r>
          </w:p>
        </w:tc>
        <w:tc>
          <w:tcPr>
            <w:tcW w:w="838" w:type="pct"/>
          </w:tcPr>
          <w:p w14:paraId="35A13C60" w14:textId="01A28625" w:rsidR="00E512AE" w:rsidRPr="0029195A" w:rsidRDefault="00E512AE">
            <w:pPr>
              <w:pStyle w:val="TableText0"/>
              <w:keepNext w:val="0"/>
              <w:widowControl w:val="0"/>
              <w:jc w:val="center"/>
              <w:rPr>
                <w:rFonts w:ascii="Times" w:hAnsi="Times"/>
              </w:rPr>
            </w:pPr>
            <w:r w:rsidRPr="0029195A">
              <w:t>$</w:t>
            </w:r>
            <w:r w:rsidR="00A26F4F" w:rsidRPr="00A26F4F">
              <w:rPr>
                <w:color w:val="000000"/>
                <w:shd w:val="solid" w:color="000000" w:fill="000000"/>
                <w14:textFill>
                  <w14:solidFill>
                    <w14:srgbClr w14:val="000000">
                      <w14:alpha w14:val="100000"/>
                    </w14:srgbClr>
                  </w14:solidFill>
                </w14:textFill>
              </w:rPr>
              <w:t>|</w:t>
            </w:r>
          </w:p>
        </w:tc>
      </w:tr>
      <w:tr w:rsidR="00E512AE" w:rsidRPr="0029195A" w14:paraId="2CBF30C3" w14:textId="77777777">
        <w:tc>
          <w:tcPr>
            <w:tcW w:w="1529" w:type="pct"/>
            <w:vAlign w:val="center"/>
          </w:tcPr>
          <w:p w14:paraId="65A5BF80" w14:textId="77777777" w:rsidR="00E512AE" w:rsidRPr="0029195A" w:rsidRDefault="00E512AE">
            <w:pPr>
              <w:pStyle w:val="TableText0"/>
              <w:keepNext w:val="0"/>
              <w:widowControl w:val="0"/>
              <w:rPr>
                <w:rFonts w:ascii="Times" w:hAnsi="Times"/>
              </w:rPr>
            </w:pPr>
            <w:r w:rsidRPr="0029195A">
              <w:t>Proportion of patients at sustained remission</w:t>
            </w:r>
          </w:p>
        </w:tc>
        <w:tc>
          <w:tcPr>
            <w:tcW w:w="1359" w:type="pct"/>
          </w:tcPr>
          <w:p w14:paraId="22B06CFD" w14:textId="77777777" w:rsidR="00E512AE" w:rsidRPr="0029195A" w:rsidRDefault="00E512AE">
            <w:pPr>
              <w:pStyle w:val="TableText0"/>
              <w:keepNext w:val="0"/>
              <w:widowControl w:val="0"/>
              <w:jc w:val="center"/>
              <w:rPr>
                <w:rFonts w:ascii="Times" w:hAnsi="Times"/>
              </w:rPr>
            </w:pPr>
            <w:r w:rsidRPr="0029195A">
              <w:t>65.7</w:t>
            </w:r>
          </w:p>
        </w:tc>
        <w:tc>
          <w:tcPr>
            <w:tcW w:w="1274" w:type="pct"/>
          </w:tcPr>
          <w:p w14:paraId="6551F76E" w14:textId="77777777" w:rsidR="00E512AE" w:rsidRPr="0029195A" w:rsidRDefault="00E512AE">
            <w:pPr>
              <w:pStyle w:val="TableText0"/>
              <w:keepNext w:val="0"/>
              <w:widowControl w:val="0"/>
              <w:jc w:val="center"/>
              <w:rPr>
                <w:rFonts w:ascii="Times" w:hAnsi="Times"/>
              </w:rPr>
            </w:pPr>
            <w:r w:rsidRPr="0029195A">
              <w:t>54.9</w:t>
            </w:r>
          </w:p>
        </w:tc>
        <w:tc>
          <w:tcPr>
            <w:tcW w:w="838" w:type="pct"/>
            <w:vAlign w:val="center"/>
          </w:tcPr>
          <w:p w14:paraId="148E28C8" w14:textId="4D2D0A60" w:rsidR="00E512AE" w:rsidRPr="0029195A" w:rsidRDefault="00E512AE">
            <w:pPr>
              <w:pStyle w:val="TableText0"/>
              <w:keepNext w:val="0"/>
              <w:widowControl w:val="0"/>
              <w:jc w:val="center"/>
            </w:pPr>
            <w:r w:rsidRPr="0029195A">
              <w:t>12.5</w:t>
            </w:r>
          </w:p>
        </w:tc>
      </w:tr>
      <w:tr w:rsidR="00E512AE" w:rsidRPr="0029195A" w14:paraId="123FB725" w14:textId="77777777">
        <w:tc>
          <w:tcPr>
            <w:tcW w:w="4162" w:type="pct"/>
            <w:gridSpan w:val="3"/>
            <w:vAlign w:val="center"/>
          </w:tcPr>
          <w:p w14:paraId="3DBE73D8" w14:textId="396C6B24" w:rsidR="00E512AE" w:rsidRPr="0029195A" w:rsidRDefault="00E512AE">
            <w:pPr>
              <w:pStyle w:val="TableText0"/>
              <w:keepNext w:val="0"/>
              <w:widowControl w:val="0"/>
              <w:jc w:val="right"/>
              <w:rPr>
                <w:rFonts w:ascii="Times" w:hAnsi="Times"/>
              </w:rPr>
            </w:pPr>
            <w:r w:rsidRPr="0029195A">
              <w:rPr>
                <w:b/>
                <w:bCs w:val="0"/>
              </w:rPr>
              <w:t>Incremental cost/</w:t>
            </w:r>
            <w:r w:rsidR="00494044" w:rsidRPr="0029195A">
              <w:rPr>
                <w:b/>
                <w:bCs w:val="0"/>
              </w:rPr>
              <w:t xml:space="preserve">extra </w:t>
            </w:r>
            <w:r w:rsidRPr="0029195A">
              <w:rPr>
                <w:b/>
                <w:bCs w:val="0"/>
              </w:rPr>
              <w:t xml:space="preserve">patient at </w:t>
            </w:r>
            <w:r w:rsidR="00494044" w:rsidRPr="0029195A">
              <w:rPr>
                <w:b/>
                <w:bCs w:val="0"/>
              </w:rPr>
              <w:t xml:space="preserve">sustained </w:t>
            </w:r>
            <w:r w:rsidRPr="0029195A">
              <w:rPr>
                <w:b/>
                <w:bCs w:val="0"/>
              </w:rPr>
              <w:t>remission</w:t>
            </w:r>
          </w:p>
        </w:tc>
        <w:tc>
          <w:tcPr>
            <w:tcW w:w="838" w:type="pct"/>
            <w:vAlign w:val="center"/>
          </w:tcPr>
          <w:p w14:paraId="4E6EF87D" w14:textId="40AD5C72" w:rsidR="00E512AE" w:rsidRPr="007543BF" w:rsidRDefault="00E512AE">
            <w:pPr>
              <w:pStyle w:val="TableText0"/>
              <w:keepNext w:val="0"/>
              <w:widowControl w:val="0"/>
              <w:jc w:val="center"/>
              <w:rPr>
                <w:rFonts w:ascii="Times" w:hAnsi="Times"/>
                <w:b/>
                <w:bCs w:val="0"/>
                <w:vertAlign w:val="superscript"/>
              </w:rPr>
            </w:pPr>
            <w:r w:rsidRPr="0029195A">
              <w:rPr>
                <w:b/>
                <w:bCs w:val="0"/>
              </w:rPr>
              <w:t>$</w:t>
            </w:r>
            <w:r w:rsidR="00A26F4F" w:rsidRPr="00A26F4F">
              <w:rPr>
                <w:b/>
                <w:bCs w:val="0"/>
                <w:color w:val="000000"/>
                <w:shd w:val="solid" w:color="000000" w:fill="000000"/>
                <w14:textFill>
                  <w14:solidFill>
                    <w14:srgbClr w14:val="000000">
                      <w14:alpha w14:val="100000"/>
                    </w14:srgbClr>
                  </w14:solidFill>
                </w14:textFill>
              </w:rPr>
              <w:t>|</w:t>
            </w:r>
            <w:r w:rsidR="007543BF" w:rsidRPr="007543BF">
              <w:rPr>
                <w:vertAlign w:val="superscript"/>
              </w:rPr>
              <w:t>1</w:t>
            </w:r>
          </w:p>
        </w:tc>
      </w:tr>
      <w:tr w:rsidR="00E512AE" w:rsidRPr="0029195A" w14:paraId="0BCA6DB2" w14:textId="77777777">
        <w:tc>
          <w:tcPr>
            <w:tcW w:w="5000" w:type="pct"/>
            <w:gridSpan w:val="4"/>
            <w:vAlign w:val="center"/>
          </w:tcPr>
          <w:p w14:paraId="3161B0DA" w14:textId="77777777" w:rsidR="00E512AE" w:rsidRPr="0029195A" w:rsidRDefault="00E512AE">
            <w:pPr>
              <w:pStyle w:val="TableText0"/>
              <w:keepNext w:val="0"/>
              <w:widowControl w:val="0"/>
              <w:rPr>
                <w:b/>
                <w:bCs w:val="0"/>
              </w:rPr>
            </w:pPr>
            <w:r w:rsidRPr="0029195A">
              <w:rPr>
                <w:b/>
                <w:bCs w:val="0"/>
              </w:rPr>
              <w:t>Step 1a: Model-based analysis (26 weeks, drug costs only, no discounting)</w:t>
            </w:r>
          </w:p>
        </w:tc>
      </w:tr>
      <w:tr w:rsidR="00E512AE" w:rsidRPr="0029195A" w14:paraId="01FBB766" w14:textId="77777777">
        <w:tc>
          <w:tcPr>
            <w:tcW w:w="1529" w:type="pct"/>
            <w:vAlign w:val="center"/>
          </w:tcPr>
          <w:p w14:paraId="6FDEF89D" w14:textId="77777777" w:rsidR="00E512AE" w:rsidRPr="0029195A" w:rsidRDefault="00E512AE">
            <w:pPr>
              <w:pStyle w:val="TableText0"/>
              <w:keepNext w:val="0"/>
              <w:widowControl w:val="0"/>
              <w:rPr>
                <w:rFonts w:ascii="Times" w:hAnsi="Times"/>
              </w:rPr>
            </w:pPr>
            <w:r w:rsidRPr="0029195A">
              <w:t>Costs</w:t>
            </w:r>
          </w:p>
        </w:tc>
        <w:tc>
          <w:tcPr>
            <w:tcW w:w="1359" w:type="pct"/>
          </w:tcPr>
          <w:p w14:paraId="57F48CA7" w14:textId="653155AF" w:rsidR="00E512AE" w:rsidRPr="0029195A" w:rsidRDefault="00E512AE">
            <w:pPr>
              <w:pStyle w:val="TableText0"/>
              <w:keepNext w:val="0"/>
              <w:widowControl w:val="0"/>
              <w:jc w:val="center"/>
              <w:rPr>
                <w:rFonts w:ascii="Times" w:hAnsi="Times"/>
              </w:rPr>
            </w:pPr>
            <w:r w:rsidRPr="0029195A">
              <w:t>$</w:t>
            </w:r>
            <w:r w:rsidR="00A26F4F" w:rsidRPr="00A26F4F">
              <w:rPr>
                <w:color w:val="000000"/>
                <w:shd w:val="solid" w:color="000000" w:fill="000000"/>
                <w14:textFill>
                  <w14:solidFill>
                    <w14:srgbClr w14:val="000000">
                      <w14:alpha w14:val="100000"/>
                    </w14:srgbClr>
                  </w14:solidFill>
                </w14:textFill>
              </w:rPr>
              <w:t>|</w:t>
            </w:r>
          </w:p>
        </w:tc>
        <w:tc>
          <w:tcPr>
            <w:tcW w:w="1274" w:type="pct"/>
          </w:tcPr>
          <w:p w14:paraId="5BC4D8FA" w14:textId="77777777" w:rsidR="00E512AE" w:rsidRPr="0029195A" w:rsidRDefault="00E512AE">
            <w:pPr>
              <w:pStyle w:val="TableText0"/>
              <w:keepNext w:val="0"/>
              <w:widowControl w:val="0"/>
              <w:jc w:val="center"/>
              <w:rPr>
                <w:rFonts w:ascii="Times" w:hAnsi="Times"/>
              </w:rPr>
            </w:pPr>
            <w:r w:rsidRPr="0029195A">
              <w:t>$2,623</w:t>
            </w:r>
          </w:p>
        </w:tc>
        <w:tc>
          <w:tcPr>
            <w:tcW w:w="838" w:type="pct"/>
          </w:tcPr>
          <w:p w14:paraId="29C4E7C2" w14:textId="5816E378" w:rsidR="00E512AE" w:rsidRPr="0029195A" w:rsidRDefault="00E512AE">
            <w:pPr>
              <w:pStyle w:val="TableText0"/>
              <w:keepNext w:val="0"/>
              <w:widowControl w:val="0"/>
              <w:jc w:val="center"/>
              <w:rPr>
                <w:rFonts w:ascii="Times" w:hAnsi="Times"/>
              </w:rPr>
            </w:pPr>
            <w:r w:rsidRPr="0029195A">
              <w:t>$</w:t>
            </w:r>
            <w:r w:rsidR="00A26F4F" w:rsidRPr="00A26F4F">
              <w:rPr>
                <w:color w:val="000000"/>
                <w:shd w:val="solid" w:color="000000" w:fill="000000"/>
                <w14:textFill>
                  <w14:solidFill>
                    <w14:srgbClr w14:val="000000">
                      <w14:alpha w14:val="100000"/>
                    </w14:srgbClr>
                  </w14:solidFill>
                </w14:textFill>
              </w:rPr>
              <w:t>|</w:t>
            </w:r>
          </w:p>
        </w:tc>
      </w:tr>
      <w:tr w:rsidR="00E512AE" w:rsidRPr="0029195A" w14:paraId="53F56D48" w14:textId="77777777">
        <w:tc>
          <w:tcPr>
            <w:tcW w:w="1529" w:type="pct"/>
            <w:vAlign w:val="center"/>
          </w:tcPr>
          <w:p w14:paraId="30B78731" w14:textId="77777777" w:rsidR="00E512AE" w:rsidRPr="0029195A" w:rsidRDefault="00E512AE">
            <w:pPr>
              <w:pStyle w:val="TableText0"/>
              <w:keepNext w:val="0"/>
              <w:widowControl w:val="0"/>
              <w:rPr>
                <w:rFonts w:ascii="Times" w:hAnsi="Times"/>
              </w:rPr>
            </w:pPr>
            <w:r w:rsidRPr="0029195A">
              <w:t>QALYs</w:t>
            </w:r>
          </w:p>
        </w:tc>
        <w:tc>
          <w:tcPr>
            <w:tcW w:w="1359" w:type="pct"/>
          </w:tcPr>
          <w:p w14:paraId="0BCA330E" w14:textId="77777777" w:rsidR="00E512AE" w:rsidRPr="0029195A" w:rsidRDefault="00E512AE">
            <w:pPr>
              <w:pStyle w:val="TableText0"/>
              <w:keepNext w:val="0"/>
              <w:widowControl w:val="0"/>
              <w:jc w:val="center"/>
              <w:rPr>
                <w:rFonts w:ascii="Times" w:hAnsi="Times"/>
              </w:rPr>
            </w:pPr>
            <w:r w:rsidRPr="0029195A">
              <w:t>0.30</w:t>
            </w:r>
          </w:p>
        </w:tc>
        <w:tc>
          <w:tcPr>
            <w:tcW w:w="1274" w:type="pct"/>
          </w:tcPr>
          <w:p w14:paraId="671558CE" w14:textId="77777777" w:rsidR="00E512AE" w:rsidRPr="0029195A" w:rsidRDefault="00E512AE">
            <w:pPr>
              <w:pStyle w:val="TableText0"/>
              <w:keepNext w:val="0"/>
              <w:widowControl w:val="0"/>
              <w:jc w:val="center"/>
              <w:rPr>
                <w:rFonts w:ascii="Times" w:hAnsi="Times"/>
              </w:rPr>
            </w:pPr>
            <w:r w:rsidRPr="0029195A">
              <w:t>0.29</w:t>
            </w:r>
          </w:p>
        </w:tc>
        <w:tc>
          <w:tcPr>
            <w:tcW w:w="838" w:type="pct"/>
          </w:tcPr>
          <w:p w14:paraId="38FCC3EF" w14:textId="77777777" w:rsidR="00E512AE" w:rsidRPr="0029195A" w:rsidRDefault="00E512AE">
            <w:pPr>
              <w:pStyle w:val="TableText0"/>
              <w:keepNext w:val="0"/>
              <w:widowControl w:val="0"/>
              <w:jc w:val="center"/>
            </w:pPr>
            <w:r w:rsidRPr="0029195A">
              <w:t>0.01</w:t>
            </w:r>
          </w:p>
        </w:tc>
      </w:tr>
      <w:tr w:rsidR="00E512AE" w:rsidRPr="0029195A" w14:paraId="1D4E5CC5" w14:textId="77777777">
        <w:tc>
          <w:tcPr>
            <w:tcW w:w="4162" w:type="pct"/>
            <w:gridSpan w:val="3"/>
            <w:vAlign w:val="center"/>
          </w:tcPr>
          <w:p w14:paraId="096E4B9C" w14:textId="77777777" w:rsidR="00E512AE" w:rsidRPr="0029195A" w:rsidRDefault="00E512AE">
            <w:pPr>
              <w:pStyle w:val="TableText0"/>
              <w:keepNext w:val="0"/>
              <w:widowControl w:val="0"/>
              <w:jc w:val="right"/>
              <w:rPr>
                <w:rFonts w:ascii="Times" w:hAnsi="Times"/>
                <w:b/>
                <w:bCs w:val="0"/>
              </w:rPr>
            </w:pPr>
            <w:r w:rsidRPr="0029195A">
              <w:rPr>
                <w:b/>
                <w:bCs w:val="0"/>
              </w:rPr>
              <w:t>Incremental cost/QALY gained</w:t>
            </w:r>
          </w:p>
        </w:tc>
        <w:tc>
          <w:tcPr>
            <w:tcW w:w="838" w:type="pct"/>
            <w:vAlign w:val="center"/>
          </w:tcPr>
          <w:p w14:paraId="67575B17" w14:textId="5D3A303E" w:rsidR="00E512AE" w:rsidRPr="007543BF" w:rsidRDefault="00E512AE">
            <w:pPr>
              <w:pStyle w:val="TableText0"/>
              <w:jc w:val="center"/>
              <w:rPr>
                <w:b/>
                <w:bCs w:val="0"/>
                <w:vertAlign w:val="superscript"/>
              </w:rPr>
            </w:pPr>
            <w:r w:rsidRPr="0029195A">
              <w:rPr>
                <w:b/>
                <w:bCs w:val="0"/>
              </w:rPr>
              <w:t>$</w:t>
            </w:r>
            <w:r w:rsidR="00A26F4F" w:rsidRPr="00A26F4F">
              <w:rPr>
                <w:b/>
                <w:bCs w:val="0"/>
                <w:color w:val="000000"/>
                <w:shd w:val="solid" w:color="000000" w:fill="000000"/>
                <w14:textFill>
                  <w14:solidFill>
                    <w14:srgbClr w14:val="000000">
                      <w14:alpha w14:val="100000"/>
                    </w14:srgbClr>
                  </w14:solidFill>
                </w14:textFill>
              </w:rPr>
              <w:t>|</w:t>
            </w:r>
            <w:r w:rsidR="007543BF" w:rsidRPr="007543BF">
              <w:rPr>
                <w:vertAlign w:val="superscript"/>
              </w:rPr>
              <w:t>2</w:t>
            </w:r>
          </w:p>
        </w:tc>
      </w:tr>
      <w:tr w:rsidR="00E512AE" w:rsidRPr="0029195A" w14:paraId="41C2C0D6" w14:textId="77777777">
        <w:trPr>
          <w:trHeight w:val="121"/>
        </w:trPr>
        <w:tc>
          <w:tcPr>
            <w:tcW w:w="5000" w:type="pct"/>
            <w:gridSpan w:val="4"/>
            <w:vAlign w:val="center"/>
          </w:tcPr>
          <w:p w14:paraId="6249BC1E" w14:textId="77777777" w:rsidR="00E512AE" w:rsidRPr="0029195A" w:rsidRDefault="00E512AE">
            <w:pPr>
              <w:pStyle w:val="In-tableHeading"/>
              <w:keepNext w:val="0"/>
              <w:widowControl w:val="0"/>
              <w:rPr>
                <w:lang w:val="en-AU"/>
              </w:rPr>
            </w:pPr>
            <w:r w:rsidRPr="0029195A">
              <w:rPr>
                <w:lang w:val="en-AU"/>
              </w:rPr>
              <w:t>Step 2a: Model-based analysis (52 weeks, drug costs only, no discounting)</w:t>
            </w:r>
          </w:p>
        </w:tc>
      </w:tr>
      <w:tr w:rsidR="00E512AE" w:rsidRPr="0029195A" w14:paraId="32CB45E5" w14:textId="77777777">
        <w:tc>
          <w:tcPr>
            <w:tcW w:w="1529" w:type="pct"/>
            <w:vAlign w:val="center"/>
          </w:tcPr>
          <w:p w14:paraId="676CA7D5" w14:textId="77777777" w:rsidR="00E512AE" w:rsidRPr="0029195A" w:rsidRDefault="00E512AE">
            <w:pPr>
              <w:pStyle w:val="TableText0"/>
              <w:keepNext w:val="0"/>
              <w:widowControl w:val="0"/>
              <w:rPr>
                <w:rFonts w:ascii="Times" w:hAnsi="Times"/>
              </w:rPr>
            </w:pPr>
            <w:r w:rsidRPr="0029195A">
              <w:t>Costs</w:t>
            </w:r>
          </w:p>
        </w:tc>
        <w:tc>
          <w:tcPr>
            <w:tcW w:w="1359" w:type="pct"/>
          </w:tcPr>
          <w:p w14:paraId="4E6F8B44" w14:textId="226A62A8" w:rsidR="00E512AE" w:rsidRPr="0029195A" w:rsidRDefault="00E512AE">
            <w:pPr>
              <w:pStyle w:val="TableText0"/>
              <w:keepNext w:val="0"/>
              <w:widowControl w:val="0"/>
              <w:jc w:val="center"/>
              <w:rPr>
                <w:rFonts w:ascii="Times" w:hAnsi="Times"/>
              </w:rPr>
            </w:pPr>
            <w:r w:rsidRPr="0029195A">
              <w:t>$</w:t>
            </w:r>
            <w:r w:rsidR="00A26F4F" w:rsidRPr="00A26F4F">
              <w:rPr>
                <w:color w:val="000000"/>
                <w:shd w:val="solid" w:color="000000" w:fill="000000"/>
                <w14:textFill>
                  <w14:solidFill>
                    <w14:srgbClr w14:val="000000">
                      <w14:alpha w14:val="100000"/>
                    </w14:srgbClr>
                  </w14:solidFill>
                </w14:textFill>
              </w:rPr>
              <w:t>|</w:t>
            </w:r>
          </w:p>
        </w:tc>
        <w:tc>
          <w:tcPr>
            <w:tcW w:w="1274" w:type="pct"/>
          </w:tcPr>
          <w:p w14:paraId="283E9755" w14:textId="77777777" w:rsidR="00E512AE" w:rsidRPr="0029195A" w:rsidRDefault="00E512AE">
            <w:pPr>
              <w:pStyle w:val="TableText0"/>
              <w:keepNext w:val="0"/>
              <w:widowControl w:val="0"/>
              <w:jc w:val="center"/>
              <w:rPr>
                <w:rFonts w:ascii="Times" w:hAnsi="Times"/>
              </w:rPr>
            </w:pPr>
            <w:r w:rsidRPr="0029195A">
              <w:t>$3,644</w:t>
            </w:r>
          </w:p>
        </w:tc>
        <w:tc>
          <w:tcPr>
            <w:tcW w:w="838" w:type="pct"/>
          </w:tcPr>
          <w:p w14:paraId="04405360" w14:textId="0F3ED358" w:rsidR="00E512AE" w:rsidRPr="0029195A" w:rsidRDefault="00E512AE">
            <w:pPr>
              <w:pStyle w:val="TableText0"/>
              <w:keepNext w:val="0"/>
              <w:widowControl w:val="0"/>
              <w:jc w:val="center"/>
              <w:rPr>
                <w:rFonts w:ascii="Times" w:hAnsi="Times"/>
              </w:rPr>
            </w:pPr>
            <w:r w:rsidRPr="0029195A">
              <w:t>$</w:t>
            </w:r>
            <w:r w:rsidR="00A26F4F" w:rsidRPr="00A26F4F">
              <w:rPr>
                <w:color w:val="000000"/>
                <w:shd w:val="solid" w:color="000000" w:fill="000000"/>
                <w14:textFill>
                  <w14:solidFill>
                    <w14:srgbClr w14:val="000000">
                      <w14:alpha w14:val="100000"/>
                    </w14:srgbClr>
                  </w14:solidFill>
                </w14:textFill>
              </w:rPr>
              <w:t>|</w:t>
            </w:r>
          </w:p>
        </w:tc>
      </w:tr>
      <w:tr w:rsidR="00E512AE" w:rsidRPr="0029195A" w14:paraId="6F47A4A8" w14:textId="77777777">
        <w:tc>
          <w:tcPr>
            <w:tcW w:w="1529" w:type="pct"/>
            <w:vAlign w:val="center"/>
          </w:tcPr>
          <w:p w14:paraId="3B4528A0" w14:textId="77777777" w:rsidR="00E512AE" w:rsidRPr="0029195A" w:rsidRDefault="00E512AE">
            <w:pPr>
              <w:pStyle w:val="TableText0"/>
              <w:keepNext w:val="0"/>
              <w:widowControl w:val="0"/>
              <w:rPr>
                <w:rFonts w:ascii="Times" w:hAnsi="Times"/>
              </w:rPr>
            </w:pPr>
            <w:r w:rsidRPr="0029195A">
              <w:t>QALY</w:t>
            </w:r>
          </w:p>
        </w:tc>
        <w:tc>
          <w:tcPr>
            <w:tcW w:w="1359" w:type="pct"/>
          </w:tcPr>
          <w:p w14:paraId="67345212" w14:textId="77777777" w:rsidR="00E512AE" w:rsidRPr="0029195A" w:rsidRDefault="00E512AE">
            <w:pPr>
              <w:pStyle w:val="TableText0"/>
              <w:keepNext w:val="0"/>
              <w:widowControl w:val="0"/>
              <w:jc w:val="center"/>
              <w:rPr>
                <w:rFonts w:ascii="Times" w:hAnsi="Times"/>
              </w:rPr>
            </w:pPr>
            <w:r w:rsidRPr="0029195A">
              <w:t>0.62</w:t>
            </w:r>
          </w:p>
        </w:tc>
        <w:tc>
          <w:tcPr>
            <w:tcW w:w="1274" w:type="pct"/>
          </w:tcPr>
          <w:p w14:paraId="5D3D7579" w14:textId="77777777" w:rsidR="00E512AE" w:rsidRPr="0029195A" w:rsidRDefault="00E512AE">
            <w:pPr>
              <w:pStyle w:val="TableText0"/>
              <w:keepNext w:val="0"/>
              <w:widowControl w:val="0"/>
              <w:jc w:val="center"/>
              <w:rPr>
                <w:rFonts w:ascii="Times" w:hAnsi="Times"/>
              </w:rPr>
            </w:pPr>
            <w:r w:rsidRPr="0029195A">
              <w:t>0.60</w:t>
            </w:r>
          </w:p>
        </w:tc>
        <w:tc>
          <w:tcPr>
            <w:tcW w:w="838" w:type="pct"/>
          </w:tcPr>
          <w:p w14:paraId="19D0833E" w14:textId="77777777" w:rsidR="00E512AE" w:rsidRPr="0029195A" w:rsidRDefault="00E512AE">
            <w:pPr>
              <w:pStyle w:val="TableText0"/>
              <w:keepNext w:val="0"/>
              <w:widowControl w:val="0"/>
              <w:jc w:val="center"/>
            </w:pPr>
            <w:r w:rsidRPr="0029195A">
              <w:t>0.02</w:t>
            </w:r>
          </w:p>
        </w:tc>
      </w:tr>
      <w:tr w:rsidR="00E512AE" w:rsidRPr="0029195A" w14:paraId="6F4B7ED9" w14:textId="77777777">
        <w:tc>
          <w:tcPr>
            <w:tcW w:w="4162" w:type="pct"/>
            <w:gridSpan w:val="3"/>
            <w:vAlign w:val="center"/>
          </w:tcPr>
          <w:p w14:paraId="2A84B7A5" w14:textId="77777777" w:rsidR="00E512AE" w:rsidRPr="0029195A" w:rsidRDefault="00E512AE">
            <w:pPr>
              <w:pStyle w:val="TableText0"/>
              <w:keepNext w:val="0"/>
              <w:widowControl w:val="0"/>
              <w:jc w:val="right"/>
              <w:rPr>
                <w:rFonts w:ascii="Times" w:hAnsi="Times"/>
              </w:rPr>
            </w:pPr>
            <w:r w:rsidRPr="0029195A">
              <w:rPr>
                <w:b/>
                <w:bCs w:val="0"/>
              </w:rPr>
              <w:t>Incremental cost/QALY gained</w:t>
            </w:r>
          </w:p>
        </w:tc>
        <w:tc>
          <w:tcPr>
            <w:tcW w:w="838" w:type="pct"/>
            <w:vAlign w:val="center"/>
          </w:tcPr>
          <w:p w14:paraId="4085FD19" w14:textId="5EDBA6C0" w:rsidR="00E512AE" w:rsidRPr="0029195A" w:rsidRDefault="00E512AE">
            <w:pPr>
              <w:pStyle w:val="TableText0"/>
              <w:keepNext w:val="0"/>
              <w:widowControl w:val="0"/>
              <w:jc w:val="center"/>
              <w:rPr>
                <w:rFonts w:ascii="Times" w:hAnsi="Times"/>
                <w:b/>
                <w:bCs w:val="0"/>
              </w:rPr>
            </w:pPr>
            <w:r w:rsidRPr="0029195A">
              <w:rPr>
                <w:b/>
                <w:bCs w:val="0"/>
              </w:rPr>
              <w:t>$</w:t>
            </w:r>
            <w:r w:rsidR="00A26F4F" w:rsidRPr="00A26F4F">
              <w:rPr>
                <w:b/>
                <w:bCs w:val="0"/>
                <w:color w:val="000000"/>
                <w:shd w:val="solid" w:color="000000" w:fill="000000"/>
                <w14:textFill>
                  <w14:solidFill>
                    <w14:srgbClr w14:val="000000">
                      <w14:alpha w14:val="100000"/>
                    </w14:srgbClr>
                  </w14:solidFill>
                </w14:textFill>
              </w:rPr>
              <w:t>|</w:t>
            </w:r>
            <w:r w:rsidR="007543BF" w:rsidRPr="007543BF">
              <w:rPr>
                <w:vertAlign w:val="superscript"/>
              </w:rPr>
              <w:t>2</w:t>
            </w:r>
          </w:p>
        </w:tc>
      </w:tr>
      <w:tr w:rsidR="00E512AE" w:rsidRPr="0029195A" w14:paraId="58D5D5BA" w14:textId="77777777">
        <w:tc>
          <w:tcPr>
            <w:tcW w:w="5000" w:type="pct"/>
            <w:gridSpan w:val="4"/>
            <w:vAlign w:val="center"/>
          </w:tcPr>
          <w:p w14:paraId="3E4E31B6" w14:textId="77777777" w:rsidR="00E512AE" w:rsidRPr="0029195A" w:rsidRDefault="00E512AE">
            <w:pPr>
              <w:pStyle w:val="In-tableHeading"/>
              <w:keepNext w:val="0"/>
              <w:widowControl w:val="0"/>
              <w:rPr>
                <w:lang w:val="en-AU"/>
              </w:rPr>
            </w:pPr>
            <w:r w:rsidRPr="0029195A">
              <w:rPr>
                <w:lang w:val="en-AU"/>
              </w:rPr>
              <w:t xml:space="preserve">Step 3a: Model-based analysis (5 years, drug costs only, duration of therapy 12 months, no avacopan reinductions, no treatment effect after 52 weeks) </w:t>
            </w:r>
          </w:p>
        </w:tc>
      </w:tr>
      <w:tr w:rsidR="00E512AE" w:rsidRPr="0029195A" w14:paraId="4D1D3AE6" w14:textId="77777777">
        <w:tc>
          <w:tcPr>
            <w:tcW w:w="1529" w:type="pct"/>
            <w:vAlign w:val="center"/>
          </w:tcPr>
          <w:p w14:paraId="1E752CC5" w14:textId="77777777" w:rsidR="00E512AE" w:rsidRPr="0029195A" w:rsidRDefault="00E512AE">
            <w:pPr>
              <w:pStyle w:val="TableText0"/>
              <w:keepNext w:val="0"/>
              <w:widowControl w:val="0"/>
              <w:rPr>
                <w:rFonts w:ascii="Times" w:hAnsi="Times"/>
              </w:rPr>
            </w:pPr>
            <w:r w:rsidRPr="0029195A">
              <w:t>Costs</w:t>
            </w:r>
          </w:p>
        </w:tc>
        <w:tc>
          <w:tcPr>
            <w:tcW w:w="1359" w:type="pct"/>
          </w:tcPr>
          <w:p w14:paraId="10434023" w14:textId="2576B5B1" w:rsidR="00E512AE" w:rsidRPr="0029195A" w:rsidRDefault="00E512AE">
            <w:pPr>
              <w:pStyle w:val="TableText0"/>
              <w:keepNext w:val="0"/>
              <w:widowControl w:val="0"/>
              <w:jc w:val="center"/>
              <w:rPr>
                <w:rFonts w:ascii="Times" w:hAnsi="Times"/>
              </w:rPr>
            </w:pPr>
            <w:r w:rsidRPr="0029195A">
              <w:t>$</w:t>
            </w:r>
            <w:r w:rsidR="00A26F4F" w:rsidRPr="00A26F4F">
              <w:rPr>
                <w:color w:val="000000"/>
                <w:shd w:val="solid" w:color="000000" w:fill="000000"/>
                <w14:textFill>
                  <w14:solidFill>
                    <w14:srgbClr w14:val="000000">
                      <w14:alpha w14:val="100000"/>
                    </w14:srgbClr>
                  </w14:solidFill>
                </w14:textFill>
              </w:rPr>
              <w:t>|</w:t>
            </w:r>
          </w:p>
        </w:tc>
        <w:tc>
          <w:tcPr>
            <w:tcW w:w="1274" w:type="pct"/>
          </w:tcPr>
          <w:p w14:paraId="7F002586" w14:textId="77777777" w:rsidR="00E512AE" w:rsidRPr="0029195A" w:rsidRDefault="00E512AE">
            <w:pPr>
              <w:pStyle w:val="TableText0"/>
              <w:keepNext w:val="0"/>
              <w:widowControl w:val="0"/>
              <w:jc w:val="center"/>
              <w:rPr>
                <w:rFonts w:ascii="Times" w:hAnsi="Times"/>
              </w:rPr>
            </w:pPr>
            <w:r w:rsidRPr="0029195A">
              <w:t>$3,887</w:t>
            </w:r>
          </w:p>
        </w:tc>
        <w:tc>
          <w:tcPr>
            <w:tcW w:w="838" w:type="pct"/>
            <w:vAlign w:val="center"/>
          </w:tcPr>
          <w:p w14:paraId="43AC8954" w14:textId="392BF479" w:rsidR="00E512AE" w:rsidRPr="0029195A" w:rsidRDefault="00E512AE">
            <w:pPr>
              <w:pStyle w:val="TableText0"/>
              <w:keepNext w:val="0"/>
              <w:widowControl w:val="0"/>
              <w:jc w:val="center"/>
              <w:rPr>
                <w:rFonts w:ascii="Times" w:hAnsi="Times"/>
              </w:rPr>
            </w:pPr>
            <w:r w:rsidRPr="0029195A">
              <w:t>$</w:t>
            </w:r>
            <w:r w:rsidR="00A26F4F" w:rsidRPr="00A26F4F">
              <w:rPr>
                <w:color w:val="000000"/>
                <w:shd w:val="solid" w:color="000000" w:fill="000000"/>
                <w14:textFill>
                  <w14:solidFill>
                    <w14:srgbClr w14:val="000000">
                      <w14:alpha w14:val="100000"/>
                    </w14:srgbClr>
                  </w14:solidFill>
                </w14:textFill>
              </w:rPr>
              <w:t>|</w:t>
            </w:r>
          </w:p>
        </w:tc>
      </w:tr>
      <w:tr w:rsidR="00E512AE" w:rsidRPr="0029195A" w14:paraId="6F44EF37" w14:textId="77777777">
        <w:tc>
          <w:tcPr>
            <w:tcW w:w="1529" w:type="pct"/>
            <w:vAlign w:val="center"/>
          </w:tcPr>
          <w:p w14:paraId="75696C28" w14:textId="77777777" w:rsidR="00E512AE" w:rsidRPr="0029195A" w:rsidRDefault="00E512AE">
            <w:pPr>
              <w:pStyle w:val="TableText0"/>
              <w:keepNext w:val="0"/>
              <w:widowControl w:val="0"/>
              <w:rPr>
                <w:rFonts w:ascii="Times" w:hAnsi="Times"/>
              </w:rPr>
            </w:pPr>
            <w:r w:rsidRPr="0029195A">
              <w:t>QALY</w:t>
            </w:r>
          </w:p>
        </w:tc>
        <w:tc>
          <w:tcPr>
            <w:tcW w:w="1359" w:type="pct"/>
          </w:tcPr>
          <w:p w14:paraId="68673C3B" w14:textId="77777777" w:rsidR="00E512AE" w:rsidRPr="0029195A" w:rsidRDefault="00E512AE">
            <w:pPr>
              <w:pStyle w:val="TableText0"/>
              <w:keepNext w:val="0"/>
              <w:widowControl w:val="0"/>
              <w:jc w:val="center"/>
              <w:rPr>
                <w:rFonts w:ascii="Times" w:hAnsi="Times"/>
              </w:rPr>
            </w:pPr>
            <w:r w:rsidRPr="0029195A">
              <w:t>2.56</w:t>
            </w:r>
          </w:p>
        </w:tc>
        <w:tc>
          <w:tcPr>
            <w:tcW w:w="1274" w:type="pct"/>
          </w:tcPr>
          <w:p w14:paraId="5B7E8D75" w14:textId="77777777" w:rsidR="00E512AE" w:rsidRPr="0029195A" w:rsidRDefault="00E512AE">
            <w:pPr>
              <w:pStyle w:val="TableText0"/>
              <w:keepNext w:val="0"/>
              <w:widowControl w:val="0"/>
              <w:jc w:val="center"/>
              <w:rPr>
                <w:rFonts w:ascii="Times" w:hAnsi="Times"/>
              </w:rPr>
            </w:pPr>
            <w:r w:rsidRPr="0029195A">
              <w:t>2.49</w:t>
            </w:r>
          </w:p>
        </w:tc>
        <w:tc>
          <w:tcPr>
            <w:tcW w:w="838" w:type="pct"/>
            <w:vAlign w:val="center"/>
          </w:tcPr>
          <w:p w14:paraId="21059C2B" w14:textId="77777777" w:rsidR="00E512AE" w:rsidRPr="0029195A" w:rsidRDefault="00E512AE">
            <w:pPr>
              <w:pStyle w:val="TableText0"/>
              <w:keepNext w:val="0"/>
              <w:widowControl w:val="0"/>
              <w:jc w:val="center"/>
            </w:pPr>
            <w:r w:rsidRPr="0029195A">
              <w:t>0.070</w:t>
            </w:r>
          </w:p>
        </w:tc>
      </w:tr>
      <w:tr w:rsidR="00E512AE" w:rsidRPr="0029195A" w14:paraId="7751CA99" w14:textId="77777777">
        <w:tc>
          <w:tcPr>
            <w:tcW w:w="4162" w:type="pct"/>
            <w:gridSpan w:val="3"/>
            <w:vAlign w:val="center"/>
          </w:tcPr>
          <w:p w14:paraId="429A09C4" w14:textId="77777777" w:rsidR="00E512AE" w:rsidRPr="0029195A" w:rsidRDefault="00E512AE">
            <w:pPr>
              <w:pStyle w:val="TableText0"/>
              <w:keepNext w:val="0"/>
              <w:widowControl w:val="0"/>
              <w:jc w:val="right"/>
              <w:rPr>
                <w:rFonts w:ascii="Times" w:hAnsi="Times"/>
              </w:rPr>
            </w:pPr>
            <w:r w:rsidRPr="0029195A">
              <w:rPr>
                <w:b/>
                <w:bCs w:val="0"/>
              </w:rPr>
              <w:t>Incremental cost/QALY gained</w:t>
            </w:r>
          </w:p>
        </w:tc>
        <w:tc>
          <w:tcPr>
            <w:tcW w:w="838" w:type="pct"/>
            <w:vAlign w:val="center"/>
          </w:tcPr>
          <w:p w14:paraId="2A75768D" w14:textId="595BEB2C" w:rsidR="00E512AE" w:rsidRPr="007543BF" w:rsidRDefault="00E512AE">
            <w:pPr>
              <w:pStyle w:val="TableText0"/>
              <w:keepNext w:val="0"/>
              <w:widowControl w:val="0"/>
              <w:jc w:val="center"/>
              <w:rPr>
                <w:rFonts w:ascii="Times" w:hAnsi="Times"/>
                <w:b/>
                <w:bCs w:val="0"/>
                <w:vertAlign w:val="superscript"/>
              </w:rPr>
            </w:pPr>
            <w:r w:rsidRPr="0029195A">
              <w:rPr>
                <w:b/>
                <w:bCs w:val="0"/>
              </w:rPr>
              <w:t>$</w:t>
            </w:r>
            <w:r w:rsidR="00A26F4F" w:rsidRPr="00A26F4F">
              <w:rPr>
                <w:b/>
                <w:bCs w:val="0"/>
                <w:color w:val="000000"/>
                <w:shd w:val="solid" w:color="000000" w:fill="000000"/>
                <w14:textFill>
                  <w14:solidFill>
                    <w14:srgbClr w14:val="000000">
                      <w14:alpha w14:val="100000"/>
                    </w14:srgbClr>
                  </w14:solidFill>
                </w14:textFill>
              </w:rPr>
              <w:t>|</w:t>
            </w:r>
            <w:r w:rsidR="007543BF">
              <w:rPr>
                <w:b/>
                <w:bCs w:val="0"/>
                <w:vertAlign w:val="superscript"/>
              </w:rPr>
              <w:t>3</w:t>
            </w:r>
          </w:p>
        </w:tc>
      </w:tr>
      <w:tr w:rsidR="00E512AE" w:rsidRPr="0029195A" w14:paraId="1232F59E" w14:textId="77777777">
        <w:tc>
          <w:tcPr>
            <w:tcW w:w="5000" w:type="pct"/>
            <w:gridSpan w:val="4"/>
            <w:vAlign w:val="center"/>
          </w:tcPr>
          <w:p w14:paraId="17D64572" w14:textId="4BE7F8D8" w:rsidR="00E512AE" w:rsidRPr="0029195A" w:rsidRDefault="00E512AE">
            <w:pPr>
              <w:pStyle w:val="In-tableHeading"/>
              <w:keepNext w:val="0"/>
              <w:widowControl w:val="0"/>
              <w:rPr>
                <w:lang w:val="en-AU"/>
              </w:rPr>
            </w:pPr>
            <w:r w:rsidRPr="0029195A">
              <w:rPr>
                <w:lang w:val="en-AU"/>
              </w:rPr>
              <w:t xml:space="preserve">Step 3b: Model-based analysis (5 years, drug costs only, duration of therapy 12 months, no avacopan reinductions, treatment effect wanes </w:t>
            </w:r>
            <w:r w:rsidR="00FB0BAA" w:rsidRPr="0029195A">
              <w:rPr>
                <w:lang w:val="en-AU"/>
              </w:rPr>
              <w:t xml:space="preserve">over </w:t>
            </w:r>
            <w:r w:rsidRPr="0029195A">
              <w:rPr>
                <w:lang w:val="en-AU"/>
              </w:rPr>
              <w:t>1 year</w:t>
            </w:r>
            <w:r w:rsidR="00E92991" w:rsidRPr="0029195A">
              <w:rPr>
                <w:lang w:val="en-AU"/>
              </w:rPr>
              <w:t xml:space="preserve"> </w:t>
            </w:r>
            <w:r w:rsidR="00687196" w:rsidRPr="0029195A">
              <w:rPr>
                <w:lang w:val="en-AU"/>
              </w:rPr>
              <w:t>after</w:t>
            </w:r>
            <w:r w:rsidR="00E12A72" w:rsidRPr="0029195A">
              <w:rPr>
                <w:lang w:val="en-AU"/>
              </w:rPr>
              <w:t xml:space="preserve"> stopping</w:t>
            </w:r>
            <w:r w:rsidR="00E92991" w:rsidRPr="0029195A">
              <w:rPr>
                <w:lang w:val="en-AU"/>
              </w:rPr>
              <w:t xml:space="preserve"> avacopan</w:t>
            </w:r>
            <w:r w:rsidRPr="0029195A">
              <w:rPr>
                <w:lang w:val="en-AU"/>
              </w:rPr>
              <w:t xml:space="preserve">) </w:t>
            </w:r>
          </w:p>
        </w:tc>
      </w:tr>
      <w:tr w:rsidR="00E512AE" w:rsidRPr="0029195A" w14:paraId="2F37D08B" w14:textId="77777777">
        <w:tc>
          <w:tcPr>
            <w:tcW w:w="1529" w:type="pct"/>
            <w:vAlign w:val="center"/>
          </w:tcPr>
          <w:p w14:paraId="480561A6" w14:textId="77777777" w:rsidR="00E512AE" w:rsidRPr="0029195A" w:rsidRDefault="00E512AE">
            <w:pPr>
              <w:pStyle w:val="TableText0"/>
              <w:keepNext w:val="0"/>
              <w:widowControl w:val="0"/>
              <w:rPr>
                <w:rFonts w:ascii="Times" w:hAnsi="Times"/>
              </w:rPr>
            </w:pPr>
            <w:r w:rsidRPr="0029195A">
              <w:t>Costs</w:t>
            </w:r>
          </w:p>
        </w:tc>
        <w:tc>
          <w:tcPr>
            <w:tcW w:w="1359" w:type="pct"/>
          </w:tcPr>
          <w:p w14:paraId="11800070" w14:textId="51189C6E" w:rsidR="00E512AE" w:rsidRPr="0029195A" w:rsidRDefault="00E512AE">
            <w:pPr>
              <w:pStyle w:val="TableText0"/>
              <w:keepNext w:val="0"/>
              <w:widowControl w:val="0"/>
              <w:jc w:val="center"/>
              <w:rPr>
                <w:rFonts w:ascii="Times" w:hAnsi="Times"/>
              </w:rPr>
            </w:pPr>
            <w:r w:rsidRPr="0029195A">
              <w:t>$</w:t>
            </w:r>
            <w:r w:rsidR="00A26F4F" w:rsidRPr="00A26F4F">
              <w:rPr>
                <w:color w:val="000000"/>
                <w:shd w:val="solid" w:color="000000" w:fill="000000"/>
                <w14:textFill>
                  <w14:solidFill>
                    <w14:srgbClr w14:val="000000">
                      <w14:alpha w14:val="100000"/>
                    </w14:srgbClr>
                  </w14:solidFill>
                </w14:textFill>
              </w:rPr>
              <w:t>|</w:t>
            </w:r>
          </w:p>
        </w:tc>
        <w:tc>
          <w:tcPr>
            <w:tcW w:w="1274" w:type="pct"/>
          </w:tcPr>
          <w:p w14:paraId="769D8813" w14:textId="77777777" w:rsidR="00E512AE" w:rsidRPr="0029195A" w:rsidRDefault="00E512AE">
            <w:pPr>
              <w:pStyle w:val="TableText0"/>
              <w:keepNext w:val="0"/>
              <w:widowControl w:val="0"/>
              <w:jc w:val="center"/>
              <w:rPr>
                <w:rFonts w:ascii="Times" w:hAnsi="Times"/>
              </w:rPr>
            </w:pPr>
            <w:r w:rsidRPr="0029195A">
              <w:t>$3,887</w:t>
            </w:r>
          </w:p>
        </w:tc>
        <w:tc>
          <w:tcPr>
            <w:tcW w:w="838" w:type="pct"/>
            <w:vAlign w:val="center"/>
          </w:tcPr>
          <w:p w14:paraId="147A345F" w14:textId="340EBF61" w:rsidR="00E512AE" w:rsidRPr="0029195A" w:rsidRDefault="00E512AE">
            <w:pPr>
              <w:pStyle w:val="TableText0"/>
              <w:keepNext w:val="0"/>
              <w:widowControl w:val="0"/>
              <w:jc w:val="center"/>
              <w:rPr>
                <w:rFonts w:ascii="Times" w:hAnsi="Times"/>
              </w:rPr>
            </w:pPr>
            <w:r w:rsidRPr="0029195A">
              <w:t>$</w:t>
            </w:r>
            <w:r w:rsidR="00A26F4F" w:rsidRPr="00A26F4F">
              <w:rPr>
                <w:color w:val="000000"/>
                <w:shd w:val="solid" w:color="000000" w:fill="000000"/>
                <w14:textFill>
                  <w14:solidFill>
                    <w14:srgbClr w14:val="000000">
                      <w14:alpha w14:val="100000"/>
                    </w14:srgbClr>
                  </w14:solidFill>
                </w14:textFill>
              </w:rPr>
              <w:t>|</w:t>
            </w:r>
          </w:p>
        </w:tc>
      </w:tr>
      <w:tr w:rsidR="00E512AE" w:rsidRPr="0029195A" w14:paraId="644EFC87" w14:textId="77777777">
        <w:tc>
          <w:tcPr>
            <w:tcW w:w="1529" w:type="pct"/>
            <w:vAlign w:val="center"/>
          </w:tcPr>
          <w:p w14:paraId="0B482889" w14:textId="77777777" w:rsidR="00E512AE" w:rsidRPr="0029195A" w:rsidRDefault="00E512AE">
            <w:pPr>
              <w:pStyle w:val="TableText0"/>
              <w:keepNext w:val="0"/>
              <w:widowControl w:val="0"/>
              <w:rPr>
                <w:rFonts w:ascii="Times" w:hAnsi="Times"/>
              </w:rPr>
            </w:pPr>
            <w:r w:rsidRPr="0029195A">
              <w:t>QALY</w:t>
            </w:r>
          </w:p>
        </w:tc>
        <w:tc>
          <w:tcPr>
            <w:tcW w:w="1359" w:type="pct"/>
          </w:tcPr>
          <w:p w14:paraId="6A47C08C" w14:textId="77777777" w:rsidR="00E512AE" w:rsidRPr="0029195A" w:rsidRDefault="00E512AE">
            <w:pPr>
              <w:pStyle w:val="TableText0"/>
              <w:keepNext w:val="0"/>
              <w:widowControl w:val="0"/>
              <w:jc w:val="center"/>
              <w:rPr>
                <w:rFonts w:ascii="Times" w:hAnsi="Times"/>
              </w:rPr>
            </w:pPr>
            <w:r w:rsidRPr="0029195A">
              <w:t>2.60</w:t>
            </w:r>
          </w:p>
        </w:tc>
        <w:tc>
          <w:tcPr>
            <w:tcW w:w="1274" w:type="pct"/>
          </w:tcPr>
          <w:p w14:paraId="5DB29E36" w14:textId="77777777" w:rsidR="00E512AE" w:rsidRPr="0029195A" w:rsidRDefault="00E512AE">
            <w:pPr>
              <w:pStyle w:val="TableText0"/>
              <w:keepNext w:val="0"/>
              <w:widowControl w:val="0"/>
              <w:jc w:val="center"/>
              <w:rPr>
                <w:rFonts w:ascii="Times" w:hAnsi="Times"/>
              </w:rPr>
            </w:pPr>
            <w:r w:rsidRPr="0029195A">
              <w:t>2.49</w:t>
            </w:r>
          </w:p>
        </w:tc>
        <w:tc>
          <w:tcPr>
            <w:tcW w:w="838" w:type="pct"/>
            <w:vAlign w:val="center"/>
          </w:tcPr>
          <w:p w14:paraId="286C7847" w14:textId="77777777" w:rsidR="00E512AE" w:rsidRPr="0029195A" w:rsidRDefault="00E512AE">
            <w:pPr>
              <w:pStyle w:val="TableText0"/>
              <w:keepNext w:val="0"/>
              <w:widowControl w:val="0"/>
              <w:jc w:val="center"/>
            </w:pPr>
            <w:r w:rsidRPr="0029195A">
              <w:t>0.113</w:t>
            </w:r>
          </w:p>
        </w:tc>
      </w:tr>
      <w:tr w:rsidR="00E512AE" w:rsidRPr="0029195A" w14:paraId="304843D7" w14:textId="77777777">
        <w:tc>
          <w:tcPr>
            <w:tcW w:w="4162" w:type="pct"/>
            <w:gridSpan w:val="3"/>
            <w:vAlign w:val="center"/>
          </w:tcPr>
          <w:p w14:paraId="453AC4D9" w14:textId="77777777" w:rsidR="00E512AE" w:rsidRPr="0029195A" w:rsidRDefault="00E512AE">
            <w:pPr>
              <w:pStyle w:val="TableText0"/>
              <w:keepNext w:val="0"/>
              <w:widowControl w:val="0"/>
              <w:jc w:val="right"/>
              <w:rPr>
                <w:rFonts w:ascii="Times" w:hAnsi="Times"/>
              </w:rPr>
            </w:pPr>
            <w:r w:rsidRPr="0029195A">
              <w:rPr>
                <w:b/>
                <w:bCs w:val="0"/>
              </w:rPr>
              <w:t>Incremental cost/QALY gained</w:t>
            </w:r>
          </w:p>
        </w:tc>
        <w:tc>
          <w:tcPr>
            <w:tcW w:w="838" w:type="pct"/>
            <w:vAlign w:val="center"/>
          </w:tcPr>
          <w:p w14:paraId="7A9E91B2" w14:textId="796FCEF0" w:rsidR="00E512AE" w:rsidRPr="004477E1" w:rsidRDefault="00E512AE">
            <w:pPr>
              <w:pStyle w:val="TableText0"/>
              <w:keepNext w:val="0"/>
              <w:widowControl w:val="0"/>
              <w:jc w:val="center"/>
              <w:rPr>
                <w:rFonts w:ascii="Times" w:hAnsi="Times"/>
                <w:b/>
                <w:bCs w:val="0"/>
                <w:vertAlign w:val="superscript"/>
              </w:rPr>
            </w:pPr>
            <w:r w:rsidRPr="0029195A">
              <w:rPr>
                <w:b/>
                <w:bCs w:val="0"/>
              </w:rPr>
              <w:t>$</w:t>
            </w:r>
            <w:r w:rsidR="00A26F4F" w:rsidRPr="00A26F4F">
              <w:rPr>
                <w:b/>
                <w:bCs w:val="0"/>
                <w:color w:val="000000"/>
                <w:shd w:val="solid" w:color="000000" w:fill="000000"/>
                <w14:textFill>
                  <w14:solidFill>
                    <w14:srgbClr w14:val="000000">
                      <w14:alpha w14:val="100000"/>
                    </w14:srgbClr>
                  </w14:solidFill>
                </w14:textFill>
              </w:rPr>
              <w:t>|</w:t>
            </w:r>
            <w:r w:rsidR="004477E1" w:rsidRPr="004477E1">
              <w:rPr>
                <w:vertAlign w:val="superscript"/>
              </w:rPr>
              <w:t>4</w:t>
            </w:r>
          </w:p>
        </w:tc>
      </w:tr>
      <w:tr w:rsidR="00E512AE" w:rsidRPr="0029195A" w14:paraId="66C34631" w14:textId="77777777">
        <w:tc>
          <w:tcPr>
            <w:tcW w:w="5000" w:type="pct"/>
            <w:gridSpan w:val="4"/>
            <w:vAlign w:val="center"/>
          </w:tcPr>
          <w:p w14:paraId="5F5F516A" w14:textId="3F659776" w:rsidR="00E512AE" w:rsidRPr="0029195A" w:rsidRDefault="00E512AE">
            <w:pPr>
              <w:pStyle w:val="In-tableHeading"/>
              <w:keepNext w:val="0"/>
              <w:widowControl w:val="0"/>
              <w:rPr>
                <w:lang w:val="en-AU"/>
              </w:rPr>
            </w:pPr>
            <w:r w:rsidRPr="0029195A">
              <w:rPr>
                <w:lang w:val="en-AU"/>
              </w:rPr>
              <w:t xml:space="preserve">Step 3c: Model-based analysis (5 years, drug + health state + event costs, duration of therapy 12 months, no avacopan reinductions, treatment effect wanes </w:t>
            </w:r>
            <w:r w:rsidR="00687196" w:rsidRPr="0029195A">
              <w:rPr>
                <w:lang w:val="en-AU"/>
              </w:rPr>
              <w:t xml:space="preserve">over </w:t>
            </w:r>
            <w:r w:rsidRPr="0029195A">
              <w:rPr>
                <w:lang w:val="en-AU"/>
              </w:rPr>
              <w:t>1 year</w:t>
            </w:r>
            <w:r w:rsidR="00A147E0" w:rsidRPr="0029195A">
              <w:rPr>
                <w:lang w:val="en-AU"/>
              </w:rPr>
              <w:t xml:space="preserve"> </w:t>
            </w:r>
            <w:r w:rsidR="00687196" w:rsidRPr="0029195A">
              <w:rPr>
                <w:lang w:val="en-AU"/>
              </w:rPr>
              <w:t>after</w:t>
            </w:r>
            <w:r w:rsidR="000B17BC" w:rsidRPr="0029195A">
              <w:rPr>
                <w:lang w:val="en-AU"/>
              </w:rPr>
              <w:t xml:space="preserve"> stopping avacopan</w:t>
            </w:r>
            <w:r w:rsidRPr="0029195A">
              <w:rPr>
                <w:lang w:val="en-AU"/>
              </w:rPr>
              <w:t>)</w:t>
            </w:r>
          </w:p>
        </w:tc>
      </w:tr>
      <w:tr w:rsidR="00E512AE" w:rsidRPr="0029195A" w14:paraId="443C0B29" w14:textId="77777777">
        <w:tc>
          <w:tcPr>
            <w:tcW w:w="1529" w:type="pct"/>
            <w:vAlign w:val="center"/>
          </w:tcPr>
          <w:p w14:paraId="6C68BB36" w14:textId="77777777" w:rsidR="00E512AE" w:rsidRPr="0029195A" w:rsidRDefault="00E512AE">
            <w:pPr>
              <w:pStyle w:val="TableText0"/>
              <w:keepNext w:val="0"/>
              <w:widowControl w:val="0"/>
              <w:rPr>
                <w:rFonts w:ascii="Times" w:hAnsi="Times"/>
              </w:rPr>
            </w:pPr>
            <w:r w:rsidRPr="0029195A">
              <w:t>Costs</w:t>
            </w:r>
          </w:p>
        </w:tc>
        <w:tc>
          <w:tcPr>
            <w:tcW w:w="1359" w:type="pct"/>
          </w:tcPr>
          <w:p w14:paraId="08E2F8A9" w14:textId="17FC8870" w:rsidR="00E512AE" w:rsidRPr="0029195A" w:rsidRDefault="00E512AE">
            <w:pPr>
              <w:pStyle w:val="TableText0"/>
              <w:keepNext w:val="0"/>
              <w:widowControl w:val="0"/>
              <w:jc w:val="center"/>
              <w:rPr>
                <w:rFonts w:ascii="Times" w:hAnsi="Times"/>
              </w:rPr>
            </w:pPr>
            <w:r w:rsidRPr="0029195A">
              <w:t>$</w:t>
            </w:r>
            <w:r w:rsidR="00A26F4F" w:rsidRPr="00A26F4F">
              <w:rPr>
                <w:color w:val="000000"/>
                <w:shd w:val="solid" w:color="000000" w:fill="000000"/>
                <w14:textFill>
                  <w14:solidFill>
                    <w14:srgbClr w14:val="000000">
                      <w14:alpha w14:val="100000"/>
                    </w14:srgbClr>
                  </w14:solidFill>
                </w14:textFill>
              </w:rPr>
              <w:t>|</w:t>
            </w:r>
          </w:p>
        </w:tc>
        <w:tc>
          <w:tcPr>
            <w:tcW w:w="1274" w:type="pct"/>
          </w:tcPr>
          <w:p w14:paraId="066A308F" w14:textId="77777777" w:rsidR="00E512AE" w:rsidRPr="0029195A" w:rsidRDefault="00E512AE">
            <w:pPr>
              <w:pStyle w:val="TableText0"/>
              <w:keepNext w:val="0"/>
              <w:widowControl w:val="0"/>
              <w:jc w:val="center"/>
              <w:rPr>
                <w:rFonts w:ascii="Times" w:hAnsi="Times"/>
              </w:rPr>
            </w:pPr>
            <w:r w:rsidRPr="0029195A">
              <w:t>$104,549</w:t>
            </w:r>
          </w:p>
        </w:tc>
        <w:tc>
          <w:tcPr>
            <w:tcW w:w="838" w:type="pct"/>
            <w:vAlign w:val="center"/>
          </w:tcPr>
          <w:p w14:paraId="32D5842A" w14:textId="764CC4BF" w:rsidR="00E512AE" w:rsidRPr="0029195A" w:rsidRDefault="00E512AE">
            <w:pPr>
              <w:pStyle w:val="TableText0"/>
              <w:jc w:val="center"/>
            </w:pPr>
            <w:r w:rsidRPr="0029195A">
              <w:t>$</w:t>
            </w:r>
            <w:r w:rsidR="00A26F4F" w:rsidRPr="00A26F4F">
              <w:rPr>
                <w:color w:val="000000"/>
                <w:shd w:val="solid" w:color="000000" w:fill="000000"/>
                <w14:textFill>
                  <w14:solidFill>
                    <w14:srgbClr w14:val="000000">
                      <w14:alpha w14:val="100000"/>
                    </w14:srgbClr>
                  </w14:solidFill>
                </w14:textFill>
              </w:rPr>
              <w:t>|</w:t>
            </w:r>
          </w:p>
        </w:tc>
      </w:tr>
      <w:tr w:rsidR="00E512AE" w:rsidRPr="0029195A" w14:paraId="791EF08C" w14:textId="77777777">
        <w:tc>
          <w:tcPr>
            <w:tcW w:w="1529" w:type="pct"/>
            <w:vAlign w:val="center"/>
          </w:tcPr>
          <w:p w14:paraId="4E84FDCF" w14:textId="77777777" w:rsidR="00E512AE" w:rsidRPr="0029195A" w:rsidRDefault="00E512AE">
            <w:pPr>
              <w:pStyle w:val="TableText0"/>
              <w:keepNext w:val="0"/>
              <w:widowControl w:val="0"/>
              <w:rPr>
                <w:rFonts w:ascii="Times" w:hAnsi="Times"/>
              </w:rPr>
            </w:pPr>
            <w:r w:rsidRPr="0029195A">
              <w:t>QALY</w:t>
            </w:r>
          </w:p>
        </w:tc>
        <w:tc>
          <w:tcPr>
            <w:tcW w:w="1359" w:type="pct"/>
          </w:tcPr>
          <w:p w14:paraId="5F09C6D6" w14:textId="77777777" w:rsidR="00E512AE" w:rsidRPr="0029195A" w:rsidRDefault="00E512AE">
            <w:pPr>
              <w:pStyle w:val="TableText0"/>
              <w:keepNext w:val="0"/>
              <w:widowControl w:val="0"/>
              <w:jc w:val="center"/>
              <w:rPr>
                <w:rFonts w:ascii="Times" w:hAnsi="Times"/>
              </w:rPr>
            </w:pPr>
            <w:r w:rsidRPr="0029195A">
              <w:t>2.60</w:t>
            </w:r>
          </w:p>
        </w:tc>
        <w:tc>
          <w:tcPr>
            <w:tcW w:w="1274" w:type="pct"/>
          </w:tcPr>
          <w:p w14:paraId="151DFB60" w14:textId="77777777" w:rsidR="00E512AE" w:rsidRPr="0029195A" w:rsidRDefault="00E512AE">
            <w:pPr>
              <w:pStyle w:val="TableText0"/>
              <w:keepNext w:val="0"/>
              <w:widowControl w:val="0"/>
              <w:jc w:val="center"/>
              <w:rPr>
                <w:rFonts w:ascii="Times" w:hAnsi="Times"/>
              </w:rPr>
            </w:pPr>
            <w:r w:rsidRPr="0029195A">
              <w:t>2.49</w:t>
            </w:r>
          </w:p>
        </w:tc>
        <w:tc>
          <w:tcPr>
            <w:tcW w:w="838" w:type="pct"/>
            <w:vAlign w:val="center"/>
          </w:tcPr>
          <w:p w14:paraId="3A41607A" w14:textId="77777777" w:rsidR="00E512AE" w:rsidRPr="0029195A" w:rsidRDefault="00E512AE">
            <w:pPr>
              <w:pStyle w:val="TableText0"/>
              <w:keepNext w:val="0"/>
              <w:widowControl w:val="0"/>
              <w:jc w:val="center"/>
            </w:pPr>
            <w:r w:rsidRPr="0029195A">
              <w:t>0.113</w:t>
            </w:r>
          </w:p>
        </w:tc>
      </w:tr>
      <w:tr w:rsidR="00E512AE" w:rsidRPr="0029195A" w14:paraId="1A388EA0" w14:textId="77777777">
        <w:tc>
          <w:tcPr>
            <w:tcW w:w="4162" w:type="pct"/>
            <w:gridSpan w:val="3"/>
            <w:vAlign w:val="center"/>
          </w:tcPr>
          <w:p w14:paraId="32FF2EF6" w14:textId="77777777" w:rsidR="00E512AE" w:rsidRPr="0029195A" w:rsidRDefault="00E512AE">
            <w:pPr>
              <w:pStyle w:val="TableText0"/>
              <w:keepNext w:val="0"/>
              <w:widowControl w:val="0"/>
              <w:jc w:val="right"/>
              <w:rPr>
                <w:rFonts w:ascii="Times" w:hAnsi="Times"/>
              </w:rPr>
            </w:pPr>
            <w:r w:rsidRPr="0029195A">
              <w:rPr>
                <w:b/>
                <w:bCs w:val="0"/>
              </w:rPr>
              <w:t>Incremental cost/QALY gained</w:t>
            </w:r>
          </w:p>
        </w:tc>
        <w:tc>
          <w:tcPr>
            <w:tcW w:w="838" w:type="pct"/>
            <w:vAlign w:val="center"/>
          </w:tcPr>
          <w:p w14:paraId="02B94FD7" w14:textId="49CD681E" w:rsidR="00E512AE" w:rsidRPr="004477E1" w:rsidRDefault="00E512AE">
            <w:pPr>
              <w:pStyle w:val="TableText0"/>
              <w:keepNext w:val="0"/>
              <w:widowControl w:val="0"/>
              <w:jc w:val="center"/>
              <w:rPr>
                <w:rFonts w:ascii="Times" w:hAnsi="Times"/>
                <w:b/>
                <w:bCs w:val="0"/>
                <w:vertAlign w:val="superscript"/>
              </w:rPr>
            </w:pPr>
            <w:r w:rsidRPr="0029195A">
              <w:rPr>
                <w:b/>
                <w:bCs w:val="0"/>
              </w:rPr>
              <w:t>$</w:t>
            </w:r>
            <w:r w:rsidR="00A26F4F" w:rsidRPr="00A26F4F">
              <w:rPr>
                <w:b/>
                <w:bCs w:val="0"/>
                <w:color w:val="000000"/>
                <w:shd w:val="solid" w:color="000000" w:fill="000000"/>
                <w14:textFill>
                  <w14:solidFill>
                    <w14:srgbClr w14:val="000000">
                      <w14:alpha w14:val="100000"/>
                    </w14:srgbClr>
                  </w14:solidFill>
                </w14:textFill>
              </w:rPr>
              <w:t>|</w:t>
            </w:r>
            <w:r w:rsidR="004477E1">
              <w:rPr>
                <w:b/>
                <w:vertAlign w:val="superscript"/>
              </w:rPr>
              <w:t>5</w:t>
            </w:r>
          </w:p>
        </w:tc>
      </w:tr>
      <w:tr w:rsidR="00E512AE" w:rsidRPr="0029195A" w14:paraId="32F20D28" w14:textId="77777777">
        <w:tc>
          <w:tcPr>
            <w:tcW w:w="5000" w:type="pct"/>
            <w:gridSpan w:val="4"/>
            <w:vAlign w:val="center"/>
          </w:tcPr>
          <w:p w14:paraId="06C4475A" w14:textId="77777777" w:rsidR="00E512AE" w:rsidRPr="0029195A" w:rsidRDefault="00E512AE">
            <w:pPr>
              <w:pStyle w:val="In-tableHeading"/>
              <w:keepNext w:val="0"/>
              <w:widowControl w:val="0"/>
              <w:rPr>
                <w:lang w:val="en-AU"/>
              </w:rPr>
            </w:pPr>
            <w:r w:rsidRPr="0029195A">
              <w:rPr>
                <w:lang w:val="en-AU"/>
              </w:rPr>
              <w:t>Step 4: Model-based analysis (30 years – base case, outcome in life years)</w:t>
            </w:r>
          </w:p>
        </w:tc>
      </w:tr>
      <w:tr w:rsidR="00E512AE" w:rsidRPr="0029195A" w14:paraId="7F9C8648" w14:textId="77777777">
        <w:tc>
          <w:tcPr>
            <w:tcW w:w="1529" w:type="pct"/>
            <w:vAlign w:val="center"/>
          </w:tcPr>
          <w:p w14:paraId="0AEF799F" w14:textId="77777777" w:rsidR="00E512AE" w:rsidRPr="0029195A" w:rsidRDefault="00E512AE">
            <w:pPr>
              <w:pStyle w:val="TableText0"/>
              <w:keepNext w:val="0"/>
              <w:widowControl w:val="0"/>
              <w:rPr>
                <w:rFonts w:ascii="Times" w:hAnsi="Times"/>
              </w:rPr>
            </w:pPr>
            <w:r w:rsidRPr="0029195A">
              <w:t>Costs</w:t>
            </w:r>
          </w:p>
        </w:tc>
        <w:tc>
          <w:tcPr>
            <w:tcW w:w="1359" w:type="pct"/>
            <w:vAlign w:val="center"/>
          </w:tcPr>
          <w:p w14:paraId="2019842F" w14:textId="5308F307" w:rsidR="00E512AE" w:rsidRPr="0029195A" w:rsidRDefault="00E512AE">
            <w:pPr>
              <w:pStyle w:val="TableText0"/>
              <w:keepNext w:val="0"/>
              <w:widowControl w:val="0"/>
              <w:jc w:val="center"/>
              <w:rPr>
                <w:rFonts w:ascii="Times" w:hAnsi="Times"/>
              </w:rPr>
            </w:pPr>
            <w:r w:rsidRPr="0029195A">
              <w:t>$</w:t>
            </w:r>
            <w:r w:rsidR="00A26F4F" w:rsidRPr="00A26F4F">
              <w:rPr>
                <w:color w:val="000000"/>
                <w:shd w:val="solid" w:color="000000" w:fill="000000"/>
                <w14:textFill>
                  <w14:solidFill>
                    <w14:srgbClr w14:val="000000">
                      <w14:alpha w14:val="100000"/>
                    </w14:srgbClr>
                  </w14:solidFill>
                </w14:textFill>
              </w:rPr>
              <w:t>|</w:t>
            </w:r>
          </w:p>
        </w:tc>
        <w:tc>
          <w:tcPr>
            <w:tcW w:w="1274" w:type="pct"/>
            <w:vAlign w:val="center"/>
          </w:tcPr>
          <w:p w14:paraId="0DF0B420" w14:textId="77777777" w:rsidR="00E512AE" w:rsidRPr="0029195A" w:rsidRDefault="00E512AE">
            <w:pPr>
              <w:pStyle w:val="TableText0"/>
              <w:keepNext w:val="0"/>
              <w:widowControl w:val="0"/>
              <w:jc w:val="center"/>
              <w:rPr>
                <w:rFonts w:ascii="Times" w:hAnsi="Times"/>
              </w:rPr>
            </w:pPr>
            <w:r w:rsidRPr="0029195A">
              <w:t>$248,431</w:t>
            </w:r>
          </w:p>
        </w:tc>
        <w:tc>
          <w:tcPr>
            <w:tcW w:w="838" w:type="pct"/>
            <w:vAlign w:val="center"/>
          </w:tcPr>
          <w:p w14:paraId="663AFA2D" w14:textId="672F1E88" w:rsidR="00E512AE" w:rsidRPr="0029195A" w:rsidRDefault="00E512AE">
            <w:pPr>
              <w:pStyle w:val="TableText0"/>
              <w:keepNext w:val="0"/>
              <w:widowControl w:val="0"/>
              <w:jc w:val="center"/>
              <w:rPr>
                <w:rFonts w:ascii="Times" w:hAnsi="Times"/>
              </w:rPr>
            </w:pPr>
            <w:r w:rsidRPr="0029195A">
              <w:t>$</w:t>
            </w:r>
            <w:r w:rsidR="00A26F4F" w:rsidRPr="00A26F4F">
              <w:rPr>
                <w:color w:val="000000"/>
                <w:shd w:val="solid" w:color="000000" w:fill="000000"/>
                <w14:textFill>
                  <w14:solidFill>
                    <w14:srgbClr w14:val="000000">
                      <w14:alpha w14:val="100000"/>
                    </w14:srgbClr>
                  </w14:solidFill>
                </w14:textFill>
              </w:rPr>
              <w:t>|</w:t>
            </w:r>
          </w:p>
        </w:tc>
      </w:tr>
      <w:tr w:rsidR="00E512AE" w:rsidRPr="0029195A" w14:paraId="4CDDD58F" w14:textId="77777777">
        <w:tc>
          <w:tcPr>
            <w:tcW w:w="1529" w:type="pct"/>
            <w:vAlign w:val="center"/>
          </w:tcPr>
          <w:p w14:paraId="32D8749D" w14:textId="48BB3452" w:rsidR="00E512AE" w:rsidRPr="0029195A" w:rsidRDefault="00E512AE">
            <w:pPr>
              <w:pStyle w:val="TableText0"/>
              <w:keepNext w:val="0"/>
              <w:widowControl w:val="0"/>
              <w:rPr>
                <w:rFonts w:ascii="Times" w:hAnsi="Times"/>
              </w:rPr>
            </w:pPr>
            <w:r w:rsidRPr="0029195A">
              <w:t>L</w:t>
            </w:r>
            <w:r w:rsidR="007543BF" w:rsidRPr="0029195A">
              <w:t>y</w:t>
            </w:r>
            <w:r w:rsidRPr="0029195A">
              <w:t>s</w:t>
            </w:r>
          </w:p>
        </w:tc>
        <w:tc>
          <w:tcPr>
            <w:tcW w:w="1359" w:type="pct"/>
          </w:tcPr>
          <w:p w14:paraId="34FE79A3" w14:textId="77777777" w:rsidR="00E512AE" w:rsidRPr="0029195A" w:rsidRDefault="00E512AE">
            <w:pPr>
              <w:pStyle w:val="TableText0"/>
              <w:keepNext w:val="0"/>
              <w:widowControl w:val="0"/>
              <w:jc w:val="center"/>
              <w:rPr>
                <w:rFonts w:ascii="Times" w:hAnsi="Times"/>
              </w:rPr>
            </w:pPr>
            <w:r w:rsidRPr="0029195A">
              <w:t>9.72</w:t>
            </w:r>
          </w:p>
        </w:tc>
        <w:tc>
          <w:tcPr>
            <w:tcW w:w="1274" w:type="pct"/>
          </w:tcPr>
          <w:p w14:paraId="218D2A73" w14:textId="77777777" w:rsidR="00E512AE" w:rsidRPr="0029195A" w:rsidRDefault="00E512AE">
            <w:pPr>
              <w:pStyle w:val="TableText0"/>
              <w:keepNext w:val="0"/>
              <w:widowControl w:val="0"/>
              <w:jc w:val="center"/>
              <w:rPr>
                <w:rFonts w:ascii="Times" w:hAnsi="Times"/>
              </w:rPr>
            </w:pPr>
            <w:r w:rsidRPr="0029195A">
              <w:t>8.50</w:t>
            </w:r>
          </w:p>
        </w:tc>
        <w:tc>
          <w:tcPr>
            <w:tcW w:w="838" w:type="pct"/>
          </w:tcPr>
          <w:p w14:paraId="3FA23526" w14:textId="77777777" w:rsidR="00E512AE" w:rsidRPr="0029195A" w:rsidRDefault="00E512AE">
            <w:pPr>
              <w:pStyle w:val="TableText0"/>
              <w:keepNext w:val="0"/>
              <w:widowControl w:val="0"/>
              <w:jc w:val="center"/>
            </w:pPr>
            <w:r w:rsidRPr="0029195A">
              <w:t>1.23</w:t>
            </w:r>
          </w:p>
        </w:tc>
      </w:tr>
      <w:tr w:rsidR="00E512AE" w:rsidRPr="0029195A" w14:paraId="0EDB6AF5" w14:textId="77777777">
        <w:tc>
          <w:tcPr>
            <w:tcW w:w="4162" w:type="pct"/>
            <w:gridSpan w:val="3"/>
            <w:vAlign w:val="center"/>
          </w:tcPr>
          <w:p w14:paraId="7556B838" w14:textId="77777777" w:rsidR="00E512AE" w:rsidRPr="0029195A" w:rsidRDefault="00E512AE">
            <w:pPr>
              <w:pStyle w:val="TableText0"/>
              <w:keepNext w:val="0"/>
              <w:widowControl w:val="0"/>
              <w:jc w:val="right"/>
              <w:rPr>
                <w:rFonts w:ascii="Times" w:hAnsi="Times"/>
                <w:b/>
              </w:rPr>
            </w:pPr>
            <w:r w:rsidRPr="0029195A">
              <w:rPr>
                <w:b/>
              </w:rPr>
              <w:t>Incremental cost/extra LY gained (base case)</w:t>
            </w:r>
          </w:p>
        </w:tc>
        <w:tc>
          <w:tcPr>
            <w:tcW w:w="838" w:type="pct"/>
            <w:vAlign w:val="center"/>
          </w:tcPr>
          <w:p w14:paraId="1AE6446B" w14:textId="77647959" w:rsidR="00E512AE" w:rsidRPr="00432A89" w:rsidRDefault="00E512AE">
            <w:pPr>
              <w:pStyle w:val="TableText0"/>
              <w:keepNext w:val="0"/>
              <w:widowControl w:val="0"/>
              <w:jc w:val="center"/>
              <w:rPr>
                <w:rFonts w:ascii="Times" w:hAnsi="Times"/>
                <w:b/>
                <w:vertAlign w:val="superscript"/>
              </w:rPr>
            </w:pPr>
            <w:r w:rsidRPr="0029195A">
              <w:rPr>
                <w:b/>
              </w:rPr>
              <w:t>$</w:t>
            </w:r>
            <w:r w:rsidR="00A26F4F" w:rsidRPr="00A26F4F">
              <w:rPr>
                <w:b/>
                <w:color w:val="000000"/>
                <w:shd w:val="solid" w:color="000000" w:fill="000000"/>
                <w14:textFill>
                  <w14:solidFill>
                    <w14:srgbClr w14:val="000000">
                      <w14:alpha w14:val="100000"/>
                    </w14:srgbClr>
                  </w14:solidFill>
                </w14:textFill>
              </w:rPr>
              <w:t>|</w:t>
            </w:r>
            <w:r w:rsidR="00432A89" w:rsidRPr="00432A89">
              <w:rPr>
                <w:bCs w:val="0"/>
                <w:vertAlign w:val="superscript"/>
              </w:rPr>
              <w:t>6</w:t>
            </w:r>
          </w:p>
        </w:tc>
      </w:tr>
      <w:tr w:rsidR="00E512AE" w:rsidRPr="0029195A" w14:paraId="0DAAAFA1" w14:textId="77777777">
        <w:tc>
          <w:tcPr>
            <w:tcW w:w="5000" w:type="pct"/>
            <w:gridSpan w:val="4"/>
            <w:vAlign w:val="center"/>
          </w:tcPr>
          <w:p w14:paraId="12A2E152" w14:textId="77777777" w:rsidR="00E512AE" w:rsidRPr="0029195A" w:rsidRDefault="00E512AE">
            <w:pPr>
              <w:pStyle w:val="In-tableHeading"/>
              <w:keepNext w:val="0"/>
              <w:widowControl w:val="0"/>
              <w:rPr>
                <w:lang w:val="en-AU"/>
              </w:rPr>
            </w:pPr>
            <w:r w:rsidRPr="0029195A">
              <w:rPr>
                <w:lang w:val="en-AU"/>
              </w:rPr>
              <w:t>Step 5: Model-based analysis (30 years – base case)</w:t>
            </w:r>
          </w:p>
        </w:tc>
      </w:tr>
      <w:tr w:rsidR="00E512AE" w:rsidRPr="0029195A" w14:paraId="1AB3393F" w14:textId="77777777">
        <w:tc>
          <w:tcPr>
            <w:tcW w:w="1529" w:type="pct"/>
            <w:vAlign w:val="center"/>
          </w:tcPr>
          <w:p w14:paraId="682066BD" w14:textId="77777777" w:rsidR="00E512AE" w:rsidRPr="0029195A" w:rsidRDefault="00E512AE">
            <w:pPr>
              <w:pStyle w:val="TableText0"/>
              <w:keepNext w:val="0"/>
              <w:widowControl w:val="0"/>
              <w:rPr>
                <w:rFonts w:ascii="Times" w:hAnsi="Times"/>
              </w:rPr>
            </w:pPr>
            <w:r w:rsidRPr="0029195A">
              <w:t>Costs</w:t>
            </w:r>
          </w:p>
        </w:tc>
        <w:tc>
          <w:tcPr>
            <w:tcW w:w="1359" w:type="pct"/>
            <w:vAlign w:val="center"/>
          </w:tcPr>
          <w:p w14:paraId="3E1243CA" w14:textId="5D47D6CA" w:rsidR="00E512AE" w:rsidRPr="0029195A" w:rsidRDefault="00E512AE">
            <w:pPr>
              <w:pStyle w:val="TableText0"/>
              <w:keepNext w:val="0"/>
              <w:widowControl w:val="0"/>
              <w:jc w:val="center"/>
              <w:rPr>
                <w:rFonts w:ascii="Times" w:hAnsi="Times"/>
              </w:rPr>
            </w:pPr>
            <w:r w:rsidRPr="0029195A">
              <w:t>$</w:t>
            </w:r>
            <w:r w:rsidR="00A26F4F" w:rsidRPr="00A26F4F">
              <w:rPr>
                <w:color w:val="000000"/>
                <w:shd w:val="solid" w:color="000000" w:fill="000000"/>
                <w14:textFill>
                  <w14:solidFill>
                    <w14:srgbClr w14:val="000000">
                      <w14:alpha w14:val="100000"/>
                    </w14:srgbClr>
                  </w14:solidFill>
                </w14:textFill>
              </w:rPr>
              <w:t>|</w:t>
            </w:r>
          </w:p>
        </w:tc>
        <w:tc>
          <w:tcPr>
            <w:tcW w:w="1274" w:type="pct"/>
            <w:vAlign w:val="center"/>
          </w:tcPr>
          <w:p w14:paraId="5DBF8222" w14:textId="77777777" w:rsidR="00E512AE" w:rsidRPr="0029195A" w:rsidRDefault="00E512AE">
            <w:pPr>
              <w:pStyle w:val="TableText0"/>
              <w:keepNext w:val="0"/>
              <w:widowControl w:val="0"/>
              <w:jc w:val="center"/>
              <w:rPr>
                <w:rFonts w:ascii="Times" w:hAnsi="Times"/>
              </w:rPr>
            </w:pPr>
            <w:r w:rsidRPr="0029195A">
              <w:t>$248,431</w:t>
            </w:r>
          </w:p>
        </w:tc>
        <w:tc>
          <w:tcPr>
            <w:tcW w:w="838" w:type="pct"/>
            <w:vAlign w:val="center"/>
          </w:tcPr>
          <w:p w14:paraId="16F045D2" w14:textId="2D44D05C" w:rsidR="00E512AE" w:rsidRPr="0029195A" w:rsidRDefault="00E512AE">
            <w:pPr>
              <w:pStyle w:val="TableText0"/>
              <w:keepNext w:val="0"/>
              <w:widowControl w:val="0"/>
              <w:jc w:val="center"/>
              <w:rPr>
                <w:rFonts w:ascii="Times" w:hAnsi="Times"/>
              </w:rPr>
            </w:pPr>
            <w:r w:rsidRPr="0029195A">
              <w:t>$</w:t>
            </w:r>
            <w:r w:rsidR="00A26F4F" w:rsidRPr="00A26F4F">
              <w:rPr>
                <w:color w:val="000000"/>
                <w:shd w:val="solid" w:color="000000" w:fill="000000"/>
                <w14:textFill>
                  <w14:solidFill>
                    <w14:srgbClr w14:val="000000">
                      <w14:alpha w14:val="100000"/>
                    </w14:srgbClr>
                  </w14:solidFill>
                </w14:textFill>
              </w:rPr>
              <w:t>|</w:t>
            </w:r>
          </w:p>
        </w:tc>
      </w:tr>
      <w:tr w:rsidR="00E512AE" w:rsidRPr="0029195A" w14:paraId="7C5CDDDA" w14:textId="77777777">
        <w:tc>
          <w:tcPr>
            <w:tcW w:w="1529" w:type="pct"/>
            <w:vAlign w:val="center"/>
          </w:tcPr>
          <w:p w14:paraId="68A7E2F3" w14:textId="77777777" w:rsidR="00E512AE" w:rsidRPr="0029195A" w:rsidRDefault="00E512AE">
            <w:pPr>
              <w:pStyle w:val="TableText0"/>
              <w:keepNext w:val="0"/>
              <w:widowControl w:val="0"/>
              <w:rPr>
                <w:rFonts w:ascii="Times" w:hAnsi="Times"/>
              </w:rPr>
            </w:pPr>
            <w:r w:rsidRPr="0029195A">
              <w:t>QALYs</w:t>
            </w:r>
          </w:p>
        </w:tc>
        <w:tc>
          <w:tcPr>
            <w:tcW w:w="1359" w:type="pct"/>
            <w:vAlign w:val="center"/>
          </w:tcPr>
          <w:p w14:paraId="0BBA85E8" w14:textId="77777777" w:rsidR="00E512AE" w:rsidRPr="0029195A" w:rsidRDefault="00E512AE">
            <w:pPr>
              <w:pStyle w:val="TableText0"/>
              <w:keepNext w:val="0"/>
              <w:widowControl w:val="0"/>
              <w:jc w:val="center"/>
              <w:rPr>
                <w:rFonts w:ascii="Times" w:hAnsi="Times"/>
              </w:rPr>
            </w:pPr>
            <w:r w:rsidRPr="0029195A">
              <w:t>6.70</w:t>
            </w:r>
          </w:p>
        </w:tc>
        <w:tc>
          <w:tcPr>
            <w:tcW w:w="1274" w:type="pct"/>
            <w:vAlign w:val="center"/>
          </w:tcPr>
          <w:p w14:paraId="0DAFD1E7" w14:textId="77777777" w:rsidR="00E512AE" w:rsidRPr="0029195A" w:rsidRDefault="00E512AE">
            <w:pPr>
              <w:pStyle w:val="TableText0"/>
              <w:keepNext w:val="0"/>
              <w:widowControl w:val="0"/>
              <w:jc w:val="center"/>
              <w:rPr>
                <w:rFonts w:ascii="Times" w:hAnsi="Times"/>
              </w:rPr>
            </w:pPr>
            <w:r w:rsidRPr="0029195A">
              <w:t>5.83</w:t>
            </w:r>
          </w:p>
        </w:tc>
        <w:tc>
          <w:tcPr>
            <w:tcW w:w="838" w:type="pct"/>
            <w:vAlign w:val="center"/>
          </w:tcPr>
          <w:p w14:paraId="2D143C5F" w14:textId="77777777" w:rsidR="00E512AE" w:rsidRPr="0029195A" w:rsidRDefault="00E512AE">
            <w:pPr>
              <w:pStyle w:val="TableText0"/>
              <w:keepNext w:val="0"/>
              <w:widowControl w:val="0"/>
              <w:jc w:val="center"/>
            </w:pPr>
            <w:r w:rsidRPr="0029195A">
              <w:t>0.87</w:t>
            </w:r>
          </w:p>
        </w:tc>
      </w:tr>
      <w:tr w:rsidR="00E512AE" w:rsidRPr="0029195A" w14:paraId="5724EAEF" w14:textId="77777777">
        <w:tc>
          <w:tcPr>
            <w:tcW w:w="4162" w:type="pct"/>
            <w:gridSpan w:val="3"/>
            <w:vAlign w:val="center"/>
          </w:tcPr>
          <w:p w14:paraId="11B7F021" w14:textId="77777777" w:rsidR="00E512AE" w:rsidRPr="0029195A" w:rsidRDefault="00E512AE">
            <w:pPr>
              <w:pStyle w:val="TableText0"/>
              <w:keepNext w:val="0"/>
              <w:widowControl w:val="0"/>
              <w:rPr>
                <w:rFonts w:ascii="Times" w:hAnsi="Times"/>
                <w:b/>
              </w:rPr>
            </w:pPr>
            <w:r w:rsidRPr="0029195A">
              <w:rPr>
                <w:b/>
              </w:rPr>
              <w:t>Incremental cost/extra QALY gained (base case)</w:t>
            </w:r>
          </w:p>
        </w:tc>
        <w:tc>
          <w:tcPr>
            <w:tcW w:w="838" w:type="pct"/>
            <w:vAlign w:val="center"/>
          </w:tcPr>
          <w:p w14:paraId="5883E63F" w14:textId="7DFB7AD2" w:rsidR="00E512AE" w:rsidRPr="0029195A" w:rsidRDefault="00E512AE">
            <w:pPr>
              <w:pStyle w:val="TableText0"/>
              <w:keepNext w:val="0"/>
              <w:widowControl w:val="0"/>
              <w:jc w:val="center"/>
              <w:rPr>
                <w:rFonts w:ascii="Times" w:hAnsi="Times"/>
                <w:b/>
              </w:rPr>
            </w:pPr>
            <w:r w:rsidRPr="0029195A">
              <w:rPr>
                <w:b/>
              </w:rPr>
              <w:t>$</w:t>
            </w:r>
            <w:r w:rsidR="00A26F4F" w:rsidRPr="00A26F4F">
              <w:rPr>
                <w:b/>
                <w:color w:val="000000"/>
                <w:shd w:val="solid" w:color="000000" w:fill="000000"/>
                <w14:textFill>
                  <w14:solidFill>
                    <w14:srgbClr w14:val="000000">
                      <w14:alpha w14:val="100000"/>
                    </w14:srgbClr>
                  </w14:solidFill>
                </w14:textFill>
              </w:rPr>
              <w:t>|</w:t>
            </w:r>
            <w:r w:rsidR="00A26F4F" w:rsidRPr="00A26F4F">
              <w:rPr>
                <w:b/>
                <w:vertAlign w:val="superscript"/>
              </w:rPr>
              <w:t xml:space="preserve"> </w:t>
            </w:r>
            <w:r w:rsidR="00772454" w:rsidRPr="0029195A">
              <w:rPr>
                <w:b/>
                <w:vertAlign w:val="superscript"/>
              </w:rPr>
              <w:t>b</w:t>
            </w:r>
            <w:r w:rsidR="00432A89">
              <w:rPr>
                <w:b/>
                <w:vertAlign w:val="superscript"/>
              </w:rPr>
              <w:t>,7</w:t>
            </w:r>
          </w:p>
        </w:tc>
      </w:tr>
    </w:tbl>
    <w:p w14:paraId="3E55A9D1" w14:textId="77777777" w:rsidR="00E512AE" w:rsidRPr="0029195A" w:rsidRDefault="00E512AE" w:rsidP="00E512AE">
      <w:pPr>
        <w:pStyle w:val="FooterTableFigure"/>
        <w:widowControl w:val="0"/>
      </w:pPr>
      <w:r w:rsidRPr="0029195A">
        <w:t>Source: Compiled during the evaluation using output generated from Attachment 14</w:t>
      </w:r>
    </w:p>
    <w:p w14:paraId="72BE1E78" w14:textId="377071A5" w:rsidR="004C171D" w:rsidRPr="0029195A" w:rsidRDefault="00E512AE" w:rsidP="00E512AE">
      <w:pPr>
        <w:pStyle w:val="FooterTableFigure"/>
      </w:pPr>
      <w:r w:rsidRPr="0029195A">
        <w:t xml:space="preserve">Abbreviations: GC, glucocorticoid; ICER, incremental cost-effectiveness ratio; LY, life year; </w:t>
      </w:r>
      <w:r w:rsidR="00B94DEB" w:rsidRPr="0029195A">
        <w:t>NS, no</w:t>
      </w:r>
      <w:r w:rsidR="00B520B5" w:rsidRPr="0029195A">
        <w:t>t sta</w:t>
      </w:r>
      <w:r w:rsidR="00D44374" w:rsidRPr="0029195A">
        <w:t>tistically</w:t>
      </w:r>
      <w:r w:rsidR="00EE6353" w:rsidRPr="0029195A">
        <w:t xml:space="preserve"> significant; </w:t>
      </w:r>
      <w:r w:rsidRPr="0029195A">
        <w:t>QALY, quality-adjusted life year; SOC, standard of care</w:t>
      </w:r>
    </w:p>
    <w:p w14:paraId="28E5E34D" w14:textId="33E7D7FE" w:rsidR="00F92BD0" w:rsidRPr="0029195A" w:rsidRDefault="00E512AE" w:rsidP="009F6354">
      <w:pPr>
        <w:pStyle w:val="FooterTableFigure"/>
        <w:keepNext/>
      </w:pPr>
      <w:r w:rsidRPr="0029195A">
        <w:rPr>
          <w:vertAlign w:val="superscript"/>
        </w:rPr>
        <w:t>a</w:t>
      </w:r>
      <w:r w:rsidRPr="0029195A">
        <w:t xml:space="preserve"> </w:t>
      </w:r>
      <w:r w:rsidR="009418EB" w:rsidRPr="0029195A">
        <w:t xml:space="preserve">The ICER is </w:t>
      </w:r>
      <w:r w:rsidR="00B87253" w:rsidRPr="0029195A">
        <w:t>not reported</w:t>
      </w:r>
      <w:r w:rsidR="00D06799" w:rsidRPr="0029195A">
        <w:t xml:space="preserve">. </w:t>
      </w:r>
      <w:r w:rsidR="00A253C6" w:rsidRPr="0029195A">
        <w:t xml:space="preserve">Outcome </w:t>
      </w:r>
      <w:r w:rsidR="001A347F" w:rsidRPr="0029195A">
        <w:t xml:space="preserve">for avacopan </w:t>
      </w:r>
      <w:r w:rsidR="00A253C6" w:rsidRPr="0029195A">
        <w:t xml:space="preserve">at Week 26 </w:t>
      </w:r>
      <w:r w:rsidR="0022398E" w:rsidRPr="0029195A">
        <w:t>did not demonstrate superiority</w:t>
      </w:r>
      <w:r w:rsidR="00C6022E" w:rsidRPr="0029195A">
        <w:t>.</w:t>
      </w:r>
    </w:p>
    <w:p w14:paraId="4DF4E881" w14:textId="5DD986C7" w:rsidR="00E512AE" w:rsidRDefault="00F92BD0" w:rsidP="006C573C">
      <w:pPr>
        <w:pStyle w:val="FooterTableFigure"/>
        <w:keepNext/>
        <w:spacing w:after="0"/>
      </w:pPr>
      <w:r w:rsidRPr="0029195A">
        <w:rPr>
          <w:vertAlign w:val="superscript"/>
        </w:rPr>
        <w:t>b</w:t>
      </w:r>
      <w:r w:rsidRPr="0029195A">
        <w:t xml:space="preserve"> </w:t>
      </w:r>
      <w:r w:rsidR="00E512AE" w:rsidRPr="0029195A">
        <w:t xml:space="preserve">The ICER was updated by the Sponsor </w:t>
      </w:r>
      <w:r w:rsidR="00A13686" w:rsidRPr="00465DBB">
        <w:t>from $</w:t>
      </w:r>
      <w:r w:rsidR="0005254B" w:rsidRPr="00465DBB">
        <w:t>55,000</w:t>
      </w:r>
      <w:r w:rsidR="00E817E3">
        <w:t> </w:t>
      </w:r>
      <w:r w:rsidR="0005254B" w:rsidRPr="00465DBB">
        <w:t>to</w:t>
      </w:r>
      <w:r w:rsidR="00E817E3">
        <w:t> </w:t>
      </w:r>
      <w:r w:rsidR="0005254B" w:rsidRPr="00465DBB">
        <w:t>&lt;</w:t>
      </w:r>
      <w:r w:rsidR="00E817E3">
        <w:t> </w:t>
      </w:r>
      <w:r w:rsidR="0005254B" w:rsidRPr="00465DBB">
        <w:t>$75,000</w:t>
      </w:r>
      <w:r w:rsidR="00A13686" w:rsidRPr="00465DBB">
        <w:t xml:space="preserve"> </w:t>
      </w:r>
      <w:r w:rsidR="00E512AE" w:rsidRPr="00465DBB">
        <w:t>to $</w:t>
      </w:r>
      <w:r w:rsidR="0005254B" w:rsidRPr="00465DBB">
        <w:t>55,000</w:t>
      </w:r>
      <w:r w:rsidR="00E817E3">
        <w:t> </w:t>
      </w:r>
      <w:r w:rsidR="0005254B" w:rsidRPr="00465DBB">
        <w:t>to</w:t>
      </w:r>
      <w:r w:rsidR="00E817E3">
        <w:t> </w:t>
      </w:r>
      <w:r w:rsidR="0005254B" w:rsidRPr="00465DBB">
        <w:t>&lt;</w:t>
      </w:r>
      <w:r w:rsidR="00E817E3">
        <w:t> </w:t>
      </w:r>
      <w:r w:rsidR="0005254B" w:rsidRPr="00465DBB">
        <w:t>$75,000</w:t>
      </w:r>
      <w:r w:rsidR="00E512AE" w:rsidRPr="00465DBB">
        <w:t xml:space="preserve">/QALY gained following </w:t>
      </w:r>
      <w:r w:rsidR="009F6354" w:rsidRPr="00465DBB">
        <w:t>correspondence to correct transplant cost during the evaluation (CORR021679 – Avacopan PBAC submission –</w:t>
      </w:r>
      <w:r w:rsidR="009F6354" w:rsidRPr="0029195A">
        <w:t xml:space="preserve"> Request for further information, dated 31</w:t>
      </w:r>
      <w:r w:rsidR="009F6354" w:rsidRPr="007543BF">
        <w:rPr>
          <w:vertAlign w:val="superscript"/>
        </w:rPr>
        <w:t>st</w:t>
      </w:r>
      <w:r w:rsidR="009F6354" w:rsidRPr="0029195A">
        <w:t xml:space="preserve"> March 2023).</w:t>
      </w:r>
      <w:r w:rsidR="00E512AE" w:rsidRPr="0029195A">
        <w:t>.</w:t>
      </w:r>
      <w:r w:rsidR="00114B63" w:rsidRPr="0029195A">
        <w:t xml:space="preserve"> Given the small impact of the correction, data as presented in the original economic model (Attachment 14) are used in throughout </w:t>
      </w:r>
      <w:r w:rsidR="00C00AA3" w:rsidRPr="0029195A">
        <w:t>the ESC advice</w:t>
      </w:r>
      <w:r w:rsidR="00114B63" w:rsidRPr="0029195A">
        <w:t>.</w:t>
      </w:r>
    </w:p>
    <w:p w14:paraId="2753B5A2" w14:textId="77777777" w:rsidR="007543BF" w:rsidRPr="006846C9" w:rsidRDefault="007543BF" w:rsidP="006C573C">
      <w:pPr>
        <w:rPr>
          <w:rFonts w:ascii="Arial Narrow" w:hAnsi="Arial Narrow"/>
          <w:i/>
          <w:sz w:val="18"/>
          <w:szCs w:val="18"/>
        </w:rPr>
      </w:pPr>
      <w:r w:rsidRPr="006846C9">
        <w:rPr>
          <w:rFonts w:ascii="Arial Narrow" w:hAnsi="Arial Narrow"/>
          <w:i/>
          <w:sz w:val="18"/>
          <w:szCs w:val="18"/>
        </w:rPr>
        <w:t xml:space="preserve">The redacted values correspond to the following ranges: </w:t>
      </w:r>
    </w:p>
    <w:p w14:paraId="516BBD6D" w14:textId="6C8A23C9" w:rsidR="007543BF" w:rsidRPr="006846C9" w:rsidRDefault="007543BF" w:rsidP="006C573C">
      <w:pPr>
        <w:rPr>
          <w:rFonts w:ascii="Arial Narrow" w:hAnsi="Arial Narrow"/>
          <w:i/>
          <w:sz w:val="18"/>
          <w:szCs w:val="18"/>
        </w:rPr>
      </w:pPr>
      <w:r w:rsidRPr="006846C9">
        <w:rPr>
          <w:rFonts w:ascii="Arial Narrow" w:hAnsi="Arial Narrow"/>
          <w:i/>
          <w:sz w:val="18"/>
          <w:szCs w:val="18"/>
          <w:vertAlign w:val="superscript"/>
        </w:rPr>
        <w:t>1</w:t>
      </w:r>
      <w:r w:rsidRPr="006846C9">
        <w:rPr>
          <w:rFonts w:ascii="Arial Narrow" w:hAnsi="Arial Narrow"/>
          <w:i/>
          <w:sz w:val="18"/>
          <w:szCs w:val="18"/>
        </w:rPr>
        <w:t xml:space="preserve"> $5,000 to &lt; $15,000</w:t>
      </w:r>
    </w:p>
    <w:p w14:paraId="2D4ED391" w14:textId="68D7D3A0" w:rsidR="007543BF" w:rsidRPr="006846C9" w:rsidRDefault="007543BF" w:rsidP="006C573C">
      <w:pPr>
        <w:rPr>
          <w:rFonts w:ascii="Arial Narrow" w:hAnsi="Arial Narrow"/>
          <w:i/>
          <w:sz w:val="18"/>
          <w:szCs w:val="18"/>
        </w:rPr>
      </w:pPr>
      <w:r w:rsidRPr="006846C9">
        <w:rPr>
          <w:rFonts w:ascii="Arial Narrow" w:hAnsi="Arial Narrow"/>
          <w:i/>
          <w:sz w:val="18"/>
          <w:szCs w:val="18"/>
          <w:vertAlign w:val="superscript"/>
        </w:rPr>
        <w:t>2</w:t>
      </w:r>
      <w:r w:rsidRPr="006846C9">
        <w:rPr>
          <w:rFonts w:ascii="Arial Narrow" w:hAnsi="Arial Narrow"/>
          <w:i/>
          <w:sz w:val="18"/>
          <w:szCs w:val="18"/>
        </w:rPr>
        <w:t xml:space="preserve"> &gt; $1,055,000</w:t>
      </w:r>
    </w:p>
    <w:p w14:paraId="44173AC4" w14:textId="3AE8FE7F" w:rsidR="007543BF" w:rsidRPr="006846C9" w:rsidRDefault="007543BF" w:rsidP="007543BF">
      <w:pPr>
        <w:rPr>
          <w:rFonts w:ascii="Arial Narrow" w:hAnsi="Arial Narrow"/>
          <w:i/>
          <w:sz w:val="18"/>
          <w:szCs w:val="18"/>
        </w:rPr>
      </w:pPr>
      <w:r w:rsidRPr="006846C9">
        <w:rPr>
          <w:rFonts w:ascii="Arial Narrow" w:hAnsi="Arial Narrow"/>
          <w:i/>
          <w:sz w:val="18"/>
          <w:szCs w:val="18"/>
          <w:vertAlign w:val="superscript"/>
        </w:rPr>
        <w:t>3</w:t>
      </w:r>
      <w:r w:rsidRPr="006846C9">
        <w:rPr>
          <w:rFonts w:ascii="Arial Narrow" w:hAnsi="Arial Narrow"/>
          <w:i/>
          <w:sz w:val="18"/>
          <w:szCs w:val="18"/>
        </w:rPr>
        <w:t xml:space="preserve"> $555,000 to &lt; $655,000</w:t>
      </w:r>
    </w:p>
    <w:p w14:paraId="4A3649EB" w14:textId="0DE45F31" w:rsidR="007543BF" w:rsidRPr="006846C9" w:rsidRDefault="007543BF" w:rsidP="007543BF">
      <w:pPr>
        <w:rPr>
          <w:rFonts w:ascii="Arial Narrow" w:hAnsi="Arial Narrow"/>
          <w:i/>
          <w:sz w:val="18"/>
          <w:szCs w:val="18"/>
        </w:rPr>
      </w:pPr>
      <w:r w:rsidRPr="006846C9">
        <w:rPr>
          <w:rFonts w:ascii="Arial Narrow" w:hAnsi="Arial Narrow"/>
          <w:i/>
          <w:sz w:val="18"/>
          <w:szCs w:val="18"/>
          <w:vertAlign w:val="superscript"/>
        </w:rPr>
        <w:lastRenderedPageBreak/>
        <w:t>4</w:t>
      </w:r>
      <w:r w:rsidRPr="006846C9">
        <w:rPr>
          <w:rFonts w:ascii="Arial Narrow" w:hAnsi="Arial Narrow"/>
          <w:i/>
          <w:sz w:val="18"/>
          <w:szCs w:val="18"/>
        </w:rPr>
        <w:t xml:space="preserve"> </w:t>
      </w:r>
      <w:r w:rsidR="004477E1" w:rsidRPr="006846C9">
        <w:rPr>
          <w:rFonts w:ascii="Arial Narrow" w:hAnsi="Arial Narrow"/>
          <w:i/>
          <w:sz w:val="18"/>
          <w:szCs w:val="18"/>
        </w:rPr>
        <w:t>$355,000 to &lt; $345,000</w:t>
      </w:r>
    </w:p>
    <w:p w14:paraId="1FBE989C" w14:textId="0587D0FB" w:rsidR="007543BF" w:rsidRPr="006846C9" w:rsidRDefault="007543BF" w:rsidP="007543BF">
      <w:pPr>
        <w:rPr>
          <w:rFonts w:ascii="Arial Narrow" w:hAnsi="Arial Narrow"/>
          <w:i/>
          <w:sz w:val="18"/>
          <w:szCs w:val="18"/>
        </w:rPr>
      </w:pPr>
      <w:r w:rsidRPr="006846C9">
        <w:rPr>
          <w:rFonts w:ascii="Arial Narrow" w:hAnsi="Arial Narrow"/>
          <w:i/>
          <w:sz w:val="18"/>
          <w:szCs w:val="18"/>
          <w:vertAlign w:val="superscript"/>
        </w:rPr>
        <w:t>5</w:t>
      </w:r>
      <w:r w:rsidRPr="006846C9">
        <w:rPr>
          <w:rFonts w:ascii="Arial Narrow" w:hAnsi="Arial Narrow"/>
          <w:i/>
          <w:sz w:val="18"/>
          <w:szCs w:val="18"/>
        </w:rPr>
        <w:t xml:space="preserve"> </w:t>
      </w:r>
      <w:r w:rsidR="004477E1" w:rsidRPr="006846C9">
        <w:rPr>
          <w:rFonts w:ascii="Arial Narrow" w:hAnsi="Arial Narrow"/>
          <w:i/>
          <w:sz w:val="18"/>
          <w:szCs w:val="18"/>
        </w:rPr>
        <w:t>$255,000 to &lt; $355,000</w:t>
      </w:r>
    </w:p>
    <w:p w14:paraId="6DF16326" w14:textId="76132E67" w:rsidR="007543BF" w:rsidRPr="006846C9" w:rsidRDefault="007543BF" w:rsidP="007543BF">
      <w:pPr>
        <w:rPr>
          <w:rFonts w:ascii="Arial Narrow" w:hAnsi="Arial Narrow"/>
          <w:i/>
          <w:sz w:val="18"/>
          <w:szCs w:val="18"/>
        </w:rPr>
      </w:pPr>
      <w:r w:rsidRPr="006846C9">
        <w:rPr>
          <w:rFonts w:ascii="Arial Narrow" w:hAnsi="Arial Narrow"/>
          <w:i/>
          <w:sz w:val="18"/>
          <w:szCs w:val="18"/>
          <w:vertAlign w:val="superscript"/>
        </w:rPr>
        <w:t>6</w:t>
      </w:r>
      <w:r w:rsidRPr="006846C9">
        <w:rPr>
          <w:rFonts w:ascii="Arial Narrow" w:hAnsi="Arial Narrow"/>
          <w:i/>
          <w:sz w:val="18"/>
          <w:szCs w:val="18"/>
        </w:rPr>
        <w:t xml:space="preserve"> </w:t>
      </w:r>
      <w:r w:rsidR="00432A89" w:rsidRPr="006846C9">
        <w:rPr>
          <w:rFonts w:ascii="Arial Narrow" w:hAnsi="Arial Narrow"/>
          <w:i/>
          <w:sz w:val="18"/>
          <w:szCs w:val="18"/>
        </w:rPr>
        <w:t>$45,000 to &lt; $55,000</w:t>
      </w:r>
    </w:p>
    <w:p w14:paraId="1A4C6139" w14:textId="28EDB891" w:rsidR="007543BF" w:rsidRPr="009A6D58" w:rsidRDefault="007543BF" w:rsidP="007543BF">
      <w:pPr>
        <w:rPr>
          <w:rFonts w:ascii="Arial Narrow" w:hAnsi="Arial Narrow"/>
          <w:i/>
          <w:sz w:val="18"/>
          <w:szCs w:val="18"/>
        </w:rPr>
      </w:pPr>
      <w:r w:rsidRPr="006846C9">
        <w:rPr>
          <w:rFonts w:ascii="Arial Narrow" w:hAnsi="Arial Narrow"/>
          <w:i/>
          <w:sz w:val="18"/>
          <w:szCs w:val="18"/>
          <w:vertAlign w:val="superscript"/>
        </w:rPr>
        <w:t>7</w:t>
      </w:r>
      <w:r w:rsidRPr="006846C9">
        <w:rPr>
          <w:rFonts w:ascii="Arial Narrow" w:hAnsi="Arial Narrow"/>
          <w:i/>
          <w:sz w:val="18"/>
          <w:szCs w:val="18"/>
        </w:rPr>
        <w:t xml:space="preserve"> </w:t>
      </w:r>
      <w:r w:rsidR="00432A89" w:rsidRPr="006846C9">
        <w:rPr>
          <w:rFonts w:ascii="Arial Narrow" w:hAnsi="Arial Narrow"/>
          <w:i/>
          <w:sz w:val="18"/>
          <w:szCs w:val="18"/>
        </w:rPr>
        <w:t>$55,000 to &lt; $75,000</w:t>
      </w:r>
    </w:p>
    <w:p w14:paraId="40765A4D" w14:textId="77777777" w:rsidR="007543BF" w:rsidRPr="0029195A" w:rsidRDefault="007543BF" w:rsidP="009F6354">
      <w:pPr>
        <w:pStyle w:val="FooterTableFigure"/>
        <w:keepNext/>
      </w:pPr>
    </w:p>
    <w:p w14:paraId="4788834A" w14:textId="1FBCF170" w:rsidR="00E512AE" w:rsidRPr="0029195A" w:rsidRDefault="00E512AE" w:rsidP="007A6355">
      <w:pPr>
        <w:pStyle w:val="3-BodyText"/>
      </w:pPr>
      <w:r w:rsidRPr="0029195A">
        <w:t xml:space="preserve">The results of key univariate sensitivity analyses are summarised in </w:t>
      </w:r>
      <w:r w:rsidRPr="0029195A">
        <w:fldChar w:fldCharType="begin" w:fldLock="1"/>
      </w:r>
      <w:r w:rsidRPr="0029195A">
        <w:instrText xml:space="preserve"> REF _Ref104804865 \h </w:instrText>
      </w:r>
      <w:r w:rsidR="000E50E4" w:rsidRPr="0029195A">
        <w:instrText xml:space="preserve"> \* MERGEFORMAT </w:instrText>
      </w:r>
      <w:r w:rsidRPr="0029195A">
        <w:fldChar w:fldCharType="separate"/>
      </w:r>
      <w:r w:rsidR="001828CD" w:rsidRPr="0029195A">
        <w:t>Table 15</w:t>
      </w:r>
      <w:r w:rsidRPr="0029195A">
        <w:fldChar w:fldCharType="end"/>
      </w:r>
      <w:r w:rsidRPr="0029195A">
        <w:t xml:space="preserve">. In addition to the time horizon, in sensitivity analyses conducted during the evaluation </w:t>
      </w:r>
      <w:r w:rsidR="00D024FD" w:rsidRPr="0029195A">
        <w:t xml:space="preserve">the results were most sensitive to </w:t>
      </w:r>
      <w:r w:rsidRPr="0029195A">
        <w:t xml:space="preserve">alternative values for the treatment effect taken from ADVOCATE subgroup analyses. </w:t>
      </w:r>
    </w:p>
    <w:p w14:paraId="5B219356" w14:textId="2E872137" w:rsidR="00E512AE" w:rsidRPr="0029195A" w:rsidRDefault="00E512AE" w:rsidP="0017391C">
      <w:pPr>
        <w:pStyle w:val="Caption"/>
        <w:keepNext w:val="0"/>
        <w:keepLines w:val="0"/>
        <w:widowControl w:val="0"/>
        <w:rPr>
          <w:rStyle w:val="CommentReference"/>
          <w:b/>
          <w:szCs w:val="24"/>
        </w:rPr>
      </w:pPr>
      <w:bookmarkStart w:id="64" w:name="_Ref104804865"/>
      <w:r w:rsidRPr="0029195A">
        <w:t xml:space="preserve">Table </w:t>
      </w:r>
      <w:r w:rsidRPr="0029195A">
        <w:fldChar w:fldCharType="begin" w:fldLock="1"/>
      </w:r>
      <w:r w:rsidRPr="0029195A">
        <w:instrText>SEQ Table \* ARABIC</w:instrText>
      </w:r>
      <w:r w:rsidRPr="0029195A">
        <w:fldChar w:fldCharType="separate"/>
      </w:r>
      <w:r w:rsidR="00631406" w:rsidRPr="0029195A">
        <w:t>15</w:t>
      </w:r>
      <w:r w:rsidRPr="0029195A">
        <w:fldChar w:fldCharType="end"/>
      </w:r>
      <w:bookmarkEnd w:id="64"/>
      <w:r w:rsidRPr="0029195A">
        <w:t>:</w:t>
      </w:r>
      <w:r w:rsidRPr="0029195A">
        <w:rPr>
          <w:rStyle w:val="CommentReference"/>
          <w:b/>
          <w:szCs w:val="24"/>
        </w:rPr>
        <w:t xml:space="preserve"> Sensitivity analyses</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92"/>
        <w:gridCol w:w="1401"/>
        <w:gridCol w:w="1137"/>
        <w:gridCol w:w="1401"/>
        <w:gridCol w:w="1986"/>
      </w:tblGrid>
      <w:tr w:rsidR="00E512AE" w:rsidRPr="0029195A" w14:paraId="450CF141" w14:textId="77777777" w:rsidTr="00A26F4F">
        <w:trPr>
          <w:tblHeader/>
        </w:trPr>
        <w:tc>
          <w:tcPr>
            <w:tcW w:w="1714" w:type="pct"/>
            <w:tcBorders>
              <w:top w:val="single" w:sz="4" w:space="0" w:color="auto"/>
              <w:bottom w:val="single" w:sz="4" w:space="0" w:color="auto"/>
              <w:right w:val="single" w:sz="4" w:space="0" w:color="auto"/>
            </w:tcBorders>
          </w:tcPr>
          <w:p w14:paraId="321E21D6" w14:textId="77777777" w:rsidR="00E512AE" w:rsidRPr="0029195A" w:rsidRDefault="00E512AE" w:rsidP="0017391C">
            <w:pPr>
              <w:pStyle w:val="In-tableHeading"/>
              <w:keepNext w:val="0"/>
              <w:widowControl w:val="0"/>
              <w:rPr>
                <w:lang w:val="en-AU"/>
              </w:rPr>
            </w:pPr>
            <w:r w:rsidRPr="0029195A">
              <w:rPr>
                <w:lang w:val="en-AU"/>
              </w:rPr>
              <w:t>Analyses</w:t>
            </w:r>
          </w:p>
        </w:tc>
        <w:tc>
          <w:tcPr>
            <w:tcW w:w="777" w:type="pct"/>
            <w:tcBorders>
              <w:top w:val="single" w:sz="4" w:space="0" w:color="auto"/>
              <w:left w:val="single" w:sz="4" w:space="0" w:color="auto"/>
              <w:bottom w:val="single" w:sz="4" w:space="0" w:color="auto"/>
              <w:right w:val="single" w:sz="4" w:space="0" w:color="auto"/>
            </w:tcBorders>
          </w:tcPr>
          <w:p w14:paraId="4904CF2E" w14:textId="1D4B86F8" w:rsidR="00E512AE" w:rsidRPr="0029195A" w:rsidRDefault="00E512AE" w:rsidP="0017391C">
            <w:pPr>
              <w:pStyle w:val="In-tableHeading"/>
              <w:keepNext w:val="0"/>
              <w:widowControl w:val="0"/>
              <w:jc w:val="center"/>
              <w:rPr>
                <w:lang w:val="en-AU"/>
              </w:rPr>
            </w:pPr>
            <w:r w:rsidRPr="0029195A">
              <w:rPr>
                <w:lang w:val="en-AU"/>
              </w:rPr>
              <w:t>Incremental cost</w:t>
            </w:r>
            <w:r w:rsidR="00127C86">
              <w:rPr>
                <w:lang w:val="en-AU"/>
              </w:rPr>
              <w:t xml:space="preserve"> ($)</w:t>
            </w:r>
          </w:p>
        </w:tc>
        <w:tc>
          <w:tcPr>
            <w:tcW w:w="630" w:type="pct"/>
            <w:tcBorders>
              <w:top w:val="single" w:sz="4" w:space="0" w:color="auto"/>
              <w:left w:val="single" w:sz="4" w:space="0" w:color="auto"/>
              <w:bottom w:val="single" w:sz="4" w:space="0" w:color="auto"/>
              <w:right w:val="single" w:sz="4" w:space="0" w:color="auto"/>
            </w:tcBorders>
          </w:tcPr>
          <w:p w14:paraId="588CF9A4" w14:textId="77777777" w:rsidR="00E512AE" w:rsidRPr="0029195A" w:rsidRDefault="00E512AE" w:rsidP="0017391C">
            <w:pPr>
              <w:pStyle w:val="In-tableHeading"/>
              <w:keepNext w:val="0"/>
              <w:widowControl w:val="0"/>
              <w:jc w:val="center"/>
              <w:rPr>
                <w:lang w:val="en-AU"/>
              </w:rPr>
            </w:pPr>
            <w:r w:rsidRPr="0029195A">
              <w:rPr>
                <w:lang w:val="en-AU"/>
              </w:rPr>
              <w:t>Incremental QALY</w:t>
            </w:r>
          </w:p>
        </w:tc>
        <w:tc>
          <w:tcPr>
            <w:tcW w:w="777" w:type="pct"/>
            <w:tcBorders>
              <w:top w:val="single" w:sz="4" w:space="0" w:color="auto"/>
              <w:left w:val="single" w:sz="4" w:space="0" w:color="auto"/>
              <w:bottom w:val="single" w:sz="4" w:space="0" w:color="auto"/>
              <w:right w:val="single" w:sz="4" w:space="0" w:color="auto"/>
            </w:tcBorders>
          </w:tcPr>
          <w:p w14:paraId="3351F1EE" w14:textId="77777777" w:rsidR="00E512AE" w:rsidRPr="0029195A" w:rsidRDefault="00E512AE" w:rsidP="0017391C">
            <w:pPr>
              <w:pStyle w:val="In-tableHeading"/>
              <w:keepNext w:val="0"/>
              <w:widowControl w:val="0"/>
              <w:jc w:val="center"/>
              <w:rPr>
                <w:lang w:val="en-AU"/>
              </w:rPr>
            </w:pPr>
            <w:r w:rsidRPr="0029195A">
              <w:rPr>
                <w:lang w:val="en-AU"/>
              </w:rPr>
              <w:t>ICER</w:t>
            </w:r>
          </w:p>
        </w:tc>
        <w:tc>
          <w:tcPr>
            <w:tcW w:w="1101" w:type="pct"/>
            <w:tcBorders>
              <w:top w:val="single" w:sz="4" w:space="0" w:color="auto"/>
              <w:left w:val="single" w:sz="4" w:space="0" w:color="auto"/>
              <w:bottom w:val="single" w:sz="4" w:space="0" w:color="auto"/>
            </w:tcBorders>
          </w:tcPr>
          <w:p w14:paraId="69BAF9C5" w14:textId="77777777" w:rsidR="00E512AE" w:rsidRPr="0029195A" w:rsidRDefault="00E512AE" w:rsidP="0017391C">
            <w:pPr>
              <w:pStyle w:val="In-tableHeading"/>
              <w:keepNext w:val="0"/>
              <w:widowControl w:val="0"/>
              <w:jc w:val="center"/>
              <w:rPr>
                <w:lang w:val="en-AU"/>
              </w:rPr>
            </w:pPr>
            <w:r w:rsidRPr="0029195A">
              <w:rPr>
                <w:lang w:val="en-AU"/>
              </w:rPr>
              <w:t>% change in ICER</w:t>
            </w:r>
          </w:p>
        </w:tc>
      </w:tr>
      <w:tr w:rsidR="00E512AE" w:rsidRPr="0029195A" w14:paraId="2AE541DF" w14:textId="77777777" w:rsidTr="00A26F4F">
        <w:tc>
          <w:tcPr>
            <w:tcW w:w="1714" w:type="pct"/>
            <w:tcBorders>
              <w:top w:val="single" w:sz="4" w:space="0" w:color="auto"/>
              <w:bottom w:val="single" w:sz="4" w:space="0" w:color="auto"/>
              <w:right w:val="single" w:sz="4" w:space="0" w:color="auto"/>
            </w:tcBorders>
          </w:tcPr>
          <w:p w14:paraId="1C9019AA" w14:textId="77777777" w:rsidR="00E512AE" w:rsidRPr="0029195A" w:rsidRDefault="00E512AE" w:rsidP="0017391C">
            <w:pPr>
              <w:pStyle w:val="TableText0"/>
              <w:keepNext w:val="0"/>
              <w:widowControl w:val="0"/>
              <w:rPr>
                <w:b/>
              </w:rPr>
            </w:pPr>
            <w:r w:rsidRPr="0029195A">
              <w:rPr>
                <w:b/>
              </w:rPr>
              <w:t>Base case</w:t>
            </w:r>
          </w:p>
        </w:tc>
        <w:tc>
          <w:tcPr>
            <w:tcW w:w="777" w:type="pct"/>
            <w:tcBorders>
              <w:top w:val="single" w:sz="4" w:space="0" w:color="auto"/>
              <w:left w:val="single" w:sz="4" w:space="0" w:color="auto"/>
              <w:bottom w:val="single" w:sz="4" w:space="0" w:color="auto"/>
              <w:right w:val="single" w:sz="4" w:space="0" w:color="auto"/>
            </w:tcBorders>
            <w:shd w:val="solid" w:color="000000" w:fill="000000"/>
          </w:tcPr>
          <w:p w14:paraId="5F355A6F" w14:textId="77F213AE" w:rsidR="00E512AE" w:rsidRPr="0029195A" w:rsidRDefault="00A26F4F" w:rsidP="0017391C">
            <w:pPr>
              <w:pStyle w:val="TableText0"/>
              <w:keepNext w:val="0"/>
              <w:widowControl w:val="0"/>
              <w:jc w:val="center"/>
              <w:rPr>
                <w:b/>
                <w:bCs w:val="0"/>
              </w:rPr>
            </w:pPr>
            <w:r w:rsidRPr="00A26F4F">
              <w:rPr>
                <w:b/>
                <w:bCs w:val="0"/>
                <w:color w:val="000000"/>
                <w14:textFill>
                  <w14:solidFill>
                    <w14:srgbClr w14:val="000000">
                      <w14:alpha w14:val="100000"/>
                    </w14:srgbClr>
                  </w14:solidFill>
                </w14:textFill>
              </w:rPr>
              <w:t>|</w:t>
            </w:r>
          </w:p>
        </w:tc>
        <w:tc>
          <w:tcPr>
            <w:tcW w:w="630" w:type="pct"/>
            <w:tcBorders>
              <w:top w:val="single" w:sz="4" w:space="0" w:color="auto"/>
              <w:left w:val="single" w:sz="4" w:space="0" w:color="auto"/>
              <w:bottom w:val="single" w:sz="4" w:space="0" w:color="auto"/>
              <w:right w:val="single" w:sz="4" w:space="0" w:color="auto"/>
            </w:tcBorders>
          </w:tcPr>
          <w:p w14:paraId="1CDB3FB3" w14:textId="77777777" w:rsidR="00E512AE" w:rsidRPr="0029195A" w:rsidRDefault="00E512AE" w:rsidP="0017391C">
            <w:pPr>
              <w:pStyle w:val="TableText0"/>
              <w:keepNext w:val="0"/>
              <w:widowControl w:val="0"/>
              <w:jc w:val="center"/>
              <w:rPr>
                <w:b/>
                <w:bCs w:val="0"/>
              </w:rPr>
            </w:pPr>
            <w:r w:rsidRPr="0029195A">
              <w:rPr>
                <w:b/>
                <w:bCs w:val="0"/>
              </w:rPr>
              <w:t>0.87</w:t>
            </w:r>
          </w:p>
        </w:tc>
        <w:tc>
          <w:tcPr>
            <w:tcW w:w="777" w:type="pct"/>
            <w:tcBorders>
              <w:top w:val="single" w:sz="4" w:space="0" w:color="auto"/>
              <w:left w:val="single" w:sz="4" w:space="0" w:color="auto"/>
              <w:bottom w:val="single" w:sz="4" w:space="0" w:color="auto"/>
              <w:right w:val="single" w:sz="4" w:space="0" w:color="auto"/>
            </w:tcBorders>
          </w:tcPr>
          <w:p w14:paraId="222774AB" w14:textId="007CAB7B" w:rsidR="00E512AE" w:rsidRPr="0060423B" w:rsidRDefault="00A26F4F" w:rsidP="0017391C">
            <w:pPr>
              <w:pStyle w:val="TableText0"/>
              <w:keepNext w:val="0"/>
              <w:widowControl w:val="0"/>
              <w:jc w:val="center"/>
              <w:rPr>
                <w:b/>
                <w:bCs w:val="0"/>
                <w:vertAlign w:val="superscript"/>
              </w:rPr>
            </w:pPr>
            <w:r w:rsidRPr="00B10578">
              <w:rPr>
                <w:rFonts w:hint="eastAsia"/>
                <w:b/>
                <w:bCs w:val="0"/>
                <w:color w:val="000000"/>
                <w:w w:val="15"/>
                <w:shd w:val="solid" w:color="000000" w:fill="000000"/>
                <w:fitText w:val="15" w:id="-1168989690"/>
                <w14:textFill>
                  <w14:solidFill>
                    <w14:srgbClr w14:val="000000">
                      <w14:alpha w14:val="100000"/>
                    </w14:srgbClr>
                  </w14:solidFill>
                </w14:textFill>
              </w:rPr>
              <w:t xml:space="preserve">　</w:t>
            </w:r>
            <w:r w:rsidRPr="00B10578">
              <w:rPr>
                <w:b/>
                <w:bCs w:val="0"/>
                <w:color w:val="000000"/>
                <w:w w:val="15"/>
                <w:shd w:val="solid" w:color="000000" w:fill="000000"/>
                <w:fitText w:val="15" w:id="-1168989690"/>
                <w14:textFill>
                  <w14:solidFill>
                    <w14:srgbClr w14:val="000000">
                      <w14:alpha w14:val="100000"/>
                    </w14:srgbClr>
                  </w14:solidFill>
                </w14:textFill>
              </w:rPr>
              <w:t>|</w:t>
            </w:r>
            <w:r w:rsidRPr="00B10578">
              <w:rPr>
                <w:rFonts w:hint="eastAsia"/>
                <w:b/>
                <w:bCs w:val="0"/>
                <w:color w:val="000000"/>
                <w:spacing w:val="-51"/>
                <w:w w:val="15"/>
                <w:shd w:val="solid" w:color="000000" w:fill="000000"/>
                <w:fitText w:val="15" w:id="-1168989690"/>
                <w14:textFill>
                  <w14:solidFill>
                    <w14:srgbClr w14:val="000000">
                      <w14:alpha w14:val="100000"/>
                    </w14:srgbClr>
                  </w14:solidFill>
                </w14:textFill>
              </w:rPr>
              <w:t xml:space="preserve">　</w:t>
            </w:r>
            <w:r w:rsidR="0060423B" w:rsidRPr="0060423B">
              <w:rPr>
                <w:vertAlign w:val="superscript"/>
              </w:rPr>
              <w:t>1</w:t>
            </w:r>
          </w:p>
        </w:tc>
        <w:tc>
          <w:tcPr>
            <w:tcW w:w="1101" w:type="pct"/>
            <w:tcBorders>
              <w:top w:val="single" w:sz="4" w:space="0" w:color="auto"/>
              <w:left w:val="single" w:sz="4" w:space="0" w:color="auto"/>
              <w:bottom w:val="single" w:sz="4" w:space="0" w:color="auto"/>
            </w:tcBorders>
          </w:tcPr>
          <w:p w14:paraId="5EB39844" w14:textId="77777777" w:rsidR="00E512AE" w:rsidRPr="0029195A" w:rsidRDefault="00E512AE" w:rsidP="0017391C">
            <w:pPr>
              <w:pStyle w:val="TableText0"/>
              <w:keepNext w:val="0"/>
              <w:widowControl w:val="0"/>
              <w:jc w:val="center"/>
              <w:rPr>
                <w:b/>
              </w:rPr>
            </w:pPr>
          </w:p>
        </w:tc>
      </w:tr>
      <w:tr w:rsidR="00E512AE" w:rsidRPr="0029195A" w14:paraId="24C3B66F" w14:textId="77777777" w:rsidTr="00A26F4F">
        <w:tc>
          <w:tcPr>
            <w:tcW w:w="1714" w:type="pct"/>
            <w:tcBorders>
              <w:top w:val="single" w:sz="4" w:space="0" w:color="auto"/>
              <w:bottom w:val="nil"/>
              <w:right w:val="single" w:sz="4" w:space="0" w:color="auto"/>
            </w:tcBorders>
          </w:tcPr>
          <w:p w14:paraId="381CC155" w14:textId="77777777" w:rsidR="00E512AE" w:rsidRPr="0029195A" w:rsidRDefault="00E512AE" w:rsidP="0017391C">
            <w:pPr>
              <w:pStyle w:val="TableText0"/>
              <w:keepNext w:val="0"/>
              <w:widowControl w:val="0"/>
              <w:rPr>
                <w:u w:val="single"/>
              </w:rPr>
            </w:pPr>
            <w:r w:rsidRPr="0029195A">
              <w:rPr>
                <w:u w:val="single"/>
              </w:rPr>
              <w:t>Discount rate (base case 5% costs and outcomes)</w:t>
            </w:r>
          </w:p>
        </w:tc>
        <w:tc>
          <w:tcPr>
            <w:tcW w:w="777" w:type="pct"/>
            <w:tcBorders>
              <w:top w:val="single" w:sz="4" w:space="0" w:color="auto"/>
              <w:left w:val="single" w:sz="4" w:space="0" w:color="auto"/>
              <w:bottom w:val="nil"/>
              <w:right w:val="single" w:sz="4" w:space="0" w:color="auto"/>
            </w:tcBorders>
          </w:tcPr>
          <w:p w14:paraId="4231B1FF" w14:textId="77777777" w:rsidR="00E512AE" w:rsidRPr="0029195A" w:rsidRDefault="00E512AE" w:rsidP="0017391C">
            <w:pPr>
              <w:pStyle w:val="TableText0"/>
              <w:keepNext w:val="0"/>
              <w:widowControl w:val="0"/>
              <w:jc w:val="center"/>
              <w:rPr>
                <w:bCs w:val="0"/>
              </w:rPr>
            </w:pPr>
          </w:p>
        </w:tc>
        <w:tc>
          <w:tcPr>
            <w:tcW w:w="630" w:type="pct"/>
            <w:tcBorders>
              <w:top w:val="single" w:sz="4" w:space="0" w:color="auto"/>
              <w:left w:val="single" w:sz="4" w:space="0" w:color="auto"/>
              <w:bottom w:val="nil"/>
              <w:right w:val="single" w:sz="4" w:space="0" w:color="auto"/>
            </w:tcBorders>
          </w:tcPr>
          <w:p w14:paraId="07864E7E" w14:textId="77777777" w:rsidR="00E512AE" w:rsidRPr="0029195A" w:rsidRDefault="00E512AE" w:rsidP="0017391C">
            <w:pPr>
              <w:pStyle w:val="TableText0"/>
              <w:keepNext w:val="0"/>
              <w:widowControl w:val="0"/>
              <w:jc w:val="center"/>
              <w:rPr>
                <w:bCs w:val="0"/>
              </w:rPr>
            </w:pPr>
          </w:p>
        </w:tc>
        <w:tc>
          <w:tcPr>
            <w:tcW w:w="777" w:type="pct"/>
            <w:tcBorders>
              <w:top w:val="single" w:sz="4" w:space="0" w:color="auto"/>
              <w:left w:val="single" w:sz="4" w:space="0" w:color="auto"/>
              <w:bottom w:val="nil"/>
              <w:right w:val="single" w:sz="4" w:space="0" w:color="auto"/>
            </w:tcBorders>
          </w:tcPr>
          <w:p w14:paraId="467DFCDB" w14:textId="77777777" w:rsidR="00E512AE" w:rsidRPr="0029195A" w:rsidRDefault="00E512AE" w:rsidP="0017391C">
            <w:pPr>
              <w:pStyle w:val="TableText0"/>
              <w:keepNext w:val="0"/>
              <w:widowControl w:val="0"/>
              <w:jc w:val="center"/>
              <w:rPr>
                <w:bCs w:val="0"/>
              </w:rPr>
            </w:pPr>
          </w:p>
        </w:tc>
        <w:tc>
          <w:tcPr>
            <w:tcW w:w="1101" w:type="pct"/>
            <w:tcBorders>
              <w:top w:val="single" w:sz="4" w:space="0" w:color="auto"/>
              <w:left w:val="single" w:sz="4" w:space="0" w:color="auto"/>
              <w:bottom w:val="nil"/>
            </w:tcBorders>
          </w:tcPr>
          <w:p w14:paraId="6A5A4987" w14:textId="77777777" w:rsidR="00E512AE" w:rsidRPr="0029195A" w:rsidRDefault="00E512AE" w:rsidP="0017391C">
            <w:pPr>
              <w:pStyle w:val="TableText0"/>
              <w:keepNext w:val="0"/>
              <w:widowControl w:val="0"/>
              <w:jc w:val="center"/>
              <w:rPr>
                <w:bCs w:val="0"/>
              </w:rPr>
            </w:pPr>
          </w:p>
        </w:tc>
      </w:tr>
      <w:tr w:rsidR="00E512AE" w:rsidRPr="0029195A" w14:paraId="26B1A699" w14:textId="77777777" w:rsidTr="00A26F4F">
        <w:tc>
          <w:tcPr>
            <w:tcW w:w="1714" w:type="pct"/>
            <w:tcBorders>
              <w:top w:val="nil"/>
              <w:bottom w:val="nil"/>
              <w:right w:val="single" w:sz="4" w:space="0" w:color="auto"/>
            </w:tcBorders>
          </w:tcPr>
          <w:p w14:paraId="033A7381" w14:textId="77777777" w:rsidR="00E512AE" w:rsidRPr="0029195A" w:rsidRDefault="00E512AE" w:rsidP="00935C0C">
            <w:pPr>
              <w:pStyle w:val="TableText0"/>
              <w:keepNext w:val="0"/>
              <w:widowControl w:val="0"/>
              <w:numPr>
                <w:ilvl w:val="0"/>
                <w:numId w:val="6"/>
              </w:numPr>
            </w:pPr>
            <w:r w:rsidRPr="0029195A">
              <w:t>0% costs and outcomes</w:t>
            </w:r>
          </w:p>
        </w:tc>
        <w:tc>
          <w:tcPr>
            <w:tcW w:w="777" w:type="pct"/>
            <w:tcBorders>
              <w:top w:val="nil"/>
              <w:left w:val="single" w:sz="4" w:space="0" w:color="auto"/>
              <w:bottom w:val="nil"/>
              <w:right w:val="single" w:sz="4" w:space="0" w:color="auto"/>
            </w:tcBorders>
            <w:shd w:val="solid" w:color="000000" w:fill="000000"/>
          </w:tcPr>
          <w:p w14:paraId="746DD1A9" w14:textId="6BBD83F1" w:rsidR="00E512AE" w:rsidRPr="00127C86" w:rsidRDefault="00A26F4F" w:rsidP="0017391C">
            <w:pPr>
              <w:pStyle w:val="TableText0"/>
              <w:keepNext w:val="0"/>
              <w:widowControl w:val="0"/>
              <w:jc w:val="center"/>
              <w:rPr>
                <w:bCs w:val="0"/>
                <w:highlight w:val="darkGray"/>
              </w:rPr>
            </w:pPr>
            <w:r w:rsidRPr="00A26F4F">
              <w:rPr>
                <w:color w:val="000000"/>
                <w14:textFill>
                  <w14:solidFill>
                    <w14:srgbClr w14:val="000000">
                      <w14:alpha w14:val="100000"/>
                    </w14:srgbClr>
                  </w14:solidFill>
                </w14:textFill>
              </w:rPr>
              <w:t>|</w:t>
            </w:r>
          </w:p>
        </w:tc>
        <w:tc>
          <w:tcPr>
            <w:tcW w:w="630" w:type="pct"/>
            <w:tcBorders>
              <w:top w:val="nil"/>
              <w:left w:val="single" w:sz="4" w:space="0" w:color="auto"/>
              <w:bottom w:val="nil"/>
              <w:right w:val="single" w:sz="4" w:space="0" w:color="auto"/>
            </w:tcBorders>
          </w:tcPr>
          <w:p w14:paraId="34112A46" w14:textId="77777777" w:rsidR="00E512AE" w:rsidRPr="0029195A" w:rsidRDefault="00E512AE" w:rsidP="0017391C">
            <w:pPr>
              <w:pStyle w:val="TableText0"/>
              <w:keepNext w:val="0"/>
              <w:widowControl w:val="0"/>
              <w:jc w:val="center"/>
              <w:rPr>
                <w:bCs w:val="0"/>
              </w:rPr>
            </w:pPr>
            <w:r w:rsidRPr="0029195A">
              <w:t>1.670</w:t>
            </w:r>
          </w:p>
        </w:tc>
        <w:tc>
          <w:tcPr>
            <w:tcW w:w="777" w:type="pct"/>
            <w:tcBorders>
              <w:top w:val="nil"/>
              <w:left w:val="single" w:sz="4" w:space="0" w:color="auto"/>
              <w:bottom w:val="nil"/>
              <w:right w:val="single" w:sz="4" w:space="0" w:color="auto"/>
            </w:tcBorders>
          </w:tcPr>
          <w:p w14:paraId="118F7CCD" w14:textId="24EC47FE" w:rsidR="00E512AE" w:rsidRPr="0060423B" w:rsidRDefault="00A26F4F" w:rsidP="0017391C">
            <w:pPr>
              <w:pStyle w:val="TableText0"/>
              <w:keepNext w:val="0"/>
              <w:widowControl w:val="0"/>
              <w:jc w:val="center"/>
              <w:rPr>
                <w:bCs w:val="0"/>
                <w:highlight w:val="darkGray"/>
                <w:vertAlign w:val="superscript"/>
              </w:rPr>
            </w:pPr>
            <w:r w:rsidRPr="00A26F4F">
              <w:rPr>
                <w:color w:val="000000"/>
                <w:shd w:val="solid" w:color="000000" w:fill="000000"/>
                <w14:textFill>
                  <w14:solidFill>
                    <w14:srgbClr w14:val="000000">
                      <w14:alpha w14:val="100000"/>
                    </w14:srgbClr>
                  </w14:solidFill>
                </w14:textFill>
              </w:rPr>
              <w:t>|</w:t>
            </w:r>
            <w:r w:rsidR="0060423B" w:rsidRPr="0060423B">
              <w:rPr>
                <w:vertAlign w:val="superscript"/>
              </w:rPr>
              <w:t>2</w:t>
            </w:r>
          </w:p>
        </w:tc>
        <w:tc>
          <w:tcPr>
            <w:tcW w:w="1101" w:type="pct"/>
            <w:tcBorders>
              <w:top w:val="nil"/>
              <w:left w:val="single" w:sz="4" w:space="0" w:color="auto"/>
              <w:bottom w:val="nil"/>
            </w:tcBorders>
            <w:vAlign w:val="center"/>
          </w:tcPr>
          <w:p w14:paraId="48B36EE2" w14:textId="77777777" w:rsidR="00E512AE" w:rsidRPr="00DB11CB" w:rsidRDefault="00E512AE" w:rsidP="0017391C">
            <w:pPr>
              <w:pStyle w:val="TableText0"/>
              <w:keepNext w:val="0"/>
              <w:widowControl w:val="0"/>
              <w:jc w:val="center"/>
              <w:rPr>
                <w:bCs w:val="0"/>
                <w:highlight w:val="yellow"/>
              </w:rPr>
            </w:pPr>
            <w:r w:rsidRPr="00465DBB">
              <w:rPr>
                <w:rFonts w:cs="Calibri"/>
                <w:color w:val="000000"/>
                <w:szCs w:val="20"/>
              </w:rPr>
              <w:t>-53%</w:t>
            </w:r>
          </w:p>
        </w:tc>
      </w:tr>
      <w:tr w:rsidR="00E512AE" w:rsidRPr="0029195A" w14:paraId="1CC445A5" w14:textId="77777777" w:rsidTr="00A26F4F">
        <w:tc>
          <w:tcPr>
            <w:tcW w:w="1714" w:type="pct"/>
            <w:tcBorders>
              <w:top w:val="nil"/>
              <w:bottom w:val="single" w:sz="4" w:space="0" w:color="auto"/>
              <w:right w:val="single" w:sz="4" w:space="0" w:color="auto"/>
            </w:tcBorders>
          </w:tcPr>
          <w:p w14:paraId="085114E6" w14:textId="77777777" w:rsidR="00E512AE" w:rsidRPr="0029195A" w:rsidRDefault="00E512AE" w:rsidP="00935C0C">
            <w:pPr>
              <w:pStyle w:val="TableText0"/>
              <w:keepNext w:val="0"/>
              <w:widowControl w:val="0"/>
              <w:numPr>
                <w:ilvl w:val="0"/>
                <w:numId w:val="6"/>
              </w:numPr>
              <w:rPr>
                <w:bCs w:val="0"/>
              </w:rPr>
            </w:pPr>
            <w:r w:rsidRPr="0029195A">
              <w:t>3.5% costs and outcomes</w:t>
            </w:r>
          </w:p>
        </w:tc>
        <w:tc>
          <w:tcPr>
            <w:tcW w:w="777" w:type="pct"/>
            <w:tcBorders>
              <w:top w:val="nil"/>
              <w:left w:val="single" w:sz="4" w:space="0" w:color="auto"/>
              <w:bottom w:val="single" w:sz="4" w:space="0" w:color="auto"/>
              <w:right w:val="single" w:sz="4" w:space="0" w:color="auto"/>
            </w:tcBorders>
            <w:shd w:val="solid" w:color="000000" w:fill="000000"/>
          </w:tcPr>
          <w:p w14:paraId="299B82D0" w14:textId="43EE1483" w:rsidR="00E512AE" w:rsidRPr="00127C86" w:rsidRDefault="00A26F4F" w:rsidP="0017391C">
            <w:pPr>
              <w:pStyle w:val="TableText0"/>
              <w:keepNext w:val="0"/>
              <w:widowControl w:val="0"/>
              <w:jc w:val="center"/>
              <w:rPr>
                <w:bCs w:val="0"/>
                <w:highlight w:val="darkGray"/>
              </w:rPr>
            </w:pPr>
            <w:r w:rsidRPr="00A26F4F">
              <w:rPr>
                <w:color w:val="000000"/>
                <w14:textFill>
                  <w14:solidFill>
                    <w14:srgbClr w14:val="000000">
                      <w14:alpha w14:val="100000"/>
                    </w14:srgbClr>
                  </w14:solidFill>
                </w14:textFill>
              </w:rPr>
              <w:t>|</w:t>
            </w:r>
          </w:p>
        </w:tc>
        <w:tc>
          <w:tcPr>
            <w:tcW w:w="630" w:type="pct"/>
            <w:tcBorders>
              <w:top w:val="nil"/>
              <w:left w:val="single" w:sz="4" w:space="0" w:color="auto"/>
              <w:bottom w:val="single" w:sz="4" w:space="0" w:color="auto"/>
              <w:right w:val="single" w:sz="4" w:space="0" w:color="auto"/>
            </w:tcBorders>
          </w:tcPr>
          <w:p w14:paraId="4DF6356F" w14:textId="77777777" w:rsidR="00E512AE" w:rsidRPr="0029195A" w:rsidRDefault="00E512AE" w:rsidP="0017391C">
            <w:pPr>
              <w:pStyle w:val="TableText0"/>
              <w:keepNext w:val="0"/>
              <w:widowControl w:val="0"/>
              <w:jc w:val="center"/>
              <w:rPr>
                <w:bCs w:val="0"/>
              </w:rPr>
            </w:pPr>
            <w:r w:rsidRPr="0029195A">
              <w:t>1.047</w:t>
            </w:r>
          </w:p>
        </w:tc>
        <w:tc>
          <w:tcPr>
            <w:tcW w:w="777" w:type="pct"/>
            <w:tcBorders>
              <w:top w:val="nil"/>
              <w:left w:val="single" w:sz="4" w:space="0" w:color="auto"/>
              <w:bottom w:val="single" w:sz="4" w:space="0" w:color="auto"/>
              <w:right w:val="single" w:sz="4" w:space="0" w:color="auto"/>
            </w:tcBorders>
          </w:tcPr>
          <w:p w14:paraId="796CD549" w14:textId="5B98FEDA" w:rsidR="00E512AE" w:rsidRPr="00127C86" w:rsidRDefault="00A26F4F" w:rsidP="0017391C">
            <w:pPr>
              <w:pStyle w:val="TableText0"/>
              <w:keepNext w:val="0"/>
              <w:widowControl w:val="0"/>
              <w:jc w:val="center"/>
              <w:rPr>
                <w:bCs w:val="0"/>
                <w:highlight w:val="darkGray"/>
              </w:rPr>
            </w:pPr>
            <w:r w:rsidRPr="00A26F4F">
              <w:rPr>
                <w:color w:val="000000"/>
                <w:shd w:val="solid" w:color="000000" w:fill="000000"/>
                <w14:textFill>
                  <w14:solidFill>
                    <w14:srgbClr w14:val="000000">
                      <w14:alpha w14:val="100000"/>
                    </w14:srgbClr>
                  </w14:solidFill>
                </w14:textFill>
              </w:rPr>
              <w:t>|</w:t>
            </w:r>
            <w:r w:rsidR="0060423B" w:rsidRPr="0060423B">
              <w:rPr>
                <w:vertAlign w:val="superscript"/>
              </w:rPr>
              <w:t>1</w:t>
            </w:r>
          </w:p>
        </w:tc>
        <w:tc>
          <w:tcPr>
            <w:tcW w:w="1101" w:type="pct"/>
            <w:tcBorders>
              <w:top w:val="nil"/>
              <w:left w:val="single" w:sz="4" w:space="0" w:color="auto"/>
              <w:bottom w:val="single" w:sz="4" w:space="0" w:color="auto"/>
            </w:tcBorders>
            <w:vAlign w:val="center"/>
          </w:tcPr>
          <w:p w14:paraId="5F3F5C49" w14:textId="77777777" w:rsidR="00E512AE" w:rsidRPr="00465DBB" w:rsidRDefault="00E512AE" w:rsidP="0017391C">
            <w:pPr>
              <w:pStyle w:val="TableText0"/>
              <w:keepNext w:val="0"/>
              <w:widowControl w:val="0"/>
              <w:jc w:val="center"/>
              <w:rPr>
                <w:bCs w:val="0"/>
              </w:rPr>
            </w:pPr>
            <w:r w:rsidRPr="00465DBB">
              <w:rPr>
                <w:rFonts w:cs="Calibri"/>
                <w:color w:val="000000"/>
                <w:szCs w:val="20"/>
              </w:rPr>
              <w:t>-19%</w:t>
            </w:r>
          </w:p>
        </w:tc>
      </w:tr>
      <w:tr w:rsidR="00E512AE" w:rsidRPr="0029195A" w14:paraId="0CEEAF1D" w14:textId="77777777" w:rsidTr="00A26F4F">
        <w:tc>
          <w:tcPr>
            <w:tcW w:w="1714" w:type="pct"/>
            <w:tcBorders>
              <w:top w:val="single" w:sz="4" w:space="0" w:color="auto"/>
              <w:bottom w:val="nil"/>
              <w:right w:val="single" w:sz="4" w:space="0" w:color="auto"/>
            </w:tcBorders>
          </w:tcPr>
          <w:p w14:paraId="30B09EB6" w14:textId="77777777" w:rsidR="00E512AE" w:rsidRPr="0029195A" w:rsidRDefault="00E512AE" w:rsidP="0017391C">
            <w:pPr>
              <w:pStyle w:val="TableText0"/>
              <w:keepNext w:val="0"/>
              <w:widowControl w:val="0"/>
              <w:rPr>
                <w:bCs w:val="0"/>
                <w:u w:val="single"/>
              </w:rPr>
            </w:pPr>
            <w:r w:rsidRPr="0029195A">
              <w:rPr>
                <w:u w:val="single"/>
              </w:rPr>
              <w:t>Time horizon (base case 30 years)</w:t>
            </w:r>
          </w:p>
        </w:tc>
        <w:tc>
          <w:tcPr>
            <w:tcW w:w="777" w:type="pct"/>
            <w:tcBorders>
              <w:top w:val="single" w:sz="4" w:space="0" w:color="auto"/>
              <w:left w:val="single" w:sz="4" w:space="0" w:color="auto"/>
              <w:bottom w:val="nil"/>
              <w:right w:val="single" w:sz="4" w:space="0" w:color="auto"/>
            </w:tcBorders>
          </w:tcPr>
          <w:p w14:paraId="02C588CF" w14:textId="77777777" w:rsidR="00E512AE" w:rsidRPr="0029195A" w:rsidRDefault="00E512AE" w:rsidP="0017391C">
            <w:pPr>
              <w:pStyle w:val="TableText0"/>
              <w:keepNext w:val="0"/>
              <w:widowControl w:val="0"/>
              <w:jc w:val="center"/>
              <w:rPr>
                <w:bCs w:val="0"/>
              </w:rPr>
            </w:pPr>
          </w:p>
        </w:tc>
        <w:tc>
          <w:tcPr>
            <w:tcW w:w="630" w:type="pct"/>
            <w:tcBorders>
              <w:top w:val="single" w:sz="4" w:space="0" w:color="auto"/>
              <w:left w:val="single" w:sz="4" w:space="0" w:color="auto"/>
              <w:bottom w:val="nil"/>
              <w:right w:val="single" w:sz="4" w:space="0" w:color="auto"/>
            </w:tcBorders>
          </w:tcPr>
          <w:p w14:paraId="6F1E14C2" w14:textId="77777777" w:rsidR="00E512AE" w:rsidRPr="0029195A" w:rsidRDefault="00E512AE" w:rsidP="0017391C">
            <w:pPr>
              <w:pStyle w:val="TableText0"/>
              <w:keepNext w:val="0"/>
              <w:widowControl w:val="0"/>
              <w:jc w:val="center"/>
              <w:rPr>
                <w:bCs w:val="0"/>
              </w:rPr>
            </w:pPr>
          </w:p>
        </w:tc>
        <w:tc>
          <w:tcPr>
            <w:tcW w:w="777" w:type="pct"/>
            <w:tcBorders>
              <w:top w:val="single" w:sz="4" w:space="0" w:color="auto"/>
              <w:left w:val="single" w:sz="4" w:space="0" w:color="auto"/>
              <w:bottom w:val="nil"/>
              <w:right w:val="single" w:sz="4" w:space="0" w:color="auto"/>
            </w:tcBorders>
          </w:tcPr>
          <w:p w14:paraId="700F5315" w14:textId="77777777" w:rsidR="00E512AE" w:rsidRPr="0029195A" w:rsidRDefault="00E512AE" w:rsidP="0017391C">
            <w:pPr>
              <w:pStyle w:val="TableText0"/>
              <w:keepNext w:val="0"/>
              <w:widowControl w:val="0"/>
              <w:jc w:val="center"/>
              <w:rPr>
                <w:bCs w:val="0"/>
              </w:rPr>
            </w:pPr>
          </w:p>
        </w:tc>
        <w:tc>
          <w:tcPr>
            <w:tcW w:w="1101" w:type="pct"/>
            <w:tcBorders>
              <w:top w:val="single" w:sz="4" w:space="0" w:color="auto"/>
              <w:left w:val="single" w:sz="4" w:space="0" w:color="auto"/>
              <w:bottom w:val="nil"/>
            </w:tcBorders>
            <w:vAlign w:val="center"/>
          </w:tcPr>
          <w:p w14:paraId="16F34019" w14:textId="77777777" w:rsidR="00E512AE" w:rsidRPr="00465DBB" w:rsidRDefault="00E512AE" w:rsidP="0017391C">
            <w:pPr>
              <w:pStyle w:val="TableText0"/>
              <w:keepNext w:val="0"/>
              <w:widowControl w:val="0"/>
              <w:jc w:val="center"/>
              <w:rPr>
                <w:bCs w:val="0"/>
              </w:rPr>
            </w:pPr>
            <w:r w:rsidRPr="00465DBB">
              <w:rPr>
                <w:rFonts w:cs="Calibri"/>
                <w:color w:val="000000"/>
                <w:szCs w:val="20"/>
              </w:rPr>
              <w:t> </w:t>
            </w:r>
          </w:p>
        </w:tc>
      </w:tr>
      <w:tr w:rsidR="00E512AE" w:rsidRPr="0029195A" w14:paraId="7AC7211A" w14:textId="77777777" w:rsidTr="00A26F4F">
        <w:tc>
          <w:tcPr>
            <w:tcW w:w="1714" w:type="pct"/>
            <w:tcBorders>
              <w:top w:val="nil"/>
              <w:bottom w:val="nil"/>
              <w:right w:val="single" w:sz="4" w:space="0" w:color="auto"/>
            </w:tcBorders>
          </w:tcPr>
          <w:p w14:paraId="3BC0AF92" w14:textId="77777777" w:rsidR="00E512AE" w:rsidRPr="0029195A" w:rsidRDefault="00E512AE" w:rsidP="00935C0C">
            <w:pPr>
              <w:pStyle w:val="TableText0"/>
              <w:keepNext w:val="0"/>
              <w:widowControl w:val="0"/>
              <w:numPr>
                <w:ilvl w:val="0"/>
                <w:numId w:val="6"/>
              </w:numPr>
              <w:rPr>
                <w:bCs w:val="0"/>
              </w:rPr>
            </w:pPr>
            <w:r w:rsidRPr="0029195A">
              <w:rPr>
                <w:bCs w:val="0"/>
              </w:rPr>
              <w:t>10 years</w:t>
            </w:r>
          </w:p>
        </w:tc>
        <w:tc>
          <w:tcPr>
            <w:tcW w:w="777" w:type="pct"/>
            <w:tcBorders>
              <w:top w:val="nil"/>
              <w:left w:val="single" w:sz="4" w:space="0" w:color="auto"/>
              <w:bottom w:val="nil"/>
              <w:right w:val="single" w:sz="4" w:space="0" w:color="auto"/>
            </w:tcBorders>
            <w:shd w:val="solid" w:color="000000" w:fill="000000"/>
          </w:tcPr>
          <w:p w14:paraId="6A1C4B2E" w14:textId="345C07FD" w:rsidR="00E512AE" w:rsidRPr="00127C86" w:rsidRDefault="00A26F4F" w:rsidP="0017391C">
            <w:pPr>
              <w:pStyle w:val="TableText0"/>
              <w:keepNext w:val="0"/>
              <w:widowControl w:val="0"/>
              <w:jc w:val="center"/>
              <w:rPr>
                <w:bCs w:val="0"/>
                <w:highlight w:val="darkGray"/>
              </w:rPr>
            </w:pPr>
            <w:r w:rsidRPr="00A26F4F">
              <w:rPr>
                <w:bCs w:val="0"/>
                <w:color w:val="000000"/>
                <w14:textFill>
                  <w14:solidFill>
                    <w14:srgbClr w14:val="000000">
                      <w14:alpha w14:val="100000"/>
                    </w14:srgbClr>
                  </w14:solidFill>
                </w14:textFill>
              </w:rPr>
              <w:t>|</w:t>
            </w:r>
          </w:p>
        </w:tc>
        <w:tc>
          <w:tcPr>
            <w:tcW w:w="630" w:type="pct"/>
            <w:tcBorders>
              <w:top w:val="nil"/>
              <w:left w:val="single" w:sz="4" w:space="0" w:color="auto"/>
              <w:bottom w:val="nil"/>
              <w:right w:val="single" w:sz="4" w:space="0" w:color="auto"/>
            </w:tcBorders>
          </w:tcPr>
          <w:p w14:paraId="5A7D0711" w14:textId="77777777" w:rsidR="00E512AE" w:rsidRPr="0029195A" w:rsidRDefault="00E512AE" w:rsidP="0017391C">
            <w:pPr>
              <w:pStyle w:val="TableText0"/>
              <w:keepNext w:val="0"/>
              <w:widowControl w:val="0"/>
              <w:jc w:val="center"/>
              <w:rPr>
                <w:bCs w:val="0"/>
              </w:rPr>
            </w:pPr>
            <w:r w:rsidRPr="0029195A">
              <w:rPr>
                <w:bCs w:val="0"/>
              </w:rPr>
              <w:t>0.387</w:t>
            </w:r>
          </w:p>
        </w:tc>
        <w:tc>
          <w:tcPr>
            <w:tcW w:w="777" w:type="pct"/>
            <w:tcBorders>
              <w:top w:val="nil"/>
              <w:left w:val="single" w:sz="4" w:space="0" w:color="auto"/>
              <w:bottom w:val="nil"/>
              <w:right w:val="single" w:sz="4" w:space="0" w:color="auto"/>
            </w:tcBorders>
          </w:tcPr>
          <w:p w14:paraId="0984EB79" w14:textId="69633487" w:rsidR="00E512AE" w:rsidRPr="0060423B" w:rsidRDefault="00A26F4F" w:rsidP="0017391C">
            <w:pPr>
              <w:pStyle w:val="TableText0"/>
              <w:keepNext w:val="0"/>
              <w:widowControl w:val="0"/>
              <w:jc w:val="center"/>
              <w:rPr>
                <w:bCs w:val="0"/>
                <w:highlight w:val="darkGray"/>
                <w:vertAlign w:val="superscript"/>
              </w:rPr>
            </w:pPr>
            <w:r w:rsidRPr="00A26F4F">
              <w:rPr>
                <w:bCs w:val="0"/>
                <w:color w:val="000000"/>
                <w:shd w:val="solid" w:color="000000" w:fill="000000"/>
                <w14:textFill>
                  <w14:solidFill>
                    <w14:srgbClr w14:val="000000">
                      <w14:alpha w14:val="100000"/>
                    </w14:srgbClr>
                  </w14:solidFill>
                </w14:textFill>
              </w:rPr>
              <w:t>|</w:t>
            </w:r>
            <w:r w:rsidR="0060423B" w:rsidRPr="0060423B">
              <w:rPr>
                <w:vertAlign w:val="superscript"/>
              </w:rPr>
              <w:t>3</w:t>
            </w:r>
          </w:p>
        </w:tc>
        <w:tc>
          <w:tcPr>
            <w:tcW w:w="1101" w:type="pct"/>
            <w:tcBorders>
              <w:top w:val="nil"/>
              <w:left w:val="single" w:sz="4" w:space="0" w:color="auto"/>
              <w:bottom w:val="nil"/>
            </w:tcBorders>
            <w:vAlign w:val="center"/>
          </w:tcPr>
          <w:p w14:paraId="4B4A41B2" w14:textId="77777777" w:rsidR="00E512AE" w:rsidRPr="00465DBB" w:rsidRDefault="00E512AE" w:rsidP="0017391C">
            <w:pPr>
              <w:pStyle w:val="TableText0"/>
              <w:keepNext w:val="0"/>
              <w:widowControl w:val="0"/>
              <w:jc w:val="center"/>
              <w:rPr>
                <w:bCs w:val="0"/>
              </w:rPr>
            </w:pPr>
            <w:r w:rsidRPr="00465DBB">
              <w:rPr>
                <w:rFonts w:cs="Calibri"/>
                <w:color w:val="000000"/>
                <w:szCs w:val="20"/>
              </w:rPr>
              <w:t>142%</w:t>
            </w:r>
          </w:p>
        </w:tc>
      </w:tr>
      <w:tr w:rsidR="00E512AE" w:rsidRPr="0029195A" w14:paraId="3B59CD6C" w14:textId="77777777" w:rsidTr="00A26F4F">
        <w:tc>
          <w:tcPr>
            <w:tcW w:w="1714" w:type="pct"/>
            <w:tcBorders>
              <w:top w:val="nil"/>
              <w:bottom w:val="nil"/>
              <w:right w:val="single" w:sz="4" w:space="0" w:color="auto"/>
            </w:tcBorders>
          </w:tcPr>
          <w:p w14:paraId="444DE1AC" w14:textId="4625DB6D" w:rsidR="00E512AE" w:rsidRPr="0029195A" w:rsidRDefault="00E512AE" w:rsidP="00935C0C">
            <w:pPr>
              <w:pStyle w:val="TableText0"/>
              <w:keepNext w:val="0"/>
              <w:widowControl w:val="0"/>
              <w:numPr>
                <w:ilvl w:val="0"/>
                <w:numId w:val="6"/>
              </w:numPr>
              <w:rPr>
                <w:bCs w:val="0"/>
              </w:rPr>
            </w:pPr>
            <w:r w:rsidRPr="0029195A">
              <w:rPr>
                <w:bCs w:val="0"/>
              </w:rPr>
              <w:t>15 years</w:t>
            </w:r>
            <w:r w:rsidR="000E50E4" w:rsidRPr="0029195A">
              <w:rPr>
                <w:bCs w:val="0"/>
              </w:rPr>
              <w:t>*</w:t>
            </w:r>
          </w:p>
        </w:tc>
        <w:tc>
          <w:tcPr>
            <w:tcW w:w="777" w:type="pct"/>
            <w:tcBorders>
              <w:top w:val="nil"/>
              <w:left w:val="single" w:sz="4" w:space="0" w:color="auto"/>
              <w:bottom w:val="nil"/>
              <w:right w:val="single" w:sz="4" w:space="0" w:color="auto"/>
            </w:tcBorders>
            <w:shd w:val="solid" w:color="000000" w:fill="000000"/>
          </w:tcPr>
          <w:p w14:paraId="7AD76DCE" w14:textId="7C379AE4" w:rsidR="00E512AE" w:rsidRPr="00127C86" w:rsidRDefault="00A26F4F" w:rsidP="0017391C">
            <w:pPr>
              <w:pStyle w:val="TableText0"/>
              <w:keepNext w:val="0"/>
              <w:widowControl w:val="0"/>
              <w:jc w:val="center"/>
              <w:rPr>
                <w:bCs w:val="0"/>
                <w:highlight w:val="darkGray"/>
              </w:rPr>
            </w:pPr>
            <w:r w:rsidRPr="00A26F4F">
              <w:rPr>
                <w:bCs w:val="0"/>
                <w:color w:val="000000"/>
                <w14:textFill>
                  <w14:solidFill>
                    <w14:srgbClr w14:val="000000">
                      <w14:alpha w14:val="100000"/>
                    </w14:srgbClr>
                  </w14:solidFill>
                </w14:textFill>
              </w:rPr>
              <w:t>|</w:t>
            </w:r>
          </w:p>
        </w:tc>
        <w:tc>
          <w:tcPr>
            <w:tcW w:w="630" w:type="pct"/>
            <w:tcBorders>
              <w:top w:val="nil"/>
              <w:left w:val="single" w:sz="4" w:space="0" w:color="auto"/>
              <w:bottom w:val="nil"/>
              <w:right w:val="single" w:sz="4" w:space="0" w:color="auto"/>
            </w:tcBorders>
          </w:tcPr>
          <w:p w14:paraId="359C6E60" w14:textId="77777777" w:rsidR="00E512AE" w:rsidRPr="0029195A" w:rsidRDefault="00E512AE" w:rsidP="0017391C">
            <w:pPr>
              <w:pStyle w:val="TableText0"/>
              <w:keepNext w:val="0"/>
              <w:widowControl w:val="0"/>
              <w:jc w:val="center"/>
              <w:rPr>
                <w:bCs w:val="0"/>
              </w:rPr>
            </w:pPr>
            <w:r w:rsidRPr="0029195A">
              <w:rPr>
                <w:bCs w:val="0"/>
              </w:rPr>
              <w:t>0.593</w:t>
            </w:r>
          </w:p>
        </w:tc>
        <w:tc>
          <w:tcPr>
            <w:tcW w:w="777" w:type="pct"/>
            <w:tcBorders>
              <w:top w:val="nil"/>
              <w:left w:val="single" w:sz="4" w:space="0" w:color="auto"/>
              <w:bottom w:val="nil"/>
              <w:right w:val="single" w:sz="4" w:space="0" w:color="auto"/>
            </w:tcBorders>
          </w:tcPr>
          <w:p w14:paraId="4D431A23" w14:textId="5ED7FE36" w:rsidR="00E512AE" w:rsidRPr="0060423B" w:rsidRDefault="00A26F4F" w:rsidP="0017391C">
            <w:pPr>
              <w:pStyle w:val="TableText0"/>
              <w:keepNext w:val="0"/>
              <w:widowControl w:val="0"/>
              <w:jc w:val="center"/>
              <w:rPr>
                <w:bCs w:val="0"/>
                <w:highlight w:val="darkGray"/>
                <w:vertAlign w:val="superscript"/>
              </w:rPr>
            </w:pPr>
            <w:r w:rsidRPr="00A26F4F">
              <w:rPr>
                <w:bCs w:val="0"/>
                <w:color w:val="000000"/>
                <w:shd w:val="solid" w:color="000000" w:fill="000000"/>
                <w14:textFill>
                  <w14:solidFill>
                    <w14:srgbClr w14:val="000000">
                      <w14:alpha w14:val="100000"/>
                    </w14:srgbClr>
                  </w14:solidFill>
                </w14:textFill>
              </w:rPr>
              <w:t>|</w:t>
            </w:r>
            <w:r w:rsidR="0060423B" w:rsidRPr="0060423B">
              <w:rPr>
                <w:vertAlign w:val="superscript"/>
              </w:rPr>
              <w:t>4</w:t>
            </w:r>
          </w:p>
        </w:tc>
        <w:tc>
          <w:tcPr>
            <w:tcW w:w="1101" w:type="pct"/>
            <w:tcBorders>
              <w:top w:val="nil"/>
              <w:left w:val="single" w:sz="4" w:space="0" w:color="auto"/>
              <w:bottom w:val="nil"/>
            </w:tcBorders>
            <w:vAlign w:val="center"/>
          </w:tcPr>
          <w:p w14:paraId="224E9293" w14:textId="77777777" w:rsidR="00E512AE" w:rsidRPr="00465DBB" w:rsidRDefault="00E512AE" w:rsidP="0017391C">
            <w:pPr>
              <w:pStyle w:val="TableText0"/>
              <w:keepNext w:val="0"/>
              <w:widowControl w:val="0"/>
              <w:jc w:val="center"/>
              <w:rPr>
                <w:rFonts w:cs="Calibri"/>
                <w:color w:val="000000"/>
                <w:szCs w:val="20"/>
              </w:rPr>
            </w:pPr>
            <w:r w:rsidRPr="00465DBB">
              <w:rPr>
                <w:rFonts w:cs="Calibri"/>
                <w:color w:val="000000"/>
                <w:szCs w:val="20"/>
              </w:rPr>
              <w:t>42%</w:t>
            </w:r>
          </w:p>
        </w:tc>
      </w:tr>
      <w:tr w:rsidR="00E512AE" w:rsidRPr="0029195A" w14:paraId="4EFCF407" w14:textId="77777777" w:rsidTr="00A26F4F">
        <w:tc>
          <w:tcPr>
            <w:tcW w:w="1714" w:type="pct"/>
            <w:tcBorders>
              <w:top w:val="nil"/>
              <w:bottom w:val="single" w:sz="4" w:space="0" w:color="auto"/>
              <w:right w:val="single" w:sz="4" w:space="0" w:color="auto"/>
            </w:tcBorders>
          </w:tcPr>
          <w:p w14:paraId="7F2A6EAA" w14:textId="77777777" w:rsidR="00E512AE" w:rsidRPr="0029195A" w:rsidRDefault="00E512AE" w:rsidP="00935C0C">
            <w:pPr>
              <w:pStyle w:val="TableText0"/>
              <w:keepNext w:val="0"/>
              <w:widowControl w:val="0"/>
              <w:numPr>
                <w:ilvl w:val="0"/>
                <w:numId w:val="6"/>
              </w:numPr>
              <w:rPr>
                <w:bCs w:val="0"/>
              </w:rPr>
            </w:pPr>
            <w:r w:rsidRPr="0029195A">
              <w:rPr>
                <w:bCs w:val="0"/>
              </w:rPr>
              <w:t>20 years</w:t>
            </w:r>
          </w:p>
        </w:tc>
        <w:tc>
          <w:tcPr>
            <w:tcW w:w="777" w:type="pct"/>
            <w:tcBorders>
              <w:top w:val="nil"/>
              <w:left w:val="single" w:sz="4" w:space="0" w:color="auto"/>
              <w:bottom w:val="single" w:sz="4" w:space="0" w:color="auto"/>
              <w:right w:val="single" w:sz="4" w:space="0" w:color="auto"/>
            </w:tcBorders>
            <w:shd w:val="solid" w:color="000000" w:fill="000000"/>
          </w:tcPr>
          <w:p w14:paraId="19E46612" w14:textId="183E4C3D" w:rsidR="00E512AE" w:rsidRPr="00127C86" w:rsidRDefault="00A26F4F" w:rsidP="0017391C">
            <w:pPr>
              <w:pStyle w:val="TableText0"/>
              <w:keepNext w:val="0"/>
              <w:widowControl w:val="0"/>
              <w:jc w:val="center"/>
              <w:rPr>
                <w:bCs w:val="0"/>
                <w:highlight w:val="darkGray"/>
              </w:rPr>
            </w:pPr>
            <w:r w:rsidRPr="00A26F4F">
              <w:rPr>
                <w:bCs w:val="0"/>
                <w:color w:val="000000"/>
                <w14:textFill>
                  <w14:solidFill>
                    <w14:srgbClr w14:val="000000">
                      <w14:alpha w14:val="100000"/>
                    </w14:srgbClr>
                  </w14:solidFill>
                </w14:textFill>
              </w:rPr>
              <w:t>|</w:t>
            </w:r>
          </w:p>
        </w:tc>
        <w:tc>
          <w:tcPr>
            <w:tcW w:w="630" w:type="pct"/>
            <w:tcBorders>
              <w:top w:val="nil"/>
              <w:left w:val="single" w:sz="4" w:space="0" w:color="auto"/>
              <w:bottom w:val="single" w:sz="4" w:space="0" w:color="auto"/>
              <w:right w:val="single" w:sz="4" w:space="0" w:color="auto"/>
            </w:tcBorders>
          </w:tcPr>
          <w:p w14:paraId="6A2C932F" w14:textId="77777777" w:rsidR="00E512AE" w:rsidRPr="0029195A" w:rsidRDefault="00E512AE" w:rsidP="0017391C">
            <w:pPr>
              <w:pStyle w:val="TableText0"/>
              <w:keepNext w:val="0"/>
              <w:widowControl w:val="0"/>
              <w:jc w:val="center"/>
              <w:rPr>
                <w:bCs w:val="0"/>
              </w:rPr>
            </w:pPr>
            <w:r w:rsidRPr="0029195A">
              <w:rPr>
                <w:bCs w:val="0"/>
              </w:rPr>
              <w:t>0.756</w:t>
            </w:r>
          </w:p>
        </w:tc>
        <w:tc>
          <w:tcPr>
            <w:tcW w:w="777" w:type="pct"/>
            <w:tcBorders>
              <w:top w:val="nil"/>
              <w:left w:val="single" w:sz="4" w:space="0" w:color="auto"/>
              <w:bottom w:val="single" w:sz="4" w:space="0" w:color="auto"/>
              <w:right w:val="single" w:sz="4" w:space="0" w:color="auto"/>
            </w:tcBorders>
          </w:tcPr>
          <w:p w14:paraId="4B175953" w14:textId="28A85FED" w:rsidR="00E512AE" w:rsidRPr="0060423B" w:rsidRDefault="00A26F4F" w:rsidP="0017391C">
            <w:pPr>
              <w:pStyle w:val="TableText0"/>
              <w:keepNext w:val="0"/>
              <w:widowControl w:val="0"/>
              <w:jc w:val="center"/>
              <w:rPr>
                <w:bCs w:val="0"/>
                <w:highlight w:val="darkGray"/>
                <w:vertAlign w:val="superscript"/>
              </w:rPr>
            </w:pPr>
            <w:r w:rsidRPr="00A26F4F">
              <w:rPr>
                <w:bCs w:val="0"/>
                <w:color w:val="000000"/>
                <w:shd w:val="solid" w:color="000000" w:fill="000000"/>
                <w14:textFill>
                  <w14:solidFill>
                    <w14:srgbClr w14:val="000000">
                      <w14:alpha w14:val="100000"/>
                    </w14:srgbClr>
                  </w14:solidFill>
                </w14:textFill>
              </w:rPr>
              <w:t>|</w:t>
            </w:r>
            <w:r w:rsidR="0060423B" w:rsidRPr="0060423B">
              <w:rPr>
                <w:vertAlign w:val="superscript"/>
              </w:rPr>
              <w:t>5</w:t>
            </w:r>
          </w:p>
        </w:tc>
        <w:tc>
          <w:tcPr>
            <w:tcW w:w="1101" w:type="pct"/>
            <w:tcBorders>
              <w:top w:val="nil"/>
              <w:left w:val="single" w:sz="4" w:space="0" w:color="auto"/>
              <w:bottom w:val="single" w:sz="4" w:space="0" w:color="auto"/>
            </w:tcBorders>
            <w:vAlign w:val="center"/>
          </w:tcPr>
          <w:p w14:paraId="59CAAA87" w14:textId="77777777" w:rsidR="00E512AE" w:rsidRPr="00465DBB" w:rsidRDefault="00E512AE" w:rsidP="0017391C">
            <w:pPr>
              <w:pStyle w:val="TableText0"/>
              <w:keepNext w:val="0"/>
              <w:widowControl w:val="0"/>
              <w:jc w:val="center"/>
              <w:rPr>
                <w:bCs w:val="0"/>
              </w:rPr>
            </w:pPr>
            <w:r w:rsidRPr="00465DBB">
              <w:rPr>
                <w:rFonts w:cs="Calibri"/>
                <w:color w:val="000000"/>
                <w:szCs w:val="20"/>
              </w:rPr>
              <w:t>12%</w:t>
            </w:r>
          </w:p>
        </w:tc>
      </w:tr>
      <w:tr w:rsidR="00E512AE" w:rsidRPr="0029195A" w14:paraId="130DA067" w14:textId="77777777" w:rsidTr="00346990">
        <w:tc>
          <w:tcPr>
            <w:tcW w:w="1714" w:type="pct"/>
            <w:tcBorders>
              <w:top w:val="single" w:sz="4" w:space="0" w:color="auto"/>
              <w:bottom w:val="nil"/>
              <w:right w:val="single" w:sz="4" w:space="0" w:color="auto"/>
            </w:tcBorders>
            <w:vAlign w:val="center"/>
          </w:tcPr>
          <w:p w14:paraId="592A9B77" w14:textId="355FC315" w:rsidR="00E512AE" w:rsidRPr="0029195A" w:rsidRDefault="00E512AE" w:rsidP="0017391C">
            <w:pPr>
              <w:pStyle w:val="TableText0"/>
              <w:keepNext w:val="0"/>
              <w:widowControl w:val="0"/>
              <w:rPr>
                <w:b/>
                <w:bCs w:val="0"/>
              </w:rPr>
            </w:pPr>
            <w:r w:rsidRPr="0029195A">
              <w:rPr>
                <w:b/>
                <w:bCs w:val="0"/>
              </w:rPr>
              <w:t>Subgroup analysis</w:t>
            </w:r>
            <w:r w:rsidR="000E50E4" w:rsidRPr="0029195A">
              <w:rPr>
                <w:b/>
                <w:bCs w:val="0"/>
              </w:rPr>
              <w:t>*</w:t>
            </w:r>
          </w:p>
        </w:tc>
        <w:tc>
          <w:tcPr>
            <w:tcW w:w="777" w:type="pct"/>
            <w:tcBorders>
              <w:top w:val="single" w:sz="4" w:space="0" w:color="auto"/>
              <w:left w:val="single" w:sz="4" w:space="0" w:color="auto"/>
              <w:bottom w:val="nil"/>
              <w:right w:val="single" w:sz="4" w:space="0" w:color="auto"/>
            </w:tcBorders>
            <w:vAlign w:val="center"/>
          </w:tcPr>
          <w:p w14:paraId="529B05C9" w14:textId="77777777" w:rsidR="00E512AE" w:rsidRPr="0029195A" w:rsidRDefault="00E512AE" w:rsidP="0017391C">
            <w:pPr>
              <w:pStyle w:val="TableText0"/>
              <w:keepNext w:val="0"/>
              <w:widowControl w:val="0"/>
              <w:jc w:val="center"/>
              <w:rPr>
                <w:bCs w:val="0"/>
              </w:rPr>
            </w:pPr>
          </w:p>
        </w:tc>
        <w:tc>
          <w:tcPr>
            <w:tcW w:w="630" w:type="pct"/>
            <w:tcBorders>
              <w:top w:val="single" w:sz="4" w:space="0" w:color="auto"/>
              <w:left w:val="single" w:sz="4" w:space="0" w:color="auto"/>
              <w:bottom w:val="nil"/>
              <w:right w:val="single" w:sz="4" w:space="0" w:color="auto"/>
            </w:tcBorders>
            <w:vAlign w:val="center"/>
          </w:tcPr>
          <w:p w14:paraId="2039DCE5" w14:textId="77777777" w:rsidR="00E512AE" w:rsidRPr="0029195A" w:rsidRDefault="00E512AE" w:rsidP="0017391C">
            <w:pPr>
              <w:pStyle w:val="TableText0"/>
              <w:keepNext w:val="0"/>
              <w:widowControl w:val="0"/>
              <w:jc w:val="center"/>
              <w:rPr>
                <w:bCs w:val="0"/>
              </w:rPr>
            </w:pPr>
          </w:p>
        </w:tc>
        <w:tc>
          <w:tcPr>
            <w:tcW w:w="777" w:type="pct"/>
            <w:tcBorders>
              <w:top w:val="single" w:sz="4" w:space="0" w:color="auto"/>
              <w:left w:val="single" w:sz="4" w:space="0" w:color="auto"/>
              <w:bottom w:val="nil"/>
              <w:right w:val="single" w:sz="4" w:space="0" w:color="auto"/>
            </w:tcBorders>
            <w:vAlign w:val="center"/>
          </w:tcPr>
          <w:p w14:paraId="66DBEDBE" w14:textId="77777777" w:rsidR="00E512AE" w:rsidRPr="0029195A" w:rsidRDefault="00E512AE" w:rsidP="0017391C">
            <w:pPr>
              <w:pStyle w:val="TableText0"/>
              <w:keepNext w:val="0"/>
              <w:widowControl w:val="0"/>
              <w:jc w:val="center"/>
              <w:rPr>
                <w:bCs w:val="0"/>
              </w:rPr>
            </w:pPr>
          </w:p>
        </w:tc>
        <w:tc>
          <w:tcPr>
            <w:tcW w:w="1101" w:type="pct"/>
            <w:tcBorders>
              <w:top w:val="single" w:sz="4" w:space="0" w:color="auto"/>
              <w:left w:val="single" w:sz="4" w:space="0" w:color="auto"/>
              <w:bottom w:val="nil"/>
            </w:tcBorders>
            <w:vAlign w:val="center"/>
          </w:tcPr>
          <w:p w14:paraId="1E3C86D7" w14:textId="77777777" w:rsidR="00E512AE" w:rsidRPr="00465DBB" w:rsidRDefault="00E512AE" w:rsidP="0017391C">
            <w:pPr>
              <w:pStyle w:val="TableText0"/>
              <w:keepNext w:val="0"/>
              <w:widowControl w:val="0"/>
              <w:jc w:val="center"/>
              <w:rPr>
                <w:bCs w:val="0"/>
              </w:rPr>
            </w:pPr>
          </w:p>
        </w:tc>
      </w:tr>
      <w:tr w:rsidR="00E512AE" w:rsidRPr="0029195A" w14:paraId="5BB965ED" w14:textId="77777777" w:rsidTr="00A26F4F">
        <w:tc>
          <w:tcPr>
            <w:tcW w:w="1714" w:type="pct"/>
            <w:tcBorders>
              <w:top w:val="nil"/>
              <w:left w:val="single" w:sz="4" w:space="0" w:color="auto"/>
              <w:bottom w:val="nil"/>
              <w:right w:val="single" w:sz="4" w:space="0" w:color="auto"/>
            </w:tcBorders>
            <w:vAlign w:val="center"/>
          </w:tcPr>
          <w:p w14:paraId="0CCF4F09" w14:textId="77777777" w:rsidR="00E512AE" w:rsidRPr="0029195A" w:rsidRDefault="00E512AE" w:rsidP="0017391C">
            <w:pPr>
              <w:pStyle w:val="TableText0"/>
              <w:keepNext w:val="0"/>
              <w:widowControl w:val="0"/>
              <w:rPr>
                <w:u w:val="single"/>
              </w:rPr>
            </w:pPr>
            <w:r w:rsidRPr="0029195A">
              <w:t xml:space="preserve">  </w:t>
            </w:r>
            <w:r w:rsidRPr="0029195A">
              <w:rPr>
                <w:u w:val="single"/>
              </w:rPr>
              <w:t>Disease status</w:t>
            </w:r>
          </w:p>
        </w:tc>
        <w:tc>
          <w:tcPr>
            <w:tcW w:w="777" w:type="pct"/>
            <w:tcBorders>
              <w:top w:val="nil"/>
              <w:left w:val="single" w:sz="4" w:space="0" w:color="auto"/>
              <w:bottom w:val="nil"/>
              <w:right w:val="single" w:sz="4" w:space="0" w:color="auto"/>
            </w:tcBorders>
            <w:vAlign w:val="center"/>
          </w:tcPr>
          <w:p w14:paraId="0817C7EB" w14:textId="77777777" w:rsidR="00E512AE" w:rsidRPr="0029195A" w:rsidRDefault="00E512AE" w:rsidP="0017391C">
            <w:pPr>
              <w:pStyle w:val="TableText0"/>
              <w:keepNext w:val="0"/>
              <w:widowControl w:val="0"/>
              <w:jc w:val="center"/>
              <w:rPr>
                <w:bCs w:val="0"/>
              </w:rPr>
            </w:pPr>
          </w:p>
        </w:tc>
        <w:tc>
          <w:tcPr>
            <w:tcW w:w="630" w:type="pct"/>
            <w:tcBorders>
              <w:top w:val="nil"/>
              <w:left w:val="single" w:sz="4" w:space="0" w:color="auto"/>
              <w:bottom w:val="nil"/>
              <w:right w:val="single" w:sz="4" w:space="0" w:color="auto"/>
            </w:tcBorders>
            <w:vAlign w:val="center"/>
          </w:tcPr>
          <w:p w14:paraId="135D25F7" w14:textId="77777777" w:rsidR="00E512AE" w:rsidRPr="0029195A" w:rsidRDefault="00E512AE" w:rsidP="0017391C">
            <w:pPr>
              <w:pStyle w:val="TableText0"/>
              <w:keepNext w:val="0"/>
              <w:widowControl w:val="0"/>
              <w:jc w:val="center"/>
              <w:rPr>
                <w:bCs w:val="0"/>
              </w:rPr>
            </w:pPr>
          </w:p>
        </w:tc>
        <w:tc>
          <w:tcPr>
            <w:tcW w:w="777" w:type="pct"/>
            <w:tcBorders>
              <w:top w:val="nil"/>
              <w:left w:val="single" w:sz="4" w:space="0" w:color="auto"/>
              <w:bottom w:val="nil"/>
              <w:right w:val="single" w:sz="4" w:space="0" w:color="auto"/>
            </w:tcBorders>
            <w:vAlign w:val="center"/>
          </w:tcPr>
          <w:p w14:paraId="778632EB" w14:textId="77777777" w:rsidR="00E512AE" w:rsidRPr="0029195A" w:rsidRDefault="00E512AE" w:rsidP="0017391C">
            <w:pPr>
              <w:pStyle w:val="TableText0"/>
              <w:keepNext w:val="0"/>
              <w:widowControl w:val="0"/>
              <w:jc w:val="center"/>
              <w:rPr>
                <w:bCs w:val="0"/>
              </w:rPr>
            </w:pPr>
          </w:p>
        </w:tc>
        <w:tc>
          <w:tcPr>
            <w:tcW w:w="1101" w:type="pct"/>
            <w:tcBorders>
              <w:top w:val="nil"/>
              <w:left w:val="single" w:sz="4" w:space="0" w:color="auto"/>
              <w:bottom w:val="nil"/>
              <w:right w:val="single" w:sz="4" w:space="0" w:color="auto"/>
            </w:tcBorders>
            <w:vAlign w:val="center"/>
          </w:tcPr>
          <w:p w14:paraId="725C586E" w14:textId="77777777" w:rsidR="00E512AE" w:rsidRPr="00465DBB" w:rsidRDefault="00E512AE" w:rsidP="0017391C">
            <w:pPr>
              <w:pStyle w:val="TableText0"/>
              <w:keepNext w:val="0"/>
              <w:widowControl w:val="0"/>
              <w:jc w:val="center"/>
              <w:rPr>
                <w:bCs w:val="0"/>
              </w:rPr>
            </w:pPr>
          </w:p>
        </w:tc>
      </w:tr>
      <w:tr w:rsidR="00E512AE" w:rsidRPr="0029195A" w14:paraId="102325E9" w14:textId="77777777" w:rsidTr="00A26F4F">
        <w:tc>
          <w:tcPr>
            <w:tcW w:w="1714" w:type="pct"/>
            <w:tcBorders>
              <w:top w:val="nil"/>
              <w:left w:val="single" w:sz="4" w:space="0" w:color="auto"/>
              <w:bottom w:val="nil"/>
              <w:right w:val="single" w:sz="4" w:space="0" w:color="auto"/>
            </w:tcBorders>
            <w:vAlign w:val="center"/>
          </w:tcPr>
          <w:p w14:paraId="72881993" w14:textId="77777777" w:rsidR="00E512AE" w:rsidRPr="0029195A" w:rsidRDefault="00E512AE" w:rsidP="00935C0C">
            <w:pPr>
              <w:pStyle w:val="TableText0"/>
              <w:keepNext w:val="0"/>
              <w:widowControl w:val="0"/>
              <w:numPr>
                <w:ilvl w:val="0"/>
                <w:numId w:val="6"/>
              </w:numPr>
            </w:pPr>
            <w:r w:rsidRPr="0029195A">
              <w:t>Newly diagnosed patients</w:t>
            </w:r>
          </w:p>
        </w:tc>
        <w:tc>
          <w:tcPr>
            <w:tcW w:w="777" w:type="pct"/>
            <w:tcBorders>
              <w:top w:val="nil"/>
              <w:left w:val="single" w:sz="4" w:space="0" w:color="auto"/>
              <w:bottom w:val="nil"/>
              <w:right w:val="single" w:sz="4" w:space="0" w:color="auto"/>
            </w:tcBorders>
            <w:shd w:val="solid" w:color="000000" w:fill="000000"/>
            <w:vAlign w:val="center"/>
          </w:tcPr>
          <w:p w14:paraId="6A4A0C7E" w14:textId="5A77EE50" w:rsidR="00E512AE" w:rsidRPr="00127C86" w:rsidRDefault="00A26F4F" w:rsidP="0017391C">
            <w:pPr>
              <w:pStyle w:val="TableText0"/>
              <w:keepNext w:val="0"/>
              <w:widowControl w:val="0"/>
              <w:jc w:val="center"/>
              <w:rPr>
                <w:bCs w:val="0"/>
                <w:highlight w:val="darkGray"/>
              </w:rPr>
            </w:pPr>
            <w:r w:rsidRPr="00A26F4F">
              <w:rPr>
                <w:color w:val="000000"/>
                <w14:textFill>
                  <w14:solidFill>
                    <w14:srgbClr w14:val="000000">
                      <w14:alpha w14:val="100000"/>
                    </w14:srgbClr>
                  </w14:solidFill>
                </w14:textFill>
              </w:rPr>
              <w:t>|</w:t>
            </w:r>
          </w:p>
        </w:tc>
        <w:tc>
          <w:tcPr>
            <w:tcW w:w="630" w:type="pct"/>
            <w:tcBorders>
              <w:top w:val="nil"/>
              <w:left w:val="single" w:sz="4" w:space="0" w:color="auto"/>
              <w:bottom w:val="nil"/>
              <w:right w:val="single" w:sz="4" w:space="0" w:color="auto"/>
            </w:tcBorders>
            <w:vAlign w:val="center"/>
          </w:tcPr>
          <w:p w14:paraId="35CE33C9" w14:textId="77777777" w:rsidR="00E512AE" w:rsidRPr="0029195A" w:rsidRDefault="00E512AE" w:rsidP="0017391C">
            <w:pPr>
              <w:pStyle w:val="TableText0"/>
              <w:keepNext w:val="0"/>
              <w:widowControl w:val="0"/>
              <w:jc w:val="center"/>
              <w:rPr>
                <w:bCs w:val="0"/>
              </w:rPr>
            </w:pPr>
            <w:r w:rsidRPr="0029195A">
              <w:t>0.418</w:t>
            </w:r>
          </w:p>
        </w:tc>
        <w:tc>
          <w:tcPr>
            <w:tcW w:w="777" w:type="pct"/>
            <w:tcBorders>
              <w:top w:val="nil"/>
              <w:left w:val="single" w:sz="4" w:space="0" w:color="auto"/>
              <w:bottom w:val="nil"/>
              <w:right w:val="single" w:sz="4" w:space="0" w:color="auto"/>
            </w:tcBorders>
            <w:vAlign w:val="center"/>
          </w:tcPr>
          <w:p w14:paraId="42A58315" w14:textId="217F33CD" w:rsidR="00E512AE" w:rsidRPr="00127C86" w:rsidRDefault="00A26F4F" w:rsidP="0017391C">
            <w:pPr>
              <w:pStyle w:val="TableText0"/>
              <w:keepNext w:val="0"/>
              <w:widowControl w:val="0"/>
              <w:jc w:val="center"/>
              <w:rPr>
                <w:bCs w:val="0"/>
                <w:highlight w:val="darkGray"/>
              </w:rPr>
            </w:pPr>
            <w:r w:rsidRPr="00A26F4F">
              <w:rPr>
                <w:color w:val="000000"/>
                <w:shd w:val="solid" w:color="000000" w:fill="000000"/>
                <w14:textFill>
                  <w14:solidFill>
                    <w14:srgbClr w14:val="000000">
                      <w14:alpha w14:val="100000"/>
                    </w14:srgbClr>
                  </w14:solidFill>
                </w14:textFill>
              </w:rPr>
              <w:t>|</w:t>
            </w:r>
            <w:r w:rsidR="0060423B" w:rsidRPr="0060423B">
              <w:rPr>
                <w:vertAlign w:val="superscript"/>
              </w:rPr>
              <w:t>3</w:t>
            </w:r>
          </w:p>
        </w:tc>
        <w:tc>
          <w:tcPr>
            <w:tcW w:w="1101" w:type="pct"/>
            <w:tcBorders>
              <w:top w:val="nil"/>
              <w:left w:val="single" w:sz="4" w:space="0" w:color="auto"/>
              <w:bottom w:val="nil"/>
              <w:right w:val="single" w:sz="4" w:space="0" w:color="auto"/>
            </w:tcBorders>
            <w:vAlign w:val="center"/>
          </w:tcPr>
          <w:p w14:paraId="62A28708" w14:textId="77777777" w:rsidR="00E512AE" w:rsidRPr="00465DBB" w:rsidRDefault="00E512AE" w:rsidP="0017391C">
            <w:pPr>
              <w:pStyle w:val="TableText0"/>
              <w:keepNext w:val="0"/>
              <w:widowControl w:val="0"/>
              <w:jc w:val="center"/>
              <w:rPr>
                <w:bCs w:val="0"/>
              </w:rPr>
            </w:pPr>
            <w:r w:rsidRPr="00465DBB">
              <w:t>169%</w:t>
            </w:r>
          </w:p>
        </w:tc>
      </w:tr>
      <w:tr w:rsidR="00E512AE" w:rsidRPr="0029195A" w14:paraId="2B186718" w14:textId="77777777" w:rsidTr="00A26F4F">
        <w:tc>
          <w:tcPr>
            <w:tcW w:w="1714" w:type="pct"/>
            <w:tcBorders>
              <w:top w:val="nil"/>
              <w:left w:val="single" w:sz="4" w:space="0" w:color="auto"/>
              <w:bottom w:val="nil"/>
              <w:right w:val="single" w:sz="4" w:space="0" w:color="auto"/>
            </w:tcBorders>
            <w:vAlign w:val="center"/>
          </w:tcPr>
          <w:p w14:paraId="2F72139E" w14:textId="77777777" w:rsidR="00E512AE" w:rsidRPr="0029195A" w:rsidRDefault="00E512AE" w:rsidP="00935C0C">
            <w:pPr>
              <w:pStyle w:val="TableText0"/>
              <w:keepNext w:val="0"/>
              <w:widowControl w:val="0"/>
              <w:numPr>
                <w:ilvl w:val="0"/>
                <w:numId w:val="6"/>
              </w:numPr>
              <w:rPr>
                <w:bCs w:val="0"/>
              </w:rPr>
            </w:pPr>
            <w:r w:rsidRPr="0029195A">
              <w:rPr>
                <w:bCs w:val="0"/>
              </w:rPr>
              <w:t>Relapsed patients</w:t>
            </w:r>
          </w:p>
        </w:tc>
        <w:tc>
          <w:tcPr>
            <w:tcW w:w="777" w:type="pct"/>
            <w:tcBorders>
              <w:top w:val="nil"/>
              <w:left w:val="single" w:sz="4" w:space="0" w:color="auto"/>
              <w:bottom w:val="nil"/>
              <w:right w:val="single" w:sz="4" w:space="0" w:color="auto"/>
            </w:tcBorders>
            <w:shd w:val="solid" w:color="000000" w:fill="000000"/>
            <w:vAlign w:val="center"/>
          </w:tcPr>
          <w:p w14:paraId="4667622D" w14:textId="013A244E" w:rsidR="00E512AE" w:rsidRPr="00127C86" w:rsidRDefault="00A26F4F" w:rsidP="0017391C">
            <w:pPr>
              <w:pStyle w:val="TableText0"/>
              <w:keepNext w:val="0"/>
              <w:widowControl w:val="0"/>
              <w:jc w:val="center"/>
              <w:rPr>
                <w:bCs w:val="0"/>
                <w:highlight w:val="darkGray"/>
              </w:rPr>
            </w:pPr>
            <w:r w:rsidRPr="00A26F4F">
              <w:rPr>
                <w:color w:val="000000"/>
                <w14:textFill>
                  <w14:solidFill>
                    <w14:srgbClr w14:val="000000">
                      <w14:alpha w14:val="100000"/>
                    </w14:srgbClr>
                  </w14:solidFill>
                </w14:textFill>
              </w:rPr>
              <w:t>|</w:t>
            </w:r>
          </w:p>
        </w:tc>
        <w:tc>
          <w:tcPr>
            <w:tcW w:w="630" w:type="pct"/>
            <w:tcBorders>
              <w:top w:val="nil"/>
              <w:left w:val="single" w:sz="4" w:space="0" w:color="auto"/>
              <w:bottom w:val="nil"/>
              <w:right w:val="single" w:sz="4" w:space="0" w:color="auto"/>
            </w:tcBorders>
            <w:vAlign w:val="center"/>
          </w:tcPr>
          <w:p w14:paraId="072E20A8" w14:textId="77777777" w:rsidR="00E512AE" w:rsidRPr="0029195A" w:rsidRDefault="00E512AE" w:rsidP="0017391C">
            <w:pPr>
              <w:pStyle w:val="TableText0"/>
              <w:keepNext w:val="0"/>
              <w:widowControl w:val="0"/>
              <w:jc w:val="center"/>
              <w:rPr>
                <w:bCs w:val="0"/>
              </w:rPr>
            </w:pPr>
            <w:r w:rsidRPr="0029195A">
              <w:t>1.534</w:t>
            </w:r>
          </w:p>
        </w:tc>
        <w:tc>
          <w:tcPr>
            <w:tcW w:w="777" w:type="pct"/>
            <w:tcBorders>
              <w:top w:val="nil"/>
              <w:left w:val="single" w:sz="4" w:space="0" w:color="auto"/>
              <w:bottom w:val="nil"/>
              <w:right w:val="single" w:sz="4" w:space="0" w:color="auto"/>
            </w:tcBorders>
            <w:vAlign w:val="center"/>
          </w:tcPr>
          <w:p w14:paraId="0FA78B60" w14:textId="1DC4C411" w:rsidR="00E512AE" w:rsidRPr="0060423B" w:rsidRDefault="00A26F4F" w:rsidP="0017391C">
            <w:pPr>
              <w:pStyle w:val="TableText0"/>
              <w:keepNext w:val="0"/>
              <w:widowControl w:val="0"/>
              <w:jc w:val="center"/>
              <w:rPr>
                <w:bCs w:val="0"/>
                <w:highlight w:val="darkGray"/>
                <w:vertAlign w:val="superscript"/>
              </w:rPr>
            </w:pPr>
            <w:r w:rsidRPr="00A26F4F">
              <w:rPr>
                <w:color w:val="000000"/>
                <w:shd w:val="solid" w:color="000000" w:fill="000000"/>
                <w14:textFill>
                  <w14:solidFill>
                    <w14:srgbClr w14:val="000000">
                      <w14:alpha w14:val="100000"/>
                    </w14:srgbClr>
                  </w14:solidFill>
                </w14:textFill>
              </w:rPr>
              <w:t>|</w:t>
            </w:r>
            <w:r w:rsidR="0060423B" w:rsidRPr="0060423B">
              <w:rPr>
                <w:vertAlign w:val="superscript"/>
              </w:rPr>
              <w:t>6</w:t>
            </w:r>
          </w:p>
        </w:tc>
        <w:tc>
          <w:tcPr>
            <w:tcW w:w="1101" w:type="pct"/>
            <w:tcBorders>
              <w:top w:val="nil"/>
              <w:left w:val="single" w:sz="4" w:space="0" w:color="auto"/>
              <w:bottom w:val="nil"/>
              <w:right w:val="single" w:sz="4" w:space="0" w:color="auto"/>
            </w:tcBorders>
            <w:vAlign w:val="center"/>
          </w:tcPr>
          <w:p w14:paraId="299A9A26" w14:textId="77777777" w:rsidR="00E512AE" w:rsidRPr="00465DBB" w:rsidRDefault="00E512AE" w:rsidP="0017391C">
            <w:pPr>
              <w:pStyle w:val="TableText0"/>
              <w:keepNext w:val="0"/>
              <w:widowControl w:val="0"/>
              <w:jc w:val="center"/>
              <w:rPr>
                <w:bCs w:val="0"/>
              </w:rPr>
            </w:pPr>
            <w:r w:rsidRPr="00465DBB">
              <w:t>-63%</w:t>
            </w:r>
          </w:p>
        </w:tc>
      </w:tr>
      <w:tr w:rsidR="00E512AE" w:rsidRPr="0029195A" w14:paraId="52A06EDE" w14:textId="77777777" w:rsidTr="00A26F4F">
        <w:tc>
          <w:tcPr>
            <w:tcW w:w="1714" w:type="pct"/>
            <w:tcBorders>
              <w:top w:val="nil"/>
              <w:left w:val="single" w:sz="4" w:space="0" w:color="auto"/>
              <w:bottom w:val="nil"/>
              <w:right w:val="single" w:sz="4" w:space="0" w:color="auto"/>
            </w:tcBorders>
            <w:vAlign w:val="center"/>
          </w:tcPr>
          <w:p w14:paraId="6237BB8A" w14:textId="77777777" w:rsidR="00E512AE" w:rsidRPr="0029195A" w:rsidRDefault="00E512AE" w:rsidP="0017391C">
            <w:pPr>
              <w:pStyle w:val="TableText0"/>
              <w:keepNext w:val="0"/>
              <w:widowControl w:val="0"/>
              <w:rPr>
                <w:bCs w:val="0"/>
                <w:u w:val="single"/>
              </w:rPr>
            </w:pPr>
            <w:r w:rsidRPr="0029195A">
              <w:rPr>
                <w:bCs w:val="0"/>
              </w:rPr>
              <w:t xml:space="preserve">  </w:t>
            </w:r>
            <w:r w:rsidRPr="0029195A">
              <w:rPr>
                <w:bCs w:val="0"/>
                <w:u w:val="single"/>
              </w:rPr>
              <w:t>AAV type</w:t>
            </w:r>
          </w:p>
        </w:tc>
        <w:tc>
          <w:tcPr>
            <w:tcW w:w="777" w:type="pct"/>
            <w:tcBorders>
              <w:top w:val="nil"/>
              <w:left w:val="single" w:sz="4" w:space="0" w:color="auto"/>
              <w:bottom w:val="nil"/>
              <w:right w:val="single" w:sz="4" w:space="0" w:color="auto"/>
            </w:tcBorders>
            <w:vAlign w:val="center"/>
          </w:tcPr>
          <w:p w14:paraId="0F228357" w14:textId="77777777" w:rsidR="00E512AE" w:rsidRPr="0029195A" w:rsidRDefault="00E512AE" w:rsidP="0017391C">
            <w:pPr>
              <w:pStyle w:val="TableText0"/>
              <w:keepNext w:val="0"/>
              <w:widowControl w:val="0"/>
              <w:jc w:val="center"/>
            </w:pPr>
          </w:p>
        </w:tc>
        <w:tc>
          <w:tcPr>
            <w:tcW w:w="630" w:type="pct"/>
            <w:tcBorders>
              <w:top w:val="nil"/>
              <w:left w:val="single" w:sz="4" w:space="0" w:color="auto"/>
              <w:bottom w:val="nil"/>
              <w:right w:val="single" w:sz="4" w:space="0" w:color="auto"/>
            </w:tcBorders>
            <w:vAlign w:val="center"/>
          </w:tcPr>
          <w:p w14:paraId="3A154ACA" w14:textId="77777777" w:rsidR="00E512AE" w:rsidRPr="0029195A" w:rsidRDefault="00E512AE" w:rsidP="0017391C">
            <w:pPr>
              <w:pStyle w:val="TableText0"/>
              <w:keepNext w:val="0"/>
              <w:widowControl w:val="0"/>
              <w:jc w:val="center"/>
            </w:pPr>
          </w:p>
        </w:tc>
        <w:tc>
          <w:tcPr>
            <w:tcW w:w="777" w:type="pct"/>
            <w:tcBorders>
              <w:top w:val="nil"/>
              <w:left w:val="single" w:sz="4" w:space="0" w:color="auto"/>
              <w:bottom w:val="nil"/>
              <w:right w:val="single" w:sz="4" w:space="0" w:color="auto"/>
            </w:tcBorders>
            <w:vAlign w:val="center"/>
          </w:tcPr>
          <w:p w14:paraId="5DE30B56" w14:textId="77777777" w:rsidR="00E512AE" w:rsidRPr="0029195A" w:rsidRDefault="00E512AE" w:rsidP="0017391C">
            <w:pPr>
              <w:pStyle w:val="TableText0"/>
              <w:keepNext w:val="0"/>
              <w:widowControl w:val="0"/>
              <w:jc w:val="center"/>
            </w:pPr>
          </w:p>
        </w:tc>
        <w:tc>
          <w:tcPr>
            <w:tcW w:w="1101" w:type="pct"/>
            <w:tcBorders>
              <w:top w:val="nil"/>
              <w:left w:val="single" w:sz="4" w:space="0" w:color="auto"/>
              <w:bottom w:val="nil"/>
              <w:right w:val="single" w:sz="4" w:space="0" w:color="auto"/>
            </w:tcBorders>
            <w:vAlign w:val="center"/>
          </w:tcPr>
          <w:p w14:paraId="6A36C7EB" w14:textId="77777777" w:rsidR="00E512AE" w:rsidRPr="00465DBB" w:rsidRDefault="00E512AE" w:rsidP="0017391C">
            <w:pPr>
              <w:pStyle w:val="TableText0"/>
              <w:keepNext w:val="0"/>
              <w:widowControl w:val="0"/>
              <w:jc w:val="center"/>
            </w:pPr>
          </w:p>
        </w:tc>
      </w:tr>
      <w:tr w:rsidR="00E512AE" w:rsidRPr="0029195A" w14:paraId="36433020" w14:textId="77777777" w:rsidTr="00A26F4F">
        <w:tc>
          <w:tcPr>
            <w:tcW w:w="1714" w:type="pct"/>
            <w:tcBorders>
              <w:top w:val="nil"/>
              <w:left w:val="single" w:sz="4" w:space="0" w:color="auto"/>
              <w:bottom w:val="nil"/>
              <w:right w:val="single" w:sz="4" w:space="0" w:color="auto"/>
            </w:tcBorders>
            <w:vAlign w:val="center"/>
          </w:tcPr>
          <w:p w14:paraId="6FCA1516" w14:textId="77777777" w:rsidR="00E512AE" w:rsidRPr="0029195A" w:rsidRDefault="00E512AE" w:rsidP="00935C0C">
            <w:pPr>
              <w:pStyle w:val="TableText0"/>
              <w:keepNext w:val="0"/>
              <w:widowControl w:val="0"/>
              <w:numPr>
                <w:ilvl w:val="0"/>
                <w:numId w:val="6"/>
              </w:numPr>
              <w:rPr>
                <w:bCs w:val="0"/>
              </w:rPr>
            </w:pPr>
            <w:r w:rsidRPr="0029195A">
              <w:rPr>
                <w:bCs w:val="0"/>
              </w:rPr>
              <w:t>GPA</w:t>
            </w:r>
          </w:p>
        </w:tc>
        <w:tc>
          <w:tcPr>
            <w:tcW w:w="777" w:type="pct"/>
            <w:tcBorders>
              <w:top w:val="nil"/>
              <w:left w:val="single" w:sz="4" w:space="0" w:color="auto"/>
              <w:bottom w:val="nil"/>
              <w:right w:val="single" w:sz="4" w:space="0" w:color="auto"/>
            </w:tcBorders>
            <w:shd w:val="solid" w:color="000000" w:fill="000000"/>
            <w:vAlign w:val="center"/>
          </w:tcPr>
          <w:p w14:paraId="3697D00C" w14:textId="598535E3" w:rsidR="00E512AE" w:rsidRPr="00127C86" w:rsidRDefault="00A26F4F" w:rsidP="0017391C">
            <w:pPr>
              <w:pStyle w:val="TableText0"/>
              <w:keepNext w:val="0"/>
              <w:widowControl w:val="0"/>
              <w:jc w:val="center"/>
              <w:rPr>
                <w:highlight w:val="darkGray"/>
              </w:rPr>
            </w:pPr>
            <w:r w:rsidRPr="00A26F4F">
              <w:rPr>
                <w:color w:val="000000"/>
                <w14:textFill>
                  <w14:solidFill>
                    <w14:srgbClr w14:val="000000">
                      <w14:alpha w14:val="100000"/>
                    </w14:srgbClr>
                  </w14:solidFill>
                </w14:textFill>
              </w:rPr>
              <w:t>|</w:t>
            </w:r>
          </w:p>
        </w:tc>
        <w:tc>
          <w:tcPr>
            <w:tcW w:w="630" w:type="pct"/>
            <w:tcBorders>
              <w:top w:val="nil"/>
              <w:left w:val="single" w:sz="4" w:space="0" w:color="auto"/>
              <w:bottom w:val="nil"/>
              <w:right w:val="single" w:sz="4" w:space="0" w:color="auto"/>
            </w:tcBorders>
            <w:vAlign w:val="center"/>
          </w:tcPr>
          <w:p w14:paraId="79153B4A" w14:textId="77777777" w:rsidR="00E512AE" w:rsidRPr="0029195A" w:rsidRDefault="00E512AE" w:rsidP="0017391C">
            <w:pPr>
              <w:pStyle w:val="TableText0"/>
              <w:keepNext w:val="0"/>
              <w:widowControl w:val="0"/>
              <w:jc w:val="center"/>
            </w:pPr>
            <w:r w:rsidRPr="0029195A">
              <w:t>0.448</w:t>
            </w:r>
          </w:p>
        </w:tc>
        <w:tc>
          <w:tcPr>
            <w:tcW w:w="777" w:type="pct"/>
            <w:tcBorders>
              <w:top w:val="nil"/>
              <w:left w:val="single" w:sz="4" w:space="0" w:color="auto"/>
              <w:bottom w:val="nil"/>
              <w:right w:val="single" w:sz="4" w:space="0" w:color="auto"/>
            </w:tcBorders>
            <w:vAlign w:val="center"/>
          </w:tcPr>
          <w:p w14:paraId="3E908B68" w14:textId="6823B2A3" w:rsidR="00E512AE" w:rsidRPr="00127C86" w:rsidRDefault="00A26F4F" w:rsidP="0017391C">
            <w:pPr>
              <w:pStyle w:val="TableText0"/>
              <w:keepNext w:val="0"/>
              <w:widowControl w:val="0"/>
              <w:jc w:val="center"/>
              <w:rPr>
                <w:highlight w:val="darkGray"/>
              </w:rPr>
            </w:pPr>
            <w:r w:rsidRPr="00A26F4F">
              <w:rPr>
                <w:color w:val="000000"/>
                <w:shd w:val="solid" w:color="000000" w:fill="000000"/>
                <w14:textFill>
                  <w14:solidFill>
                    <w14:srgbClr w14:val="000000">
                      <w14:alpha w14:val="100000"/>
                    </w14:srgbClr>
                  </w14:solidFill>
                </w14:textFill>
              </w:rPr>
              <w:t>|</w:t>
            </w:r>
            <w:r w:rsidR="0060423B" w:rsidRPr="0060423B">
              <w:rPr>
                <w:vertAlign w:val="superscript"/>
              </w:rPr>
              <w:t>3</w:t>
            </w:r>
          </w:p>
        </w:tc>
        <w:tc>
          <w:tcPr>
            <w:tcW w:w="1101" w:type="pct"/>
            <w:tcBorders>
              <w:top w:val="nil"/>
              <w:left w:val="single" w:sz="4" w:space="0" w:color="auto"/>
              <w:bottom w:val="nil"/>
              <w:right w:val="single" w:sz="4" w:space="0" w:color="auto"/>
            </w:tcBorders>
            <w:vAlign w:val="center"/>
          </w:tcPr>
          <w:p w14:paraId="4A40E2A2" w14:textId="77777777" w:rsidR="00E512AE" w:rsidRPr="00465DBB" w:rsidRDefault="00E512AE" w:rsidP="0017391C">
            <w:pPr>
              <w:pStyle w:val="TableText0"/>
              <w:keepNext w:val="0"/>
              <w:widowControl w:val="0"/>
              <w:jc w:val="center"/>
            </w:pPr>
            <w:r w:rsidRPr="00465DBB">
              <w:t>187%</w:t>
            </w:r>
          </w:p>
        </w:tc>
      </w:tr>
      <w:tr w:rsidR="00E512AE" w:rsidRPr="0029195A" w14:paraId="579ABDC0" w14:textId="77777777" w:rsidTr="00A26F4F">
        <w:tc>
          <w:tcPr>
            <w:tcW w:w="1714" w:type="pct"/>
            <w:tcBorders>
              <w:top w:val="nil"/>
              <w:left w:val="single" w:sz="4" w:space="0" w:color="auto"/>
              <w:bottom w:val="single" w:sz="4" w:space="0" w:color="auto"/>
              <w:right w:val="single" w:sz="4" w:space="0" w:color="auto"/>
            </w:tcBorders>
            <w:vAlign w:val="center"/>
          </w:tcPr>
          <w:p w14:paraId="4A9A1C35" w14:textId="77777777" w:rsidR="00E512AE" w:rsidRPr="0029195A" w:rsidRDefault="00E512AE" w:rsidP="00935C0C">
            <w:pPr>
              <w:pStyle w:val="TableText0"/>
              <w:keepNext w:val="0"/>
              <w:widowControl w:val="0"/>
              <w:numPr>
                <w:ilvl w:val="0"/>
                <w:numId w:val="6"/>
              </w:numPr>
              <w:rPr>
                <w:bCs w:val="0"/>
              </w:rPr>
            </w:pPr>
            <w:r w:rsidRPr="0029195A">
              <w:rPr>
                <w:bCs w:val="0"/>
              </w:rPr>
              <w:t>MPA</w:t>
            </w:r>
          </w:p>
        </w:tc>
        <w:tc>
          <w:tcPr>
            <w:tcW w:w="777" w:type="pct"/>
            <w:tcBorders>
              <w:top w:val="nil"/>
              <w:left w:val="single" w:sz="4" w:space="0" w:color="auto"/>
              <w:bottom w:val="single" w:sz="4" w:space="0" w:color="auto"/>
              <w:right w:val="single" w:sz="4" w:space="0" w:color="auto"/>
            </w:tcBorders>
            <w:shd w:val="solid" w:color="000000" w:fill="000000"/>
            <w:vAlign w:val="center"/>
          </w:tcPr>
          <w:p w14:paraId="1538FC44" w14:textId="262B6959" w:rsidR="00E512AE" w:rsidRPr="00127C86" w:rsidRDefault="00A26F4F" w:rsidP="0017391C">
            <w:pPr>
              <w:pStyle w:val="TableText0"/>
              <w:keepNext w:val="0"/>
              <w:widowControl w:val="0"/>
              <w:jc w:val="center"/>
              <w:rPr>
                <w:highlight w:val="darkGray"/>
              </w:rPr>
            </w:pPr>
            <w:r w:rsidRPr="00A26F4F">
              <w:rPr>
                <w:color w:val="000000"/>
                <w14:textFill>
                  <w14:solidFill>
                    <w14:srgbClr w14:val="000000">
                      <w14:alpha w14:val="100000"/>
                    </w14:srgbClr>
                  </w14:solidFill>
                </w14:textFill>
              </w:rPr>
              <w:t>|</w:t>
            </w:r>
          </w:p>
        </w:tc>
        <w:tc>
          <w:tcPr>
            <w:tcW w:w="630" w:type="pct"/>
            <w:tcBorders>
              <w:top w:val="nil"/>
              <w:left w:val="single" w:sz="4" w:space="0" w:color="auto"/>
              <w:bottom w:val="single" w:sz="4" w:space="0" w:color="auto"/>
              <w:right w:val="single" w:sz="4" w:space="0" w:color="auto"/>
            </w:tcBorders>
            <w:vAlign w:val="center"/>
          </w:tcPr>
          <w:p w14:paraId="46327C78" w14:textId="77777777" w:rsidR="00E512AE" w:rsidRPr="0029195A" w:rsidRDefault="00E512AE" w:rsidP="0017391C">
            <w:pPr>
              <w:pStyle w:val="TableText0"/>
              <w:keepNext w:val="0"/>
              <w:widowControl w:val="0"/>
              <w:jc w:val="center"/>
            </w:pPr>
            <w:r w:rsidRPr="0029195A">
              <w:t>1.357</w:t>
            </w:r>
          </w:p>
        </w:tc>
        <w:tc>
          <w:tcPr>
            <w:tcW w:w="777" w:type="pct"/>
            <w:tcBorders>
              <w:top w:val="nil"/>
              <w:left w:val="single" w:sz="4" w:space="0" w:color="auto"/>
              <w:bottom w:val="single" w:sz="4" w:space="0" w:color="auto"/>
              <w:right w:val="single" w:sz="4" w:space="0" w:color="auto"/>
            </w:tcBorders>
            <w:vAlign w:val="center"/>
          </w:tcPr>
          <w:p w14:paraId="19DDD12D" w14:textId="3A13AA62" w:rsidR="00E512AE" w:rsidRPr="00127C86" w:rsidRDefault="00A26F4F" w:rsidP="0017391C">
            <w:pPr>
              <w:pStyle w:val="TableText0"/>
              <w:keepNext w:val="0"/>
              <w:widowControl w:val="0"/>
              <w:jc w:val="center"/>
              <w:rPr>
                <w:highlight w:val="darkGray"/>
              </w:rPr>
            </w:pPr>
            <w:r w:rsidRPr="00A26F4F">
              <w:rPr>
                <w:color w:val="000000"/>
                <w:shd w:val="solid" w:color="000000" w:fill="000000"/>
                <w14:textFill>
                  <w14:solidFill>
                    <w14:srgbClr w14:val="000000">
                      <w14:alpha w14:val="100000"/>
                    </w14:srgbClr>
                  </w14:solidFill>
                </w14:textFill>
              </w:rPr>
              <w:t>|</w:t>
            </w:r>
            <w:r w:rsidR="0060423B" w:rsidRPr="0060423B">
              <w:rPr>
                <w:vertAlign w:val="superscript"/>
              </w:rPr>
              <w:t>2</w:t>
            </w:r>
          </w:p>
        </w:tc>
        <w:tc>
          <w:tcPr>
            <w:tcW w:w="1101" w:type="pct"/>
            <w:tcBorders>
              <w:top w:val="nil"/>
              <w:left w:val="single" w:sz="4" w:space="0" w:color="auto"/>
              <w:bottom w:val="single" w:sz="4" w:space="0" w:color="auto"/>
              <w:right w:val="single" w:sz="4" w:space="0" w:color="auto"/>
            </w:tcBorders>
            <w:vAlign w:val="center"/>
          </w:tcPr>
          <w:p w14:paraId="6DAE6D0F" w14:textId="77777777" w:rsidR="00E512AE" w:rsidRPr="00465DBB" w:rsidRDefault="00E512AE" w:rsidP="0017391C">
            <w:pPr>
              <w:pStyle w:val="TableText0"/>
              <w:keepNext w:val="0"/>
              <w:widowControl w:val="0"/>
              <w:jc w:val="center"/>
            </w:pPr>
            <w:r w:rsidRPr="00465DBB">
              <w:t>-70%</w:t>
            </w:r>
          </w:p>
        </w:tc>
      </w:tr>
      <w:tr w:rsidR="00E512AE" w:rsidRPr="0029195A" w14:paraId="12A3691B" w14:textId="77777777" w:rsidTr="00A26F4F">
        <w:tc>
          <w:tcPr>
            <w:tcW w:w="1714" w:type="pct"/>
            <w:tcBorders>
              <w:top w:val="single" w:sz="4" w:space="0" w:color="auto"/>
              <w:bottom w:val="nil"/>
              <w:right w:val="single" w:sz="4" w:space="0" w:color="auto"/>
            </w:tcBorders>
          </w:tcPr>
          <w:p w14:paraId="666E5EC4" w14:textId="71D06961" w:rsidR="00E512AE" w:rsidRPr="0029195A" w:rsidRDefault="00E512AE" w:rsidP="0017391C">
            <w:pPr>
              <w:pStyle w:val="TableText0"/>
              <w:keepNext w:val="0"/>
              <w:widowControl w:val="0"/>
              <w:rPr>
                <w:bCs w:val="0"/>
                <w:u w:val="single"/>
              </w:rPr>
            </w:pPr>
            <w:r w:rsidRPr="0029195A">
              <w:rPr>
                <w:bCs w:val="0"/>
                <w:u w:val="single"/>
              </w:rPr>
              <w:t xml:space="preserve">Treatment </w:t>
            </w:r>
            <w:r w:rsidR="00A13686" w:rsidRPr="0029195A">
              <w:rPr>
                <w:bCs w:val="0"/>
                <w:u w:val="single"/>
              </w:rPr>
              <w:t xml:space="preserve">effect after treatment cessation </w:t>
            </w:r>
            <w:r w:rsidRPr="0029195A">
              <w:rPr>
                <w:bCs w:val="0"/>
                <w:u w:val="single"/>
              </w:rPr>
              <w:t xml:space="preserve">(base case </w:t>
            </w:r>
            <w:r w:rsidR="0095123B" w:rsidRPr="0029195A">
              <w:rPr>
                <w:bCs w:val="0"/>
                <w:u w:val="single"/>
              </w:rPr>
              <w:t xml:space="preserve">linear waning </w:t>
            </w:r>
            <w:r w:rsidRPr="0029195A">
              <w:rPr>
                <w:bCs w:val="0"/>
                <w:u w:val="single"/>
              </w:rPr>
              <w:t>after 1 year)</w:t>
            </w:r>
          </w:p>
        </w:tc>
        <w:tc>
          <w:tcPr>
            <w:tcW w:w="777" w:type="pct"/>
            <w:tcBorders>
              <w:top w:val="single" w:sz="4" w:space="0" w:color="auto"/>
              <w:left w:val="single" w:sz="4" w:space="0" w:color="auto"/>
              <w:bottom w:val="nil"/>
              <w:right w:val="single" w:sz="4" w:space="0" w:color="auto"/>
            </w:tcBorders>
          </w:tcPr>
          <w:p w14:paraId="3336743F" w14:textId="77777777" w:rsidR="00E512AE" w:rsidRPr="0029195A" w:rsidRDefault="00E512AE" w:rsidP="0017391C">
            <w:pPr>
              <w:pStyle w:val="TableText0"/>
              <w:keepNext w:val="0"/>
              <w:widowControl w:val="0"/>
              <w:jc w:val="center"/>
              <w:rPr>
                <w:bCs w:val="0"/>
              </w:rPr>
            </w:pPr>
          </w:p>
        </w:tc>
        <w:tc>
          <w:tcPr>
            <w:tcW w:w="630" w:type="pct"/>
            <w:tcBorders>
              <w:top w:val="single" w:sz="4" w:space="0" w:color="auto"/>
              <w:left w:val="single" w:sz="4" w:space="0" w:color="auto"/>
              <w:bottom w:val="nil"/>
              <w:right w:val="single" w:sz="4" w:space="0" w:color="auto"/>
            </w:tcBorders>
          </w:tcPr>
          <w:p w14:paraId="4B167612" w14:textId="77777777" w:rsidR="00E512AE" w:rsidRPr="0029195A" w:rsidRDefault="00E512AE" w:rsidP="0017391C">
            <w:pPr>
              <w:pStyle w:val="TableText0"/>
              <w:keepNext w:val="0"/>
              <w:widowControl w:val="0"/>
              <w:jc w:val="center"/>
              <w:rPr>
                <w:bCs w:val="0"/>
              </w:rPr>
            </w:pPr>
          </w:p>
        </w:tc>
        <w:tc>
          <w:tcPr>
            <w:tcW w:w="777" w:type="pct"/>
            <w:tcBorders>
              <w:top w:val="single" w:sz="4" w:space="0" w:color="auto"/>
              <w:left w:val="single" w:sz="4" w:space="0" w:color="auto"/>
              <w:bottom w:val="nil"/>
              <w:right w:val="single" w:sz="4" w:space="0" w:color="auto"/>
            </w:tcBorders>
          </w:tcPr>
          <w:p w14:paraId="37BC5A92" w14:textId="77777777" w:rsidR="00E512AE" w:rsidRPr="0029195A" w:rsidRDefault="00E512AE" w:rsidP="0017391C">
            <w:pPr>
              <w:pStyle w:val="TableText0"/>
              <w:keepNext w:val="0"/>
              <w:widowControl w:val="0"/>
              <w:jc w:val="center"/>
              <w:rPr>
                <w:bCs w:val="0"/>
              </w:rPr>
            </w:pPr>
          </w:p>
        </w:tc>
        <w:tc>
          <w:tcPr>
            <w:tcW w:w="1101" w:type="pct"/>
            <w:tcBorders>
              <w:top w:val="single" w:sz="4" w:space="0" w:color="auto"/>
              <w:left w:val="single" w:sz="4" w:space="0" w:color="auto"/>
              <w:bottom w:val="nil"/>
            </w:tcBorders>
            <w:vAlign w:val="center"/>
          </w:tcPr>
          <w:p w14:paraId="4FEB5832" w14:textId="77777777" w:rsidR="00E512AE" w:rsidRPr="00465DBB" w:rsidRDefault="00E512AE" w:rsidP="0017391C">
            <w:pPr>
              <w:pStyle w:val="TableText0"/>
              <w:keepNext w:val="0"/>
              <w:widowControl w:val="0"/>
              <w:jc w:val="center"/>
              <w:rPr>
                <w:bCs w:val="0"/>
              </w:rPr>
            </w:pPr>
            <w:r w:rsidRPr="00465DBB">
              <w:rPr>
                <w:rFonts w:cs="Calibri"/>
                <w:color w:val="000000"/>
                <w:szCs w:val="20"/>
              </w:rPr>
              <w:t> </w:t>
            </w:r>
          </w:p>
        </w:tc>
      </w:tr>
      <w:tr w:rsidR="00E512AE" w:rsidRPr="0029195A" w14:paraId="08A0BA56" w14:textId="77777777" w:rsidTr="00A26F4F">
        <w:tc>
          <w:tcPr>
            <w:tcW w:w="1714" w:type="pct"/>
            <w:tcBorders>
              <w:top w:val="nil"/>
              <w:bottom w:val="nil"/>
              <w:right w:val="single" w:sz="4" w:space="0" w:color="auto"/>
            </w:tcBorders>
          </w:tcPr>
          <w:p w14:paraId="2A0955BB" w14:textId="1BEF52FA" w:rsidR="00E512AE" w:rsidRPr="0029195A" w:rsidRDefault="00E512AE" w:rsidP="00935C0C">
            <w:pPr>
              <w:pStyle w:val="TableText0"/>
              <w:keepNext w:val="0"/>
              <w:widowControl w:val="0"/>
              <w:numPr>
                <w:ilvl w:val="0"/>
                <w:numId w:val="6"/>
              </w:numPr>
              <w:rPr>
                <w:bCs w:val="0"/>
              </w:rPr>
            </w:pPr>
            <w:r w:rsidRPr="0029195A">
              <w:rPr>
                <w:bCs w:val="0"/>
              </w:rPr>
              <w:t xml:space="preserve">No effect </w:t>
            </w:r>
            <w:r w:rsidR="00C678BA" w:rsidRPr="0029195A">
              <w:rPr>
                <w:bCs w:val="0"/>
              </w:rPr>
              <w:t>upon stopping avacopan</w:t>
            </w:r>
          </w:p>
        </w:tc>
        <w:tc>
          <w:tcPr>
            <w:tcW w:w="777" w:type="pct"/>
            <w:tcBorders>
              <w:top w:val="nil"/>
              <w:left w:val="single" w:sz="4" w:space="0" w:color="auto"/>
              <w:bottom w:val="nil"/>
              <w:right w:val="single" w:sz="4" w:space="0" w:color="auto"/>
            </w:tcBorders>
            <w:shd w:val="solid" w:color="000000" w:fill="000000"/>
          </w:tcPr>
          <w:p w14:paraId="432AA353" w14:textId="3C3CAA37" w:rsidR="00E512AE" w:rsidRPr="0029195A" w:rsidRDefault="00A26F4F" w:rsidP="0017391C">
            <w:pPr>
              <w:pStyle w:val="TableText0"/>
              <w:keepNext w:val="0"/>
              <w:widowControl w:val="0"/>
              <w:jc w:val="center"/>
              <w:rPr>
                <w:bCs w:val="0"/>
              </w:rPr>
            </w:pPr>
            <w:r w:rsidRPr="00A26F4F">
              <w:rPr>
                <w:color w:val="000000"/>
                <w14:textFill>
                  <w14:solidFill>
                    <w14:srgbClr w14:val="000000">
                      <w14:alpha w14:val="100000"/>
                    </w14:srgbClr>
                  </w14:solidFill>
                </w14:textFill>
              </w:rPr>
              <w:t>|</w:t>
            </w:r>
          </w:p>
        </w:tc>
        <w:tc>
          <w:tcPr>
            <w:tcW w:w="630" w:type="pct"/>
            <w:tcBorders>
              <w:top w:val="nil"/>
              <w:left w:val="single" w:sz="4" w:space="0" w:color="auto"/>
              <w:bottom w:val="nil"/>
              <w:right w:val="single" w:sz="4" w:space="0" w:color="auto"/>
            </w:tcBorders>
          </w:tcPr>
          <w:p w14:paraId="55C8906D" w14:textId="77777777" w:rsidR="00E512AE" w:rsidRPr="0029195A" w:rsidRDefault="00E512AE" w:rsidP="0017391C">
            <w:pPr>
              <w:pStyle w:val="TableText0"/>
              <w:keepNext w:val="0"/>
              <w:widowControl w:val="0"/>
              <w:jc w:val="center"/>
              <w:rPr>
                <w:bCs w:val="0"/>
              </w:rPr>
            </w:pPr>
            <w:r w:rsidRPr="0029195A">
              <w:t>0.731</w:t>
            </w:r>
          </w:p>
        </w:tc>
        <w:tc>
          <w:tcPr>
            <w:tcW w:w="777" w:type="pct"/>
            <w:tcBorders>
              <w:top w:val="nil"/>
              <w:left w:val="single" w:sz="4" w:space="0" w:color="auto"/>
              <w:bottom w:val="nil"/>
              <w:right w:val="single" w:sz="4" w:space="0" w:color="auto"/>
            </w:tcBorders>
          </w:tcPr>
          <w:p w14:paraId="0A59874F" w14:textId="6CB55370" w:rsidR="00E512AE" w:rsidRPr="0029195A" w:rsidRDefault="00A26F4F" w:rsidP="0017391C">
            <w:pPr>
              <w:pStyle w:val="TableText0"/>
              <w:keepNext w:val="0"/>
              <w:widowControl w:val="0"/>
              <w:jc w:val="center"/>
              <w:rPr>
                <w:bCs w:val="0"/>
              </w:rPr>
            </w:pPr>
            <w:r w:rsidRPr="00A26F4F">
              <w:rPr>
                <w:color w:val="000000"/>
                <w:shd w:val="solid" w:color="000000" w:fill="000000"/>
                <w14:textFill>
                  <w14:solidFill>
                    <w14:srgbClr w14:val="000000">
                      <w14:alpha w14:val="100000"/>
                    </w14:srgbClr>
                  </w14:solidFill>
                </w14:textFill>
              </w:rPr>
              <w:t>|</w:t>
            </w:r>
            <w:r w:rsidR="0060423B" w:rsidRPr="0060423B">
              <w:rPr>
                <w:vertAlign w:val="superscript"/>
              </w:rPr>
              <w:t>4</w:t>
            </w:r>
          </w:p>
        </w:tc>
        <w:tc>
          <w:tcPr>
            <w:tcW w:w="1101" w:type="pct"/>
            <w:tcBorders>
              <w:top w:val="nil"/>
              <w:left w:val="single" w:sz="4" w:space="0" w:color="auto"/>
              <w:bottom w:val="nil"/>
            </w:tcBorders>
            <w:vAlign w:val="center"/>
          </w:tcPr>
          <w:p w14:paraId="27A88FC8" w14:textId="77777777" w:rsidR="00E512AE" w:rsidRPr="00465DBB" w:rsidRDefault="00E512AE" w:rsidP="0017391C">
            <w:pPr>
              <w:pStyle w:val="TableText0"/>
              <w:keepNext w:val="0"/>
              <w:widowControl w:val="0"/>
              <w:jc w:val="center"/>
              <w:rPr>
                <w:bCs w:val="0"/>
              </w:rPr>
            </w:pPr>
            <w:r w:rsidRPr="00465DBB">
              <w:rPr>
                <w:rFonts w:cs="Calibri"/>
                <w:color w:val="000000"/>
                <w:szCs w:val="20"/>
              </w:rPr>
              <w:t>42%</w:t>
            </w:r>
          </w:p>
        </w:tc>
      </w:tr>
      <w:tr w:rsidR="00E512AE" w:rsidRPr="0029195A" w14:paraId="3E2DF465" w14:textId="77777777" w:rsidTr="00A26F4F">
        <w:tc>
          <w:tcPr>
            <w:tcW w:w="1714" w:type="pct"/>
            <w:tcBorders>
              <w:top w:val="nil"/>
              <w:bottom w:val="nil"/>
              <w:right w:val="single" w:sz="4" w:space="0" w:color="auto"/>
            </w:tcBorders>
          </w:tcPr>
          <w:p w14:paraId="19191E15" w14:textId="77777777" w:rsidR="00E512AE" w:rsidRPr="0029195A" w:rsidRDefault="00E512AE" w:rsidP="00935C0C">
            <w:pPr>
              <w:pStyle w:val="TableText0"/>
              <w:keepNext w:val="0"/>
              <w:widowControl w:val="0"/>
              <w:numPr>
                <w:ilvl w:val="0"/>
                <w:numId w:val="6"/>
              </w:numPr>
              <w:rPr>
                <w:bCs w:val="0"/>
              </w:rPr>
            </w:pPr>
            <w:r w:rsidRPr="0029195A">
              <w:rPr>
                <w:bCs w:val="0"/>
              </w:rPr>
              <w:t>Wane after 6 months</w:t>
            </w:r>
          </w:p>
        </w:tc>
        <w:tc>
          <w:tcPr>
            <w:tcW w:w="777" w:type="pct"/>
            <w:tcBorders>
              <w:top w:val="nil"/>
              <w:left w:val="single" w:sz="4" w:space="0" w:color="auto"/>
              <w:bottom w:val="nil"/>
              <w:right w:val="single" w:sz="4" w:space="0" w:color="auto"/>
            </w:tcBorders>
            <w:shd w:val="solid" w:color="000000" w:fill="000000"/>
          </w:tcPr>
          <w:p w14:paraId="73A3BEE1" w14:textId="31DB34F3" w:rsidR="00E512AE" w:rsidRPr="00127C86" w:rsidRDefault="00A26F4F" w:rsidP="0017391C">
            <w:pPr>
              <w:pStyle w:val="TableText0"/>
              <w:keepNext w:val="0"/>
              <w:widowControl w:val="0"/>
              <w:jc w:val="center"/>
              <w:rPr>
                <w:bCs w:val="0"/>
                <w:highlight w:val="darkGray"/>
              </w:rPr>
            </w:pPr>
            <w:r w:rsidRPr="00A26F4F">
              <w:rPr>
                <w:color w:val="000000"/>
                <w14:textFill>
                  <w14:solidFill>
                    <w14:srgbClr w14:val="000000">
                      <w14:alpha w14:val="100000"/>
                    </w14:srgbClr>
                  </w14:solidFill>
                </w14:textFill>
              </w:rPr>
              <w:t>|</w:t>
            </w:r>
          </w:p>
        </w:tc>
        <w:tc>
          <w:tcPr>
            <w:tcW w:w="630" w:type="pct"/>
            <w:tcBorders>
              <w:top w:val="nil"/>
              <w:left w:val="single" w:sz="4" w:space="0" w:color="auto"/>
              <w:bottom w:val="nil"/>
              <w:right w:val="single" w:sz="4" w:space="0" w:color="auto"/>
            </w:tcBorders>
          </w:tcPr>
          <w:p w14:paraId="6BDEA0DE" w14:textId="77777777" w:rsidR="00E512AE" w:rsidRPr="0029195A" w:rsidRDefault="00E512AE" w:rsidP="0017391C">
            <w:pPr>
              <w:pStyle w:val="TableText0"/>
              <w:keepNext w:val="0"/>
              <w:widowControl w:val="0"/>
              <w:jc w:val="center"/>
              <w:rPr>
                <w:bCs w:val="0"/>
              </w:rPr>
            </w:pPr>
            <w:r w:rsidRPr="0029195A">
              <w:t>0.813</w:t>
            </w:r>
          </w:p>
        </w:tc>
        <w:tc>
          <w:tcPr>
            <w:tcW w:w="777" w:type="pct"/>
            <w:tcBorders>
              <w:top w:val="nil"/>
              <w:left w:val="single" w:sz="4" w:space="0" w:color="auto"/>
              <w:bottom w:val="nil"/>
              <w:right w:val="single" w:sz="4" w:space="0" w:color="auto"/>
            </w:tcBorders>
          </w:tcPr>
          <w:p w14:paraId="56CE4A7A" w14:textId="4080261F" w:rsidR="00E512AE" w:rsidRPr="00127C86" w:rsidRDefault="00A26F4F" w:rsidP="0017391C">
            <w:pPr>
              <w:pStyle w:val="TableText0"/>
              <w:keepNext w:val="0"/>
              <w:widowControl w:val="0"/>
              <w:jc w:val="center"/>
              <w:rPr>
                <w:bCs w:val="0"/>
                <w:highlight w:val="darkGray"/>
              </w:rPr>
            </w:pPr>
            <w:r w:rsidRPr="00A26F4F">
              <w:rPr>
                <w:color w:val="000000"/>
                <w:shd w:val="solid" w:color="000000" w:fill="000000"/>
                <w14:textFill>
                  <w14:solidFill>
                    <w14:srgbClr w14:val="000000">
                      <w14:alpha w14:val="100000"/>
                    </w14:srgbClr>
                  </w14:solidFill>
                </w14:textFill>
              </w:rPr>
              <w:t>|</w:t>
            </w:r>
            <w:r w:rsidR="0060423B" w:rsidRPr="0060423B">
              <w:rPr>
                <w:vertAlign w:val="superscript"/>
              </w:rPr>
              <w:t>5</w:t>
            </w:r>
          </w:p>
        </w:tc>
        <w:tc>
          <w:tcPr>
            <w:tcW w:w="1101" w:type="pct"/>
            <w:tcBorders>
              <w:top w:val="nil"/>
              <w:left w:val="single" w:sz="4" w:space="0" w:color="auto"/>
              <w:bottom w:val="nil"/>
            </w:tcBorders>
            <w:vAlign w:val="center"/>
          </w:tcPr>
          <w:p w14:paraId="430BFE77" w14:textId="77777777" w:rsidR="00E512AE" w:rsidRPr="00465DBB" w:rsidRDefault="00E512AE" w:rsidP="0017391C">
            <w:pPr>
              <w:pStyle w:val="TableText0"/>
              <w:keepNext w:val="0"/>
              <w:widowControl w:val="0"/>
              <w:jc w:val="center"/>
              <w:rPr>
                <w:bCs w:val="0"/>
              </w:rPr>
            </w:pPr>
            <w:r w:rsidRPr="00465DBB">
              <w:rPr>
                <w:rFonts w:cs="Calibri"/>
                <w:color w:val="000000"/>
                <w:szCs w:val="20"/>
              </w:rPr>
              <w:t>16%</w:t>
            </w:r>
          </w:p>
        </w:tc>
      </w:tr>
      <w:tr w:rsidR="00E512AE" w:rsidRPr="0029195A" w14:paraId="6C0DD59D" w14:textId="77777777" w:rsidTr="00A26F4F">
        <w:tc>
          <w:tcPr>
            <w:tcW w:w="1714" w:type="pct"/>
            <w:tcBorders>
              <w:top w:val="nil"/>
              <w:bottom w:val="single" w:sz="4" w:space="0" w:color="auto"/>
              <w:right w:val="single" w:sz="4" w:space="0" w:color="auto"/>
            </w:tcBorders>
          </w:tcPr>
          <w:p w14:paraId="0405A661" w14:textId="77777777" w:rsidR="00E512AE" w:rsidRPr="0029195A" w:rsidRDefault="00E512AE" w:rsidP="00935C0C">
            <w:pPr>
              <w:pStyle w:val="TableText0"/>
              <w:keepNext w:val="0"/>
              <w:widowControl w:val="0"/>
              <w:numPr>
                <w:ilvl w:val="0"/>
                <w:numId w:val="6"/>
              </w:numPr>
              <w:rPr>
                <w:bCs w:val="0"/>
              </w:rPr>
            </w:pPr>
            <w:r w:rsidRPr="0029195A">
              <w:rPr>
                <w:bCs w:val="0"/>
              </w:rPr>
              <w:t>Wane after 2 years</w:t>
            </w:r>
          </w:p>
        </w:tc>
        <w:tc>
          <w:tcPr>
            <w:tcW w:w="777" w:type="pct"/>
            <w:tcBorders>
              <w:top w:val="nil"/>
              <w:left w:val="single" w:sz="4" w:space="0" w:color="auto"/>
              <w:bottom w:val="single" w:sz="4" w:space="0" w:color="auto"/>
              <w:right w:val="single" w:sz="4" w:space="0" w:color="auto"/>
            </w:tcBorders>
            <w:shd w:val="solid" w:color="000000" w:fill="000000"/>
          </w:tcPr>
          <w:p w14:paraId="67CC88FD" w14:textId="7819A7F8" w:rsidR="00E512AE" w:rsidRPr="00127C86" w:rsidRDefault="00A26F4F" w:rsidP="0017391C">
            <w:pPr>
              <w:pStyle w:val="TableText0"/>
              <w:keepNext w:val="0"/>
              <w:widowControl w:val="0"/>
              <w:jc w:val="center"/>
              <w:rPr>
                <w:bCs w:val="0"/>
                <w:highlight w:val="darkGray"/>
              </w:rPr>
            </w:pPr>
            <w:r w:rsidRPr="00A26F4F">
              <w:rPr>
                <w:color w:val="000000"/>
                <w14:textFill>
                  <w14:solidFill>
                    <w14:srgbClr w14:val="000000">
                      <w14:alpha w14:val="100000"/>
                    </w14:srgbClr>
                  </w14:solidFill>
                </w14:textFill>
              </w:rPr>
              <w:t>|</w:t>
            </w:r>
          </w:p>
        </w:tc>
        <w:tc>
          <w:tcPr>
            <w:tcW w:w="630" w:type="pct"/>
            <w:tcBorders>
              <w:top w:val="nil"/>
              <w:left w:val="single" w:sz="4" w:space="0" w:color="auto"/>
              <w:bottom w:val="single" w:sz="4" w:space="0" w:color="auto"/>
              <w:right w:val="single" w:sz="4" w:space="0" w:color="auto"/>
            </w:tcBorders>
          </w:tcPr>
          <w:p w14:paraId="2CB04321" w14:textId="77777777" w:rsidR="00E512AE" w:rsidRPr="0029195A" w:rsidRDefault="00E512AE" w:rsidP="0017391C">
            <w:pPr>
              <w:pStyle w:val="TableText0"/>
              <w:keepNext w:val="0"/>
              <w:widowControl w:val="0"/>
              <w:jc w:val="center"/>
              <w:rPr>
                <w:bCs w:val="0"/>
              </w:rPr>
            </w:pPr>
            <w:r w:rsidRPr="0029195A">
              <w:t>0.919</w:t>
            </w:r>
          </w:p>
        </w:tc>
        <w:tc>
          <w:tcPr>
            <w:tcW w:w="777" w:type="pct"/>
            <w:tcBorders>
              <w:top w:val="nil"/>
              <w:left w:val="single" w:sz="4" w:space="0" w:color="auto"/>
              <w:bottom w:val="single" w:sz="4" w:space="0" w:color="auto"/>
              <w:right w:val="single" w:sz="4" w:space="0" w:color="auto"/>
            </w:tcBorders>
          </w:tcPr>
          <w:p w14:paraId="010C0E14" w14:textId="2A4A6BBE" w:rsidR="00E512AE" w:rsidRPr="00127C86" w:rsidRDefault="00A26F4F" w:rsidP="0017391C">
            <w:pPr>
              <w:pStyle w:val="TableText0"/>
              <w:keepNext w:val="0"/>
              <w:widowControl w:val="0"/>
              <w:jc w:val="center"/>
              <w:rPr>
                <w:bCs w:val="0"/>
                <w:highlight w:val="darkGray"/>
              </w:rPr>
            </w:pPr>
            <w:r w:rsidRPr="00A26F4F">
              <w:rPr>
                <w:color w:val="000000"/>
                <w:shd w:val="solid" w:color="000000" w:fill="000000"/>
                <w14:textFill>
                  <w14:solidFill>
                    <w14:srgbClr w14:val="000000">
                      <w14:alpha w14:val="100000"/>
                    </w14:srgbClr>
                  </w14:solidFill>
                </w14:textFill>
              </w:rPr>
              <w:t>|</w:t>
            </w:r>
            <w:r w:rsidR="0060423B" w:rsidRPr="0060423B">
              <w:rPr>
                <w:vertAlign w:val="superscript"/>
              </w:rPr>
              <w:t>1</w:t>
            </w:r>
          </w:p>
        </w:tc>
        <w:tc>
          <w:tcPr>
            <w:tcW w:w="1101" w:type="pct"/>
            <w:tcBorders>
              <w:top w:val="nil"/>
              <w:left w:val="single" w:sz="4" w:space="0" w:color="auto"/>
              <w:bottom w:val="single" w:sz="4" w:space="0" w:color="auto"/>
            </w:tcBorders>
            <w:vAlign w:val="center"/>
          </w:tcPr>
          <w:p w14:paraId="4684B483" w14:textId="77777777" w:rsidR="00E512AE" w:rsidRPr="00465DBB" w:rsidRDefault="00E512AE" w:rsidP="0017391C">
            <w:pPr>
              <w:pStyle w:val="TableText0"/>
              <w:keepNext w:val="0"/>
              <w:widowControl w:val="0"/>
              <w:jc w:val="center"/>
              <w:rPr>
                <w:bCs w:val="0"/>
              </w:rPr>
            </w:pPr>
            <w:r w:rsidRPr="00465DBB">
              <w:rPr>
                <w:rFonts w:cs="Calibri"/>
                <w:color w:val="000000"/>
                <w:szCs w:val="20"/>
              </w:rPr>
              <w:t>-11%</w:t>
            </w:r>
          </w:p>
        </w:tc>
      </w:tr>
      <w:tr w:rsidR="00E512AE" w:rsidRPr="0029195A" w14:paraId="045CE271" w14:textId="77777777" w:rsidTr="00A26F4F">
        <w:trPr>
          <w:trHeight w:val="424"/>
        </w:trPr>
        <w:tc>
          <w:tcPr>
            <w:tcW w:w="1714" w:type="pct"/>
            <w:tcBorders>
              <w:top w:val="single" w:sz="4" w:space="0" w:color="auto"/>
              <w:bottom w:val="nil"/>
              <w:right w:val="single" w:sz="4" w:space="0" w:color="auto"/>
            </w:tcBorders>
          </w:tcPr>
          <w:p w14:paraId="69C8CD09" w14:textId="77777777" w:rsidR="00E512AE" w:rsidRPr="0029195A" w:rsidRDefault="00E512AE" w:rsidP="0017391C">
            <w:pPr>
              <w:pStyle w:val="TableText0"/>
              <w:keepNext w:val="0"/>
              <w:widowControl w:val="0"/>
              <w:rPr>
                <w:bCs w:val="0"/>
                <w:u w:val="single"/>
              </w:rPr>
            </w:pPr>
            <w:r w:rsidRPr="0029195A">
              <w:rPr>
                <w:bCs w:val="0"/>
                <w:u w:val="single"/>
              </w:rPr>
              <w:t>HR applied to corresponding change to eGRF (base case HR=0.90 from Gercik et al. (2020))</w:t>
            </w:r>
          </w:p>
        </w:tc>
        <w:tc>
          <w:tcPr>
            <w:tcW w:w="777" w:type="pct"/>
            <w:tcBorders>
              <w:top w:val="single" w:sz="4" w:space="0" w:color="auto"/>
              <w:left w:val="single" w:sz="4" w:space="0" w:color="auto"/>
              <w:bottom w:val="nil"/>
              <w:right w:val="single" w:sz="4" w:space="0" w:color="auto"/>
            </w:tcBorders>
          </w:tcPr>
          <w:p w14:paraId="576ECCC7" w14:textId="77777777" w:rsidR="00E512AE" w:rsidRPr="0029195A" w:rsidRDefault="00E512AE" w:rsidP="0017391C">
            <w:pPr>
              <w:pStyle w:val="TableText0"/>
              <w:keepNext w:val="0"/>
              <w:widowControl w:val="0"/>
              <w:jc w:val="center"/>
            </w:pPr>
          </w:p>
        </w:tc>
        <w:tc>
          <w:tcPr>
            <w:tcW w:w="630" w:type="pct"/>
            <w:tcBorders>
              <w:top w:val="single" w:sz="4" w:space="0" w:color="auto"/>
              <w:left w:val="single" w:sz="4" w:space="0" w:color="auto"/>
              <w:bottom w:val="nil"/>
              <w:right w:val="single" w:sz="4" w:space="0" w:color="auto"/>
            </w:tcBorders>
          </w:tcPr>
          <w:p w14:paraId="50B2C775" w14:textId="77777777" w:rsidR="00E512AE" w:rsidRPr="0029195A" w:rsidRDefault="00E512AE" w:rsidP="0017391C">
            <w:pPr>
              <w:pStyle w:val="TableText0"/>
              <w:keepNext w:val="0"/>
              <w:widowControl w:val="0"/>
              <w:jc w:val="center"/>
            </w:pPr>
          </w:p>
        </w:tc>
        <w:tc>
          <w:tcPr>
            <w:tcW w:w="777" w:type="pct"/>
            <w:tcBorders>
              <w:top w:val="single" w:sz="4" w:space="0" w:color="auto"/>
              <w:left w:val="single" w:sz="4" w:space="0" w:color="auto"/>
              <w:bottom w:val="nil"/>
              <w:right w:val="single" w:sz="4" w:space="0" w:color="auto"/>
            </w:tcBorders>
          </w:tcPr>
          <w:p w14:paraId="759AB32F" w14:textId="77777777" w:rsidR="00E512AE" w:rsidRPr="0029195A" w:rsidRDefault="00E512AE" w:rsidP="0017391C">
            <w:pPr>
              <w:pStyle w:val="TableText0"/>
              <w:keepNext w:val="0"/>
              <w:widowControl w:val="0"/>
              <w:jc w:val="center"/>
            </w:pPr>
          </w:p>
        </w:tc>
        <w:tc>
          <w:tcPr>
            <w:tcW w:w="1101" w:type="pct"/>
            <w:tcBorders>
              <w:top w:val="single" w:sz="4" w:space="0" w:color="auto"/>
              <w:left w:val="single" w:sz="4" w:space="0" w:color="auto"/>
              <w:bottom w:val="nil"/>
            </w:tcBorders>
            <w:vAlign w:val="center"/>
          </w:tcPr>
          <w:p w14:paraId="4AD9108E" w14:textId="77777777" w:rsidR="00E512AE" w:rsidRPr="00465DBB" w:rsidRDefault="00E512AE" w:rsidP="0017391C">
            <w:pPr>
              <w:pStyle w:val="TableText0"/>
              <w:keepNext w:val="0"/>
              <w:widowControl w:val="0"/>
              <w:jc w:val="center"/>
            </w:pPr>
            <w:r w:rsidRPr="00465DBB">
              <w:rPr>
                <w:rFonts w:cs="Calibri"/>
                <w:color w:val="000000"/>
                <w:szCs w:val="20"/>
              </w:rPr>
              <w:t> </w:t>
            </w:r>
          </w:p>
        </w:tc>
      </w:tr>
      <w:tr w:rsidR="00E512AE" w:rsidRPr="0029195A" w14:paraId="300CC718" w14:textId="77777777" w:rsidTr="00A26F4F">
        <w:tc>
          <w:tcPr>
            <w:tcW w:w="1714" w:type="pct"/>
            <w:tcBorders>
              <w:top w:val="nil"/>
              <w:bottom w:val="nil"/>
              <w:right w:val="single" w:sz="4" w:space="0" w:color="auto"/>
            </w:tcBorders>
          </w:tcPr>
          <w:p w14:paraId="7A67CE22" w14:textId="77777777" w:rsidR="00E512AE" w:rsidRPr="0029195A" w:rsidRDefault="00E512AE" w:rsidP="00935C0C">
            <w:pPr>
              <w:pStyle w:val="TableText0"/>
              <w:keepNext w:val="0"/>
              <w:widowControl w:val="0"/>
              <w:numPr>
                <w:ilvl w:val="0"/>
                <w:numId w:val="6"/>
              </w:numPr>
              <w:rPr>
                <w:bCs w:val="0"/>
              </w:rPr>
            </w:pPr>
            <w:r w:rsidRPr="0029195A">
              <w:rPr>
                <w:bCs w:val="0"/>
              </w:rPr>
              <w:t>HR=0.96 from Brix et al. (2018)</w:t>
            </w:r>
          </w:p>
        </w:tc>
        <w:tc>
          <w:tcPr>
            <w:tcW w:w="777" w:type="pct"/>
            <w:tcBorders>
              <w:top w:val="nil"/>
              <w:left w:val="single" w:sz="4" w:space="0" w:color="auto"/>
              <w:bottom w:val="nil"/>
              <w:right w:val="single" w:sz="4" w:space="0" w:color="auto"/>
            </w:tcBorders>
            <w:shd w:val="solid" w:color="000000" w:fill="000000"/>
          </w:tcPr>
          <w:p w14:paraId="7B5BDA52" w14:textId="3910590C" w:rsidR="00E512AE" w:rsidRPr="0029195A" w:rsidRDefault="00A26F4F" w:rsidP="0017391C">
            <w:pPr>
              <w:pStyle w:val="TableText0"/>
              <w:keepNext w:val="0"/>
              <w:widowControl w:val="0"/>
              <w:jc w:val="center"/>
            </w:pPr>
            <w:r w:rsidRPr="00A26F4F">
              <w:rPr>
                <w:color w:val="000000"/>
                <w14:textFill>
                  <w14:solidFill>
                    <w14:srgbClr w14:val="000000">
                      <w14:alpha w14:val="100000"/>
                    </w14:srgbClr>
                  </w14:solidFill>
                </w14:textFill>
              </w:rPr>
              <w:t>|</w:t>
            </w:r>
          </w:p>
        </w:tc>
        <w:tc>
          <w:tcPr>
            <w:tcW w:w="630" w:type="pct"/>
            <w:tcBorders>
              <w:top w:val="nil"/>
              <w:left w:val="single" w:sz="4" w:space="0" w:color="auto"/>
              <w:bottom w:val="nil"/>
              <w:right w:val="single" w:sz="4" w:space="0" w:color="auto"/>
            </w:tcBorders>
          </w:tcPr>
          <w:p w14:paraId="0DD37241" w14:textId="77777777" w:rsidR="00E512AE" w:rsidRPr="0029195A" w:rsidRDefault="00E512AE" w:rsidP="0017391C">
            <w:pPr>
              <w:pStyle w:val="TableText0"/>
              <w:keepNext w:val="0"/>
              <w:widowControl w:val="0"/>
              <w:jc w:val="center"/>
            </w:pPr>
            <w:r w:rsidRPr="0029195A">
              <w:t>0.772</w:t>
            </w:r>
          </w:p>
        </w:tc>
        <w:tc>
          <w:tcPr>
            <w:tcW w:w="777" w:type="pct"/>
            <w:tcBorders>
              <w:top w:val="nil"/>
              <w:left w:val="single" w:sz="4" w:space="0" w:color="auto"/>
              <w:bottom w:val="nil"/>
              <w:right w:val="single" w:sz="4" w:space="0" w:color="auto"/>
            </w:tcBorders>
          </w:tcPr>
          <w:p w14:paraId="03D2E1D6" w14:textId="55893159" w:rsidR="00E512AE" w:rsidRPr="0029195A" w:rsidRDefault="00A26F4F" w:rsidP="0017391C">
            <w:pPr>
              <w:pStyle w:val="TableText0"/>
              <w:keepNext w:val="0"/>
              <w:widowControl w:val="0"/>
              <w:jc w:val="center"/>
            </w:pPr>
            <w:r w:rsidRPr="00A26F4F">
              <w:rPr>
                <w:color w:val="000000"/>
                <w:shd w:val="solid" w:color="000000" w:fill="000000"/>
                <w14:textFill>
                  <w14:solidFill>
                    <w14:srgbClr w14:val="000000">
                      <w14:alpha w14:val="100000"/>
                    </w14:srgbClr>
                  </w14:solidFill>
                </w14:textFill>
              </w:rPr>
              <w:t>|</w:t>
            </w:r>
            <w:r w:rsidR="009F021C" w:rsidRPr="0060423B">
              <w:rPr>
                <w:vertAlign w:val="superscript"/>
              </w:rPr>
              <w:t>5</w:t>
            </w:r>
          </w:p>
        </w:tc>
        <w:tc>
          <w:tcPr>
            <w:tcW w:w="1101" w:type="pct"/>
            <w:tcBorders>
              <w:top w:val="nil"/>
              <w:left w:val="single" w:sz="4" w:space="0" w:color="auto"/>
              <w:bottom w:val="nil"/>
            </w:tcBorders>
            <w:vAlign w:val="center"/>
          </w:tcPr>
          <w:p w14:paraId="4C2E8763" w14:textId="77777777" w:rsidR="00E512AE" w:rsidRPr="00465DBB" w:rsidRDefault="00E512AE" w:rsidP="0017391C">
            <w:pPr>
              <w:pStyle w:val="TableText0"/>
              <w:keepNext w:val="0"/>
              <w:widowControl w:val="0"/>
              <w:jc w:val="center"/>
            </w:pPr>
            <w:r w:rsidRPr="00465DBB">
              <w:rPr>
                <w:rFonts w:cs="Calibri"/>
                <w:color w:val="000000"/>
                <w:szCs w:val="20"/>
              </w:rPr>
              <w:t>22%</w:t>
            </w:r>
          </w:p>
        </w:tc>
      </w:tr>
      <w:tr w:rsidR="00E512AE" w:rsidRPr="0029195A" w14:paraId="4830BBFB" w14:textId="77777777" w:rsidTr="00A26F4F">
        <w:tc>
          <w:tcPr>
            <w:tcW w:w="1714" w:type="pct"/>
            <w:tcBorders>
              <w:top w:val="nil"/>
              <w:bottom w:val="single" w:sz="4" w:space="0" w:color="auto"/>
              <w:right w:val="single" w:sz="4" w:space="0" w:color="auto"/>
            </w:tcBorders>
          </w:tcPr>
          <w:p w14:paraId="753EAD4C" w14:textId="1C5B3DE7" w:rsidR="00E512AE" w:rsidRPr="0029195A" w:rsidRDefault="00E512AE" w:rsidP="00935C0C">
            <w:pPr>
              <w:pStyle w:val="TableText0"/>
              <w:keepNext w:val="0"/>
              <w:widowControl w:val="0"/>
              <w:numPr>
                <w:ilvl w:val="0"/>
                <w:numId w:val="6"/>
              </w:numPr>
              <w:rPr>
                <w:bCs w:val="0"/>
              </w:rPr>
            </w:pPr>
            <w:r w:rsidRPr="0029195A">
              <w:rPr>
                <w:bCs w:val="0"/>
              </w:rPr>
              <w:t xml:space="preserve">HR=0.955 from pooled estimate from Brix et al., Gercik et al. and Ford et </w:t>
            </w:r>
            <w:r w:rsidR="000E50E4" w:rsidRPr="0029195A">
              <w:rPr>
                <w:bCs w:val="0"/>
              </w:rPr>
              <w:br/>
            </w:r>
            <w:r w:rsidRPr="0029195A">
              <w:rPr>
                <w:bCs w:val="0"/>
              </w:rPr>
              <w:t>al.)</w:t>
            </w:r>
            <w:r w:rsidR="000E50E4" w:rsidRPr="0029195A">
              <w:rPr>
                <w:bCs w:val="0"/>
              </w:rPr>
              <w:t xml:space="preserve"> * </w:t>
            </w:r>
            <w:r w:rsidRPr="0029195A">
              <w:rPr>
                <w:bCs w:val="0"/>
                <w:vertAlign w:val="superscript"/>
              </w:rPr>
              <w:t>a</w:t>
            </w:r>
          </w:p>
        </w:tc>
        <w:tc>
          <w:tcPr>
            <w:tcW w:w="777" w:type="pct"/>
            <w:tcBorders>
              <w:top w:val="nil"/>
              <w:left w:val="single" w:sz="4" w:space="0" w:color="auto"/>
              <w:bottom w:val="single" w:sz="4" w:space="0" w:color="auto"/>
              <w:right w:val="single" w:sz="4" w:space="0" w:color="auto"/>
            </w:tcBorders>
            <w:shd w:val="solid" w:color="000000" w:fill="000000"/>
          </w:tcPr>
          <w:p w14:paraId="008B24B0" w14:textId="11DA1512" w:rsidR="00E512AE" w:rsidRPr="0029195A" w:rsidRDefault="00A26F4F" w:rsidP="0017391C">
            <w:pPr>
              <w:pStyle w:val="TableText0"/>
              <w:keepNext w:val="0"/>
              <w:widowControl w:val="0"/>
              <w:jc w:val="center"/>
            </w:pPr>
            <w:r w:rsidRPr="00A26F4F">
              <w:rPr>
                <w:color w:val="000000"/>
                <w14:textFill>
                  <w14:solidFill>
                    <w14:srgbClr w14:val="000000">
                      <w14:alpha w14:val="100000"/>
                    </w14:srgbClr>
                  </w14:solidFill>
                </w14:textFill>
              </w:rPr>
              <w:t>|</w:t>
            </w:r>
          </w:p>
        </w:tc>
        <w:tc>
          <w:tcPr>
            <w:tcW w:w="630" w:type="pct"/>
            <w:tcBorders>
              <w:top w:val="nil"/>
              <w:left w:val="single" w:sz="4" w:space="0" w:color="auto"/>
              <w:bottom w:val="single" w:sz="4" w:space="0" w:color="auto"/>
              <w:right w:val="single" w:sz="4" w:space="0" w:color="auto"/>
            </w:tcBorders>
          </w:tcPr>
          <w:p w14:paraId="750B32F3" w14:textId="77777777" w:rsidR="00E512AE" w:rsidRPr="0029195A" w:rsidRDefault="00E512AE" w:rsidP="0017391C">
            <w:pPr>
              <w:pStyle w:val="TableText0"/>
              <w:keepNext w:val="0"/>
              <w:widowControl w:val="0"/>
              <w:jc w:val="center"/>
            </w:pPr>
            <w:r w:rsidRPr="0029195A">
              <w:t>0.782</w:t>
            </w:r>
          </w:p>
        </w:tc>
        <w:tc>
          <w:tcPr>
            <w:tcW w:w="777" w:type="pct"/>
            <w:tcBorders>
              <w:top w:val="nil"/>
              <w:left w:val="single" w:sz="4" w:space="0" w:color="auto"/>
              <w:bottom w:val="single" w:sz="4" w:space="0" w:color="auto"/>
              <w:right w:val="single" w:sz="4" w:space="0" w:color="auto"/>
            </w:tcBorders>
          </w:tcPr>
          <w:p w14:paraId="49AE8B44" w14:textId="198E1B22" w:rsidR="00E512AE" w:rsidRPr="0029195A" w:rsidRDefault="00A26F4F" w:rsidP="0017391C">
            <w:pPr>
              <w:pStyle w:val="TableText0"/>
              <w:keepNext w:val="0"/>
              <w:widowControl w:val="0"/>
              <w:jc w:val="center"/>
            </w:pPr>
            <w:r w:rsidRPr="00A26F4F">
              <w:rPr>
                <w:color w:val="000000"/>
                <w:shd w:val="solid" w:color="000000" w:fill="000000"/>
                <w14:textFill>
                  <w14:solidFill>
                    <w14:srgbClr w14:val="000000">
                      <w14:alpha w14:val="100000"/>
                    </w14:srgbClr>
                  </w14:solidFill>
                </w14:textFill>
              </w:rPr>
              <w:t>|</w:t>
            </w:r>
            <w:r w:rsidR="009F021C" w:rsidRPr="0060423B">
              <w:rPr>
                <w:vertAlign w:val="superscript"/>
              </w:rPr>
              <w:t>5</w:t>
            </w:r>
          </w:p>
        </w:tc>
        <w:tc>
          <w:tcPr>
            <w:tcW w:w="1101" w:type="pct"/>
            <w:tcBorders>
              <w:top w:val="nil"/>
              <w:left w:val="single" w:sz="4" w:space="0" w:color="auto"/>
              <w:bottom w:val="single" w:sz="4" w:space="0" w:color="auto"/>
            </w:tcBorders>
          </w:tcPr>
          <w:p w14:paraId="48217FCD" w14:textId="77777777" w:rsidR="00E512AE" w:rsidRPr="00465DBB" w:rsidRDefault="00E512AE" w:rsidP="0017391C">
            <w:pPr>
              <w:pStyle w:val="TableText0"/>
              <w:keepNext w:val="0"/>
              <w:widowControl w:val="0"/>
              <w:jc w:val="center"/>
              <w:rPr>
                <w:rFonts w:cs="Calibri"/>
                <w:color w:val="000000"/>
                <w:szCs w:val="20"/>
              </w:rPr>
            </w:pPr>
            <w:r w:rsidRPr="00465DBB">
              <w:t>20%</w:t>
            </w:r>
          </w:p>
        </w:tc>
      </w:tr>
      <w:tr w:rsidR="00E512AE" w:rsidRPr="0029195A" w14:paraId="08AC8ACF" w14:textId="77777777" w:rsidTr="00A26F4F">
        <w:trPr>
          <w:trHeight w:val="511"/>
        </w:trPr>
        <w:tc>
          <w:tcPr>
            <w:tcW w:w="1714" w:type="pct"/>
            <w:tcBorders>
              <w:top w:val="single" w:sz="4" w:space="0" w:color="auto"/>
              <w:bottom w:val="nil"/>
              <w:right w:val="single" w:sz="4" w:space="0" w:color="auto"/>
            </w:tcBorders>
            <w:vAlign w:val="center"/>
          </w:tcPr>
          <w:p w14:paraId="10A8643A" w14:textId="73629032" w:rsidR="00E512AE" w:rsidRPr="0029195A" w:rsidRDefault="00E512AE" w:rsidP="0017391C">
            <w:pPr>
              <w:pStyle w:val="TableText0"/>
              <w:keepNext w:val="0"/>
              <w:widowControl w:val="0"/>
              <w:rPr>
                <w:bCs w:val="0"/>
                <w:u w:val="single"/>
              </w:rPr>
            </w:pPr>
            <w:r w:rsidRPr="0029195A">
              <w:rPr>
                <w:bCs w:val="0"/>
                <w:u w:val="single"/>
              </w:rPr>
              <w:t>Utility values for dialysis and transplant (base case 0.458 and 0.712 respectively)</w:t>
            </w:r>
            <w:r w:rsidR="000E50E4" w:rsidRPr="0029195A">
              <w:rPr>
                <w:bCs w:val="0"/>
                <w:u w:val="single"/>
              </w:rPr>
              <w:t>*</w:t>
            </w:r>
          </w:p>
        </w:tc>
        <w:tc>
          <w:tcPr>
            <w:tcW w:w="777" w:type="pct"/>
            <w:tcBorders>
              <w:top w:val="single" w:sz="4" w:space="0" w:color="auto"/>
              <w:left w:val="single" w:sz="4" w:space="0" w:color="auto"/>
              <w:bottom w:val="nil"/>
              <w:right w:val="single" w:sz="4" w:space="0" w:color="auto"/>
            </w:tcBorders>
            <w:vAlign w:val="center"/>
          </w:tcPr>
          <w:p w14:paraId="2719C8F5" w14:textId="77777777" w:rsidR="00E512AE" w:rsidRPr="0029195A" w:rsidRDefault="00E512AE" w:rsidP="0017391C">
            <w:pPr>
              <w:pStyle w:val="TableText0"/>
              <w:keepNext w:val="0"/>
              <w:widowControl w:val="0"/>
              <w:jc w:val="center"/>
              <w:rPr>
                <w:bCs w:val="0"/>
              </w:rPr>
            </w:pPr>
          </w:p>
        </w:tc>
        <w:tc>
          <w:tcPr>
            <w:tcW w:w="630" w:type="pct"/>
            <w:tcBorders>
              <w:top w:val="single" w:sz="4" w:space="0" w:color="auto"/>
              <w:left w:val="single" w:sz="4" w:space="0" w:color="auto"/>
              <w:bottom w:val="nil"/>
              <w:right w:val="single" w:sz="4" w:space="0" w:color="auto"/>
            </w:tcBorders>
            <w:vAlign w:val="center"/>
          </w:tcPr>
          <w:p w14:paraId="233F2836" w14:textId="77777777" w:rsidR="00E512AE" w:rsidRPr="0029195A" w:rsidRDefault="00E512AE" w:rsidP="0017391C">
            <w:pPr>
              <w:pStyle w:val="TableText0"/>
              <w:keepNext w:val="0"/>
              <w:widowControl w:val="0"/>
              <w:jc w:val="center"/>
              <w:rPr>
                <w:bCs w:val="0"/>
              </w:rPr>
            </w:pPr>
          </w:p>
        </w:tc>
        <w:tc>
          <w:tcPr>
            <w:tcW w:w="777" w:type="pct"/>
            <w:tcBorders>
              <w:top w:val="single" w:sz="4" w:space="0" w:color="auto"/>
              <w:left w:val="single" w:sz="4" w:space="0" w:color="auto"/>
              <w:bottom w:val="nil"/>
              <w:right w:val="single" w:sz="4" w:space="0" w:color="auto"/>
            </w:tcBorders>
            <w:vAlign w:val="center"/>
          </w:tcPr>
          <w:p w14:paraId="48F664DA" w14:textId="77777777" w:rsidR="00E512AE" w:rsidRPr="0029195A" w:rsidRDefault="00E512AE" w:rsidP="0017391C">
            <w:pPr>
              <w:pStyle w:val="TableText0"/>
              <w:keepNext w:val="0"/>
              <w:widowControl w:val="0"/>
              <w:jc w:val="center"/>
              <w:rPr>
                <w:bCs w:val="0"/>
              </w:rPr>
            </w:pPr>
          </w:p>
        </w:tc>
        <w:tc>
          <w:tcPr>
            <w:tcW w:w="1101" w:type="pct"/>
            <w:tcBorders>
              <w:top w:val="single" w:sz="4" w:space="0" w:color="auto"/>
              <w:left w:val="single" w:sz="4" w:space="0" w:color="auto"/>
              <w:bottom w:val="nil"/>
            </w:tcBorders>
            <w:vAlign w:val="center"/>
          </w:tcPr>
          <w:p w14:paraId="2F87D2BE" w14:textId="77777777" w:rsidR="00E512AE" w:rsidRPr="0029195A" w:rsidRDefault="00E512AE" w:rsidP="0017391C">
            <w:pPr>
              <w:pStyle w:val="TableText0"/>
              <w:keepNext w:val="0"/>
              <w:widowControl w:val="0"/>
              <w:jc w:val="center"/>
              <w:rPr>
                <w:bCs w:val="0"/>
              </w:rPr>
            </w:pPr>
          </w:p>
        </w:tc>
      </w:tr>
      <w:tr w:rsidR="00E512AE" w:rsidRPr="0029195A" w14:paraId="006A049C" w14:textId="77777777" w:rsidTr="00A26F4F">
        <w:tc>
          <w:tcPr>
            <w:tcW w:w="1714" w:type="pct"/>
            <w:tcBorders>
              <w:top w:val="nil"/>
              <w:bottom w:val="nil"/>
              <w:right w:val="single" w:sz="4" w:space="0" w:color="auto"/>
            </w:tcBorders>
            <w:vAlign w:val="center"/>
          </w:tcPr>
          <w:p w14:paraId="5E55DB1F" w14:textId="77777777" w:rsidR="00E512AE" w:rsidRPr="0029195A" w:rsidRDefault="00E512AE" w:rsidP="00935C0C">
            <w:pPr>
              <w:pStyle w:val="TableText0"/>
              <w:keepNext w:val="0"/>
              <w:widowControl w:val="0"/>
              <w:numPr>
                <w:ilvl w:val="0"/>
                <w:numId w:val="6"/>
              </w:numPr>
              <w:rPr>
                <w:bCs w:val="0"/>
              </w:rPr>
            </w:pPr>
            <w:r w:rsidRPr="0029195A">
              <w:rPr>
                <w:bCs w:val="0"/>
              </w:rPr>
              <w:t>Values from Wyld et al. (2012): 0.70 and 0.82</w:t>
            </w:r>
          </w:p>
        </w:tc>
        <w:tc>
          <w:tcPr>
            <w:tcW w:w="777" w:type="pct"/>
            <w:tcBorders>
              <w:top w:val="nil"/>
              <w:left w:val="single" w:sz="4" w:space="0" w:color="auto"/>
              <w:bottom w:val="single" w:sz="4" w:space="0" w:color="auto"/>
              <w:right w:val="single" w:sz="4" w:space="0" w:color="auto"/>
            </w:tcBorders>
            <w:shd w:val="solid" w:color="000000" w:fill="000000"/>
            <w:vAlign w:val="center"/>
          </w:tcPr>
          <w:p w14:paraId="1EC42FBF" w14:textId="6BA29ABE" w:rsidR="00E512AE" w:rsidRPr="0029195A" w:rsidRDefault="00A26F4F" w:rsidP="0017391C">
            <w:pPr>
              <w:pStyle w:val="TableText0"/>
              <w:keepNext w:val="0"/>
              <w:widowControl w:val="0"/>
              <w:jc w:val="center"/>
              <w:rPr>
                <w:bCs w:val="0"/>
              </w:rPr>
            </w:pPr>
            <w:r w:rsidRPr="00A26F4F">
              <w:rPr>
                <w:color w:val="000000"/>
                <w14:textFill>
                  <w14:solidFill>
                    <w14:srgbClr w14:val="000000">
                      <w14:alpha w14:val="100000"/>
                    </w14:srgbClr>
                  </w14:solidFill>
                </w14:textFill>
              </w:rPr>
              <w:t>|</w:t>
            </w:r>
          </w:p>
        </w:tc>
        <w:tc>
          <w:tcPr>
            <w:tcW w:w="630" w:type="pct"/>
            <w:tcBorders>
              <w:top w:val="nil"/>
              <w:left w:val="single" w:sz="4" w:space="0" w:color="auto"/>
              <w:bottom w:val="nil"/>
              <w:right w:val="single" w:sz="4" w:space="0" w:color="auto"/>
            </w:tcBorders>
            <w:vAlign w:val="center"/>
          </w:tcPr>
          <w:p w14:paraId="6768730C" w14:textId="77777777" w:rsidR="00E512AE" w:rsidRPr="0029195A" w:rsidRDefault="00E512AE" w:rsidP="0017391C">
            <w:pPr>
              <w:pStyle w:val="TableText0"/>
              <w:keepNext w:val="0"/>
              <w:widowControl w:val="0"/>
              <w:jc w:val="center"/>
              <w:rPr>
                <w:bCs w:val="0"/>
              </w:rPr>
            </w:pPr>
            <w:r w:rsidRPr="0029195A">
              <w:t>0.719</w:t>
            </w:r>
          </w:p>
        </w:tc>
        <w:tc>
          <w:tcPr>
            <w:tcW w:w="777" w:type="pct"/>
            <w:tcBorders>
              <w:top w:val="nil"/>
              <w:left w:val="single" w:sz="4" w:space="0" w:color="auto"/>
              <w:bottom w:val="nil"/>
              <w:right w:val="single" w:sz="4" w:space="0" w:color="auto"/>
            </w:tcBorders>
            <w:vAlign w:val="center"/>
          </w:tcPr>
          <w:p w14:paraId="2D128A32" w14:textId="19A8EFFE" w:rsidR="00E512AE" w:rsidRPr="0029195A" w:rsidRDefault="00A26F4F" w:rsidP="0017391C">
            <w:pPr>
              <w:pStyle w:val="TableText0"/>
              <w:keepNext w:val="0"/>
              <w:widowControl w:val="0"/>
              <w:jc w:val="center"/>
              <w:rPr>
                <w:bCs w:val="0"/>
              </w:rPr>
            </w:pPr>
            <w:r w:rsidRPr="00A26F4F">
              <w:rPr>
                <w:color w:val="000000"/>
                <w:shd w:val="solid" w:color="000000" w:fill="000000"/>
                <w14:textFill>
                  <w14:solidFill>
                    <w14:srgbClr w14:val="000000">
                      <w14:alpha w14:val="100000"/>
                    </w14:srgbClr>
                  </w14:solidFill>
                </w14:textFill>
              </w:rPr>
              <w:t>|</w:t>
            </w:r>
            <w:r w:rsidR="009F021C" w:rsidRPr="0060423B">
              <w:rPr>
                <w:vertAlign w:val="superscript"/>
              </w:rPr>
              <w:t>5</w:t>
            </w:r>
          </w:p>
        </w:tc>
        <w:tc>
          <w:tcPr>
            <w:tcW w:w="1101" w:type="pct"/>
            <w:tcBorders>
              <w:top w:val="nil"/>
              <w:left w:val="single" w:sz="4" w:space="0" w:color="auto"/>
              <w:bottom w:val="nil"/>
            </w:tcBorders>
            <w:vAlign w:val="center"/>
          </w:tcPr>
          <w:p w14:paraId="3B4C7D27" w14:textId="77777777" w:rsidR="00E512AE" w:rsidRPr="0029195A" w:rsidRDefault="00E512AE" w:rsidP="0017391C">
            <w:pPr>
              <w:pStyle w:val="TableText0"/>
              <w:keepNext w:val="0"/>
              <w:widowControl w:val="0"/>
              <w:jc w:val="center"/>
              <w:rPr>
                <w:bCs w:val="0"/>
              </w:rPr>
            </w:pPr>
            <w:r w:rsidRPr="0029195A">
              <w:t>21%</w:t>
            </w:r>
          </w:p>
        </w:tc>
      </w:tr>
      <w:tr w:rsidR="00E512AE" w:rsidRPr="0029195A" w14:paraId="442B0444" w14:textId="77777777" w:rsidTr="00A26F4F">
        <w:trPr>
          <w:trHeight w:val="313"/>
        </w:trPr>
        <w:tc>
          <w:tcPr>
            <w:tcW w:w="1714" w:type="pct"/>
            <w:tcBorders>
              <w:top w:val="single" w:sz="4" w:space="0" w:color="auto"/>
              <w:bottom w:val="nil"/>
              <w:right w:val="single" w:sz="4" w:space="0" w:color="auto"/>
            </w:tcBorders>
            <w:vAlign w:val="center"/>
          </w:tcPr>
          <w:p w14:paraId="7E3F7410" w14:textId="2742C0BB" w:rsidR="00E512AE" w:rsidRPr="0029195A" w:rsidRDefault="00E512AE" w:rsidP="0017391C">
            <w:pPr>
              <w:pStyle w:val="TableText0"/>
              <w:keepNext w:val="0"/>
              <w:widowControl w:val="0"/>
              <w:rPr>
                <w:bCs w:val="0"/>
                <w:u w:val="single"/>
              </w:rPr>
            </w:pPr>
            <w:r w:rsidRPr="0029195A">
              <w:rPr>
                <w:bCs w:val="0"/>
                <w:u w:val="single"/>
              </w:rPr>
              <w:t>ESRD health state cost (base case $3,774)</w:t>
            </w:r>
            <w:r w:rsidR="000E50E4" w:rsidRPr="0029195A">
              <w:rPr>
                <w:bCs w:val="0"/>
                <w:u w:val="single"/>
              </w:rPr>
              <w:t>*</w:t>
            </w:r>
          </w:p>
        </w:tc>
        <w:tc>
          <w:tcPr>
            <w:tcW w:w="777" w:type="pct"/>
            <w:tcBorders>
              <w:top w:val="single" w:sz="4" w:space="0" w:color="auto"/>
              <w:left w:val="single" w:sz="4" w:space="0" w:color="auto"/>
              <w:bottom w:val="nil"/>
              <w:right w:val="single" w:sz="4" w:space="0" w:color="auto"/>
            </w:tcBorders>
            <w:vAlign w:val="center"/>
          </w:tcPr>
          <w:p w14:paraId="63548E23" w14:textId="77777777" w:rsidR="00E512AE" w:rsidRPr="0029195A" w:rsidRDefault="00E512AE" w:rsidP="0017391C">
            <w:pPr>
              <w:pStyle w:val="TableText0"/>
              <w:keepNext w:val="0"/>
              <w:widowControl w:val="0"/>
              <w:jc w:val="center"/>
              <w:rPr>
                <w:bCs w:val="0"/>
              </w:rPr>
            </w:pPr>
          </w:p>
        </w:tc>
        <w:tc>
          <w:tcPr>
            <w:tcW w:w="630" w:type="pct"/>
            <w:tcBorders>
              <w:top w:val="single" w:sz="4" w:space="0" w:color="auto"/>
              <w:left w:val="single" w:sz="4" w:space="0" w:color="auto"/>
              <w:bottom w:val="nil"/>
              <w:right w:val="single" w:sz="4" w:space="0" w:color="auto"/>
            </w:tcBorders>
            <w:vAlign w:val="center"/>
          </w:tcPr>
          <w:p w14:paraId="3DDDB466" w14:textId="77777777" w:rsidR="00E512AE" w:rsidRPr="0029195A" w:rsidRDefault="00E512AE" w:rsidP="0017391C">
            <w:pPr>
              <w:pStyle w:val="TableText0"/>
              <w:keepNext w:val="0"/>
              <w:widowControl w:val="0"/>
              <w:jc w:val="center"/>
              <w:rPr>
                <w:bCs w:val="0"/>
              </w:rPr>
            </w:pPr>
          </w:p>
        </w:tc>
        <w:tc>
          <w:tcPr>
            <w:tcW w:w="777" w:type="pct"/>
            <w:tcBorders>
              <w:top w:val="single" w:sz="4" w:space="0" w:color="auto"/>
              <w:left w:val="single" w:sz="4" w:space="0" w:color="auto"/>
              <w:bottom w:val="nil"/>
              <w:right w:val="single" w:sz="4" w:space="0" w:color="auto"/>
            </w:tcBorders>
            <w:vAlign w:val="center"/>
          </w:tcPr>
          <w:p w14:paraId="7D5E852B" w14:textId="77777777" w:rsidR="00E512AE" w:rsidRPr="0029195A" w:rsidRDefault="00E512AE" w:rsidP="0017391C">
            <w:pPr>
              <w:pStyle w:val="TableText0"/>
              <w:keepNext w:val="0"/>
              <w:widowControl w:val="0"/>
              <w:jc w:val="center"/>
              <w:rPr>
                <w:bCs w:val="0"/>
              </w:rPr>
            </w:pPr>
          </w:p>
        </w:tc>
        <w:tc>
          <w:tcPr>
            <w:tcW w:w="1101" w:type="pct"/>
            <w:tcBorders>
              <w:top w:val="single" w:sz="4" w:space="0" w:color="auto"/>
              <w:left w:val="single" w:sz="4" w:space="0" w:color="auto"/>
              <w:bottom w:val="nil"/>
            </w:tcBorders>
            <w:vAlign w:val="center"/>
          </w:tcPr>
          <w:p w14:paraId="2E27B3D7" w14:textId="77777777" w:rsidR="00E512AE" w:rsidRPr="0029195A" w:rsidRDefault="00E512AE" w:rsidP="0017391C">
            <w:pPr>
              <w:pStyle w:val="TableText0"/>
              <w:keepNext w:val="0"/>
              <w:widowControl w:val="0"/>
              <w:jc w:val="center"/>
              <w:rPr>
                <w:bCs w:val="0"/>
              </w:rPr>
            </w:pPr>
          </w:p>
        </w:tc>
      </w:tr>
      <w:tr w:rsidR="00E512AE" w:rsidRPr="0029195A" w14:paraId="73A7ED3F" w14:textId="77777777" w:rsidTr="00A26F4F">
        <w:tc>
          <w:tcPr>
            <w:tcW w:w="1714" w:type="pct"/>
            <w:tcBorders>
              <w:top w:val="nil"/>
              <w:bottom w:val="nil"/>
              <w:right w:val="single" w:sz="4" w:space="0" w:color="auto"/>
            </w:tcBorders>
            <w:vAlign w:val="center"/>
          </w:tcPr>
          <w:p w14:paraId="414F7148" w14:textId="77777777" w:rsidR="00E512AE" w:rsidRPr="0029195A" w:rsidRDefault="00E512AE" w:rsidP="00935C0C">
            <w:pPr>
              <w:pStyle w:val="TableText0"/>
              <w:keepNext w:val="0"/>
              <w:widowControl w:val="0"/>
              <w:numPr>
                <w:ilvl w:val="0"/>
                <w:numId w:val="6"/>
              </w:numPr>
              <w:rPr>
                <w:bCs w:val="0"/>
              </w:rPr>
            </w:pPr>
            <w:r w:rsidRPr="0029195A">
              <w:rPr>
                <w:bCs w:val="0"/>
              </w:rPr>
              <w:t>+ 20%</w:t>
            </w:r>
          </w:p>
        </w:tc>
        <w:tc>
          <w:tcPr>
            <w:tcW w:w="777" w:type="pct"/>
            <w:tcBorders>
              <w:top w:val="nil"/>
              <w:left w:val="single" w:sz="4" w:space="0" w:color="auto"/>
              <w:bottom w:val="nil"/>
              <w:right w:val="single" w:sz="4" w:space="0" w:color="auto"/>
            </w:tcBorders>
            <w:shd w:val="solid" w:color="000000" w:fill="000000"/>
            <w:vAlign w:val="center"/>
          </w:tcPr>
          <w:p w14:paraId="1FB9A310" w14:textId="52AF7F07" w:rsidR="00E512AE" w:rsidRPr="00127C86" w:rsidRDefault="00A26F4F" w:rsidP="0017391C">
            <w:pPr>
              <w:pStyle w:val="TableText0"/>
              <w:keepNext w:val="0"/>
              <w:widowControl w:val="0"/>
              <w:jc w:val="center"/>
              <w:rPr>
                <w:bCs w:val="0"/>
                <w:highlight w:val="darkGray"/>
              </w:rPr>
            </w:pPr>
            <w:r w:rsidRPr="00A26F4F">
              <w:rPr>
                <w:bCs w:val="0"/>
                <w:color w:val="000000"/>
                <w14:textFill>
                  <w14:solidFill>
                    <w14:srgbClr w14:val="000000">
                      <w14:alpha w14:val="100000"/>
                    </w14:srgbClr>
                  </w14:solidFill>
                </w14:textFill>
              </w:rPr>
              <w:t>|</w:t>
            </w:r>
          </w:p>
        </w:tc>
        <w:tc>
          <w:tcPr>
            <w:tcW w:w="630" w:type="pct"/>
            <w:tcBorders>
              <w:top w:val="nil"/>
              <w:left w:val="single" w:sz="4" w:space="0" w:color="auto"/>
              <w:bottom w:val="nil"/>
              <w:right w:val="single" w:sz="4" w:space="0" w:color="auto"/>
            </w:tcBorders>
            <w:vAlign w:val="center"/>
          </w:tcPr>
          <w:p w14:paraId="2FB1505D" w14:textId="77777777" w:rsidR="00E512AE" w:rsidRPr="0029195A" w:rsidRDefault="00E512AE" w:rsidP="0017391C">
            <w:pPr>
              <w:pStyle w:val="TableText0"/>
              <w:keepNext w:val="0"/>
              <w:widowControl w:val="0"/>
              <w:jc w:val="center"/>
              <w:rPr>
                <w:bCs w:val="0"/>
              </w:rPr>
            </w:pPr>
            <w:r w:rsidRPr="0029195A">
              <w:rPr>
                <w:bCs w:val="0"/>
              </w:rPr>
              <w:t>0.872</w:t>
            </w:r>
          </w:p>
        </w:tc>
        <w:tc>
          <w:tcPr>
            <w:tcW w:w="777" w:type="pct"/>
            <w:tcBorders>
              <w:top w:val="nil"/>
              <w:left w:val="single" w:sz="4" w:space="0" w:color="auto"/>
              <w:bottom w:val="nil"/>
              <w:right w:val="single" w:sz="4" w:space="0" w:color="auto"/>
            </w:tcBorders>
            <w:vAlign w:val="center"/>
          </w:tcPr>
          <w:p w14:paraId="4064D86D" w14:textId="31F1456C" w:rsidR="00E512AE" w:rsidRPr="00127C86" w:rsidRDefault="00A26F4F" w:rsidP="0017391C">
            <w:pPr>
              <w:pStyle w:val="TableText0"/>
              <w:keepNext w:val="0"/>
              <w:widowControl w:val="0"/>
              <w:jc w:val="center"/>
              <w:rPr>
                <w:bCs w:val="0"/>
                <w:highlight w:val="darkGray"/>
              </w:rPr>
            </w:pPr>
            <w:r w:rsidRPr="00A26F4F">
              <w:rPr>
                <w:bCs w:val="0"/>
                <w:color w:val="000000"/>
                <w:shd w:val="solid" w:color="000000" w:fill="000000"/>
                <w14:textFill>
                  <w14:solidFill>
                    <w14:srgbClr w14:val="000000">
                      <w14:alpha w14:val="100000"/>
                    </w14:srgbClr>
                  </w14:solidFill>
                </w14:textFill>
              </w:rPr>
              <w:t>|</w:t>
            </w:r>
            <w:r w:rsidR="009F021C" w:rsidRPr="0060423B">
              <w:rPr>
                <w:vertAlign w:val="superscript"/>
              </w:rPr>
              <w:t>1</w:t>
            </w:r>
          </w:p>
        </w:tc>
        <w:tc>
          <w:tcPr>
            <w:tcW w:w="1101" w:type="pct"/>
            <w:tcBorders>
              <w:top w:val="nil"/>
              <w:left w:val="single" w:sz="4" w:space="0" w:color="auto"/>
              <w:bottom w:val="nil"/>
            </w:tcBorders>
            <w:vAlign w:val="center"/>
          </w:tcPr>
          <w:p w14:paraId="77CFA2DD" w14:textId="77777777" w:rsidR="00E512AE" w:rsidRPr="0029195A" w:rsidRDefault="00E512AE" w:rsidP="0017391C">
            <w:pPr>
              <w:pStyle w:val="TableText0"/>
              <w:keepNext w:val="0"/>
              <w:widowControl w:val="0"/>
              <w:jc w:val="center"/>
              <w:rPr>
                <w:bCs w:val="0"/>
              </w:rPr>
            </w:pPr>
            <w:r w:rsidRPr="0029195A">
              <w:rPr>
                <w:bCs w:val="0"/>
              </w:rPr>
              <w:t>-19%</w:t>
            </w:r>
          </w:p>
        </w:tc>
      </w:tr>
      <w:tr w:rsidR="00E512AE" w:rsidRPr="0029195A" w14:paraId="56F23F6E" w14:textId="77777777" w:rsidTr="00A26F4F">
        <w:tc>
          <w:tcPr>
            <w:tcW w:w="1714" w:type="pct"/>
            <w:tcBorders>
              <w:top w:val="nil"/>
              <w:bottom w:val="nil"/>
              <w:right w:val="single" w:sz="4" w:space="0" w:color="auto"/>
            </w:tcBorders>
            <w:vAlign w:val="center"/>
          </w:tcPr>
          <w:p w14:paraId="0C45788F" w14:textId="77777777" w:rsidR="00E512AE" w:rsidRPr="0029195A" w:rsidRDefault="00E512AE" w:rsidP="00935C0C">
            <w:pPr>
              <w:pStyle w:val="TableText0"/>
              <w:keepNext w:val="0"/>
              <w:widowControl w:val="0"/>
              <w:numPr>
                <w:ilvl w:val="0"/>
                <w:numId w:val="6"/>
              </w:numPr>
              <w:rPr>
                <w:bCs w:val="0"/>
              </w:rPr>
            </w:pPr>
            <w:r w:rsidRPr="0029195A">
              <w:rPr>
                <w:bCs w:val="0"/>
              </w:rPr>
              <w:lastRenderedPageBreak/>
              <w:t>- 20%</w:t>
            </w:r>
          </w:p>
        </w:tc>
        <w:tc>
          <w:tcPr>
            <w:tcW w:w="777" w:type="pct"/>
            <w:tcBorders>
              <w:top w:val="nil"/>
              <w:left w:val="single" w:sz="4" w:space="0" w:color="auto"/>
              <w:bottom w:val="single" w:sz="4" w:space="0" w:color="auto"/>
              <w:right w:val="single" w:sz="4" w:space="0" w:color="auto"/>
            </w:tcBorders>
            <w:shd w:val="solid" w:color="000000" w:fill="000000"/>
            <w:vAlign w:val="center"/>
          </w:tcPr>
          <w:p w14:paraId="602EC45D" w14:textId="4E4746F5" w:rsidR="00E512AE" w:rsidRPr="00127C86" w:rsidRDefault="00A26F4F" w:rsidP="0017391C">
            <w:pPr>
              <w:pStyle w:val="TableText0"/>
              <w:keepNext w:val="0"/>
              <w:widowControl w:val="0"/>
              <w:jc w:val="center"/>
              <w:rPr>
                <w:bCs w:val="0"/>
                <w:highlight w:val="darkGray"/>
              </w:rPr>
            </w:pPr>
            <w:r w:rsidRPr="00A26F4F">
              <w:rPr>
                <w:bCs w:val="0"/>
                <w:color w:val="000000"/>
                <w14:textFill>
                  <w14:solidFill>
                    <w14:srgbClr w14:val="000000">
                      <w14:alpha w14:val="100000"/>
                    </w14:srgbClr>
                  </w14:solidFill>
                </w14:textFill>
              </w:rPr>
              <w:t>|</w:t>
            </w:r>
          </w:p>
        </w:tc>
        <w:tc>
          <w:tcPr>
            <w:tcW w:w="630" w:type="pct"/>
            <w:tcBorders>
              <w:top w:val="nil"/>
              <w:left w:val="single" w:sz="4" w:space="0" w:color="auto"/>
              <w:bottom w:val="nil"/>
              <w:right w:val="single" w:sz="4" w:space="0" w:color="auto"/>
            </w:tcBorders>
            <w:vAlign w:val="center"/>
          </w:tcPr>
          <w:p w14:paraId="7D300962" w14:textId="77777777" w:rsidR="00E512AE" w:rsidRPr="0029195A" w:rsidRDefault="00E512AE" w:rsidP="0017391C">
            <w:pPr>
              <w:pStyle w:val="TableText0"/>
              <w:keepNext w:val="0"/>
              <w:widowControl w:val="0"/>
              <w:jc w:val="center"/>
              <w:rPr>
                <w:bCs w:val="0"/>
              </w:rPr>
            </w:pPr>
            <w:r w:rsidRPr="0029195A">
              <w:rPr>
                <w:bCs w:val="0"/>
              </w:rPr>
              <w:t>0.872</w:t>
            </w:r>
          </w:p>
        </w:tc>
        <w:tc>
          <w:tcPr>
            <w:tcW w:w="777" w:type="pct"/>
            <w:tcBorders>
              <w:top w:val="nil"/>
              <w:left w:val="single" w:sz="4" w:space="0" w:color="auto"/>
              <w:bottom w:val="nil"/>
              <w:right w:val="single" w:sz="4" w:space="0" w:color="auto"/>
            </w:tcBorders>
            <w:vAlign w:val="center"/>
          </w:tcPr>
          <w:p w14:paraId="36E5007E" w14:textId="6C19BD55" w:rsidR="00E512AE" w:rsidRPr="00127C86" w:rsidRDefault="00A26F4F" w:rsidP="0017391C">
            <w:pPr>
              <w:pStyle w:val="TableText0"/>
              <w:keepNext w:val="0"/>
              <w:widowControl w:val="0"/>
              <w:jc w:val="center"/>
              <w:rPr>
                <w:bCs w:val="0"/>
                <w:highlight w:val="darkGray"/>
              </w:rPr>
            </w:pPr>
            <w:r w:rsidRPr="00A26F4F">
              <w:rPr>
                <w:bCs w:val="0"/>
                <w:color w:val="000000"/>
                <w:shd w:val="solid" w:color="000000" w:fill="000000"/>
                <w14:textFill>
                  <w14:solidFill>
                    <w14:srgbClr w14:val="000000">
                      <w14:alpha w14:val="100000"/>
                    </w14:srgbClr>
                  </w14:solidFill>
                </w14:textFill>
              </w:rPr>
              <w:t>|</w:t>
            </w:r>
            <w:r w:rsidR="009F021C" w:rsidRPr="0060423B">
              <w:rPr>
                <w:vertAlign w:val="superscript"/>
              </w:rPr>
              <w:t>5</w:t>
            </w:r>
          </w:p>
        </w:tc>
        <w:tc>
          <w:tcPr>
            <w:tcW w:w="1101" w:type="pct"/>
            <w:tcBorders>
              <w:top w:val="nil"/>
              <w:left w:val="single" w:sz="4" w:space="0" w:color="auto"/>
              <w:bottom w:val="nil"/>
            </w:tcBorders>
            <w:vAlign w:val="center"/>
          </w:tcPr>
          <w:p w14:paraId="0A50C069" w14:textId="77777777" w:rsidR="00E512AE" w:rsidRPr="0029195A" w:rsidRDefault="00E512AE" w:rsidP="0017391C">
            <w:pPr>
              <w:pStyle w:val="TableText0"/>
              <w:keepNext w:val="0"/>
              <w:widowControl w:val="0"/>
              <w:jc w:val="center"/>
              <w:rPr>
                <w:bCs w:val="0"/>
              </w:rPr>
            </w:pPr>
            <w:r w:rsidRPr="0029195A">
              <w:rPr>
                <w:bCs w:val="0"/>
              </w:rPr>
              <w:t>19%</w:t>
            </w:r>
          </w:p>
        </w:tc>
      </w:tr>
      <w:tr w:rsidR="00E512AE" w:rsidRPr="0029195A" w14:paraId="4226A941" w14:textId="77777777" w:rsidTr="00A26F4F">
        <w:trPr>
          <w:trHeight w:val="501"/>
        </w:trPr>
        <w:tc>
          <w:tcPr>
            <w:tcW w:w="1714" w:type="pct"/>
            <w:tcBorders>
              <w:top w:val="single" w:sz="4" w:space="0" w:color="auto"/>
              <w:bottom w:val="nil"/>
              <w:right w:val="single" w:sz="4" w:space="0" w:color="auto"/>
            </w:tcBorders>
          </w:tcPr>
          <w:p w14:paraId="26783D26" w14:textId="77777777" w:rsidR="00E512AE" w:rsidRPr="0029195A" w:rsidRDefault="00E512AE" w:rsidP="0017391C">
            <w:pPr>
              <w:pStyle w:val="TableText0"/>
              <w:keepNext w:val="0"/>
              <w:widowControl w:val="0"/>
              <w:rPr>
                <w:bCs w:val="0"/>
                <w:u w:val="single"/>
              </w:rPr>
            </w:pPr>
            <w:r w:rsidRPr="0029195A">
              <w:rPr>
                <w:bCs w:val="0"/>
                <w:u w:val="single"/>
              </w:rPr>
              <w:t>eGRF decrement associated with relapse (base case 10 mL/min decrease)</w:t>
            </w:r>
          </w:p>
        </w:tc>
        <w:tc>
          <w:tcPr>
            <w:tcW w:w="777" w:type="pct"/>
            <w:tcBorders>
              <w:top w:val="single" w:sz="4" w:space="0" w:color="auto"/>
              <w:left w:val="single" w:sz="4" w:space="0" w:color="auto"/>
              <w:bottom w:val="nil"/>
              <w:right w:val="single" w:sz="4" w:space="0" w:color="auto"/>
            </w:tcBorders>
          </w:tcPr>
          <w:p w14:paraId="6DCE9AA4" w14:textId="77777777" w:rsidR="00E512AE" w:rsidRPr="0029195A" w:rsidRDefault="00E512AE" w:rsidP="0017391C">
            <w:pPr>
              <w:pStyle w:val="TableText0"/>
              <w:keepNext w:val="0"/>
              <w:widowControl w:val="0"/>
              <w:jc w:val="center"/>
              <w:rPr>
                <w:highlight w:val="yellow"/>
              </w:rPr>
            </w:pPr>
          </w:p>
        </w:tc>
        <w:tc>
          <w:tcPr>
            <w:tcW w:w="630" w:type="pct"/>
            <w:tcBorders>
              <w:top w:val="single" w:sz="4" w:space="0" w:color="auto"/>
              <w:left w:val="single" w:sz="4" w:space="0" w:color="auto"/>
              <w:bottom w:val="nil"/>
              <w:right w:val="single" w:sz="4" w:space="0" w:color="auto"/>
            </w:tcBorders>
          </w:tcPr>
          <w:p w14:paraId="2A0F7C7E" w14:textId="77777777" w:rsidR="00E512AE" w:rsidRPr="0029195A" w:rsidRDefault="00E512AE" w:rsidP="0017391C">
            <w:pPr>
              <w:pStyle w:val="TableText0"/>
              <w:keepNext w:val="0"/>
              <w:widowControl w:val="0"/>
              <w:jc w:val="center"/>
              <w:rPr>
                <w:highlight w:val="yellow"/>
              </w:rPr>
            </w:pPr>
          </w:p>
        </w:tc>
        <w:tc>
          <w:tcPr>
            <w:tcW w:w="777" w:type="pct"/>
            <w:tcBorders>
              <w:top w:val="single" w:sz="4" w:space="0" w:color="auto"/>
              <w:left w:val="single" w:sz="4" w:space="0" w:color="auto"/>
              <w:bottom w:val="nil"/>
              <w:right w:val="single" w:sz="4" w:space="0" w:color="auto"/>
            </w:tcBorders>
          </w:tcPr>
          <w:p w14:paraId="2F27AB71" w14:textId="77777777" w:rsidR="00E512AE" w:rsidRPr="0029195A" w:rsidRDefault="00E512AE" w:rsidP="0017391C">
            <w:pPr>
              <w:pStyle w:val="TableText0"/>
              <w:keepNext w:val="0"/>
              <w:widowControl w:val="0"/>
              <w:jc w:val="center"/>
              <w:rPr>
                <w:highlight w:val="yellow"/>
              </w:rPr>
            </w:pPr>
          </w:p>
        </w:tc>
        <w:tc>
          <w:tcPr>
            <w:tcW w:w="1101" w:type="pct"/>
            <w:tcBorders>
              <w:top w:val="single" w:sz="4" w:space="0" w:color="auto"/>
              <w:left w:val="single" w:sz="4" w:space="0" w:color="auto"/>
              <w:bottom w:val="nil"/>
            </w:tcBorders>
            <w:vAlign w:val="center"/>
          </w:tcPr>
          <w:p w14:paraId="1FE8D456" w14:textId="77777777" w:rsidR="00E512AE" w:rsidRPr="0029195A" w:rsidRDefault="00E512AE" w:rsidP="0017391C">
            <w:pPr>
              <w:pStyle w:val="TableText0"/>
              <w:keepNext w:val="0"/>
              <w:widowControl w:val="0"/>
              <w:jc w:val="center"/>
              <w:rPr>
                <w:highlight w:val="yellow"/>
              </w:rPr>
            </w:pPr>
            <w:r w:rsidRPr="0029195A">
              <w:rPr>
                <w:rFonts w:cs="Calibri"/>
                <w:color w:val="000000"/>
                <w:szCs w:val="20"/>
              </w:rPr>
              <w:t> </w:t>
            </w:r>
          </w:p>
        </w:tc>
      </w:tr>
      <w:tr w:rsidR="00E512AE" w:rsidRPr="0029195A" w14:paraId="46A2220D" w14:textId="77777777" w:rsidTr="00A26F4F">
        <w:tc>
          <w:tcPr>
            <w:tcW w:w="1714" w:type="pct"/>
            <w:tcBorders>
              <w:top w:val="nil"/>
              <w:bottom w:val="nil"/>
              <w:right w:val="single" w:sz="4" w:space="0" w:color="auto"/>
            </w:tcBorders>
          </w:tcPr>
          <w:p w14:paraId="6037FD6D" w14:textId="77777777" w:rsidR="00E512AE" w:rsidRPr="0029195A" w:rsidRDefault="00E512AE" w:rsidP="00935C0C">
            <w:pPr>
              <w:pStyle w:val="TableText0"/>
              <w:keepNext w:val="0"/>
              <w:widowControl w:val="0"/>
              <w:numPr>
                <w:ilvl w:val="0"/>
                <w:numId w:val="6"/>
              </w:numPr>
              <w:rPr>
                <w:bCs w:val="0"/>
              </w:rPr>
            </w:pPr>
            <w:r w:rsidRPr="0029195A">
              <w:rPr>
                <w:bCs w:val="0"/>
              </w:rPr>
              <w:t>5 mL/min decrease</w:t>
            </w:r>
          </w:p>
        </w:tc>
        <w:tc>
          <w:tcPr>
            <w:tcW w:w="777" w:type="pct"/>
            <w:tcBorders>
              <w:top w:val="nil"/>
              <w:left w:val="single" w:sz="4" w:space="0" w:color="auto"/>
              <w:bottom w:val="nil"/>
              <w:right w:val="single" w:sz="4" w:space="0" w:color="auto"/>
            </w:tcBorders>
            <w:shd w:val="solid" w:color="000000" w:fill="000000"/>
          </w:tcPr>
          <w:p w14:paraId="5F021E21" w14:textId="18124E3D" w:rsidR="00E512AE" w:rsidRPr="00127C86" w:rsidRDefault="00A26F4F" w:rsidP="0017391C">
            <w:pPr>
              <w:pStyle w:val="TableText0"/>
              <w:keepNext w:val="0"/>
              <w:widowControl w:val="0"/>
              <w:jc w:val="center"/>
              <w:rPr>
                <w:highlight w:val="darkGray"/>
              </w:rPr>
            </w:pPr>
            <w:r w:rsidRPr="00A26F4F">
              <w:rPr>
                <w:color w:val="000000"/>
                <w14:textFill>
                  <w14:solidFill>
                    <w14:srgbClr w14:val="000000">
                      <w14:alpha w14:val="100000"/>
                    </w14:srgbClr>
                  </w14:solidFill>
                </w14:textFill>
              </w:rPr>
              <w:t>|</w:t>
            </w:r>
          </w:p>
        </w:tc>
        <w:tc>
          <w:tcPr>
            <w:tcW w:w="630" w:type="pct"/>
            <w:tcBorders>
              <w:top w:val="nil"/>
              <w:left w:val="single" w:sz="4" w:space="0" w:color="auto"/>
              <w:bottom w:val="nil"/>
              <w:right w:val="single" w:sz="4" w:space="0" w:color="auto"/>
            </w:tcBorders>
          </w:tcPr>
          <w:p w14:paraId="6F4AC887" w14:textId="77777777" w:rsidR="00E512AE" w:rsidRPr="0029195A" w:rsidRDefault="00E512AE" w:rsidP="0017391C">
            <w:pPr>
              <w:pStyle w:val="TableText0"/>
              <w:keepNext w:val="0"/>
              <w:widowControl w:val="0"/>
              <w:jc w:val="center"/>
              <w:rPr>
                <w:highlight w:val="yellow"/>
              </w:rPr>
            </w:pPr>
            <w:r w:rsidRPr="0029195A">
              <w:t>0.827</w:t>
            </w:r>
          </w:p>
        </w:tc>
        <w:tc>
          <w:tcPr>
            <w:tcW w:w="777" w:type="pct"/>
            <w:tcBorders>
              <w:top w:val="nil"/>
              <w:left w:val="single" w:sz="4" w:space="0" w:color="auto"/>
              <w:bottom w:val="nil"/>
              <w:right w:val="single" w:sz="4" w:space="0" w:color="auto"/>
            </w:tcBorders>
          </w:tcPr>
          <w:p w14:paraId="22FBDC81" w14:textId="36A81D1B" w:rsidR="00E512AE" w:rsidRPr="00127C86" w:rsidRDefault="00A26F4F" w:rsidP="0017391C">
            <w:pPr>
              <w:pStyle w:val="TableText0"/>
              <w:keepNext w:val="0"/>
              <w:widowControl w:val="0"/>
              <w:jc w:val="center"/>
              <w:rPr>
                <w:highlight w:val="darkGray"/>
              </w:rPr>
            </w:pPr>
            <w:r w:rsidRPr="00A26F4F">
              <w:rPr>
                <w:color w:val="000000"/>
                <w:shd w:val="solid" w:color="000000" w:fill="000000"/>
                <w14:textFill>
                  <w14:solidFill>
                    <w14:srgbClr w14:val="000000">
                      <w14:alpha w14:val="100000"/>
                    </w14:srgbClr>
                  </w14:solidFill>
                </w14:textFill>
              </w:rPr>
              <w:t>|</w:t>
            </w:r>
            <w:r w:rsidR="009F021C" w:rsidRPr="0060423B">
              <w:rPr>
                <w:vertAlign w:val="superscript"/>
              </w:rPr>
              <w:t>5</w:t>
            </w:r>
          </w:p>
        </w:tc>
        <w:tc>
          <w:tcPr>
            <w:tcW w:w="1101" w:type="pct"/>
            <w:tcBorders>
              <w:top w:val="nil"/>
              <w:left w:val="single" w:sz="4" w:space="0" w:color="auto"/>
              <w:bottom w:val="nil"/>
            </w:tcBorders>
            <w:vAlign w:val="center"/>
          </w:tcPr>
          <w:p w14:paraId="33470546" w14:textId="77777777" w:rsidR="00E512AE" w:rsidRPr="0029195A" w:rsidRDefault="00E512AE" w:rsidP="0017391C">
            <w:pPr>
              <w:pStyle w:val="TableText0"/>
              <w:keepNext w:val="0"/>
              <w:widowControl w:val="0"/>
              <w:jc w:val="center"/>
              <w:rPr>
                <w:highlight w:val="yellow"/>
              </w:rPr>
            </w:pPr>
            <w:r w:rsidRPr="0029195A">
              <w:rPr>
                <w:rFonts w:cs="Calibri"/>
                <w:color w:val="000000"/>
                <w:szCs w:val="20"/>
              </w:rPr>
              <w:t>14%</w:t>
            </w:r>
          </w:p>
        </w:tc>
      </w:tr>
      <w:tr w:rsidR="00E512AE" w:rsidRPr="0029195A" w14:paraId="527FBA2A" w14:textId="77777777" w:rsidTr="00A26F4F">
        <w:tc>
          <w:tcPr>
            <w:tcW w:w="1714" w:type="pct"/>
            <w:tcBorders>
              <w:top w:val="nil"/>
              <w:bottom w:val="nil"/>
              <w:right w:val="single" w:sz="4" w:space="0" w:color="auto"/>
            </w:tcBorders>
          </w:tcPr>
          <w:p w14:paraId="55011B79" w14:textId="77777777" w:rsidR="00E512AE" w:rsidRPr="0029195A" w:rsidRDefault="00E512AE" w:rsidP="00935C0C">
            <w:pPr>
              <w:pStyle w:val="TableText0"/>
              <w:keepNext w:val="0"/>
              <w:widowControl w:val="0"/>
              <w:numPr>
                <w:ilvl w:val="0"/>
                <w:numId w:val="6"/>
              </w:numPr>
              <w:rPr>
                <w:bCs w:val="0"/>
              </w:rPr>
            </w:pPr>
            <w:r w:rsidRPr="0029195A">
              <w:rPr>
                <w:bCs w:val="0"/>
              </w:rPr>
              <w:t>20 mL/min decrease</w:t>
            </w:r>
          </w:p>
        </w:tc>
        <w:tc>
          <w:tcPr>
            <w:tcW w:w="777" w:type="pct"/>
            <w:tcBorders>
              <w:top w:val="nil"/>
              <w:left w:val="single" w:sz="4" w:space="0" w:color="auto"/>
              <w:bottom w:val="nil"/>
              <w:right w:val="single" w:sz="4" w:space="0" w:color="auto"/>
            </w:tcBorders>
            <w:shd w:val="solid" w:color="000000" w:fill="000000"/>
          </w:tcPr>
          <w:p w14:paraId="2687C720" w14:textId="1B998695" w:rsidR="00E512AE" w:rsidRPr="00127C86" w:rsidRDefault="00A26F4F" w:rsidP="0017391C">
            <w:pPr>
              <w:pStyle w:val="TableText0"/>
              <w:keepNext w:val="0"/>
              <w:widowControl w:val="0"/>
              <w:jc w:val="center"/>
              <w:rPr>
                <w:highlight w:val="darkGray"/>
              </w:rPr>
            </w:pPr>
            <w:r w:rsidRPr="00A26F4F">
              <w:rPr>
                <w:color w:val="000000"/>
                <w14:textFill>
                  <w14:solidFill>
                    <w14:srgbClr w14:val="000000">
                      <w14:alpha w14:val="100000"/>
                    </w14:srgbClr>
                  </w14:solidFill>
                </w14:textFill>
              </w:rPr>
              <w:t>|</w:t>
            </w:r>
          </w:p>
        </w:tc>
        <w:tc>
          <w:tcPr>
            <w:tcW w:w="630" w:type="pct"/>
            <w:tcBorders>
              <w:top w:val="nil"/>
              <w:left w:val="single" w:sz="4" w:space="0" w:color="auto"/>
              <w:bottom w:val="nil"/>
              <w:right w:val="single" w:sz="4" w:space="0" w:color="auto"/>
            </w:tcBorders>
          </w:tcPr>
          <w:p w14:paraId="41EEEC1E" w14:textId="77777777" w:rsidR="00E512AE" w:rsidRPr="0029195A" w:rsidRDefault="00E512AE" w:rsidP="0017391C">
            <w:pPr>
              <w:pStyle w:val="TableText0"/>
              <w:keepNext w:val="0"/>
              <w:widowControl w:val="0"/>
              <w:jc w:val="center"/>
              <w:rPr>
                <w:highlight w:val="yellow"/>
              </w:rPr>
            </w:pPr>
            <w:r w:rsidRPr="0029195A">
              <w:t>0.826</w:t>
            </w:r>
          </w:p>
        </w:tc>
        <w:tc>
          <w:tcPr>
            <w:tcW w:w="777" w:type="pct"/>
            <w:tcBorders>
              <w:top w:val="nil"/>
              <w:left w:val="single" w:sz="4" w:space="0" w:color="auto"/>
              <w:bottom w:val="nil"/>
              <w:right w:val="single" w:sz="4" w:space="0" w:color="auto"/>
            </w:tcBorders>
          </w:tcPr>
          <w:p w14:paraId="05E51E68" w14:textId="7716D159" w:rsidR="00E512AE" w:rsidRPr="00127C86" w:rsidRDefault="00A26F4F" w:rsidP="0017391C">
            <w:pPr>
              <w:pStyle w:val="TableText0"/>
              <w:keepNext w:val="0"/>
              <w:widowControl w:val="0"/>
              <w:jc w:val="center"/>
              <w:rPr>
                <w:highlight w:val="darkGray"/>
              </w:rPr>
            </w:pPr>
            <w:r w:rsidRPr="00A26F4F">
              <w:rPr>
                <w:color w:val="000000"/>
                <w:shd w:val="solid" w:color="000000" w:fill="000000"/>
                <w14:textFill>
                  <w14:solidFill>
                    <w14:srgbClr w14:val="000000">
                      <w14:alpha w14:val="100000"/>
                    </w14:srgbClr>
                  </w14:solidFill>
                </w14:textFill>
              </w:rPr>
              <w:t>|</w:t>
            </w:r>
            <w:r w:rsidR="009F021C" w:rsidRPr="0060423B">
              <w:rPr>
                <w:vertAlign w:val="superscript"/>
              </w:rPr>
              <w:t>1</w:t>
            </w:r>
          </w:p>
        </w:tc>
        <w:tc>
          <w:tcPr>
            <w:tcW w:w="1101" w:type="pct"/>
            <w:tcBorders>
              <w:top w:val="nil"/>
              <w:left w:val="single" w:sz="4" w:space="0" w:color="auto"/>
              <w:bottom w:val="nil"/>
            </w:tcBorders>
            <w:vAlign w:val="center"/>
          </w:tcPr>
          <w:p w14:paraId="41CC37A6" w14:textId="77777777" w:rsidR="00E512AE" w:rsidRPr="0029195A" w:rsidRDefault="00E512AE" w:rsidP="0017391C">
            <w:pPr>
              <w:pStyle w:val="TableText0"/>
              <w:keepNext w:val="0"/>
              <w:widowControl w:val="0"/>
              <w:jc w:val="center"/>
              <w:rPr>
                <w:highlight w:val="yellow"/>
              </w:rPr>
            </w:pPr>
            <w:r w:rsidRPr="0029195A">
              <w:rPr>
                <w:rFonts w:cs="Calibri"/>
                <w:color w:val="000000"/>
                <w:szCs w:val="20"/>
              </w:rPr>
              <w:t>-7%</w:t>
            </w:r>
          </w:p>
        </w:tc>
      </w:tr>
      <w:tr w:rsidR="00436A64" w:rsidRPr="0029195A" w14:paraId="4C211335" w14:textId="77777777" w:rsidTr="00A26F4F">
        <w:tc>
          <w:tcPr>
            <w:tcW w:w="1714" w:type="pct"/>
            <w:tcBorders>
              <w:top w:val="nil"/>
              <w:bottom w:val="single" w:sz="4" w:space="0" w:color="auto"/>
              <w:right w:val="single" w:sz="4" w:space="0" w:color="auto"/>
            </w:tcBorders>
          </w:tcPr>
          <w:p w14:paraId="0915B574" w14:textId="77777777" w:rsidR="00436A64" w:rsidRPr="0029195A" w:rsidRDefault="00436A64" w:rsidP="00935C0C">
            <w:pPr>
              <w:pStyle w:val="TableText0"/>
              <w:keepNext w:val="0"/>
              <w:widowControl w:val="0"/>
              <w:numPr>
                <w:ilvl w:val="0"/>
                <w:numId w:val="6"/>
              </w:numPr>
              <w:rPr>
                <w:bCs w:val="0"/>
              </w:rPr>
            </w:pPr>
            <w:r w:rsidRPr="0029195A">
              <w:rPr>
                <w:bCs w:val="0"/>
              </w:rPr>
              <w:t xml:space="preserve">No decrease with relapse </w:t>
            </w:r>
          </w:p>
        </w:tc>
        <w:tc>
          <w:tcPr>
            <w:tcW w:w="777" w:type="pct"/>
            <w:tcBorders>
              <w:top w:val="nil"/>
              <w:left w:val="single" w:sz="4" w:space="0" w:color="auto"/>
              <w:bottom w:val="single" w:sz="4" w:space="0" w:color="auto"/>
              <w:right w:val="single" w:sz="4" w:space="0" w:color="auto"/>
            </w:tcBorders>
            <w:shd w:val="solid" w:color="000000" w:fill="000000"/>
          </w:tcPr>
          <w:p w14:paraId="20DECE9A" w14:textId="013EE937" w:rsidR="00436A64" w:rsidRPr="00127C86" w:rsidRDefault="00A26F4F" w:rsidP="0017391C">
            <w:pPr>
              <w:pStyle w:val="TableText0"/>
              <w:keepNext w:val="0"/>
              <w:widowControl w:val="0"/>
              <w:jc w:val="center"/>
              <w:rPr>
                <w:highlight w:val="darkGray"/>
              </w:rPr>
            </w:pPr>
            <w:r w:rsidRPr="00A26F4F">
              <w:rPr>
                <w:color w:val="000000"/>
                <w14:textFill>
                  <w14:solidFill>
                    <w14:srgbClr w14:val="000000">
                      <w14:alpha w14:val="100000"/>
                    </w14:srgbClr>
                  </w14:solidFill>
                </w14:textFill>
              </w:rPr>
              <w:t>|</w:t>
            </w:r>
          </w:p>
        </w:tc>
        <w:tc>
          <w:tcPr>
            <w:tcW w:w="630" w:type="pct"/>
            <w:tcBorders>
              <w:top w:val="nil"/>
              <w:left w:val="single" w:sz="4" w:space="0" w:color="auto"/>
              <w:bottom w:val="single" w:sz="4" w:space="0" w:color="auto"/>
              <w:right w:val="single" w:sz="4" w:space="0" w:color="auto"/>
            </w:tcBorders>
          </w:tcPr>
          <w:p w14:paraId="1EA8AAE9" w14:textId="3A4401B0" w:rsidR="00436A64" w:rsidRPr="0029195A" w:rsidRDefault="00436A64" w:rsidP="0017391C">
            <w:pPr>
              <w:pStyle w:val="TableText0"/>
              <w:keepNext w:val="0"/>
              <w:widowControl w:val="0"/>
              <w:jc w:val="center"/>
            </w:pPr>
            <w:r w:rsidRPr="0029195A">
              <w:t>0.752</w:t>
            </w:r>
          </w:p>
        </w:tc>
        <w:tc>
          <w:tcPr>
            <w:tcW w:w="777" w:type="pct"/>
            <w:tcBorders>
              <w:top w:val="nil"/>
              <w:left w:val="single" w:sz="4" w:space="0" w:color="auto"/>
              <w:bottom w:val="single" w:sz="4" w:space="0" w:color="auto"/>
              <w:right w:val="single" w:sz="4" w:space="0" w:color="auto"/>
            </w:tcBorders>
          </w:tcPr>
          <w:p w14:paraId="47B172A1" w14:textId="696480E7" w:rsidR="00436A64" w:rsidRPr="00127C86" w:rsidRDefault="00A26F4F" w:rsidP="0017391C">
            <w:pPr>
              <w:pStyle w:val="TableText0"/>
              <w:keepNext w:val="0"/>
              <w:widowControl w:val="0"/>
              <w:jc w:val="center"/>
              <w:rPr>
                <w:highlight w:val="darkGray"/>
              </w:rPr>
            </w:pPr>
            <w:r w:rsidRPr="00A26F4F">
              <w:rPr>
                <w:color w:val="000000"/>
                <w:shd w:val="solid" w:color="000000" w:fill="000000"/>
                <w14:textFill>
                  <w14:solidFill>
                    <w14:srgbClr w14:val="000000">
                      <w14:alpha w14:val="100000"/>
                    </w14:srgbClr>
                  </w14:solidFill>
                </w14:textFill>
              </w:rPr>
              <w:t>|</w:t>
            </w:r>
            <w:r w:rsidR="009F021C" w:rsidRPr="0060423B">
              <w:rPr>
                <w:vertAlign w:val="superscript"/>
              </w:rPr>
              <w:t>5</w:t>
            </w:r>
          </w:p>
        </w:tc>
        <w:tc>
          <w:tcPr>
            <w:tcW w:w="1101" w:type="pct"/>
            <w:tcBorders>
              <w:top w:val="nil"/>
              <w:left w:val="single" w:sz="4" w:space="0" w:color="auto"/>
              <w:bottom w:val="single" w:sz="4" w:space="0" w:color="auto"/>
            </w:tcBorders>
            <w:vAlign w:val="center"/>
          </w:tcPr>
          <w:p w14:paraId="7D8756FD" w14:textId="7DD703E7" w:rsidR="00436A64" w:rsidRPr="0029195A" w:rsidRDefault="00436A64" w:rsidP="0017391C">
            <w:pPr>
              <w:pStyle w:val="TableText0"/>
              <w:keepNext w:val="0"/>
              <w:widowControl w:val="0"/>
              <w:jc w:val="center"/>
              <w:rPr>
                <w:rFonts w:cs="Calibri"/>
                <w:color w:val="000000"/>
                <w:szCs w:val="20"/>
              </w:rPr>
            </w:pPr>
            <w:r w:rsidRPr="0029195A">
              <w:rPr>
                <w:rFonts w:cs="Calibri"/>
                <w:color w:val="000000"/>
                <w:szCs w:val="20"/>
              </w:rPr>
              <w:t>33%</w:t>
            </w:r>
          </w:p>
        </w:tc>
      </w:tr>
      <w:tr w:rsidR="00E512AE" w:rsidRPr="0029195A" w14:paraId="5B1B17FC" w14:textId="77777777" w:rsidTr="00A26F4F">
        <w:trPr>
          <w:trHeight w:val="540"/>
        </w:trPr>
        <w:tc>
          <w:tcPr>
            <w:tcW w:w="1714" w:type="pct"/>
            <w:tcBorders>
              <w:top w:val="single" w:sz="4" w:space="0" w:color="auto"/>
              <w:bottom w:val="nil"/>
              <w:right w:val="single" w:sz="4" w:space="0" w:color="auto"/>
            </w:tcBorders>
          </w:tcPr>
          <w:p w14:paraId="2BEAB64A" w14:textId="77777777" w:rsidR="00E512AE" w:rsidRPr="0029195A" w:rsidRDefault="00E512AE" w:rsidP="0017391C">
            <w:pPr>
              <w:pStyle w:val="TableText0"/>
              <w:keepNext w:val="0"/>
              <w:widowControl w:val="0"/>
              <w:rPr>
                <w:bCs w:val="0"/>
                <w:u w:val="single"/>
              </w:rPr>
            </w:pPr>
            <w:r w:rsidRPr="0029195A">
              <w:rPr>
                <w:bCs w:val="0"/>
                <w:u w:val="single"/>
              </w:rPr>
              <w:t>Treatment duration (base case 6 months induction + 18 months maintenance and 2 reinductions)</w:t>
            </w:r>
          </w:p>
        </w:tc>
        <w:tc>
          <w:tcPr>
            <w:tcW w:w="777" w:type="pct"/>
            <w:tcBorders>
              <w:top w:val="single" w:sz="4" w:space="0" w:color="auto"/>
              <w:left w:val="single" w:sz="4" w:space="0" w:color="auto"/>
              <w:bottom w:val="nil"/>
              <w:right w:val="single" w:sz="4" w:space="0" w:color="auto"/>
            </w:tcBorders>
          </w:tcPr>
          <w:p w14:paraId="66600D25" w14:textId="77777777" w:rsidR="00E512AE" w:rsidRPr="0029195A" w:rsidRDefault="00E512AE" w:rsidP="0017391C">
            <w:pPr>
              <w:pStyle w:val="TableText0"/>
              <w:keepNext w:val="0"/>
              <w:widowControl w:val="0"/>
              <w:jc w:val="center"/>
              <w:rPr>
                <w:bCs w:val="0"/>
              </w:rPr>
            </w:pPr>
          </w:p>
        </w:tc>
        <w:tc>
          <w:tcPr>
            <w:tcW w:w="630" w:type="pct"/>
            <w:tcBorders>
              <w:top w:val="single" w:sz="4" w:space="0" w:color="auto"/>
              <w:left w:val="single" w:sz="4" w:space="0" w:color="auto"/>
              <w:bottom w:val="nil"/>
              <w:right w:val="single" w:sz="4" w:space="0" w:color="auto"/>
            </w:tcBorders>
          </w:tcPr>
          <w:p w14:paraId="0DE54399" w14:textId="77777777" w:rsidR="00E512AE" w:rsidRPr="0029195A" w:rsidRDefault="00E512AE" w:rsidP="0017391C">
            <w:pPr>
              <w:pStyle w:val="TableText0"/>
              <w:keepNext w:val="0"/>
              <w:widowControl w:val="0"/>
              <w:jc w:val="center"/>
              <w:rPr>
                <w:bCs w:val="0"/>
              </w:rPr>
            </w:pPr>
          </w:p>
        </w:tc>
        <w:tc>
          <w:tcPr>
            <w:tcW w:w="777" w:type="pct"/>
            <w:tcBorders>
              <w:top w:val="single" w:sz="4" w:space="0" w:color="auto"/>
              <w:left w:val="single" w:sz="4" w:space="0" w:color="auto"/>
              <w:bottom w:val="nil"/>
              <w:right w:val="single" w:sz="4" w:space="0" w:color="auto"/>
            </w:tcBorders>
          </w:tcPr>
          <w:p w14:paraId="2F5F016D" w14:textId="77777777" w:rsidR="00E512AE" w:rsidRPr="0029195A" w:rsidRDefault="00E512AE" w:rsidP="0017391C">
            <w:pPr>
              <w:pStyle w:val="TableText0"/>
              <w:keepNext w:val="0"/>
              <w:widowControl w:val="0"/>
              <w:jc w:val="center"/>
              <w:rPr>
                <w:bCs w:val="0"/>
              </w:rPr>
            </w:pPr>
          </w:p>
        </w:tc>
        <w:tc>
          <w:tcPr>
            <w:tcW w:w="1101" w:type="pct"/>
            <w:tcBorders>
              <w:top w:val="single" w:sz="4" w:space="0" w:color="auto"/>
              <w:left w:val="single" w:sz="4" w:space="0" w:color="auto"/>
              <w:bottom w:val="nil"/>
            </w:tcBorders>
            <w:vAlign w:val="center"/>
          </w:tcPr>
          <w:p w14:paraId="6AC678F4" w14:textId="77777777" w:rsidR="00E512AE" w:rsidRPr="0029195A" w:rsidRDefault="00E512AE" w:rsidP="0017391C">
            <w:pPr>
              <w:pStyle w:val="TableText0"/>
              <w:keepNext w:val="0"/>
              <w:widowControl w:val="0"/>
              <w:jc w:val="center"/>
              <w:rPr>
                <w:bCs w:val="0"/>
              </w:rPr>
            </w:pPr>
            <w:r w:rsidRPr="0029195A">
              <w:rPr>
                <w:rFonts w:cs="Calibri"/>
                <w:color w:val="000000"/>
                <w:szCs w:val="20"/>
              </w:rPr>
              <w:t> </w:t>
            </w:r>
          </w:p>
        </w:tc>
      </w:tr>
      <w:tr w:rsidR="00E512AE" w:rsidRPr="0029195A" w14:paraId="5E712866" w14:textId="77777777" w:rsidTr="00A26F4F">
        <w:tc>
          <w:tcPr>
            <w:tcW w:w="1714" w:type="pct"/>
            <w:tcBorders>
              <w:top w:val="nil"/>
              <w:bottom w:val="nil"/>
              <w:right w:val="single" w:sz="4" w:space="0" w:color="auto"/>
            </w:tcBorders>
          </w:tcPr>
          <w:p w14:paraId="3973F564" w14:textId="77777777" w:rsidR="00E512AE" w:rsidRPr="0029195A" w:rsidRDefault="00E512AE" w:rsidP="00935C0C">
            <w:pPr>
              <w:pStyle w:val="TableText0"/>
              <w:keepNext w:val="0"/>
              <w:widowControl w:val="0"/>
              <w:numPr>
                <w:ilvl w:val="0"/>
                <w:numId w:val="6"/>
              </w:numPr>
              <w:rPr>
                <w:bCs w:val="0"/>
              </w:rPr>
            </w:pPr>
            <w:r w:rsidRPr="0029195A">
              <w:rPr>
                <w:bCs w:val="0"/>
              </w:rPr>
              <w:t>6 months induction + 6 months maintenance and no avacopan reinductions (as per ADVOCATE trial)</w:t>
            </w:r>
          </w:p>
        </w:tc>
        <w:tc>
          <w:tcPr>
            <w:tcW w:w="777" w:type="pct"/>
            <w:tcBorders>
              <w:top w:val="nil"/>
              <w:left w:val="single" w:sz="4" w:space="0" w:color="auto"/>
              <w:bottom w:val="nil"/>
              <w:right w:val="single" w:sz="4" w:space="0" w:color="auto"/>
            </w:tcBorders>
            <w:shd w:val="solid" w:color="000000" w:fill="000000"/>
          </w:tcPr>
          <w:p w14:paraId="3099C4D0" w14:textId="30A83F4D" w:rsidR="00E512AE" w:rsidRPr="0029195A" w:rsidRDefault="00A26F4F" w:rsidP="0017391C">
            <w:pPr>
              <w:pStyle w:val="TableText0"/>
              <w:keepNext w:val="0"/>
              <w:widowControl w:val="0"/>
              <w:jc w:val="center"/>
              <w:rPr>
                <w:bCs w:val="0"/>
              </w:rPr>
            </w:pPr>
            <w:r w:rsidRPr="00A26F4F">
              <w:rPr>
                <w:color w:val="000000"/>
                <w14:textFill>
                  <w14:solidFill>
                    <w14:srgbClr w14:val="000000">
                      <w14:alpha w14:val="100000"/>
                    </w14:srgbClr>
                  </w14:solidFill>
                </w14:textFill>
              </w:rPr>
              <w:t>|</w:t>
            </w:r>
          </w:p>
        </w:tc>
        <w:tc>
          <w:tcPr>
            <w:tcW w:w="630" w:type="pct"/>
            <w:tcBorders>
              <w:top w:val="nil"/>
              <w:left w:val="single" w:sz="4" w:space="0" w:color="auto"/>
              <w:bottom w:val="nil"/>
              <w:right w:val="single" w:sz="4" w:space="0" w:color="auto"/>
            </w:tcBorders>
          </w:tcPr>
          <w:p w14:paraId="16201DFB" w14:textId="77777777" w:rsidR="00E512AE" w:rsidRPr="0029195A" w:rsidRDefault="00E512AE" w:rsidP="0017391C">
            <w:pPr>
              <w:pStyle w:val="TableText0"/>
              <w:keepNext w:val="0"/>
              <w:widowControl w:val="0"/>
              <w:jc w:val="center"/>
              <w:rPr>
                <w:bCs w:val="0"/>
              </w:rPr>
            </w:pPr>
            <w:r w:rsidRPr="0029195A">
              <w:t>0.274</w:t>
            </w:r>
          </w:p>
        </w:tc>
        <w:tc>
          <w:tcPr>
            <w:tcW w:w="777" w:type="pct"/>
            <w:tcBorders>
              <w:top w:val="nil"/>
              <w:left w:val="single" w:sz="4" w:space="0" w:color="auto"/>
              <w:bottom w:val="nil"/>
              <w:right w:val="single" w:sz="4" w:space="0" w:color="auto"/>
            </w:tcBorders>
          </w:tcPr>
          <w:p w14:paraId="692AE56C" w14:textId="30D5433D" w:rsidR="00E512AE" w:rsidRPr="0029195A" w:rsidRDefault="00A26F4F" w:rsidP="0017391C">
            <w:pPr>
              <w:pStyle w:val="TableText0"/>
              <w:keepNext w:val="0"/>
              <w:widowControl w:val="0"/>
              <w:jc w:val="center"/>
              <w:rPr>
                <w:bCs w:val="0"/>
              </w:rPr>
            </w:pPr>
            <w:r w:rsidRPr="00A26F4F">
              <w:rPr>
                <w:color w:val="000000"/>
                <w:shd w:val="solid" w:color="000000" w:fill="000000"/>
                <w14:textFill>
                  <w14:solidFill>
                    <w14:srgbClr w14:val="000000">
                      <w14:alpha w14:val="100000"/>
                    </w14:srgbClr>
                  </w14:solidFill>
                </w14:textFill>
              </w:rPr>
              <w:t>|</w:t>
            </w:r>
            <w:r w:rsidR="009F021C" w:rsidRPr="0060423B">
              <w:rPr>
                <w:vertAlign w:val="superscript"/>
              </w:rPr>
              <w:t>1</w:t>
            </w:r>
          </w:p>
        </w:tc>
        <w:tc>
          <w:tcPr>
            <w:tcW w:w="1101" w:type="pct"/>
            <w:tcBorders>
              <w:top w:val="nil"/>
              <w:left w:val="single" w:sz="4" w:space="0" w:color="auto"/>
              <w:bottom w:val="nil"/>
            </w:tcBorders>
          </w:tcPr>
          <w:p w14:paraId="2DB045C3" w14:textId="75A430CE" w:rsidR="00E512AE" w:rsidRPr="0029195A" w:rsidRDefault="00E512AE" w:rsidP="0017391C">
            <w:pPr>
              <w:pStyle w:val="TableText0"/>
              <w:keepNext w:val="0"/>
              <w:widowControl w:val="0"/>
              <w:jc w:val="center"/>
              <w:rPr>
                <w:bCs w:val="0"/>
              </w:rPr>
            </w:pPr>
            <w:r w:rsidRPr="0029195A">
              <w:rPr>
                <w:rFonts w:cs="Calibri"/>
                <w:color w:val="000000"/>
                <w:szCs w:val="20"/>
              </w:rPr>
              <w:t>-9%</w:t>
            </w:r>
          </w:p>
        </w:tc>
      </w:tr>
      <w:tr w:rsidR="00E512AE" w:rsidRPr="0029195A" w14:paraId="4D63EDC9" w14:textId="77777777" w:rsidTr="00A26F4F">
        <w:tc>
          <w:tcPr>
            <w:tcW w:w="1714" w:type="pct"/>
            <w:tcBorders>
              <w:top w:val="nil"/>
              <w:bottom w:val="nil"/>
              <w:right w:val="single" w:sz="4" w:space="0" w:color="auto"/>
            </w:tcBorders>
          </w:tcPr>
          <w:p w14:paraId="3627B3BC" w14:textId="77777777" w:rsidR="00E512AE" w:rsidRPr="0029195A" w:rsidRDefault="00E512AE" w:rsidP="00935C0C">
            <w:pPr>
              <w:pStyle w:val="TableText0"/>
              <w:keepNext w:val="0"/>
              <w:widowControl w:val="0"/>
              <w:numPr>
                <w:ilvl w:val="0"/>
                <w:numId w:val="6"/>
              </w:numPr>
              <w:rPr>
                <w:bCs w:val="0"/>
              </w:rPr>
            </w:pPr>
            <w:r w:rsidRPr="0029195A">
              <w:rPr>
                <w:bCs w:val="0"/>
              </w:rPr>
              <w:t>6 months induction + 12 months maintenance and 2 reinductions</w:t>
            </w:r>
          </w:p>
        </w:tc>
        <w:tc>
          <w:tcPr>
            <w:tcW w:w="777" w:type="pct"/>
            <w:tcBorders>
              <w:top w:val="nil"/>
              <w:left w:val="single" w:sz="4" w:space="0" w:color="auto"/>
              <w:bottom w:val="single" w:sz="4" w:space="0" w:color="auto"/>
              <w:right w:val="single" w:sz="4" w:space="0" w:color="auto"/>
            </w:tcBorders>
            <w:shd w:val="solid" w:color="000000" w:fill="000000"/>
          </w:tcPr>
          <w:p w14:paraId="2C27159B" w14:textId="0E32577B" w:rsidR="00E512AE" w:rsidRPr="0029195A" w:rsidRDefault="00A26F4F" w:rsidP="0017391C">
            <w:pPr>
              <w:pStyle w:val="TableText0"/>
              <w:keepNext w:val="0"/>
              <w:widowControl w:val="0"/>
              <w:jc w:val="center"/>
              <w:rPr>
                <w:bCs w:val="0"/>
              </w:rPr>
            </w:pPr>
            <w:r w:rsidRPr="00A26F4F">
              <w:rPr>
                <w:color w:val="000000"/>
                <w14:textFill>
                  <w14:solidFill>
                    <w14:srgbClr w14:val="000000">
                      <w14:alpha w14:val="100000"/>
                    </w14:srgbClr>
                  </w14:solidFill>
                </w14:textFill>
              </w:rPr>
              <w:t>|</w:t>
            </w:r>
          </w:p>
        </w:tc>
        <w:tc>
          <w:tcPr>
            <w:tcW w:w="630" w:type="pct"/>
            <w:tcBorders>
              <w:top w:val="nil"/>
              <w:left w:val="single" w:sz="4" w:space="0" w:color="auto"/>
              <w:bottom w:val="nil"/>
              <w:right w:val="single" w:sz="4" w:space="0" w:color="auto"/>
            </w:tcBorders>
          </w:tcPr>
          <w:p w14:paraId="72749AC5" w14:textId="77777777" w:rsidR="00E512AE" w:rsidRPr="0029195A" w:rsidRDefault="00E512AE" w:rsidP="0017391C">
            <w:pPr>
              <w:pStyle w:val="TableText0"/>
              <w:keepNext w:val="0"/>
              <w:widowControl w:val="0"/>
              <w:jc w:val="center"/>
              <w:rPr>
                <w:bCs w:val="0"/>
              </w:rPr>
            </w:pPr>
            <w:r w:rsidRPr="0029195A">
              <w:t>0.724</w:t>
            </w:r>
          </w:p>
        </w:tc>
        <w:tc>
          <w:tcPr>
            <w:tcW w:w="777" w:type="pct"/>
            <w:tcBorders>
              <w:top w:val="nil"/>
              <w:left w:val="single" w:sz="4" w:space="0" w:color="auto"/>
              <w:bottom w:val="nil"/>
              <w:right w:val="single" w:sz="4" w:space="0" w:color="auto"/>
            </w:tcBorders>
          </w:tcPr>
          <w:p w14:paraId="7E6271FF" w14:textId="56E42FBA" w:rsidR="00E512AE" w:rsidRPr="0029195A" w:rsidRDefault="00A26F4F" w:rsidP="0017391C">
            <w:pPr>
              <w:pStyle w:val="TableText0"/>
              <w:keepNext w:val="0"/>
              <w:widowControl w:val="0"/>
              <w:jc w:val="center"/>
              <w:rPr>
                <w:bCs w:val="0"/>
              </w:rPr>
            </w:pPr>
            <w:r w:rsidRPr="00A26F4F">
              <w:rPr>
                <w:color w:val="000000"/>
                <w:shd w:val="solid" w:color="000000" w:fill="000000"/>
                <w14:textFill>
                  <w14:solidFill>
                    <w14:srgbClr w14:val="000000">
                      <w14:alpha w14:val="100000"/>
                    </w14:srgbClr>
                  </w14:solidFill>
                </w14:textFill>
              </w:rPr>
              <w:t>|</w:t>
            </w:r>
            <w:r w:rsidR="009F021C" w:rsidRPr="0060423B">
              <w:rPr>
                <w:vertAlign w:val="superscript"/>
              </w:rPr>
              <w:t>5</w:t>
            </w:r>
          </w:p>
        </w:tc>
        <w:tc>
          <w:tcPr>
            <w:tcW w:w="1101" w:type="pct"/>
            <w:tcBorders>
              <w:top w:val="nil"/>
              <w:left w:val="single" w:sz="4" w:space="0" w:color="auto"/>
              <w:bottom w:val="nil"/>
            </w:tcBorders>
          </w:tcPr>
          <w:p w14:paraId="21BC3C59" w14:textId="77777777" w:rsidR="00E512AE" w:rsidRPr="0029195A" w:rsidRDefault="00E512AE" w:rsidP="0017391C">
            <w:pPr>
              <w:pStyle w:val="TableText0"/>
              <w:keepNext w:val="0"/>
              <w:widowControl w:val="0"/>
              <w:jc w:val="center"/>
              <w:rPr>
                <w:bCs w:val="0"/>
              </w:rPr>
            </w:pPr>
            <w:r w:rsidRPr="0029195A">
              <w:rPr>
                <w:rFonts w:cs="Calibri"/>
                <w:color w:val="000000"/>
                <w:szCs w:val="20"/>
              </w:rPr>
              <w:t>20%</w:t>
            </w:r>
          </w:p>
        </w:tc>
      </w:tr>
      <w:tr w:rsidR="00E512AE" w:rsidRPr="0029195A" w14:paraId="3AC64AE3" w14:textId="77777777" w:rsidTr="00A26F4F">
        <w:trPr>
          <w:trHeight w:val="125"/>
        </w:trPr>
        <w:tc>
          <w:tcPr>
            <w:tcW w:w="1714" w:type="pct"/>
            <w:tcBorders>
              <w:top w:val="single" w:sz="4" w:space="0" w:color="auto"/>
              <w:bottom w:val="nil"/>
              <w:right w:val="single" w:sz="4" w:space="0" w:color="auto"/>
            </w:tcBorders>
          </w:tcPr>
          <w:p w14:paraId="0DA60E7D" w14:textId="77777777" w:rsidR="00E512AE" w:rsidRPr="0029195A" w:rsidRDefault="00E512AE" w:rsidP="0017391C">
            <w:pPr>
              <w:pStyle w:val="TableText0"/>
              <w:keepNext w:val="0"/>
              <w:widowControl w:val="0"/>
              <w:rPr>
                <w:bCs w:val="0"/>
                <w:u w:val="single"/>
              </w:rPr>
            </w:pPr>
            <w:r w:rsidRPr="0029195A">
              <w:rPr>
                <w:bCs w:val="0"/>
                <w:u w:val="single"/>
              </w:rPr>
              <w:t>Number of reinductions with avacopan (base case 2)</w:t>
            </w:r>
          </w:p>
        </w:tc>
        <w:tc>
          <w:tcPr>
            <w:tcW w:w="777" w:type="pct"/>
            <w:tcBorders>
              <w:top w:val="single" w:sz="4" w:space="0" w:color="auto"/>
              <w:left w:val="single" w:sz="4" w:space="0" w:color="auto"/>
              <w:bottom w:val="nil"/>
              <w:right w:val="single" w:sz="4" w:space="0" w:color="auto"/>
            </w:tcBorders>
          </w:tcPr>
          <w:p w14:paraId="36869C6A" w14:textId="77777777" w:rsidR="00E512AE" w:rsidRPr="0029195A" w:rsidRDefault="00E512AE" w:rsidP="0017391C">
            <w:pPr>
              <w:pStyle w:val="TableText0"/>
              <w:keepNext w:val="0"/>
              <w:widowControl w:val="0"/>
              <w:jc w:val="center"/>
            </w:pPr>
          </w:p>
        </w:tc>
        <w:tc>
          <w:tcPr>
            <w:tcW w:w="630" w:type="pct"/>
            <w:tcBorders>
              <w:top w:val="single" w:sz="4" w:space="0" w:color="auto"/>
              <w:left w:val="single" w:sz="4" w:space="0" w:color="auto"/>
              <w:bottom w:val="nil"/>
              <w:right w:val="single" w:sz="4" w:space="0" w:color="auto"/>
            </w:tcBorders>
          </w:tcPr>
          <w:p w14:paraId="652B6187" w14:textId="77777777" w:rsidR="00E512AE" w:rsidRPr="0029195A" w:rsidRDefault="00E512AE" w:rsidP="0017391C">
            <w:pPr>
              <w:pStyle w:val="TableText0"/>
              <w:keepNext w:val="0"/>
              <w:widowControl w:val="0"/>
              <w:jc w:val="center"/>
            </w:pPr>
          </w:p>
        </w:tc>
        <w:tc>
          <w:tcPr>
            <w:tcW w:w="777" w:type="pct"/>
            <w:tcBorders>
              <w:top w:val="single" w:sz="4" w:space="0" w:color="auto"/>
              <w:left w:val="single" w:sz="4" w:space="0" w:color="auto"/>
              <w:bottom w:val="nil"/>
              <w:right w:val="single" w:sz="4" w:space="0" w:color="auto"/>
            </w:tcBorders>
          </w:tcPr>
          <w:p w14:paraId="4C495BC6" w14:textId="77777777" w:rsidR="00E512AE" w:rsidRPr="0029195A" w:rsidRDefault="00E512AE" w:rsidP="0017391C">
            <w:pPr>
              <w:pStyle w:val="TableText0"/>
              <w:keepNext w:val="0"/>
              <w:widowControl w:val="0"/>
              <w:jc w:val="center"/>
            </w:pPr>
          </w:p>
        </w:tc>
        <w:tc>
          <w:tcPr>
            <w:tcW w:w="1101" w:type="pct"/>
            <w:tcBorders>
              <w:top w:val="single" w:sz="4" w:space="0" w:color="auto"/>
              <w:left w:val="single" w:sz="4" w:space="0" w:color="auto"/>
              <w:bottom w:val="nil"/>
            </w:tcBorders>
            <w:vAlign w:val="center"/>
          </w:tcPr>
          <w:p w14:paraId="35528BB4" w14:textId="77777777" w:rsidR="00E512AE" w:rsidRPr="0029195A" w:rsidRDefault="00E512AE" w:rsidP="0017391C">
            <w:pPr>
              <w:pStyle w:val="TableText0"/>
              <w:keepNext w:val="0"/>
              <w:widowControl w:val="0"/>
              <w:jc w:val="center"/>
            </w:pPr>
            <w:r w:rsidRPr="0029195A">
              <w:rPr>
                <w:rFonts w:cs="Calibri"/>
                <w:color w:val="000000"/>
                <w:szCs w:val="20"/>
              </w:rPr>
              <w:t> </w:t>
            </w:r>
          </w:p>
        </w:tc>
      </w:tr>
      <w:tr w:rsidR="00E512AE" w:rsidRPr="0029195A" w14:paraId="2AB670DF" w14:textId="77777777" w:rsidTr="00A26F4F">
        <w:tc>
          <w:tcPr>
            <w:tcW w:w="1714" w:type="pct"/>
            <w:tcBorders>
              <w:top w:val="nil"/>
              <w:bottom w:val="single" w:sz="4" w:space="0" w:color="auto"/>
              <w:right w:val="single" w:sz="4" w:space="0" w:color="auto"/>
            </w:tcBorders>
          </w:tcPr>
          <w:p w14:paraId="6433BFC7" w14:textId="77777777" w:rsidR="00E512AE" w:rsidRPr="0029195A" w:rsidRDefault="00E512AE" w:rsidP="00935C0C">
            <w:pPr>
              <w:pStyle w:val="TableText0"/>
              <w:keepNext w:val="0"/>
              <w:widowControl w:val="0"/>
              <w:numPr>
                <w:ilvl w:val="0"/>
                <w:numId w:val="6"/>
              </w:numPr>
              <w:rPr>
                <w:bCs w:val="0"/>
              </w:rPr>
            </w:pPr>
            <w:r w:rsidRPr="0029195A">
              <w:rPr>
                <w:bCs w:val="0"/>
              </w:rPr>
              <w:t>No reinductions</w:t>
            </w:r>
          </w:p>
        </w:tc>
        <w:tc>
          <w:tcPr>
            <w:tcW w:w="777" w:type="pct"/>
            <w:tcBorders>
              <w:top w:val="nil"/>
              <w:left w:val="single" w:sz="4" w:space="0" w:color="auto"/>
              <w:bottom w:val="single" w:sz="4" w:space="0" w:color="auto"/>
              <w:right w:val="single" w:sz="4" w:space="0" w:color="auto"/>
            </w:tcBorders>
            <w:shd w:val="solid" w:color="000000" w:fill="000000"/>
          </w:tcPr>
          <w:p w14:paraId="305122EA" w14:textId="6B35DF7A" w:rsidR="00E512AE" w:rsidRPr="0029195A" w:rsidRDefault="00A26F4F" w:rsidP="0017391C">
            <w:pPr>
              <w:pStyle w:val="TableText0"/>
              <w:keepNext w:val="0"/>
              <w:widowControl w:val="0"/>
              <w:jc w:val="center"/>
            </w:pPr>
            <w:r w:rsidRPr="00A26F4F">
              <w:rPr>
                <w:color w:val="000000"/>
                <w14:textFill>
                  <w14:solidFill>
                    <w14:srgbClr w14:val="000000">
                      <w14:alpha w14:val="100000"/>
                    </w14:srgbClr>
                  </w14:solidFill>
                </w14:textFill>
              </w:rPr>
              <w:t>|</w:t>
            </w:r>
          </w:p>
        </w:tc>
        <w:tc>
          <w:tcPr>
            <w:tcW w:w="630" w:type="pct"/>
            <w:tcBorders>
              <w:top w:val="nil"/>
              <w:left w:val="single" w:sz="4" w:space="0" w:color="auto"/>
              <w:bottom w:val="single" w:sz="4" w:space="0" w:color="auto"/>
              <w:right w:val="single" w:sz="4" w:space="0" w:color="auto"/>
            </w:tcBorders>
          </w:tcPr>
          <w:p w14:paraId="33B53AE2" w14:textId="77777777" w:rsidR="00E512AE" w:rsidRPr="0029195A" w:rsidRDefault="00E512AE" w:rsidP="0017391C">
            <w:pPr>
              <w:pStyle w:val="TableText0"/>
              <w:keepNext w:val="0"/>
              <w:widowControl w:val="0"/>
              <w:jc w:val="center"/>
            </w:pPr>
            <w:r w:rsidRPr="0029195A">
              <w:t>0.394</w:t>
            </w:r>
          </w:p>
        </w:tc>
        <w:tc>
          <w:tcPr>
            <w:tcW w:w="777" w:type="pct"/>
            <w:tcBorders>
              <w:top w:val="nil"/>
              <w:left w:val="single" w:sz="4" w:space="0" w:color="auto"/>
              <w:bottom w:val="single" w:sz="4" w:space="0" w:color="auto"/>
              <w:right w:val="single" w:sz="4" w:space="0" w:color="auto"/>
            </w:tcBorders>
          </w:tcPr>
          <w:p w14:paraId="4AA0BBB4" w14:textId="72C1A932" w:rsidR="00E512AE" w:rsidRPr="0029195A" w:rsidRDefault="00A26F4F" w:rsidP="0017391C">
            <w:pPr>
              <w:pStyle w:val="TableText0"/>
              <w:keepNext w:val="0"/>
              <w:widowControl w:val="0"/>
              <w:jc w:val="center"/>
            </w:pPr>
            <w:r w:rsidRPr="00A26F4F">
              <w:rPr>
                <w:color w:val="000000"/>
                <w:shd w:val="solid" w:color="000000" w:fill="000000"/>
                <w14:textFill>
                  <w14:solidFill>
                    <w14:srgbClr w14:val="000000">
                      <w14:alpha w14:val="100000"/>
                    </w14:srgbClr>
                  </w14:solidFill>
                </w14:textFill>
              </w:rPr>
              <w:t>|</w:t>
            </w:r>
            <w:r w:rsidR="009F021C" w:rsidRPr="0060423B">
              <w:rPr>
                <w:vertAlign w:val="superscript"/>
              </w:rPr>
              <w:t>4</w:t>
            </w:r>
          </w:p>
        </w:tc>
        <w:tc>
          <w:tcPr>
            <w:tcW w:w="1101" w:type="pct"/>
            <w:tcBorders>
              <w:top w:val="nil"/>
              <w:left w:val="single" w:sz="4" w:space="0" w:color="auto"/>
              <w:bottom w:val="single" w:sz="4" w:space="0" w:color="auto"/>
            </w:tcBorders>
            <w:vAlign w:val="center"/>
          </w:tcPr>
          <w:p w14:paraId="134DCCCC" w14:textId="77777777" w:rsidR="00E512AE" w:rsidRPr="0029195A" w:rsidRDefault="00E512AE" w:rsidP="0017391C">
            <w:pPr>
              <w:pStyle w:val="TableText0"/>
              <w:keepNext w:val="0"/>
              <w:widowControl w:val="0"/>
              <w:jc w:val="center"/>
            </w:pPr>
            <w:r w:rsidRPr="0029195A">
              <w:rPr>
                <w:rFonts w:cs="Calibri"/>
                <w:color w:val="000000"/>
                <w:szCs w:val="20"/>
              </w:rPr>
              <w:t>39%</w:t>
            </w:r>
          </w:p>
        </w:tc>
      </w:tr>
    </w:tbl>
    <w:p w14:paraId="3414EEC8" w14:textId="2699CE7D" w:rsidR="00E512AE" w:rsidRPr="0029195A" w:rsidRDefault="00E512AE" w:rsidP="0017391C">
      <w:pPr>
        <w:pStyle w:val="FooterTableFigure"/>
        <w:widowControl w:val="0"/>
        <w:rPr>
          <w:i/>
          <w:iCs/>
        </w:rPr>
      </w:pPr>
      <w:r w:rsidRPr="0029195A">
        <w:t>Source: Table 3-20, p127-128 of the submission and added to during the evaluation</w:t>
      </w:r>
      <w:r w:rsidR="000E50E4" w:rsidRPr="0029195A">
        <w:t xml:space="preserve"> (*)</w:t>
      </w:r>
    </w:p>
    <w:p w14:paraId="22194B58" w14:textId="473C04B5" w:rsidR="00E512AE" w:rsidRPr="0029195A" w:rsidRDefault="00E512AE" w:rsidP="0017391C">
      <w:pPr>
        <w:pStyle w:val="FooterTableFigure"/>
        <w:widowControl w:val="0"/>
      </w:pPr>
      <w:r w:rsidRPr="0029195A">
        <w:t xml:space="preserve">Abbreviations: AAV, anti-neutrophil cytoplasmic antibody-associated vasculitis; eGFR, estimated glomerular filtration rate; ESRD, end-stage </w:t>
      </w:r>
      <w:r w:rsidR="003E489F">
        <w:t>renal</w:t>
      </w:r>
      <w:r w:rsidRPr="0029195A">
        <w:t xml:space="preserve"> disease; GPA, granulomatosis with polyangiitis; HR, hazard ratio; ICER; incremental cost-effectiveness ratio; MPA, microscopic polyangiitis; QALY, quality-adjusted life year.</w:t>
      </w:r>
    </w:p>
    <w:p w14:paraId="31E3DB41" w14:textId="77777777" w:rsidR="00127C86" w:rsidRDefault="00E512AE" w:rsidP="006C573C">
      <w:pPr>
        <w:pStyle w:val="FooterTableFigure"/>
        <w:widowControl w:val="0"/>
        <w:spacing w:after="0"/>
      </w:pPr>
      <w:r w:rsidRPr="0029195A">
        <w:rPr>
          <w:vertAlign w:val="superscript"/>
        </w:rPr>
        <w:t>a</w:t>
      </w:r>
      <w:r w:rsidRPr="0029195A">
        <w:t xml:space="preserve"> As recommended by NICE</w:t>
      </w:r>
    </w:p>
    <w:p w14:paraId="6CBF6CF2" w14:textId="30150815" w:rsidR="00127C86" w:rsidRPr="006846C9" w:rsidRDefault="00127C86" w:rsidP="006C573C">
      <w:pPr>
        <w:pStyle w:val="FooterTableFigure"/>
        <w:widowControl w:val="0"/>
        <w:spacing w:after="0"/>
        <w:rPr>
          <w:i/>
        </w:rPr>
      </w:pPr>
      <w:r w:rsidRPr="006846C9">
        <w:rPr>
          <w:i/>
          <w:szCs w:val="18"/>
        </w:rPr>
        <w:t xml:space="preserve">The redacted values correspond to the following ranges: </w:t>
      </w:r>
    </w:p>
    <w:p w14:paraId="06C3654C" w14:textId="6654E0A6" w:rsidR="00127C86" w:rsidRPr="006846C9" w:rsidRDefault="00127C86" w:rsidP="006C573C">
      <w:pPr>
        <w:rPr>
          <w:rFonts w:ascii="Arial Narrow" w:hAnsi="Arial Narrow"/>
          <w:i/>
          <w:sz w:val="18"/>
          <w:szCs w:val="18"/>
        </w:rPr>
      </w:pPr>
      <w:r w:rsidRPr="006846C9">
        <w:rPr>
          <w:rFonts w:ascii="Arial Narrow" w:hAnsi="Arial Narrow"/>
          <w:i/>
          <w:sz w:val="18"/>
          <w:szCs w:val="18"/>
          <w:vertAlign w:val="superscript"/>
        </w:rPr>
        <w:t>1</w:t>
      </w:r>
      <w:r w:rsidRPr="006846C9">
        <w:rPr>
          <w:rFonts w:ascii="Arial Narrow" w:hAnsi="Arial Narrow"/>
          <w:i/>
          <w:sz w:val="18"/>
          <w:szCs w:val="18"/>
        </w:rPr>
        <w:t xml:space="preserve"> </w:t>
      </w:r>
      <w:r w:rsidR="0060423B" w:rsidRPr="006846C9">
        <w:rPr>
          <w:rFonts w:ascii="Arial Narrow" w:hAnsi="Arial Narrow"/>
          <w:i/>
          <w:sz w:val="18"/>
          <w:szCs w:val="18"/>
        </w:rPr>
        <w:t>$55,000 to &lt; $75,000</w:t>
      </w:r>
    </w:p>
    <w:p w14:paraId="1111BEF2" w14:textId="683740BD" w:rsidR="00127C86" w:rsidRPr="006846C9" w:rsidRDefault="00127C86" w:rsidP="006C573C">
      <w:pPr>
        <w:rPr>
          <w:rFonts w:ascii="Arial Narrow" w:hAnsi="Arial Narrow"/>
          <w:i/>
          <w:sz w:val="18"/>
          <w:szCs w:val="18"/>
        </w:rPr>
      </w:pPr>
      <w:r w:rsidRPr="006846C9">
        <w:rPr>
          <w:rFonts w:ascii="Arial Narrow" w:hAnsi="Arial Narrow"/>
          <w:i/>
          <w:sz w:val="18"/>
          <w:szCs w:val="18"/>
          <w:vertAlign w:val="superscript"/>
        </w:rPr>
        <w:t>2</w:t>
      </w:r>
      <w:r w:rsidRPr="006846C9">
        <w:rPr>
          <w:rFonts w:ascii="Arial Narrow" w:hAnsi="Arial Narrow"/>
          <w:i/>
          <w:sz w:val="18"/>
          <w:szCs w:val="18"/>
        </w:rPr>
        <w:t xml:space="preserve"> </w:t>
      </w:r>
      <w:r w:rsidR="0060423B" w:rsidRPr="006846C9">
        <w:rPr>
          <w:rFonts w:ascii="Arial Narrow" w:hAnsi="Arial Narrow"/>
          <w:i/>
          <w:sz w:val="18"/>
          <w:szCs w:val="18"/>
        </w:rPr>
        <w:t>$25,000 to &lt; $35,000</w:t>
      </w:r>
    </w:p>
    <w:p w14:paraId="70D71570" w14:textId="1B1F170F" w:rsidR="00127C86" w:rsidRPr="006846C9" w:rsidRDefault="00127C86" w:rsidP="006C573C">
      <w:pPr>
        <w:rPr>
          <w:rFonts w:ascii="Arial Narrow" w:hAnsi="Arial Narrow"/>
          <w:i/>
          <w:sz w:val="18"/>
          <w:szCs w:val="18"/>
        </w:rPr>
      </w:pPr>
      <w:r w:rsidRPr="006846C9">
        <w:rPr>
          <w:rFonts w:ascii="Arial Narrow" w:hAnsi="Arial Narrow"/>
          <w:i/>
          <w:sz w:val="18"/>
          <w:szCs w:val="18"/>
          <w:vertAlign w:val="superscript"/>
        </w:rPr>
        <w:t>3</w:t>
      </w:r>
      <w:r w:rsidRPr="006846C9">
        <w:rPr>
          <w:rFonts w:ascii="Arial Narrow" w:hAnsi="Arial Narrow"/>
          <w:i/>
          <w:sz w:val="18"/>
          <w:szCs w:val="18"/>
        </w:rPr>
        <w:t xml:space="preserve"> </w:t>
      </w:r>
      <w:r w:rsidR="0060423B" w:rsidRPr="006846C9">
        <w:rPr>
          <w:rFonts w:ascii="Arial Narrow" w:hAnsi="Arial Narrow"/>
          <w:i/>
          <w:sz w:val="18"/>
          <w:szCs w:val="18"/>
        </w:rPr>
        <w:t>$155,000 to &lt; $255,000</w:t>
      </w:r>
    </w:p>
    <w:p w14:paraId="065E6D7D" w14:textId="2DD1D161" w:rsidR="00127C86" w:rsidRPr="006846C9" w:rsidRDefault="00127C86" w:rsidP="006C573C">
      <w:pPr>
        <w:rPr>
          <w:rFonts w:ascii="Arial Narrow" w:hAnsi="Arial Narrow"/>
          <w:i/>
          <w:sz w:val="18"/>
          <w:szCs w:val="18"/>
        </w:rPr>
      </w:pPr>
      <w:r w:rsidRPr="006846C9">
        <w:rPr>
          <w:rFonts w:ascii="Arial Narrow" w:hAnsi="Arial Narrow"/>
          <w:i/>
          <w:sz w:val="18"/>
          <w:szCs w:val="18"/>
          <w:vertAlign w:val="superscript"/>
        </w:rPr>
        <w:t>4</w:t>
      </w:r>
      <w:r w:rsidRPr="006846C9">
        <w:rPr>
          <w:rFonts w:ascii="Arial Narrow" w:hAnsi="Arial Narrow"/>
          <w:i/>
          <w:sz w:val="18"/>
          <w:szCs w:val="18"/>
        </w:rPr>
        <w:t xml:space="preserve"> </w:t>
      </w:r>
      <w:r w:rsidR="0060423B" w:rsidRPr="006846C9">
        <w:rPr>
          <w:rFonts w:ascii="Arial Narrow" w:hAnsi="Arial Narrow"/>
          <w:i/>
          <w:sz w:val="18"/>
          <w:szCs w:val="18"/>
        </w:rPr>
        <w:t>$95,000 to &lt; $115,000</w:t>
      </w:r>
    </w:p>
    <w:p w14:paraId="6F9B1B5D" w14:textId="6ABCAAB7" w:rsidR="00127C86" w:rsidRPr="006846C9" w:rsidRDefault="00127C86" w:rsidP="00127C86">
      <w:pPr>
        <w:rPr>
          <w:rFonts w:ascii="Arial Narrow" w:hAnsi="Arial Narrow"/>
          <w:i/>
          <w:sz w:val="18"/>
          <w:szCs w:val="18"/>
        </w:rPr>
      </w:pPr>
      <w:r w:rsidRPr="006846C9">
        <w:rPr>
          <w:rFonts w:ascii="Arial Narrow" w:hAnsi="Arial Narrow"/>
          <w:i/>
          <w:sz w:val="18"/>
          <w:szCs w:val="18"/>
          <w:vertAlign w:val="superscript"/>
        </w:rPr>
        <w:t>5</w:t>
      </w:r>
      <w:r w:rsidRPr="006846C9">
        <w:rPr>
          <w:rFonts w:ascii="Arial Narrow" w:hAnsi="Arial Narrow"/>
          <w:i/>
          <w:sz w:val="18"/>
          <w:szCs w:val="18"/>
        </w:rPr>
        <w:t xml:space="preserve"> </w:t>
      </w:r>
      <w:r w:rsidR="0060423B" w:rsidRPr="006846C9">
        <w:rPr>
          <w:rFonts w:ascii="Arial Narrow" w:hAnsi="Arial Narrow"/>
          <w:i/>
          <w:sz w:val="18"/>
          <w:szCs w:val="18"/>
        </w:rPr>
        <w:t>$75,000 to &lt; $95,000</w:t>
      </w:r>
    </w:p>
    <w:p w14:paraId="2C75BF83" w14:textId="069FE9CD" w:rsidR="00127C86" w:rsidRPr="006846C9" w:rsidRDefault="00127C86" w:rsidP="00127C86">
      <w:pPr>
        <w:rPr>
          <w:rFonts w:ascii="Arial Narrow" w:hAnsi="Arial Narrow"/>
          <w:i/>
          <w:sz w:val="18"/>
          <w:szCs w:val="18"/>
        </w:rPr>
      </w:pPr>
      <w:r w:rsidRPr="006846C9">
        <w:rPr>
          <w:rFonts w:ascii="Arial Narrow" w:hAnsi="Arial Narrow"/>
          <w:i/>
          <w:sz w:val="18"/>
          <w:szCs w:val="18"/>
          <w:vertAlign w:val="superscript"/>
        </w:rPr>
        <w:t>6</w:t>
      </w:r>
      <w:r w:rsidRPr="006846C9">
        <w:rPr>
          <w:rFonts w:ascii="Arial Narrow" w:hAnsi="Arial Narrow"/>
          <w:i/>
          <w:sz w:val="18"/>
          <w:szCs w:val="18"/>
        </w:rPr>
        <w:t xml:space="preserve"> </w:t>
      </w:r>
      <w:r w:rsidR="0060423B" w:rsidRPr="006846C9">
        <w:rPr>
          <w:rFonts w:ascii="Arial Narrow" w:hAnsi="Arial Narrow"/>
          <w:i/>
          <w:sz w:val="18"/>
          <w:szCs w:val="18"/>
        </w:rPr>
        <w:t>$15,000 to &lt; $25,000</w:t>
      </w:r>
    </w:p>
    <w:p w14:paraId="1EA52638" w14:textId="77777777" w:rsidR="00127C86" w:rsidRPr="0029195A" w:rsidRDefault="00127C86" w:rsidP="0017391C">
      <w:pPr>
        <w:pStyle w:val="FooterTableFigure"/>
        <w:widowControl w:val="0"/>
      </w:pPr>
    </w:p>
    <w:p w14:paraId="472842D7" w14:textId="1F8FC84B" w:rsidR="00C25D9C" w:rsidRPr="0029195A" w:rsidRDefault="00C25D9C" w:rsidP="00BB732D">
      <w:pPr>
        <w:pStyle w:val="4-SubsectionHeading"/>
      </w:pPr>
      <w:bookmarkStart w:id="65" w:name="_Toc135230136"/>
      <w:r w:rsidRPr="0029195A">
        <w:t>Drug</w:t>
      </w:r>
      <w:r w:rsidR="009A5ABC" w:rsidRPr="0029195A">
        <w:t>/</w:t>
      </w:r>
      <w:r w:rsidRPr="0029195A">
        <w:t>cost/patient/year</w:t>
      </w:r>
      <w:bookmarkEnd w:id="54"/>
      <w:bookmarkEnd w:id="65"/>
    </w:p>
    <w:p w14:paraId="72150446" w14:textId="717491C1" w:rsidR="00A8603D" w:rsidRPr="0029195A" w:rsidRDefault="00A8603D" w:rsidP="007A6355">
      <w:pPr>
        <w:pStyle w:val="3-BodyText"/>
      </w:pPr>
      <w:bookmarkStart w:id="66" w:name="_Ref104805102"/>
      <w:bookmarkStart w:id="67" w:name="_Toc22897647"/>
      <w:r w:rsidRPr="0029195A">
        <w:t>The avacopan drug cost per year was $</w:t>
      </w:r>
      <w:r w:rsidR="00A26F4F" w:rsidRPr="00A26F4F">
        <w:rPr>
          <w:color w:val="000000"/>
          <w:w w:val="61"/>
          <w:shd w:val="solid" w:color="000000" w:fill="000000"/>
          <w:fitText w:val="475" w:id="-1168989689"/>
          <w14:textFill>
            <w14:solidFill>
              <w14:srgbClr w14:val="000000">
                <w14:alpha w14:val="100000"/>
              </w14:srgbClr>
            </w14:solidFill>
          </w14:textFill>
        </w:rPr>
        <w:t>|||  ||</w:t>
      </w:r>
      <w:r w:rsidR="00A26F4F" w:rsidRPr="00A26F4F">
        <w:rPr>
          <w:color w:val="000000"/>
          <w:spacing w:val="5"/>
          <w:w w:val="61"/>
          <w:shd w:val="solid" w:color="000000" w:fill="000000"/>
          <w:fitText w:val="475" w:id="-1168989689"/>
          <w14:textFill>
            <w14:solidFill>
              <w14:srgbClr w14:val="000000">
                <w14:alpha w14:val="100000"/>
              </w14:srgbClr>
            </w14:solidFill>
          </w14:textFill>
        </w:rPr>
        <w:t>|</w:t>
      </w:r>
      <w:r w:rsidRPr="0029195A">
        <w:t xml:space="preserve"> per patient based on the proposed effective DPMQ price of $</w:t>
      </w:r>
      <w:r w:rsidR="00A26F4F" w:rsidRPr="00B10578">
        <w:rPr>
          <w:color w:val="000000"/>
          <w:w w:val="15"/>
          <w:shd w:val="solid" w:color="000000" w:fill="000000"/>
          <w:fitText w:val="-20" w:id="-1168989688"/>
          <w14:textFill>
            <w14:solidFill>
              <w14:srgbClr w14:val="000000">
                <w14:alpha w14:val="100000"/>
              </w14:srgbClr>
            </w14:solidFill>
          </w14:textFill>
        </w:rPr>
        <w:t xml:space="preserve">|  </w:t>
      </w:r>
      <w:r w:rsidR="00A26F4F" w:rsidRPr="00B10578">
        <w:rPr>
          <w:color w:val="000000"/>
          <w:spacing w:val="-69"/>
          <w:w w:val="15"/>
          <w:shd w:val="solid" w:color="000000" w:fill="000000"/>
          <w:fitText w:val="-20" w:id="-1168989688"/>
          <w14:textFill>
            <w14:solidFill>
              <w14:srgbClr w14:val="000000">
                <w14:alpha w14:val="100000"/>
              </w14:srgbClr>
            </w14:solidFill>
          </w14:textFill>
        </w:rPr>
        <w:t>|</w:t>
      </w:r>
      <w:r w:rsidRPr="0029195A">
        <w:t xml:space="preserve"> (10 mg, 180 capsules) per script and 10.4 scripts per patient per year, </w:t>
      </w:r>
      <w:r w:rsidRPr="00465DBB">
        <w:t>assuming 86.4% compliance</w:t>
      </w:r>
      <w:r w:rsidRPr="0029195A">
        <w:t xml:space="preserve">. </w:t>
      </w:r>
    </w:p>
    <w:p w14:paraId="2B51DC21" w14:textId="038F1829" w:rsidR="00A8603D" w:rsidRPr="0029195A" w:rsidRDefault="00A8603D" w:rsidP="007A6355">
      <w:pPr>
        <w:pStyle w:val="3-BodyText"/>
      </w:pPr>
      <w:r w:rsidRPr="0029195A">
        <w:t xml:space="preserve">A comparison of avacopan use between trial setting, the economic model and the financial estimates is presented in </w:t>
      </w:r>
      <w:r w:rsidRPr="0029195A">
        <w:fldChar w:fldCharType="begin" w:fldLock="1"/>
      </w:r>
      <w:r w:rsidRPr="0029195A">
        <w:instrText xml:space="preserve"> REF _Ref132187185 \h </w:instrText>
      </w:r>
      <w:r w:rsidRPr="0029195A">
        <w:fldChar w:fldCharType="separate"/>
      </w:r>
      <w:r w:rsidR="00610CB8" w:rsidRPr="0029195A">
        <w:t>Table 16</w:t>
      </w:r>
      <w:r w:rsidRPr="0029195A">
        <w:fldChar w:fldCharType="end"/>
      </w:r>
      <w:r w:rsidRPr="0029195A">
        <w:t>. The costs applied in the economic analysis and financial estimates were similar. The main differences were the assumptions relating to the duration of treatment and number of avacopan re-inductions</w:t>
      </w:r>
      <w:r w:rsidR="00546BB2" w:rsidRPr="0029195A">
        <w:t xml:space="preserve"> which were</w:t>
      </w:r>
      <w:r w:rsidR="00947ECE" w:rsidRPr="0029195A">
        <w:t xml:space="preserve"> inconsistent</w:t>
      </w:r>
      <w:r w:rsidR="00CB0EBD" w:rsidRPr="0029195A">
        <w:t>ly applied for the economic analysis and financial estimates. The submission did not provide a justification for this.</w:t>
      </w:r>
      <w:r w:rsidR="00267DE1" w:rsidRPr="0029195A">
        <w:rPr>
          <w:i/>
          <w:iCs/>
        </w:rPr>
        <w:t xml:space="preserve"> </w:t>
      </w:r>
    </w:p>
    <w:p w14:paraId="7E76B62D" w14:textId="1112186B" w:rsidR="00A8603D" w:rsidRPr="0029195A" w:rsidRDefault="00A8603D" w:rsidP="00A8603D">
      <w:pPr>
        <w:pStyle w:val="Caption"/>
        <w:rPr>
          <w:rStyle w:val="CommentReference"/>
          <w:b/>
          <w:szCs w:val="24"/>
        </w:rPr>
      </w:pPr>
      <w:bookmarkStart w:id="68" w:name="_Ref132187185"/>
      <w:r w:rsidRPr="0029195A">
        <w:lastRenderedPageBreak/>
        <w:t xml:space="preserve">Table </w:t>
      </w:r>
      <w:r w:rsidRPr="0029195A">
        <w:fldChar w:fldCharType="begin" w:fldLock="1"/>
      </w:r>
      <w:r w:rsidRPr="0029195A">
        <w:instrText>SEQ Table \* ARABIC</w:instrText>
      </w:r>
      <w:r w:rsidRPr="0029195A">
        <w:fldChar w:fldCharType="separate"/>
      </w:r>
      <w:r w:rsidR="00631406" w:rsidRPr="0029195A">
        <w:t>16</w:t>
      </w:r>
      <w:r w:rsidRPr="0029195A">
        <w:fldChar w:fldCharType="end"/>
      </w:r>
      <w:bookmarkEnd w:id="66"/>
      <w:bookmarkEnd w:id="68"/>
      <w:r w:rsidRPr="0029195A">
        <w:t>:</w:t>
      </w:r>
      <w:r w:rsidRPr="0029195A">
        <w:rPr>
          <w:rStyle w:val="CommentReference"/>
          <w:b/>
          <w:szCs w:val="24"/>
        </w:rPr>
        <w:t xml:space="preserve"> Drug cost per patient per year for avacopan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29"/>
        <w:gridCol w:w="2162"/>
        <w:gridCol w:w="2160"/>
        <w:gridCol w:w="2166"/>
      </w:tblGrid>
      <w:tr w:rsidR="00A8603D" w:rsidRPr="0029195A" w14:paraId="2D921454" w14:textId="77777777">
        <w:trPr>
          <w:cantSplit/>
          <w:tblHeader/>
          <w:jc w:val="center"/>
        </w:trPr>
        <w:tc>
          <w:tcPr>
            <w:tcW w:w="1402" w:type="pct"/>
            <w:shd w:val="clear" w:color="auto" w:fill="auto"/>
            <w:vAlign w:val="center"/>
          </w:tcPr>
          <w:p w14:paraId="2B37D489" w14:textId="77777777" w:rsidR="00A8603D" w:rsidRPr="0029195A" w:rsidRDefault="00A8603D">
            <w:pPr>
              <w:pStyle w:val="In-tableHeading"/>
              <w:jc w:val="center"/>
              <w:rPr>
                <w:lang w:val="en-AU"/>
              </w:rPr>
            </w:pPr>
          </w:p>
        </w:tc>
        <w:tc>
          <w:tcPr>
            <w:tcW w:w="1199" w:type="pct"/>
            <w:shd w:val="clear" w:color="auto" w:fill="auto"/>
            <w:vAlign w:val="center"/>
          </w:tcPr>
          <w:p w14:paraId="17E14CBC" w14:textId="77777777" w:rsidR="00A8603D" w:rsidRPr="0029195A" w:rsidRDefault="00A8603D">
            <w:pPr>
              <w:pStyle w:val="In-tableHeading"/>
              <w:jc w:val="center"/>
              <w:rPr>
                <w:lang w:val="en-AU"/>
              </w:rPr>
            </w:pPr>
            <w:r w:rsidRPr="0029195A">
              <w:rPr>
                <w:lang w:val="en-AU"/>
              </w:rPr>
              <w:t>Trial dose and duration</w:t>
            </w:r>
          </w:p>
        </w:tc>
        <w:tc>
          <w:tcPr>
            <w:tcW w:w="1198" w:type="pct"/>
            <w:shd w:val="clear" w:color="auto" w:fill="auto"/>
            <w:vAlign w:val="center"/>
          </w:tcPr>
          <w:p w14:paraId="39498E48" w14:textId="77777777" w:rsidR="00A8603D" w:rsidRPr="0029195A" w:rsidRDefault="00A8603D">
            <w:pPr>
              <w:pStyle w:val="In-tableHeading"/>
              <w:jc w:val="center"/>
              <w:rPr>
                <w:lang w:val="en-AU"/>
              </w:rPr>
            </w:pPr>
            <w:r w:rsidRPr="0029195A">
              <w:rPr>
                <w:lang w:val="en-AU"/>
              </w:rPr>
              <w:t>Model</w:t>
            </w:r>
          </w:p>
        </w:tc>
        <w:tc>
          <w:tcPr>
            <w:tcW w:w="1201" w:type="pct"/>
            <w:shd w:val="clear" w:color="auto" w:fill="auto"/>
            <w:vAlign w:val="center"/>
          </w:tcPr>
          <w:p w14:paraId="55E42CA8" w14:textId="77777777" w:rsidR="00A8603D" w:rsidRPr="0029195A" w:rsidRDefault="00A8603D">
            <w:pPr>
              <w:pStyle w:val="In-tableHeading"/>
              <w:jc w:val="center"/>
              <w:rPr>
                <w:lang w:val="en-AU"/>
              </w:rPr>
            </w:pPr>
            <w:r w:rsidRPr="0029195A">
              <w:rPr>
                <w:lang w:val="en-AU"/>
              </w:rPr>
              <w:t>Financial estimates</w:t>
            </w:r>
          </w:p>
        </w:tc>
      </w:tr>
      <w:tr w:rsidR="00A8603D" w:rsidRPr="0029195A" w14:paraId="3F4946A8" w14:textId="77777777">
        <w:trPr>
          <w:cantSplit/>
          <w:tblHeader/>
          <w:jc w:val="center"/>
        </w:trPr>
        <w:tc>
          <w:tcPr>
            <w:tcW w:w="1402" w:type="pct"/>
            <w:shd w:val="clear" w:color="auto" w:fill="auto"/>
            <w:vAlign w:val="center"/>
          </w:tcPr>
          <w:p w14:paraId="5822B88D" w14:textId="77777777" w:rsidR="00A8603D" w:rsidRPr="0029195A" w:rsidRDefault="00A8603D">
            <w:pPr>
              <w:pStyle w:val="In-tableHeading"/>
              <w:rPr>
                <w:b w:val="0"/>
                <w:bCs/>
                <w:lang w:val="en-AU"/>
              </w:rPr>
            </w:pPr>
            <w:r w:rsidRPr="0029195A">
              <w:rPr>
                <w:b w:val="0"/>
                <w:bCs/>
                <w:lang w:val="en-AU"/>
              </w:rPr>
              <w:t>Proposed regimen</w:t>
            </w:r>
          </w:p>
        </w:tc>
        <w:tc>
          <w:tcPr>
            <w:tcW w:w="1199" w:type="pct"/>
            <w:shd w:val="clear" w:color="auto" w:fill="auto"/>
            <w:vAlign w:val="center"/>
          </w:tcPr>
          <w:p w14:paraId="470ED17D" w14:textId="77777777" w:rsidR="00A8603D" w:rsidRPr="0029195A" w:rsidRDefault="00A8603D">
            <w:pPr>
              <w:pStyle w:val="In-tableHeading"/>
              <w:jc w:val="center"/>
              <w:rPr>
                <w:b w:val="0"/>
                <w:bCs/>
                <w:lang w:val="en-AU"/>
              </w:rPr>
            </w:pPr>
            <w:r w:rsidRPr="0029195A">
              <w:rPr>
                <w:b w:val="0"/>
                <w:bCs/>
                <w:lang w:val="en-AU"/>
              </w:rPr>
              <w:t>30 mg twice daily for 12 months</w:t>
            </w:r>
          </w:p>
        </w:tc>
        <w:tc>
          <w:tcPr>
            <w:tcW w:w="1198" w:type="pct"/>
            <w:shd w:val="clear" w:color="auto" w:fill="auto"/>
            <w:vAlign w:val="center"/>
          </w:tcPr>
          <w:p w14:paraId="1E878134" w14:textId="77777777" w:rsidR="00A8603D" w:rsidRPr="0029195A" w:rsidRDefault="00A8603D">
            <w:pPr>
              <w:pStyle w:val="In-tableHeading"/>
              <w:jc w:val="center"/>
              <w:rPr>
                <w:b w:val="0"/>
                <w:bCs/>
                <w:lang w:val="en-AU"/>
              </w:rPr>
            </w:pPr>
            <w:r w:rsidRPr="0029195A">
              <w:rPr>
                <w:b w:val="0"/>
                <w:bCs/>
                <w:lang w:val="en-AU"/>
              </w:rPr>
              <w:t>30 mg twice daily for 6 months (induction) followed by 18 months (maintenance)</w:t>
            </w:r>
          </w:p>
        </w:tc>
        <w:tc>
          <w:tcPr>
            <w:tcW w:w="1201" w:type="pct"/>
            <w:shd w:val="clear" w:color="auto" w:fill="auto"/>
            <w:vAlign w:val="center"/>
          </w:tcPr>
          <w:p w14:paraId="4F7464BB" w14:textId="77777777" w:rsidR="00A8603D" w:rsidRPr="0029195A" w:rsidRDefault="00A8603D">
            <w:pPr>
              <w:pStyle w:val="In-tableHeading"/>
              <w:jc w:val="center"/>
              <w:rPr>
                <w:b w:val="0"/>
                <w:bCs/>
                <w:vertAlign w:val="superscript"/>
                <w:lang w:val="en-AU"/>
              </w:rPr>
            </w:pPr>
            <w:r w:rsidRPr="0029195A">
              <w:rPr>
                <w:b w:val="0"/>
                <w:bCs/>
                <w:lang w:val="en-AU"/>
              </w:rPr>
              <w:t xml:space="preserve">30 mg twice daily for at least 12 months </w:t>
            </w:r>
            <w:r w:rsidRPr="0029195A">
              <w:rPr>
                <w:b w:val="0"/>
                <w:bCs/>
                <w:vertAlign w:val="superscript"/>
                <w:lang w:val="en-AU"/>
              </w:rPr>
              <w:t>a</w:t>
            </w:r>
          </w:p>
        </w:tc>
      </w:tr>
      <w:tr w:rsidR="00A8603D" w:rsidRPr="0029195A" w14:paraId="5FAA919F" w14:textId="77777777">
        <w:trPr>
          <w:cantSplit/>
          <w:tblHeader/>
          <w:jc w:val="center"/>
        </w:trPr>
        <w:tc>
          <w:tcPr>
            <w:tcW w:w="1402" w:type="pct"/>
            <w:shd w:val="clear" w:color="auto" w:fill="auto"/>
            <w:vAlign w:val="center"/>
          </w:tcPr>
          <w:p w14:paraId="79286402" w14:textId="77777777" w:rsidR="00A8603D" w:rsidRPr="0029195A" w:rsidRDefault="00A8603D">
            <w:pPr>
              <w:pStyle w:val="In-tableHeading"/>
              <w:rPr>
                <w:b w:val="0"/>
                <w:bCs/>
                <w:lang w:val="en-AU"/>
              </w:rPr>
            </w:pPr>
            <w:r w:rsidRPr="0029195A">
              <w:rPr>
                <w:b w:val="0"/>
                <w:bCs/>
                <w:lang w:val="en-AU"/>
              </w:rPr>
              <w:t>Avacopan re-induction</w:t>
            </w:r>
          </w:p>
        </w:tc>
        <w:tc>
          <w:tcPr>
            <w:tcW w:w="1199" w:type="pct"/>
            <w:shd w:val="clear" w:color="auto" w:fill="auto"/>
            <w:vAlign w:val="center"/>
          </w:tcPr>
          <w:p w14:paraId="1D919DC9" w14:textId="77777777" w:rsidR="00A8603D" w:rsidRPr="0029195A" w:rsidRDefault="00A8603D">
            <w:pPr>
              <w:pStyle w:val="In-tableHeading"/>
              <w:jc w:val="center"/>
              <w:rPr>
                <w:b w:val="0"/>
                <w:bCs/>
                <w:lang w:val="en-AU"/>
              </w:rPr>
            </w:pPr>
            <w:r w:rsidRPr="0029195A">
              <w:rPr>
                <w:b w:val="0"/>
                <w:bCs/>
                <w:lang w:val="en-AU"/>
              </w:rPr>
              <w:t>No</w:t>
            </w:r>
          </w:p>
        </w:tc>
        <w:tc>
          <w:tcPr>
            <w:tcW w:w="1198" w:type="pct"/>
            <w:shd w:val="clear" w:color="auto" w:fill="auto"/>
            <w:vAlign w:val="center"/>
          </w:tcPr>
          <w:p w14:paraId="765EE1A3" w14:textId="77777777" w:rsidR="00A8603D" w:rsidRPr="0029195A" w:rsidRDefault="00A8603D">
            <w:pPr>
              <w:pStyle w:val="In-tableHeading"/>
              <w:jc w:val="center"/>
              <w:rPr>
                <w:b w:val="0"/>
                <w:bCs/>
                <w:lang w:val="en-AU"/>
              </w:rPr>
            </w:pPr>
            <w:r w:rsidRPr="0029195A">
              <w:rPr>
                <w:b w:val="0"/>
                <w:bCs/>
                <w:lang w:val="en-AU"/>
              </w:rPr>
              <w:t>2</w:t>
            </w:r>
          </w:p>
        </w:tc>
        <w:tc>
          <w:tcPr>
            <w:tcW w:w="1201" w:type="pct"/>
            <w:shd w:val="clear" w:color="auto" w:fill="auto"/>
            <w:vAlign w:val="center"/>
          </w:tcPr>
          <w:p w14:paraId="31031E34" w14:textId="6DEA0203" w:rsidR="00A8603D" w:rsidRPr="0029195A" w:rsidRDefault="007A6905">
            <w:pPr>
              <w:pStyle w:val="In-tableHeading"/>
              <w:jc w:val="center"/>
              <w:rPr>
                <w:b w:val="0"/>
                <w:bCs/>
                <w:lang w:val="en-AU"/>
              </w:rPr>
            </w:pPr>
            <w:r w:rsidRPr="0029195A">
              <w:rPr>
                <w:b w:val="0"/>
                <w:bCs/>
                <w:lang w:val="en-AU"/>
              </w:rPr>
              <w:t>Unlimited</w:t>
            </w:r>
          </w:p>
        </w:tc>
      </w:tr>
      <w:tr w:rsidR="00A8603D" w:rsidRPr="0029195A" w14:paraId="76F9C384" w14:textId="77777777">
        <w:trPr>
          <w:cantSplit/>
          <w:tblHeader/>
          <w:jc w:val="center"/>
        </w:trPr>
        <w:tc>
          <w:tcPr>
            <w:tcW w:w="1402" w:type="pct"/>
            <w:shd w:val="clear" w:color="auto" w:fill="auto"/>
            <w:vAlign w:val="center"/>
          </w:tcPr>
          <w:p w14:paraId="2DA16DB5" w14:textId="16DFB44B" w:rsidR="00A8603D" w:rsidRPr="0029195A" w:rsidRDefault="00A8603D">
            <w:pPr>
              <w:pStyle w:val="In-tableHeading"/>
              <w:rPr>
                <w:b w:val="0"/>
                <w:bCs/>
                <w:lang w:val="en-AU"/>
              </w:rPr>
            </w:pPr>
            <w:r w:rsidRPr="0029195A">
              <w:rPr>
                <w:b w:val="0"/>
                <w:bCs/>
                <w:lang w:val="en-AU"/>
              </w:rPr>
              <w:t>Mean total duration of treatment</w:t>
            </w:r>
            <w:r w:rsidR="00F94754" w:rsidRPr="0029195A">
              <w:rPr>
                <w:b w:val="0"/>
                <w:bCs/>
                <w:lang w:val="en-AU"/>
              </w:rPr>
              <w:t xml:space="preserve"> </w:t>
            </w:r>
          </w:p>
        </w:tc>
        <w:tc>
          <w:tcPr>
            <w:tcW w:w="1199" w:type="pct"/>
            <w:shd w:val="clear" w:color="auto" w:fill="auto"/>
            <w:vAlign w:val="center"/>
          </w:tcPr>
          <w:p w14:paraId="24FA96A4" w14:textId="77777777" w:rsidR="00A8603D" w:rsidRPr="0029195A" w:rsidRDefault="00A8603D">
            <w:pPr>
              <w:pStyle w:val="In-tableHeading"/>
              <w:jc w:val="center"/>
              <w:rPr>
                <w:b w:val="0"/>
                <w:bCs/>
                <w:lang w:val="en-AU"/>
              </w:rPr>
            </w:pPr>
            <w:r w:rsidRPr="0029195A">
              <w:rPr>
                <w:b w:val="0"/>
                <w:bCs/>
                <w:lang w:val="en-AU"/>
              </w:rPr>
              <w:t>305.1 days (10.0 months)</w:t>
            </w:r>
          </w:p>
        </w:tc>
        <w:tc>
          <w:tcPr>
            <w:tcW w:w="1198" w:type="pct"/>
            <w:shd w:val="clear" w:color="auto" w:fill="auto"/>
            <w:vAlign w:val="center"/>
          </w:tcPr>
          <w:p w14:paraId="3C71DBE8" w14:textId="4D1BA3D2" w:rsidR="00A8603D" w:rsidRPr="0029195A" w:rsidRDefault="00A8603D">
            <w:pPr>
              <w:pStyle w:val="In-tableHeading"/>
              <w:jc w:val="center"/>
              <w:rPr>
                <w:b w:val="0"/>
                <w:bCs/>
                <w:vertAlign w:val="superscript"/>
                <w:lang w:val="en-AU"/>
              </w:rPr>
            </w:pPr>
            <w:r w:rsidRPr="0029195A">
              <w:rPr>
                <w:b w:val="0"/>
                <w:bCs/>
                <w:lang w:val="en-AU"/>
              </w:rPr>
              <w:t>25.</w:t>
            </w:r>
            <w:r w:rsidR="001A5991" w:rsidRPr="0029195A">
              <w:rPr>
                <w:b w:val="0"/>
                <w:bCs/>
                <w:lang w:val="en-AU"/>
              </w:rPr>
              <w:t>8</w:t>
            </w:r>
            <w:r w:rsidRPr="0029195A">
              <w:rPr>
                <w:b w:val="0"/>
                <w:bCs/>
                <w:lang w:val="en-AU"/>
              </w:rPr>
              <w:t xml:space="preserve"> months</w:t>
            </w:r>
            <w:r w:rsidR="00ED6028" w:rsidRPr="0029195A">
              <w:rPr>
                <w:b w:val="0"/>
                <w:bCs/>
                <w:lang w:val="en-AU"/>
              </w:rPr>
              <w:t xml:space="preserve"> </w:t>
            </w:r>
            <w:r w:rsidR="00031074" w:rsidRPr="0029195A">
              <w:rPr>
                <w:b w:val="0"/>
                <w:bCs/>
                <w:vertAlign w:val="superscript"/>
                <w:lang w:val="en-AU"/>
              </w:rPr>
              <w:t>b</w:t>
            </w:r>
          </w:p>
        </w:tc>
        <w:tc>
          <w:tcPr>
            <w:tcW w:w="1201" w:type="pct"/>
            <w:shd w:val="clear" w:color="auto" w:fill="auto"/>
            <w:vAlign w:val="center"/>
          </w:tcPr>
          <w:p w14:paraId="770E344F" w14:textId="455C20A1" w:rsidR="00A8603D" w:rsidRPr="0029195A" w:rsidRDefault="00A8603D">
            <w:pPr>
              <w:pStyle w:val="In-tableHeading"/>
              <w:jc w:val="center"/>
              <w:rPr>
                <w:b w:val="0"/>
                <w:bCs/>
                <w:i/>
                <w:iCs/>
                <w:lang w:val="en-AU"/>
              </w:rPr>
            </w:pPr>
            <w:r w:rsidRPr="0029195A">
              <w:rPr>
                <w:b w:val="0"/>
                <w:bCs/>
                <w:lang w:val="en-AU"/>
              </w:rPr>
              <w:t xml:space="preserve">13.8 months </w:t>
            </w:r>
            <w:r w:rsidR="00031074" w:rsidRPr="0029195A">
              <w:rPr>
                <w:b w:val="0"/>
                <w:bCs/>
                <w:vertAlign w:val="superscript"/>
                <w:lang w:val="en-AU"/>
              </w:rPr>
              <w:t>c</w:t>
            </w:r>
          </w:p>
        </w:tc>
      </w:tr>
      <w:tr w:rsidR="00A8603D" w:rsidRPr="0029195A" w14:paraId="2E4FAE1E" w14:textId="77777777">
        <w:trPr>
          <w:cantSplit/>
          <w:jc w:val="center"/>
        </w:trPr>
        <w:tc>
          <w:tcPr>
            <w:tcW w:w="1402" w:type="pct"/>
            <w:shd w:val="clear" w:color="auto" w:fill="auto"/>
            <w:vAlign w:val="center"/>
          </w:tcPr>
          <w:p w14:paraId="66CE92DD" w14:textId="77777777" w:rsidR="00A8603D" w:rsidRPr="0029195A" w:rsidRDefault="00A8603D">
            <w:pPr>
              <w:pStyle w:val="TableText0"/>
            </w:pPr>
            <w:r w:rsidRPr="0029195A">
              <w:t>Mean dose</w:t>
            </w:r>
          </w:p>
        </w:tc>
        <w:tc>
          <w:tcPr>
            <w:tcW w:w="1199" w:type="pct"/>
            <w:shd w:val="clear" w:color="auto" w:fill="auto"/>
            <w:vAlign w:val="center"/>
          </w:tcPr>
          <w:p w14:paraId="1DE5287D" w14:textId="77777777" w:rsidR="00A8603D" w:rsidRPr="0029195A" w:rsidRDefault="00A8603D">
            <w:pPr>
              <w:pStyle w:val="TableText0"/>
              <w:jc w:val="center"/>
              <w:rPr>
                <w:bCs w:val="0"/>
              </w:rPr>
            </w:pPr>
            <w:r w:rsidRPr="0029195A">
              <w:rPr>
                <w:bCs w:val="0"/>
              </w:rPr>
              <w:t>60.2 mg/day</w:t>
            </w:r>
          </w:p>
        </w:tc>
        <w:tc>
          <w:tcPr>
            <w:tcW w:w="1198" w:type="pct"/>
            <w:shd w:val="clear" w:color="auto" w:fill="auto"/>
            <w:vAlign w:val="center"/>
          </w:tcPr>
          <w:p w14:paraId="7B4F1514" w14:textId="77777777" w:rsidR="00A8603D" w:rsidRPr="0029195A" w:rsidRDefault="00A8603D">
            <w:pPr>
              <w:pStyle w:val="TableText0"/>
              <w:jc w:val="center"/>
              <w:rPr>
                <w:bCs w:val="0"/>
              </w:rPr>
            </w:pPr>
            <w:r w:rsidRPr="0029195A">
              <w:rPr>
                <w:bCs w:val="0"/>
              </w:rPr>
              <w:t>60 mg/day</w:t>
            </w:r>
          </w:p>
        </w:tc>
        <w:tc>
          <w:tcPr>
            <w:tcW w:w="1201" w:type="pct"/>
            <w:shd w:val="clear" w:color="auto" w:fill="auto"/>
            <w:vAlign w:val="center"/>
          </w:tcPr>
          <w:p w14:paraId="23E8A005" w14:textId="77777777" w:rsidR="00A8603D" w:rsidRPr="0029195A" w:rsidRDefault="00A8603D">
            <w:pPr>
              <w:pStyle w:val="TableText0"/>
              <w:jc w:val="center"/>
              <w:rPr>
                <w:bCs w:val="0"/>
              </w:rPr>
            </w:pPr>
            <w:r w:rsidRPr="0029195A">
              <w:rPr>
                <w:bCs w:val="0"/>
              </w:rPr>
              <w:t>60 mg/day</w:t>
            </w:r>
          </w:p>
        </w:tc>
      </w:tr>
      <w:tr w:rsidR="00A8603D" w:rsidRPr="0029195A" w14:paraId="142DF606" w14:textId="77777777">
        <w:trPr>
          <w:cantSplit/>
          <w:jc w:val="center"/>
        </w:trPr>
        <w:tc>
          <w:tcPr>
            <w:tcW w:w="1402" w:type="pct"/>
            <w:shd w:val="clear" w:color="auto" w:fill="auto"/>
            <w:vAlign w:val="center"/>
          </w:tcPr>
          <w:p w14:paraId="41D7879F" w14:textId="138921B6" w:rsidR="00A8603D" w:rsidRPr="0029195A" w:rsidRDefault="00A8603D">
            <w:pPr>
              <w:pStyle w:val="TableText0"/>
              <w:rPr>
                <w:vertAlign w:val="superscript"/>
              </w:rPr>
            </w:pPr>
            <w:r w:rsidRPr="0029195A">
              <w:t>Compliance</w:t>
            </w:r>
          </w:p>
        </w:tc>
        <w:tc>
          <w:tcPr>
            <w:tcW w:w="1199" w:type="pct"/>
            <w:shd w:val="clear" w:color="auto" w:fill="auto"/>
            <w:vAlign w:val="center"/>
          </w:tcPr>
          <w:p w14:paraId="047AA69F" w14:textId="77777777" w:rsidR="00A8603D" w:rsidRPr="0029195A" w:rsidRDefault="00A8603D">
            <w:pPr>
              <w:pStyle w:val="TableText0"/>
              <w:jc w:val="center"/>
              <w:rPr>
                <w:bCs w:val="0"/>
              </w:rPr>
            </w:pPr>
            <w:r w:rsidRPr="0029195A">
              <w:rPr>
                <w:bCs w:val="0"/>
              </w:rPr>
              <w:t>86.4%</w:t>
            </w:r>
          </w:p>
        </w:tc>
        <w:tc>
          <w:tcPr>
            <w:tcW w:w="1198" w:type="pct"/>
            <w:shd w:val="clear" w:color="auto" w:fill="auto"/>
            <w:vAlign w:val="center"/>
          </w:tcPr>
          <w:p w14:paraId="7056DCA7" w14:textId="77777777" w:rsidR="00A8603D" w:rsidRPr="0029195A" w:rsidRDefault="00A8603D">
            <w:pPr>
              <w:pStyle w:val="TableText0"/>
              <w:jc w:val="center"/>
              <w:rPr>
                <w:bCs w:val="0"/>
              </w:rPr>
            </w:pPr>
            <w:r w:rsidRPr="0029195A">
              <w:rPr>
                <w:bCs w:val="0"/>
              </w:rPr>
              <w:t>86.4%</w:t>
            </w:r>
          </w:p>
        </w:tc>
        <w:tc>
          <w:tcPr>
            <w:tcW w:w="1201" w:type="pct"/>
            <w:shd w:val="clear" w:color="auto" w:fill="auto"/>
            <w:vAlign w:val="center"/>
          </w:tcPr>
          <w:p w14:paraId="4F5BEA07" w14:textId="77777777" w:rsidR="00A8603D" w:rsidRPr="0029195A" w:rsidRDefault="00A8603D">
            <w:pPr>
              <w:pStyle w:val="TableText0"/>
              <w:jc w:val="center"/>
              <w:rPr>
                <w:bCs w:val="0"/>
                <w:vertAlign w:val="superscript"/>
              </w:rPr>
            </w:pPr>
            <w:r w:rsidRPr="0029195A">
              <w:rPr>
                <w:bCs w:val="0"/>
              </w:rPr>
              <w:t>86.4%</w:t>
            </w:r>
          </w:p>
        </w:tc>
      </w:tr>
      <w:tr w:rsidR="00A8603D" w:rsidRPr="0029195A" w14:paraId="0FD3A0B5" w14:textId="77777777">
        <w:trPr>
          <w:cantSplit/>
          <w:jc w:val="center"/>
        </w:trPr>
        <w:tc>
          <w:tcPr>
            <w:tcW w:w="1402" w:type="pct"/>
            <w:shd w:val="clear" w:color="auto" w:fill="auto"/>
            <w:vAlign w:val="center"/>
          </w:tcPr>
          <w:p w14:paraId="4243F1BC" w14:textId="0EDF04D5" w:rsidR="00A8603D" w:rsidRPr="0029195A" w:rsidRDefault="00A8603D">
            <w:pPr>
              <w:pStyle w:val="TableText0"/>
            </w:pPr>
            <w:r w:rsidRPr="0029195A">
              <w:t>Cost/patient/month</w:t>
            </w:r>
            <w:r w:rsidR="00097AEF" w:rsidRPr="0029195A">
              <w:t xml:space="preserve"> </w:t>
            </w:r>
            <w:r w:rsidR="00097AEF" w:rsidRPr="0029195A">
              <w:rPr>
                <w:vertAlign w:val="superscript"/>
              </w:rPr>
              <w:t>d</w:t>
            </w:r>
          </w:p>
        </w:tc>
        <w:tc>
          <w:tcPr>
            <w:tcW w:w="1199" w:type="pct"/>
            <w:shd w:val="clear" w:color="auto" w:fill="auto"/>
            <w:vAlign w:val="center"/>
          </w:tcPr>
          <w:p w14:paraId="439DA3EC" w14:textId="2936BE35" w:rsidR="00A8603D" w:rsidRPr="0029195A" w:rsidRDefault="00A8603D">
            <w:pPr>
              <w:jc w:val="center"/>
              <w:rPr>
                <w:bCs/>
              </w:rPr>
            </w:pPr>
            <w:r w:rsidRPr="0029195A">
              <w:rPr>
                <w:rFonts w:ascii="Arial Narrow" w:hAnsi="Arial Narrow" w:cs="Calibri"/>
                <w:color w:val="000000"/>
                <w:sz w:val="20"/>
                <w:szCs w:val="20"/>
              </w:rPr>
              <w:t>$</w:t>
            </w:r>
            <w:r w:rsidR="00A26F4F" w:rsidRPr="00A26F4F">
              <w:rPr>
                <w:rFonts w:ascii="Arial Narrow" w:hAnsi="Arial Narrow" w:cs="Calibri"/>
                <w:color w:val="000000"/>
                <w:sz w:val="20"/>
                <w:szCs w:val="20"/>
                <w:shd w:val="solid" w:color="000000" w:fill="000000"/>
                <w14:textFill>
                  <w14:solidFill>
                    <w14:srgbClr w14:val="000000">
                      <w14:alpha w14:val="100000"/>
                    </w14:srgbClr>
                  </w14:solidFill>
                </w14:textFill>
              </w:rPr>
              <w:t>|</w:t>
            </w:r>
          </w:p>
        </w:tc>
        <w:tc>
          <w:tcPr>
            <w:tcW w:w="1198" w:type="pct"/>
            <w:shd w:val="clear" w:color="auto" w:fill="auto"/>
            <w:vAlign w:val="center"/>
          </w:tcPr>
          <w:p w14:paraId="11A65A6C" w14:textId="5B6496DC" w:rsidR="00A8603D" w:rsidRPr="0029195A" w:rsidRDefault="00A8603D">
            <w:pPr>
              <w:pStyle w:val="TableText0"/>
              <w:jc w:val="center"/>
              <w:rPr>
                <w:bCs w:val="0"/>
              </w:rPr>
            </w:pPr>
            <w:r w:rsidRPr="0029195A">
              <w:rPr>
                <w:bCs w:val="0"/>
              </w:rPr>
              <w:t>$</w:t>
            </w:r>
            <w:r w:rsidR="00A26F4F" w:rsidRPr="00A26F4F">
              <w:rPr>
                <w:bCs w:val="0"/>
                <w:color w:val="000000"/>
                <w:shd w:val="solid" w:color="000000" w:fill="000000"/>
                <w14:textFill>
                  <w14:solidFill>
                    <w14:srgbClr w14:val="000000">
                      <w14:alpha w14:val="100000"/>
                    </w14:srgbClr>
                  </w14:solidFill>
                </w14:textFill>
              </w:rPr>
              <w:t>|</w:t>
            </w:r>
            <w:r w:rsidR="00A26F4F" w:rsidRPr="00A26F4F">
              <w:rPr>
                <w:bCs w:val="0"/>
              </w:rPr>
              <w:t xml:space="preserve"> </w:t>
            </w:r>
            <w:r w:rsidR="002A28A3" w:rsidRPr="0029195A">
              <w:rPr>
                <w:bCs w:val="0"/>
                <w:vertAlign w:val="superscript"/>
              </w:rPr>
              <w:t>e</w:t>
            </w:r>
          </w:p>
        </w:tc>
        <w:tc>
          <w:tcPr>
            <w:tcW w:w="1201" w:type="pct"/>
            <w:shd w:val="clear" w:color="auto" w:fill="auto"/>
            <w:vAlign w:val="center"/>
          </w:tcPr>
          <w:p w14:paraId="35E791DD" w14:textId="4DD6AC12" w:rsidR="00A8603D" w:rsidRPr="0029195A" w:rsidRDefault="00A8603D">
            <w:pPr>
              <w:pStyle w:val="TableText0"/>
              <w:jc w:val="center"/>
              <w:rPr>
                <w:bCs w:val="0"/>
              </w:rPr>
            </w:pPr>
            <w:r w:rsidRPr="0029195A">
              <w:rPr>
                <w:bCs w:val="0"/>
              </w:rPr>
              <w:t>$</w:t>
            </w:r>
            <w:r w:rsidR="00A26F4F" w:rsidRPr="00A26F4F">
              <w:rPr>
                <w:bCs w:val="0"/>
                <w:color w:val="000000"/>
                <w:shd w:val="solid" w:color="000000" w:fill="000000"/>
                <w14:textFill>
                  <w14:solidFill>
                    <w14:srgbClr w14:val="000000">
                      <w14:alpha w14:val="100000"/>
                    </w14:srgbClr>
                  </w14:solidFill>
                </w14:textFill>
              </w:rPr>
              <w:t>|</w:t>
            </w:r>
          </w:p>
        </w:tc>
      </w:tr>
      <w:tr w:rsidR="001C36AD" w:rsidRPr="0029195A" w14:paraId="52381B9E" w14:textId="77777777">
        <w:trPr>
          <w:cantSplit/>
          <w:jc w:val="center"/>
        </w:trPr>
        <w:tc>
          <w:tcPr>
            <w:tcW w:w="1402" w:type="pct"/>
            <w:shd w:val="clear" w:color="auto" w:fill="auto"/>
            <w:vAlign w:val="center"/>
          </w:tcPr>
          <w:p w14:paraId="6CC20425" w14:textId="624F7760" w:rsidR="006334D9" w:rsidRPr="0029195A" w:rsidRDefault="006334D9">
            <w:pPr>
              <w:pStyle w:val="TableText0"/>
            </w:pPr>
            <w:r w:rsidRPr="0029195A">
              <w:t>Cost/patient/year</w:t>
            </w:r>
            <w:r w:rsidR="00097AEF" w:rsidRPr="0029195A">
              <w:t xml:space="preserve"> </w:t>
            </w:r>
            <w:r w:rsidR="00097AEF" w:rsidRPr="0029195A">
              <w:rPr>
                <w:vertAlign w:val="superscript"/>
              </w:rPr>
              <w:t>d</w:t>
            </w:r>
          </w:p>
        </w:tc>
        <w:tc>
          <w:tcPr>
            <w:tcW w:w="1199" w:type="pct"/>
            <w:shd w:val="clear" w:color="auto" w:fill="auto"/>
            <w:vAlign w:val="center"/>
          </w:tcPr>
          <w:p w14:paraId="6A25FBBF" w14:textId="5F5AA188" w:rsidR="006334D9" w:rsidRPr="0029195A" w:rsidRDefault="00C254F3">
            <w:pPr>
              <w:jc w:val="center"/>
              <w:rPr>
                <w:rFonts w:ascii="Arial Narrow" w:hAnsi="Arial Narrow" w:cs="Calibri"/>
                <w:color w:val="000000"/>
                <w:sz w:val="20"/>
                <w:szCs w:val="20"/>
              </w:rPr>
            </w:pPr>
            <w:r w:rsidRPr="0029195A">
              <w:rPr>
                <w:rFonts w:ascii="Arial Narrow" w:hAnsi="Arial Narrow" w:cs="Calibri"/>
                <w:color w:val="000000"/>
                <w:sz w:val="20"/>
                <w:szCs w:val="20"/>
              </w:rPr>
              <w:t>$</w:t>
            </w:r>
            <w:r w:rsidR="00A26F4F" w:rsidRPr="00A26F4F">
              <w:rPr>
                <w:rFonts w:ascii="Arial Narrow" w:hAnsi="Arial Narrow" w:cs="Calibri"/>
                <w:color w:val="000000"/>
                <w:sz w:val="20"/>
                <w:szCs w:val="20"/>
                <w:shd w:val="solid" w:color="000000" w:fill="000000"/>
                <w14:textFill>
                  <w14:solidFill>
                    <w14:srgbClr w14:val="000000">
                      <w14:alpha w14:val="100000"/>
                    </w14:srgbClr>
                  </w14:solidFill>
                </w14:textFill>
              </w:rPr>
              <w:t>|</w:t>
            </w:r>
          </w:p>
        </w:tc>
        <w:tc>
          <w:tcPr>
            <w:tcW w:w="1198" w:type="pct"/>
            <w:shd w:val="clear" w:color="auto" w:fill="auto"/>
            <w:vAlign w:val="center"/>
          </w:tcPr>
          <w:p w14:paraId="4E37B56A" w14:textId="12670A97" w:rsidR="006334D9" w:rsidRPr="0029195A" w:rsidRDefault="00BF368E">
            <w:pPr>
              <w:pStyle w:val="TableText0"/>
              <w:jc w:val="center"/>
              <w:rPr>
                <w:bCs w:val="0"/>
              </w:rPr>
            </w:pPr>
            <w:r w:rsidRPr="0029195A">
              <w:rPr>
                <w:bCs w:val="0"/>
              </w:rPr>
              <w:t>$</w:t>
            </w:r>
            <w:r w:rsidR="00A26F4F" w:rsidRPr="00A26F4F">
              <w:rPr>
                <w:bCs w:val="0"/>
                <w:color w:val="000000"/>
                <w:shd w:val="solid" w:color="000000" w:fill="000000"/>
                <w14:textFill>
                  <w14:solidFill>
                    <w14:srgbClr w14:val="000000">
                      <w14:alpha w14:val="100000"/>
                    </w14:srgbClr>
                  </w14:solidFill>
                </w14:textFill>
              </w:rPr>
              <w:t>|</w:t>
            </w:r>
          </w:p>
        </w:tc>
        <w:tc>
          <w:tcPr>
            <w:tcW w:w="1201" w:type="pct"/>
            <w:shd w:val="clear" w:color="auto" w:fill="auto"/>
            <w:vAlign w:val="center"/>
          </w:tcPr>
          <w:p w14:paraId="4A3773FB" w14:textId="04A8FEAC" w:rsidR="006334D9" w:rsidRPr="0029195A" w:rsidRDefault="00DA4630">
            <w:pPr>
              <w:pStyle w:val="TableText0"/>
              <w:jc w:val="center"/>
              <w:rPr>
                <w:bCs w:val="0"/>
              </w:rPr>
            </w:pPr>
            <w:r w:rsidRPr="0029195A">
              <w:rPr>
                <w:bCs w:val="0"/>
              </w:rPr>
              <w:t>$</w:t>
            </w:r>
            <w:r w:rsidR="00A26F4F" w:rsidRPr="00A26F4F">
              <w:rPr>
                <w:bCs w:val="0"/>
                <w:color w:val="000000"/>
                <w:shd w:val="solid" w:color="000000" w:fill="000000"/>
                <w14:textFill>
                  <w14:solidFill>
                    <w14:srgbClr w14:val="000000">
                      <w14:alpha w14:val="100000"/>
                    </w14:srgbClr>
                  </w14:solidFill>
                </w14:textFill>
              </w:rPr>
              <w:t>|</w:t>
            </w:r>
          </w:p>
        </w:tc>
      </w:tr>
    </w:tbl>
    <w:p w14:paraId="44C8F5ED" w14:textId="77777777" w:rsidR="00A8603D" w:rsidRPr="0029195A" w:rsidRDefault="00A8603D" w:rsidP="00A8603D">
      <w:pPr>
        <w:pStyle w:val="FooterTableFigure"/>
      </w:pPr>
      <w:r w:rsidRPr="0029195A">
        <w:t>Source: Table 2-15, p66, 126 of the submission and from outputs sourced from Attachment 14 and 16</w:t>
      </w:r>
    </w:p>
    <w:p w14:paraId="0BDFA5F7" w14:textId="5323DF2C" w:rsidR="00027DB7" w:rsidRPr="0029195A" w:rsidRDefault="00A8603D" w:rsidP="00A8603D">
      <w:pPr>
        <w:pStyle w:val="FooterTableFigure"/>
      </w:pPr>
      <w:r w:rsidRPr="0029195A">
        <w:rPr>
          <w:vertAlign w:val="superscript"/>
        </w:rPr>
        <w:t xml:space="preserve">a </w:t>
      </w:r>
      <w:r w:rsidRPr="0029195A">
        <w:t>This is unclear as not clearly described in the submission</w:t>
      </w:r>
    </w:p>
    <w:p w14:paraId="0D09B70F" w14:textId="4F45BD4D" w:rsidR="002A28A3" w:rsidRPr="0029195A" w:rsidRDefault="002A28A3" w:rsidP="00A8603D">
      <w:pPr>
        <w:pStyle w:val="FooterTableFigure"/>
        <w:rPr>
          <w:i/>
        </w:rPr>
      </w:pPr>
      <w:r w:rsidRPr="0029195A">
        <w:rPr>
          <w:vertAlign w:val="superscript"/>
        </w:rPr>
        <w:t>b</w:t>
      </w:r>
      <w:r w:rsidRPr="0029195A">
        <w:t xml:space="preserve"> </w:t>
      </w:r>
      <w:r w:rsidR="008734D1" w:rsidRPr="0029195A">
        <w:t xml:space="preserve">Estimated by the submission. </w:t>
      </w:r>
      <w:r w:rsidR="000938D3" w:rsidRPr="0029195A">
        <w:rPr>
          <w:iCs/>
        </w:rPr>
        <w:t>It is unclear how this was derived.</w:t>
      </w:r>
      <w:r w:rsidR="000938D3" w:rsidRPr="0029195A">
        <w:rPr>
          <w:i/>
        </w:rPr>
        <w:t xml:space="preserve"> </w:t>
      </w:r>
    </w:p>
    <w:p w14:paraId="5519F943" w14:textId="4E2353FB" w:rsidR="00A8603D" w:rsidRPr="0029195A" w:rsidRDefault="00031074" w:rsidP="00A8603D">
      <w:pPr>
        <w:pStyle w:val="FooterTableFigure"/>
      </w:pPr>
      <w:r w:rsidRPr="0029195A">
        <w:rPr>
          <w:vertAlign w:val="superscript"/>
        </w:rPr>
        <w:t>c</w:t>
      </w:r>
      <w:r w:rsidRPr="0029195A">
        <w:t xml:space="preserve"> </w:t>
      </w:r>
      <w:r w:rsidR="00A8603D" w:rsidRPr="0029195A">
        <w:t>Duration of treatment varied depending on the population: 14.21 months (newly diagnosed &amp; relapsed), 12.46 months (re-induction), 7.15 months (grandfathered)</w:t>
      </w:r>
    </w:p>
    <w:p w14:paraId="113F9520" w14:textId="7949B0AF" w:rsidR="00E96D7D" w:rsidRPr="0029195A" w:rsidRDefault="002A28A3" w:rsidP="00A8603D">
      <w:pPr>
        <w:pStyle w:val="FooterTableFigure"/>
      </w:pPr>
      <w:r w:rsidRPr="0029195A">
        <w:rPr>
          <w:vertAlign w:val="superscript"/>
        </w:rPr>
        <w:t>d</w:t>
      </w:r>
      <w:r w:rsidRPr="0029195A">
        <w:t xml:space="preserve"> </w:t>
      </w:r>
      <w:r w:rsidR="00097AEF" w:rsidRPr="0029195A">
        <w:t>Adjusted for</w:t>
      </w:r>
      <w:r w:rsidR="00561FF0" w:rsidRPr="0029195A">
        <w:t xml:space="preserve"> </w:t>
      </w:r>
      <w:r w:rsidR="000B75F3" w:rsidRPr="0029195A">
        <w:t>compliance of 86.4% as reported in the ADVOCATE trial (approximates 10.4 scripts per year)</w:t>
      </w:r>
    </w:p>
    <w:p w14:paraId="77297A8C" w14:textId="0401BC75" w:rsidR="0052778A" w:rsidRPr="0029195A" w:rsidRDefault="007C0E71" w:rsidP="0052778A">
      <w:pPr>
        <w:pStyle w:val="FooterTableFigure"/>
        <w:rPr>
          <w:iCs/>
        </w:rPr>
      </w:pPr>
      <w:r w:rsidRPr="0029195A">
        <w:rPr>
          <w:iCs/>
          <w:vertAlign w:val="superscript"/>
        </w:rPr>
        <w:t>e</w:t>
      </w:r>
      <w:r w:rsidRPr="0029195A">
        <w:rPr>
          <w:iCs/>
        </w:rPr>
        <w:t xml:space="preserve"> </w:t>
      </w:r>
      <w:r w:rsidR="002A28A3" w:rsidRPr="0029195A">
        <w:rPr>
          <w:iCs/>
        </w:rPr>
        <w:t>Re-calculated from $</w:t>
      </w:r>
      <w:r w:rsidR="00A26F4F" w:rsidRPr="00A26F4F">
        <w:rPr>
          <w:iCs/>
          <w:color w:val="000000"/>
          <w:spacing w:val="35"/>
          <w:shd w:val="solid" w:color="000000" w:fill="000000"/>
          <w:fitText w:val="265" w:id="-1168989687"/>
          <w14:textFill>
            <w14:solidFill>
              <w14:srgbClr w14:val="000000">
                <w14:alpha w14:val="100000"/>
              </w14:srgbClr>
            </w14:solidFill>
          </w14:textFill>
        </w:rPr>
        <w:t xml:space="preserve">|  </w:t>
      </w:r>
      <w:r w:rsidR="00A26F4F" w:rsidRPr="00A26F4F">
        <w:rPr>
          <w:iCs/>
          <w:color w:val="000000"/>
          <w:spacing w:val="2"/>
          <w:shd w:val="solid" w:color="000000" w:fill="000000"/>
          <w:fitText w:val="265" w:id="-1168989687"/>
          <w14:textFill>
            <w14:solidFill>
              <w14:srgbClr w14:val="000000">
                <w14:alpha w14:val="100000"/>
              </w14:srgbClr>
            </w14:solidFill>
          </w14:textFill>
        </w:rPr>
        <w:t>|</w:t>
      </w:r>
      <w:r w:rsidR="002A28A3" w:rsidRPr="0029195A">
        <w:rPr>
          <w:iCs/>
        </w:rPr>
        <w:t xml:space="preserve"> per cycle from the economic model (Attachment 14)</w:t>
      </w:r>
      <w:bookmarkStart w:id="69" w:name="_Toc135230137"/>
    </w:p>
    <w:p w14:paraId="10EAD5AC" w14:textId="77777777" w:rsidR="0052778A" w:rsidRPr="0029195A" w:rsidRDefault="0052778A" w:rsidP="0052778A">
      <w:pPr>
        <w:pStyle w:val="FooterTableFigure"/>
        <w:rPr>
          <w:iCs/>
        </w:rPr>
      </w:pPr>
    </w:p>
    <w:p w14:paraId="1D5DE024" w14:textId="25F9B1DF" w:rsidR="00411EDA" w:rsidRPr="0029195A" w:rsidRDefault="00B60939" w:rsidP="0052778A">
      <w:pPr>
        <w:pStyle w:val="4-SubsectionHeading"/>
      </w:pPr>
      <w:r w:rsidRPr="0029195A">
        <w:t>Estimated PBS usage &amp; financial implications</w:t>
      </w:r>
      <w:bookmarkStart w:id="70" w:name="_Toc22897648"/>
      <w:bookmarkEnd w:id="67"/>
      <w:bookmarkEnd w:id="69"/>
    </w:p>
    <w:p w14:paraId="59E29774" w14:textId="285B787F" w:rsidR="0052778A" w:rsidRPr="0029195A" w:rsidRDefault="0052778A" w:rsidP="007A6355">
      <w:pPr>
        <w:pStyle w:val="3-BodyText"/>
      </w:pPr>
      <w:bookmarkStart w:id="71" w:name="_Toc135230141"/>
      <w:bookmarkEnd w:id="70"/>
      <w:r w:rsidRPr="0029195A">
        <w:t>Th</w:t>
      </w:r>
      <w:r w:rsidR="00F85174" w:rsidRPr="0029195A">
        <w:t>e</w:t>
      </w:r>
      <w:r w:rsidRPr="0029195A">
        <w:t xml:space="preserve"> submission w</w:t>
      </w:r>
      <w:r w:rsidR="00F85174" w:rsidRPr="0029195A">
        <w:t>as</w:t>
      </w:r>
      <w:r w:rsidRPr="0029195A">
        <w:t xml:space="preserve"> considered by DUSC.</w:t>
      </w:r>
    </w:p>
    <w:p w14:paraId="64D933AD" w14:textId="77777777" w:rsidR="0052778A" w:rsidRPr="0029195A" w:rsidRDefault="0052778A" w:rsidP="007A6355">
      <w:pPr>
        <w:pStyle w:val="3-BodyText"/>
      </w:pPr>
      <w:r w:rsidRPr="0029195A">
        <w:t xml:space="preserve">The submission used an epidemiological approach to estimate the financial implications associated with the proposed listing of avacopan. The submission identified four patient populations that would be eligible for avacopan: (1) newly diagnosed, (2) relapsed, (3) re-induction and (4) grandfathered patients. Eligible patients were estimated based on the incidence and prevalence of GPA and MPA patients (for Populations 1, 2 and 3) and based on the Sponsor’s compassionate program for Population 4. </w:t>
      </w:r>
    </w:p>
    <w:p w14:paraId="51DC5312" w14:textId="43B27AF0" w:rsidR="0052778A" w:rsidRPr="0029195A" w:rsidRDefault="0052778A" w:rsidP="007A6355">
      <w:pPr>
        <w:pStyle w:val="3-BodyText"/>
        <w:rPr>
          <w:color w:val="0066FF"/>
        </w:rPr>
      </w:pPr>
      <w:r w:rsidRPr="0029195A">
        <w:fldChar w:fldCharType="begin" w:fldLock="1"/>
      </w:r>
      <w:r w:rsidRPr="0029195A">
        <w:instrText xml:space="preserve"> REF _Ref104805262 \h  \* MERGEFORMAT </w:instrText>
      </w:r>
      <w:r w:rsidRPr="0029195A">
        <w:fldChar w:fldCharType="separate"/>
      </w:r>
      <w:r w:rsidR="00610CB8" w:rsidRPr="00610CB8">
        <w:t>Table 17</w:t>
      </w:r>
      <w:r w:rsidRPr="0029195A">
        <w:fldChar w:fldCharType="end"/>
      </w:r>
      <w:r w:rsidRPr="0029195A">
        <w:t xml:space="preserve"> summarises the key inputs and issues for financial estimates. </w:t>
      </w:r>
    </w:p>
    <w:p w14:paraId="0C6BC42A" w14:textId="6FB273B3" w:rsidR="0052778A" w:rsidRPr="0029195A" w:rsidRDefault="0052778A" w:rsidP="0052778A">
      <w:pPr>
        <w:widowControl w:val="0"/>
        <w:rPr>
          <w:rFonts w:ascii="Arial Narrow" w:hAnsi="Arial Narrow"/>
          <w:b/>
          <w:bCs/>
          <w:sz w:val="20"/>
        </w:rPr>
      </w:pPr>
      <w:bookmarkStart w:id="72" w:name="_Ref104805262"/>
      <w:r w:rsidRPr="0029195A">
        <w:rPr>
          <w:rFonts w:ascii="Arial Narrow" w:hAnsi="Arial Narrow"/>
          <w:b/>
          <w:bCs/>
          <w:sz w:val="20"/>
          <w:szCs w:val="18"/>
        </w:rPr>
        <w:t xml:space="preserve">Table </w:t>
      </w:r>
      <w:r w:rsidRPr="0029195A">
        <w:rPr>
          <w:rFonts w:ascii="Arial Narrow" w:hAnsi="Arial Narrow"/>
          <w:b/>
          <w:bCs/>
          <w:sz w:val="20"/>
          <w:szCs w:val="18"/>
        </w:rPr>
        <w:fldChar w:fldCharType="begin" w:fldLock="1"/>
      </w:r>
      <w:r w:rsidRPr="0029195A">
        <w:rPr>
          <w:rFonts w:ascii="Arial Narrow" w:hAnsi="Arial Narrow"/>
          <w:b/>
          <w:bCs/>
          <w:sz w:val="20"/>
          <w:szCs w:val="18"/>
        </w:rPr>
        <w:instrText>SEQ Table \* ARABIC</w:instrText>
      </w:r>
      <w:r w:rsidRPr="0029195A">
        <w:rPr>
          <w:rFonts w:ascii="Arial Narrow" w:hAnsi="Arial Narrow"/>
          <w:b/>
          <w:bCs/>
          <w:sz w:val="20"/>
          <w:szCs w:val="18"/>
        </w:rPr>
        <w:fldChar w:fldCharType="separate"/>
      </w:r>
      <w:r w:rsidR="00610CB8">
        <w:rPr>
          <w:rFonts w:ascii="Arial Narrow" w:hAnsi="Arial Narrow"/>
          <w:b/>
          <w:bCs/>
          <w:noProof/>
          <w:sz w:val="20"/>
          <w:szCs w:val="18"/>
        </w:rPr>
        <w:t>17</w:t>
      </w:r>
      <w:r w:rsidRPr="0029195A">
        <w:rPr>
          <w:rFonts w:ascii="Arial Narrow" w:hAnsi="Arial Narrow"/>
          <w:b/>
          <w:bCs/>
          <w:sz w:val="20"/>
          <w:szCs w:val="18"/>
        </w:rPr>
        <w:fldChar w:fldCharType="end"/>
      </w:r>
      <w:bookmarkEnd w:id="72"/>
      <w:r w:rsidRPr="0029195A">
        <w:rPr>
          <w:rFonts w:ascii="Arial Narrow" w:hAnsi="Arial Narrow"/>
          <w:b/>
          <w:bCs/>
          <w:sz w:val="20"/>
          <w:szCs w:val="18"/>
        </w:rPr>
        <w:t>:</w:t>
      </w:r>
      <w:r w:rsidRPr="0029195A">
        <w:rPr>
          <w:rFonts w:ascii="Arial Narrow" w:hAnsi="Arial Narrow"/>
          <w:bCs/>
          <w:sz w:val="20"/>
        </w:rPr>
        <w:t xml:space="preserve"> Key inputs for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347"/>
        <w:gridCol w:w="1413"/>
        <w:gridCol w:w="4913"/>
      </w:tblGrid>
      <w:tr w:rsidR="0052778A" w:rsidRPr="0029195A" w14:paraId="5B34CCD9" w14:textId="77777777" w:rsidTr="00B61222">
        <w:trPr>
          <w:tblHeader/>
        </w:trPr>
        <w:tc>
          <w:tcPr>
            <w:tcW w:w="1507" w:type="dxa"/>
            <w:vAlign w:val="center"/>
          </w:tcPr>
          <w:p w14:paraId="1D5144F2" w14:textId="77777777" w:rsidR="0052778A" w:rsidRPr="0029195A" w:rsidRDefault="0052778A" w:rsidP="0052778A">
            <w:pPr>
              <w:widowControl w:val="0"/>
              <w:jc w:val="center"/>
              <w:rPr>
                <w:rFonts w:ascii="Arial Narrow" w:eastAsiaTheme="majorEastAsia" w:hAnsi="Arial Narrow" w:cs="Times New Roman"/>
                <w:b/>
                <w:sz w:val="20"/>
              </w:rPr>
            </w:pPr>
            <w:r w:rsidRPr="0029195A">
              <w:rPr>
                <w:rFonts w:ascii="Arial Narrow" w:eastAsiaTheme="majorEastAsia" w:hAnsi="Arial Narrow" w:cs="Times New Roman"/>
                <w:b/>
                <w:sz w:val="20"/>
              </w:rPr>
              <w:t>Data</w:t>
            </w:r>
          </w:p>
        </w:tc>
        <w:tc>
          <w:tcPr>
            <w:tcW w:w="1347" w:type="dxa"/>
            <w:vAlign w:val="center"/>
          </w:tcPr>
          <w:p w14:paraId="51CEA88B" w14:textId="77777777" w:rsidR="0052778A" w:rsidRPr="0029195A" w:rsidRDefault="0052778A" w:rsidP="0052778A">
            <w:pPr>
              <w:widowControl w:val="0"/>
              <w:jc w:val="center"/>
              <w:rPr>
                <w:rFonts w:ascii="Arial Narrow" w:eastAsiaTheme="majorEastAsia" w:hAnsi="Arial Narrow" w:cs="Times New Roman"/>
                <w:b/>
                <w:sz w:val="20"/>
              </w:rPr>
            </w:pPr>
            <w:r w:rsidRPr="0029195A">
              <w:rPr>
                <w:rFonts w:ascii="Arial Narrow" w:eastAsiaTheme="majorEastAsia" w:hAnsi="Arial Narrow" w:cs="Times New Roman"/>
                <w:b/>
                <w:sz w:val="20"/>
              </w:rPr>
              <w:t>Value</w:t>
            </w:r>
          </w:p>
        </w:tc>
        <w:tc>
          <w:tcPr>
            <w:tcW w:w="1413" w:type="dxa"/>
            <w:vAlign w:val="center"/>
          </w:tcPr>
          <w:p w14:paraId="0024B1EB" w14:textId="77777777" w:rsidR="0052778A" w:rsidRPr="0029195A" w:rsidRDefault="0052778A" w:rsidP="0052778A">
            <w:pPr>
              <w:widowControl w:val="0"/>
              <w:jc w:val="center"/>
              <w:rPr>
                <w:rFonts w:ascii="Arial Narrow" w:eastAsiaTheme="majorEastAsia" w:hAnsi="Arial Narrow" w:cs="Times New Roman"/>
                <w:b/>
                <w:sz w:val="20"/>
              </w:rPr>
            </w:pPr>
            <w:r w:rsidRPr="0029195A">
              <w:rPr>
                <w:rFonts w:ascii="Arial Narrow" w:eastAsiaTheme="majorEastAsia" w:hAnsi="Arial Narrow" w:cs="Times New Roman"/>
                <w:b/>
                <w:sz w:val="20"/>
              </w:rPr>
              <w:t>Source</w:t>
            </w:r>
          </w:p>
        </w:tc>
        <w:tc>
          <w:tcPr>
            <w:tcW w:w="4913" w:type="dxa"/>
            <w:vAlign w:val="center"/>
          </w:tcPr>
          <w:p w14:paraId="1ACA3A8C" w14:textId="77777777" w:rsidR="0052778A" w:rsidRPr="0029195A" w:rsidRDefault="0052778A" w:rsidP="0052778A">
            <w:pPr>
              <w:widowControl w:val="0"/>
              <w:jc w:val="center"/>
              <w:rPr>
                <w:rFonts w:ascii="Arial Narrow" w:eastAsiaTheme="majorEastAsia" w:hAnsi="Arial Narrow" w:cs="Times New Roman"/>
                <w:b/>
                <w:sz w:val="20"/>
              </w:rPr>
            </w:pPr>
            <w:r w:rsidRPr="0029195A">
              <w:rPr>
                <w:rFonts w:ascii="Arial Narrow" w:eastAsiaTheme="majorEastAsia" w:hAnsi="Arial Narrow" w:cs="Times New Roman"/>
                <w:b/>
                <w:sz w:val="20"/>
              </w:rPr>
              <w:t>Comment</w:t>
            </w:r>
          </w:p>
        </w:tc>
      </w:tr>
      <w:tr w:rsidR="0052778A" w:rsidRPr="0029195A" w14:paraId="04800950" w14:textId="77777777" w:rsidTr="00B61222">
        <w:tc>
          <w:tcPr>
            <w:tcW w:w="9180" w:type="dxa"/>
            <w:gridSpan w:val="4"/>
            <w:vAlign w:val="center"/>
          </w:tcPr>
          <w:p w14:paraId="13A38DB5" w14:textId="77777777" w:rsidR="0052778A" w:rsidRPr="0029195A" w:rsidRDefault="0052778A" w:rsidP="0052778A">
            <w:pPr>
              <w:widowControl w:val="0"/>
              <w:jc w:val="left"/>
              <w:rPr>
                <w:rFonts w:ascii="Arial Narrow" w:eastAsiaTheme="majorEastAsia" w:hAnsi="Arial Narrow" w:cs="Times New Roman"/>
                <w:b/>
                <w:sz w:val="20"/>
              </w:rPr>
            </w:pPr>
            <w:r w:rsidRPr="0029195A">
              <w:rPr>
                <w:rFonts w:ascii="Arial Narrow" w:eastAsiaTheme="majorEastAsia" w:hAnsi="Arial Narrow" w:cs="Times New Roman"/>
                <w:b/>
                <w:sz w:val="20"/>
              </w:rPr>
              <w:t>Eligible population</w:t>
            </w:r>
          </w:p>
        </w:tc>
      </w:tr>
      <w:tr w:rsidR="0052778A" w:rsidRPr="0029195A" w14:paraId="61B09476" w14:textId="77777777" w:rsidTr="00B61222">
        <w:tc>
          <w:tcPr>
            <w:tcW w:w="9180" w:type="dxa"/>
            <w:gridSpan w:val="4"/>
            <w:vAlign w:val="center"/>
          </w:tcPr>
          <w:p w14:paraId="3EF1EA26" w14:textId="77777777" w:rsidR="0052778A" w:rsidRPr="0029195A" w:rsidRDefault="0052778A" w:rsidP="0052778A">
            <w:pPr>
              <w:widowControl w:val="0"/>
              <w:jc w:val="left"/>
              <w:rPr>
                <w:rFonts w:ascii="Arial Narrow" w:eastAsiaTheme="majorEastAsia" w:hAnsi="Arial Narrow" w:cs="Times New Roman"/>
                <w:b/>
                <w:sz w:val="20"/>
              </w:rPr>
            </w:pPr>
            <w:r w:rsidRPr="0029195A">
              <w:rPr>
                <w:rFonts w:ascii="Arial Narrow" w:eastAsiaTheme="majorEastAsia" w:hAnsi="Arial Narrow" w:cs="Times New Roman"/>
                <w:b/>
                <w:sz w:val="20"/>
              </w:rPr>
              <w:t>Population 1: Eligible newly diagnosed patients</w:t>
            </w:r>
          </w:p>
        </w:tc>
      </w:tr>
      <w:tr w:rsidR="0052778A" w:rsidRPr="0029195A" w14:paraId="38348FFE" w14:textId="77777777" w:rsidTr="00B61222">
        <w:tc>
          <w:tcPr>
            <w:tcW w:w="1507" w:type="dxa"/>
            <w:vAlign w:val="center"/>
          </w:tcPr>
          <w:p w14:paraId="4E3C58D8"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Incident GPA and MPA patients</w:t>
            </w:r>
          </w:p>
        </w:tc>
        <w:tc>
          <w:tcPr>
            <w:tcW w:w="1347" w:type="dxa"/>
            <w:vAlign w:val="center"/>
          </w:tcPr>
          <w:p w14:paraId="7C293879" w14:textId="7501ACD6" w:rsidR="0052778A" w:rsidRPr="006846C9" w:rsidRDefault="0052778A" w:rsidP="0052778A">
            <w:pPr>
              <w:widowControl w:val="0"/>
              <w:jc w:val="left"/>
              <w:rPr>
                <w:rFonts w:ascii="Arial Narrow" w:eastAsiaTheme="majorEastAsia" w:hAnsi="Arial Narrow" w:cstheme="majorBidi"/>
                <w:bCs/>
                <w:sz w:val="20"/>
                <w:vertAlign w:val="superscript"/>
              </w:rPr>
            </w:pPr>
            <w:r w:rsidRPr="0029195A">
              <w:rPr>
                <w:rFonts w:ascii="Arial Narrow" w:eastAsiaTheme="majorEastAsia" w:hAnsi="Arial Narrow" w:cstheme="majorBidi"/>
                <w:bCs/>
                <w:sz w:val="20"/>
              </w:rPr>
              <w:t xml:space="preserve">Yr 1: </w:t>
            </w:r>
            <w:r w:rsidRPr="006846C9">
              <w:rPr>
                <w:rFonts w:ascii="Arial Narrow" w:eastAsiaTheme="majorEastAsia" w:hAnsi="Arial Narrow" w:cstheme="majorBidi"/>
                <w:bCs/>
                <w:sz w:val="20"/>
              </w:rPr>
              <w:t>283</w:t>
            </w:r>
          </w:p>
          <w:p w14:paraId="54686A46" w14:textId="5C5073DE" w:rsidR="0052778A" w:rsidRPr="006846C9" w:rsidRDefault="0052778A" w:rsidP="0052778A">
            <w:pPr>
              <w:widowControl w:val="0"/>
              <w:jc w:val="left"/>
              <w:rPr>
                <w:rFonts w:ascii="Arial Narrow" w:eastAsiaTheme="majorEastAsia" w:hAnsi="Arial Narrow" w:cstheme="majorBidi"/>
                <w:bCs/>
                <w:sz w:val="20"/>
              </w:rPr>
            </w:pPr>
            <w:r w:rsidRPr="006846C9">
              <w:rPr>
                <w:rFonts w:ascii="Arial Narrow" w:eastAsiaTheme="majorEastAsia" w:hAnsi="Arial Narrow" w:cstheme="majorBidi"/>
                <w:bCs/>
                <w:sz w:val="20"/>
              </w:rPr>
              <w:t>Yr 2: 287</w:t>
            </w:r>
          </w:p>
          <w:p w14:paraId="44C1E40F" w14:textId="1579FBAB" w:rsidR="0052778A" w:rsidRPr="006846C9" w:rsidRDefault="0052778A" w:rsidP="0052778A">
            <w:pPr>
              <w:widowControl w:val="0"/>
              <w:jc w:val="left"/>
              <w:rPr>
                <w:rFonts w:ascii="Arial Narrow" w:eastAsiaTheme="majorEastAsia" w:hAnsi="Arial Narrow" w:cstheme="majorBidi"/>
                <w:bCs/>
                <w:sz w:val="20"/>
              </w:rPr>
            </w:pPr>
            <w:r w:rsidRPr="006846C9">
              <w:rPr>
                <w:rFonts w:ascii="Arial Narrow" w:eastAsiaTheme="majorEastAsia" w:hAnsi="Arial Narrow" w:cstheme="majorBidi"/>
                <w:bCs/>
                <w:sz w:val="20"/>
              </w:rPr>
              <w:t>Yr 3: 291</w:t>
            </w:r>
          </w:p>
          <w:p w14:paraId="5D56EB1D" w14:textId="03B897CE" w:rsidR="0052778A" w:rsidRPr="006846C9" w:rsidRDefault="0052778A" w:rsidP="0052778A">
            <w:pPr>
              <w:widowControl w:val="0"/>
              <w:jc w:val="left"/>
              <w:rPr>
                <w:rFonts w:ascii="Arial Narrow" w:eastAsiaTheme="majorEastAsia" w:hAnsi="Arial Narrow" w:cstheme="majorBidi"/>
                <w:bCs/>
                <w:sz w:val="20"/>
              </w:rPr>
            </w:pPr>
            <w:r w:rsidRPr="006846C9">
              <w:rPr>
                <w:rFonts w:ascii="Arial Narrow" w:eastAsiaTheme="majorEastAsia" w:hAnsi="Arial Narrow" w:cstheme="majorBidi"/>
                <w:bCs/>
                <w:sz w:val="20"/>
              </w:rPr>
              <w:t>Yr 4: 296</w:t>
            </w:r>
          </w:p>
          <w:p w14:paraId="6A86A54E" w14:textId="5BA474A7" w:rsidR="0052778A" w:rsidRPr="006846C9" w:rsidRDefault="0052778A" w:rsidP="0052778A">
            <w:pPr>
              <w:widowControl w:val="0"/>
              <w:jc w:val="left"/>
              <w:rPr>
                <w:rFonts w:ascii="Arial Narrow" w:eastAsiaTheme="majorEastAsia" w:hAnsi="Arial Narrow" w:cstheme="majorBidi"/>
                <w:bCs/>
                <w:sz w:val="20"/>
              </w:rPr>
            </w:pPr>
            <w:r w:rsidRPr="006846C9">
              <w:rPr>
                <w:rFonts w:ascii="Arial Narrow" w:eastAsiaTheme="majorEastAsia" w:hAnsi="Arial Narrow" w:cstheme="majorBidi"/>
                <w:bCs/>
                <w:sz w:val="20"/>
              </w:rPr>
              <w:t>Yr 5: 300</w:t>
            </w:r>
          </w:p>
          <w:p w14:paraId="4A807F25" w14:textId="4F1C1B0F" w:rsidR="0052778A" w:rsidRPr="0029195A" w:rsidRDefault="0052778A" w:rsidP="0052778A">
            <w:pPr>
              <w:widowControl w:val="0"/>
              <w:jc w:val="left"/>
              <w:rPr>
                <w:rFonts w:ascii="Arial Narrow" w:eastAsiaTheme="majorEastAsia" w:hAnsi="Arial Narrow" w:cstheme="majorBidi"/>
                <w:bCs/>
                <w:sz w:val="20"/>
              </w:rPr>
            </w:pPr>
            <w:r w:rsidRPr="006846C9">
              <w:rPr>
                <w:rFonts w:ascii="Arial Narrow" w:eastAsiaTheme="majorEastAsia" w:hAnsi="Arial Narrow" w:cstheme="majorBidi"/>
                <w:bCs/>
                <w:sz w:val="20"/>
              </w:rPr>
              <w:t>Yr 6: 304</w:t>
            </w:r>
          </w:p>
        </w:tc>
        <w:tc>
          <w:tcPr>
            <w:tcW w:w="1413" w:type="dxa"/>
            <w:vAlign w:val="center"/>
          </w:tcPr>
          <w:p w14:paraId="3E9A982A"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 xml:space="preserve">Ormerod et al. (2008) </w:t>
            </w:r>
          </w:p>
          <w:p w14:paraId="4BCC6869" w14:textId="77777777" w:rsidR="0052778A" w:rsidRPr="0029195A" w:rsidRDefault="0052778A" w:rsidP="0052778A">
            <w:pPr>
              <w:widowControl w:val="0"/>
              <w:jc w:val="left"/>
              <w:rPr>
                <w:rFonts w:ascii="Arial Narrow" w:eastAsiaTheme="majorEastAsia" w:hAnsi="Arial Narrow" w:cstheme="majorBidi"/>
                <w:bCs/>
                <w:sz w:val="20"/>
              </w:rPr>
            </w:pPr>
          </w:p>
        </w:tc>
        <w:tc>
          <w:tcPr>
            <w:tcW w:w="4913" w:type="dxa"/>
            <w:vAlign w:val="center"/>
          </w:tcPr>
          <w:p w14:paraId="6F5ADD46" w14:textId="30DDB903" w:rsidR="00F85174"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lang w:eastAsia="en-GB"/>
              </w:rPr>
              <w:t xml:space="preserve">The reported 95% CI of incidence estimates were wide, </w:t>
            </w:r>
            <w:r w:rsidRPr="0029195A">
              <w:rPr>
                <w:rFonts w:ascii="Arial Narrow" w:eastAsiaTheme="majorEastAsia" w:hAnsi="Arial Narrow" w:cstheme="majorBidi"/>
                <w:bCs/>
                <w:sz w:val="20"/>
              </w:rPr>
              <w:t>between 3.5 and 15.8 per million for GPA and between 1.6 and 11.7 per million for MPA.</w:t>
            </w:r>
            <w:r w:rsidRPr="0029195A">
              <w:rPr>
                <w:rFonts w:ascii="Arial Narrow" w:eastAsiaTheme="majorEastAsia" w:hAnsi="Arial Narrow" w:cstheme="majorBidi"/>
                <w:bCs/>
                <w:sz w:val="20"/>
                <w:lang w:eastAsia="en-GB"/>
              </w:rPr>
              <w:t xml:space="preserve"> There also appears to be variations in estimates across the different sources/regions of Australia. Therefore, the incidence estimates are highly uncertain. </w:t>
            </w:r>
            <w:r w:rsidRPr="0029195A">
              <w:rPr>
                <w:rFonts w:ascii="Arial Narrow" w:eastAsiaTheme="majorEastAsia" w:hAnsi="Arial Narrow" w:cstheme="majorBidi"/>
                <w:bCs/>
                <w:sz w:val="20"/>
              </w:rPr>
              <w:t>The financial estimates are highly sensitive to incidence which determines the number of patients eligible for avacopan.</w:t>
            </w:r>
          </w:p>
          <w:p w14:paraId="7BCE6639" w14:textId="4090B120" w:rsidR="00F85174" w:rsidRPr="0029195A" w:rsidRDefault="00F85174"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lang w:eastAsia="en-GB"/>
              </w:rPr>
              <w:t>DUSC agreed with the evaluation that the incidence estimates are uncertain however noted that they align with previous PBS utilisation of rituximab for severe active GPA/MPA between 2016 to 2022. DUSC considered that the inputs derived from O</w:t>
            </w:r>
            <w:r w:rsidR="0029195A">
              <w:rPr>
                <w:rFonts w:ascii="Arial Narrow" w:eastAsiaTheme="majorEastAsia" w:hAnsi="Arial Narrow" w:cstheme="majorBidi"/>
                <w:bCs/>
                <w:sz w:val="20"/>
                <w:lang w:eastAsia="en-GB"/>
              </w:rPr>
              <w:t>r</w:t>
            </w:r>
            <w:r w:rsidRPr="0029195A">
              <w:rPr>
                <w:rFonts w:ascii="Arial Narrow" w:eastAsiaTheme="majorEastAsia" w:hAnsi="Arial Narrow" w:cstheme="majorBidi"/>
                <w:bCs/>
                <w:sz w:val="20"/>
                <w:lang w:eastAsia="en-GB"/>
              </w:rPr>
              <w:t>merod et al. (2008) are likely appropriate given this alignment.</w:t>
            </w:r>
          </w:p>
        </w:tc>
      </w:tr>
      <w:tr w:rsidR="0052778A" w:rsidRPr="0029195A" w14:paraId="762D86D8" w14:textId="77777777" w:rsidTr="00B61222">
        <w:tc>
          <w:tcPr>
            <w:tcW w:w="1507" w:type="dxa"/>
            <w:vAlign w:val="center"/>
          </w:tcPr>
          <w:p w14:paraId="5384E3B5"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Proportion with severe disease</w:t>
            </w:r>
          </w:p>
        </w:tc>
        <w:tc>
          <w:tcPr>
            <w:tcW w:w="1347" w:type="dxa"/>
            <w:vAlign w:val="center"/>
          </w:tcPr>
          <w:p w14:paraId="2C2067D4"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 xml:space="preserve">87.8% </w:t>
            </w:r>
          </w:p>
        </w:tc>
        <w:tc>
          <w:tcPr>
            <w:tcW w:w="1413" w:type="dxa"/>
            <w:vAlign w:val="center"/>
          </w:tcPr>
          <w:p w14:paraId="723BF805"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lang w:eastAsia="en-GB"/>
              </w:rPr>
              <w:t>Rutherford et al. (2018)</w:t>
            </w:r>
          </w:p>
        </w:tc>
        <w:tc>
          <w:tcPr>
            <w:tcW w:w="4913" w:type="dxa"/>
            <w:vAlign w:val="center"/>
          </w:tcPr>
          <w:p w14:paraId="1ED577C9" w14:textId="77777777" w:rsidR="0052778A" w:rsidRPr="0029195A" w:rsidRDefault="0052778A" w:rsidP="0052778A">
            <w:pPr>
              <w:widowControl w:val="0"/>
              <w:jc w:val="left"/>
              <w:rPr>
                <w:rFonts w:ascii="Arial Narrow" w:eastAsiaTheme="majorEastAsia" w:hAnsi="Arial Narrow" w:cstheme="majorBidi"/>
                <w:bCs/>
                <w:sz w:val="20"/>
                <w:lang w:eastAsia="en-GB"/>
              </w:rPr>
            </w:pPr>
            <w:r w:rsidRPr="0029195A">
              <w:rPr>
                <w:rFonts w:ascii="Arial Narrow" w:eastAsiaTheme="majorEastAsia" w:hAnsi="Arial Narrow" w:cstheme="majorBidi"/>
                <w:bCs/>
                <w:sz w:val="20"/>
                <w:lang w:eastAsia="en-GB"/>
              </w:rPr>
              <w:t xml:space="preserve">The source of the disease severity parameter was a study published as an abstract and there was limited information to assess the validity of the value. An alternative approach could be to assume that all patients from Ormerod et al (2008) are severe (i.e., 100%) given the patients in the study required </w:t>
            </w:r>
            <w:r w:rsidRPr="0029195A">
              <w:rPr>
                <w:rFonts w:ascii="Arial Narrow" w:eastAsiaTheme="majorEastAsia" w:hAnsi="Arial Narrow" w:cstheme="majorBidi"/>
                <w:bCs/>
                <w:sz w:val="20"/>
                <w:lang w:eastAsia="en-GB"/>
              </w:rPr>
              <w:lastRenderedPageBreak/>
              <w:t>hospital (specialist) care.</w:t>
            </w:r>
          </w:p>
          <w:p w14:paraId="01A6C704" w14:textId="2C4E889A" w:rsidR="00F85174" w:rsidRPr="0029195A" w:rsidRDefault="00F85174"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lang w:eastAsia="en-GB"/>
              </w:rPr>
              <w:t>DUSC agreed with the evaluation and considered that it would be appropriate for 100% of patients to be assumed to have severe disease.</w:t>
            </w:r>
          </w:p>
        </w:tc>
      </w:tr>
      <w:tr w:rsidR="0052778A" w:rsidRPr="0029195A" w14:paraId="12A74936" w14:textId="77777777" w:rsidTr="00B61222">
        <w:tc>
          <w:tcPr>
            <w:tcW w:w="9180" w:type="dxa"/>
            <w:gridSpan w:val="4"/>
            <w:vAlign w:val="center"/>
          </w:tcPr>
          <w:p w14:paraId="4B9AF49F" w14:textId="77777777" w:rsidR="0052778A" w:rsidRPr="0029195A" w:rsidRDefault="0052778A" w:rsidP="0052778A">
            <w:pPr>
              <w:widowControl w:val="0"/>
              <w:jc w:val="left"/>
              <w:rPr>
                <w:rFonts w:ascii="Arial Narrow" w:eastAsiaTheme="majorEastAsia" w:hAnsi="Arial Narrow" w:cstheme="majorBidi"/>
                <w:bCs/>
                <w:sz w:val="20"/>
                <w:lang w:eastAsia="en-GB"/>
              </w:rPr>
            </w:pPr>
            <w:r w:rsidRPr="0029195A">
              <w:rPr>
                <w:rFonts w:ascii="Arial Narrow" w:eastAsiaTheme="majorEastAsia" w:hAnsi="Arial Narrow" w:cstheme="majorBidi"/>
                <w:b/>
                <w:sz w:val="20"/>
              </w:rPr>
              <w:lastRenderedPageBreak/>
              <w:t>Population 2: Eligible relapsed patients</w:t>
            </w:r>
          </w:p>
        </w:tc>
      </w:tr>
      <w:tr w:rsidR="0052778A" w:rsidRPr="0029195A" w14:paraId="01184339" w14:textId="77777777" w:rsidTr="00B61222">
        <w:tc>
          <w:tcPr>
            <w:tcW w:w="1507" w:type="dxa"/>
            <w:vAlign w:val="center"/>
          </w:tcPr>
          <w:p w14:paraId="36B0611A"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Prevalent GPA and MPA patients</w:t>
            </w:r>
          </w:p>
        </w:tc>
        <w:tc>
          <w:tcPr>
            <w:tcW w:w="1347" w:type="dxa"/>
            <w:vAlign w:val="center"/>
          </w:tcPr>
          <w:p w14:paraId="2789FD09" w14:textId="2457DB0C" w:rsidR="0052778A" w:rsidRPr="006846C9" w:rsidRDefault="0052778A" w:rsidP="0052778A">
            <w:pPr>
              <w:widowControl w:val="0"/>
              <w:jc w:val="left"/>
              <w:rPr>
                <w:rFonts w:ascii="Arial Narrow" w:eastAsiaTheme="majorEastAsia" w:hAnsi="Arial Narrow" w:cstheme="majorBidi"/>
                <w:bCs/>
                <w:sz w:val="20"/>
                <w:vertAlign w:val="superscript"/>
              </w:rPr>
            </w:pPr>
            <w:r w:rsidRPr="0029195A">
              <w:rPr>
                <w:rFonts w:ascii="Arial Narrow" w:eastAsiaTheme="majorEastAsia" w:hAnsi="Arial Narrow" w:cstheme="majorBidi"/>
                <w:bCs/>
                <w:sz w:val="20"/>
              </w:rPr>
              <w:t xml:space="preserve">Yr 1: </w:t>
            </w:r>
            <w:r w:rsidRPr="006846C9">
              <w:rPr>
                <w:rFonts w:ascii="Arial Narrow" w:eastAsiaTheme="majorEastAsia" w:hAnsi="Arial Narrow" w:cstheme="majorBidi"/>
                <w:bCs/>
                <w:sz w:val="20"/>
              </w:rPr>
              <w:t>2,827</w:t>
            </w:r>
          </w:p>
          <w:p w14:paraId="73BD0CE5" w14:textId="597B240A" w:rsidR="0052778A" w:rsidRPr="006846C9" w:rsidRDefault="0052778A" w:rsidP="0052778A">
            <w:pPr>
              <w:widowControl w:val="0"/>
              <w:jc w:val="left"/>
              <w:rPr>
                <w:rFonts w:ascii="Arial Narrow" w:eastAsiaTheme="majorEastAsia" w:hAnsi="Arial Narrow" w:cstheme="majorBidi"/>
                <w:bCs/>
                <w:sz w:val="20"/>
              </w:rPr>
            </w:pPr>
            <w:r w:rsidRPr="006846C9">
              <w:rPr>
                <w:rFonts w:ascii="Arial Narrow" w:eastAsiaTheme="majorEastAsia" w:hAnsi="Arial Narrow" w:cstheme="majorBidi"/>
                <w:bCs/>
                <w:sz w:val="20"/>
              </w:rPr>
              <w:t>Yr 2: 2,871</w:t>
            </w:r>
          </w:p>
          <w:p w14:paraId="36A4AA19" w14:textId="642274D0" w:rsidR="0052778A" w:rsidRPr="006846C9" w:rsidRDefault="0052778A" w:rsidP="0052778A">
            <w:pPr>
              <w:widowControl w:val="0"/>
              <w:jc w:val="left"/>
              <w:rPr>
                <w:rFonts w:ascii="Arial Narrow" w:eastAsiaTheme="majorEastAsia" w:hAnsi="Arial Narrow" w:cstheme="majorBidi"/>
                <w:bCs/>
                <w:sz w:val="20"/>
              </w:rPr>
            </w:pPr>
            <w:r w:rsidRPr="006846C9">
              <w:rPr>
                <w:rFonts w:ascii="Arial Narrow" w:eastAsiaTheme="majorEastAsia" w:hAnsi="Arial Narrow" w:cstheme="majorBidi"/>
                <w:bCs/>
                <w:sz w:val="20"/>
              </w:rPr>
              <w:t>Yr 3: 2,916</w:t>
            </w:r>
          </w:p>
          <w:p w14:paraId="661E5320" w14:textId="18E83FF5" w:rsidR="0052778A" w:rsidRPr="006846C9" w:rsidRDefault="0052778A" w:rsidP="0052778A">
            <w:pPr>
              <w:widowControl w:val="0"/>
              <w:jc w:val="left"/>
              <w:rPr>
                <w:rFonts w:ascii="Arial Narrow" w:eastAsiaTheme="majorEastAsia" w:hAnsi="Arial Narrow" w:cstheme="majorBidi"/>
                <w:bCs/>
                <w:sz w:val="20"/>
              </w:rPr>
            </w:pPr>
            <w:r w:rsidRPr="006846C9">
              <w:rPr>
                <w:rFonts w:ascii="Arial Narrow" w:eastAsiaTheme="majorEastAsia" w:hAnsi="Arial Narrow" w:cstheme="majorBidi"/>
                <w:bCs/>
                <w:sz w:val="20"/>
              </w:rPr>
              <w:t>Yr 4: 2,960</w:t>
            </w:r>
          </w:p>
          <w:p w14:paraId="3467EEDB" w14:textId="20EA5F2A" w:rsidR="0052778A" w:rsidRPr="006846C9" w:rsidRDefault="0052778A" w:rsidP="0052778A">
            <w:pPr>
              <w:widowControl w:val="0"/>
              <w:jc w:val="left"/>
              <w:rPr>
                <w:rFonts w:ascii="Arial Narrow" w:eastAsiaTheme="majorEastAsia" w:hAnsi="Arial Narrow" w:cstheme="majorBidi"/>
                <w:bCs/>
                <w:sz w:val="20"/>
              </w:rPr>
            </w:pPr>
            <w:r w:rsidRPr="006846C9">
              <w:rPr>
                <w:rFonts w:ascii="Arial Narrow" w:eastAsiaTheme="majorEastAsia" w:hAnsi="Arial Narrow" w:cstheme="majorBidi"/>
                <w:bCs/>
                <w:sz w:val="20"/>
              </w:rPr>
              <w:t>Yr 5: 3,003</w:t>
            </w:r>
          </w:p>
          <w:p w14:paraId="1243278B" w14:textId="5A519AD5" w:rsidR="0052778A" w:rsidRPr="0029195A" w:rsidRDefault="0052778A" w:rsidP="0052778A">
            <w:pPr>
              <w:widowControl w:val="0"/>
              <w:jc w:val="left"/>
              <w:rPr>
                <w:rFonts w:ascii="Arial Narrow" w:eastAsiaTheme="majorEastAsia" w:hAnsi="Arial Narrow" w:cstheme="majorBidi"/>
                <w:bCs/>
                <w:sz w:val="20"/>
              </w:rPr>
            </w:pPr>
            <w:r w:rsidRPr="006846C9">
              <w:rPr>
                <w:rFonts w:ascii="Arial Narrow" w:eastAsiaTheme="majorEastAsia" w:hAnsi="Arial Narrow" w:cstheme="majorBidi"/>
                <w:bCs/>
                <w:sz w:val="20"/>
              </w:rPr>
              <w:t>Yr 6: 3,046</w:t>
            </w:r>
          </w:p>
        </w:tc>
        <w:tc>
          <w:tcPr>
            <w:tcW w:w="1413" w:type="dxa"/>
            <w:vAlign w:val="center"/>
          </w:tcPr>
          <w:p w14:paraId="3550CD1F"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 xml:space="preserve">Ormerod et al. (2008) </w:t>
            </w:r>
          </w:p>
        </w:tc>
        <w:tc>
          <w:tcPr>
            <w:tcW w:w="4913" w:type="dxa"/>
            <w:vAlign w:val="center"/>
          </w:tcPr>
          <w:p w14:paraId="181CE230"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lang w:eastAsia="en-GB"/>
              </w:rPr>
              <w:t xml:space="preserve">The reported 95% CI of prevalence estimates were wide, </w:t>
            </w:r>
            <w:r w:rsidRPr="0029195A">
              <w:rPr>
                <w:rFonts w:ascii="Arial Narrow" w:eastAsiaTheme="majorEastAsia" w:hAnsi="Arial Narrow" w:cstheme="majorBidi"/>
                <w:bCs/>
                <w:sz w:val="20"/>
              </w:rPr>
              <w:t>between 76.9 and 116.1 per million for GPA and between 27.7 and 53.3 per million for MPA.</w:t>
            </w:r>
            <w:r w:rsidRPr="0029195A">
              <w:rPr>
                <w:rFonts w:ascii="Arial Narrow" w:eastAsiaTheme="majorEastAsia" w:hAnsi="Arial Narrow" w:cstheme="majorBidi"/>
                <w:bCs/>
                <w:sz w:val="20"/>
                <w:lang w:eastAsia="en-GB"/>
              </w:rPr>
              <w:t xml:space="preserve"> There also appears to be variations in estimates across the different sources/regions of Australia. Therefore, the prevalence estimates are highly uncertain. </w:t>
            </w:r>
            <w:r w:rsidRPr="0029195A">
              <w:rPr>
                <w:rFonts w:ascii="Arial Narrow" w:eastAsiaTheme="majorEastAsia" w:hAnsi="Arial Narrow" w:cstheme="majorBidi"/>
                <w:bCs/>
                <w:sz w:val="20"/>
              </w:rPr>
              <w:t>The financial estimates are highly sensitive to this parameter as this will determine the number of patients eligible for avacopan.</w:t>
            </w:r>
          </w:p>
          <w:p w14:paraId="77D9FEFE" w14:textId="1F424272" w:rsidR="00F85174" w:rsidRPr="0029195A" w:rsidRDefault="00F85174" w:rsidP="0052778A">
            <w:pPr>
              <w:widowControl w:val="0"/>
              <w:jc w:val="left"/>
              <w:rPr>
                <w:rFonts w:ascii="Arial Narrow" w:eastAsiaTheme="majorEastAsia" w:hAnsi="Arial Narrow" w:cstheme="majorBidi"/>
                <w:bCs/>
                <w:sz w:val="20"/>
                <w:lang w:eastAsia="en-GB"/>
              </w:rPr>
            </w:pPr>
            <w:r w:rsidRPr="0029195A">
              <w:rPr>
                <w:rFonts w:ascii="Arial Narrow" w:eastAsiaTheme="majorEastAsia" w:hAnsi="Arial Narrow" w:cstheme="majorBidi"/>
                <w:bCs/>
                <w:sz w:val="20"/>
                <w:lang w:eastAsia="en-GB"/>
              </w:rPr>
              <w:t xml:space="preserve">DUSC considered that the inputs derived from </w:t>
            </w:r>
            <w:r w:rsidR="0029195A" w:rsidRPr="0029195A">
              <w:rPr>
                <w:rFonts w:ascii="Arial Narrow" w:eastAsiaTheme="majorEastAsia" w:hAnsi="Arial Narrow" w:cstheme="majorBidi"/>
                <w:bCs/>
                <w:sz w:val="20"/>
                <w:lang w:eastAsia="en-GB"/>
              </w:rPr>
              <w:t>Ormerod</w:t>
            </w:r>
            <w:r w:rsidRPr="0029195A">
              <w:rPr>
                <w:rFonts w:ascii="Arial Narrow" w:eastAsiaTheme="majorEastAsia" w:hAnsi="Arial Narrow" w:cstheme="majorBidi"/>
                <w:bCs/>
                <w:sz w:val="20"/>
                <w:lang w:eastAsia="en-GB"/>
              </w:rPr>
              <w:t xml:space="preserve"> et al. (2008) are likely appropriate given their alignment with previous rituximab utilisation</w:t>
            </w:r>
          </w:p>
        </w:tc>
      </w:tr>
      <w:tr w:rsidR="0052778A" w:rsidRPr="0029195A" w14:paraId="7F240DE2" w14:textId="77777777" w:rsidTr="00B61222">
        <w:tc>
          <w:tcPr>
            <w:tcW w:w="1507" w:type="dxa"/>
            <w:vAlign w:val="center"/>
          </w:tcPr>
          <w:p w14:paraId="1AD79962"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Proportion with severe disease</w:t>
            </w:r>
          </w:p>
        </w:tc>
        <w:tc>
          <w:tcPr>
            <w:tcW w:w="1347" w:type="dxa"/>
            <w:vAlign w:val="center"/>
          </w:tcPr>
          <w:p w14:paraId="5C23F681"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70%</w:t>
            </w:r>
          </w:p>
        </w:tc>
        <w:tc>
          <w:tcPr>
            <w:tcW w:w="1413" w:type="dxa"/>
            <w:vAlign w:val="center"/>
          </w:tcPr>
          <w:p w14:paraId="6AB49727"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lang w:eastAsia="en-GB"/>
              </w:rPr>
              <w:t>Global Blood Therapeutics</w:t>
            </w:r>
          </w:p>
        </w:tc>
        <w:tc>
          <w:tcPr>
            <w:tcW w:w="4913" w:type="dxa"/>
            <w:vAlign w:val="center"/>
          </w:tcPr>
          <w:p w14:paraId="3EDF8302" w14:textId="47E7A2E7" w:rsidR="0052778A" w:rsidRPr="0029195A" w:rsidRDefault="0052778A" w:rsidP="0052778A">
            <w:pPr>
              <w:widowControl w:val="0"/>
              <w:jc w:val="left"/>
              <w:rPr>
                <w:rFonts w:ascii="Arial Narrow" w:eastAsiaTheme="majorEastAsia" w:hAnsi="Arial Narrow" w:cstheme="majorBidi"/>
                <w:bCs/>
                <w:sz w:val="20"/>
                <w:lang w:eastAsia="en-GB"/>
              </w:rPr>
            </w:pPr>
            <w:r w:rsidRPr="0029195A">
              <w:rPr>
                <w:rFonts w:ascii="Arial Narrow" w:eastAsiaTheme="majorEastAsia" w:hAnsi="Arial Narrow" w:cstheme="majorBidi"/>
                <w:bCs/>
                <w:sz w:val="20"/>
                <w:lang w:eastAsia="en-GB"/>
              </w:rPr>
              <w:t xml:space="preserve">It is unclear what this source </w:t>
            </w:r>
            <w:r w:rsidR="00950D69" w:rsidRPr="0029195A">
              <w:rPr>
                <w:rFonts w:ascii="Arial Narrow" w:eastAsiaTheme="majorEastAsia" w:hAnsi="Arial Narrow" w:cstheme="majorBidi"/>
                <w:bCs/>
                <w:sz w:val="20"/>
                <w:lang w:eastAsia="en-GB"/>
              </w:rPr>
              <w:t>was,</w:t>
            </w:r>
            <w:r w:rsidRPr="0029195A">
              <w:rPr>
                <w:rFonts w:ascii="Arial Narrow" w:eastAsiaTheme="majorEastAsia" w:hAnsi="Arial Narrow" w:cstheme="majorBidi"/>
                <w:bCs/>
                <w:sz w:val="20"/>
                <w:lang w:eastAsia="en-GB"/>
              </w:rPr>
              <w:t xml:space="preserve"> and a reference was not provided with the submission. An alternative approach could be to assume that the estimated population from Ormerod et al (2008) are all severe.</w:t>
            </w:r>
          </w:p>
          <w:p w14:paraId="2D17A50F" w14:textId="38095121" w:rsidR="00F85174" w:rsidRPr="0029195A" w:rsidRDefault="003120F6"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 xml:space="preserve">DUSC agreed with the evaluation. </w:t>
            </w:r>
          </w:p>
        </w:tc>
      </w:tr>
      <w:tr w:rsidR="0052778A" w:rsidRPr="0029195A" w14:paraId="09CECDAD" w14:textId="77777777" w:rsidTr="00B61222">
        <w:tc>
          <w:tcPr>
            <w:tcW w:w="1507" w:type="dxa"/>
            <w:vAlign w:val="center"/>
          </w:tcPr>
          <w:p w14:paraId="25358459"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 xml:space="preserve">Relapse rate </w:t>
            </w:r>
          </w:p>
        </w:tc>
        <w:tc>
          <w:tcPr>
            <w:tcW w:w="1347" w:type="dxa"/>
            <w:vAlign w:val="center"/>
          </w:tcPr>
          <w:p w14:paraId="11231DE1"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10%</w:t>
            </w:r>
          </w:p>
        </w:tc>
        <w:tc>
          <w:tcPr>
            <w:tcW w:w="1413" w:type="dxa"/>
            <w:vAlign w:val="center"/>
          </w:tcPr>
          <w:p w14:paraId="0B3E0886"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Rituximab PSD (March 2015 PBAC meeting)</w:t>
            </w:r>
          </w:p>
        </w:tc>
        <w:tc>
          <w:tcPr>
            <w:tcW w:w="4913" w:type="dxa"/>
            <w:vAlign w:val="center"/>
          </w:tcPr>
          <w:p w14:paraId="65D9B09A" w14:textId="77777777" w:rsidR="0052778A" w:rsidRPr="0029195A" w:rsidRDefault="0052778A" w:rsidP="0052778A">
            <w:pPr>
              <w:widowControl w:val="0"/>
              <w:jc w:val="left"/>
              <w:rPr>
                <w:rFonts w:ascii="Arial Narrow" w:eastAsiaTheme="majorEastAsia" w:hAnsi="Arial Narrow" w:cstheme="majorBidi"/>
                <w:bCs/>
                <w:sz w:val="20"/>
                <w:lang w:eastAsia="en-GB"/>
              </w:rPr>
            </w:pPr>
            <w:r w:rsidRPr="0029195A">
              <w:rPr>
                <w:rFonts w:ascii="Arial Narrow" w:eastAsiaTheme="majorEastAsia" w:hAnsi="Arial Narrow" w:cstheme="majorBidi"/>
                <w:bCs/>
                <w:sz w:val="20"/>
              </w:rPr>
              <w:t xml:space="preserve">It appears that DUSC had previously considered 25% in Year 1 and 10% for subsequent years to be a reasonable assumption (paragraph 6.27, rituximab, Public Summary Document, </w:t>
            </w:r>
            <w:r w:rsidRPr="0029195A">
              <w:rPr>
                <w:rFonts w:ascii="Arial Narrow" w:eastAsiaTheme="majorEastAsia" w:hAnsi="Arial Narrow" w:cstheme="majorBidi"/>
                <w:bCs/>
                <w:sz w:val="20"/>
                <w:lang w:eastAsia="en-GB"/>
              </w:rPr>
              <w:t>March 2015 PBAC meeting).</w:t>
            </w:r>
          </w:p>
          <w:p w14:paraId="504BDFA0" w14:textId="5B0473AF" w:rsidR="0052778A" w:rsidRPr="0029195A" w:rsidRDefault="003120F6"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lang w:eastAsia="en-GB"/>
              </w:rPr>
              <w:t xml:space="preserve">DUSC considered the relapse rate to be appropriate. </w:t>
            </w:r>
          </w:p>
        </w:tc>
      </w:tr>
      <w:tr w:rsidR="0052778A" w:rsidRPr="0029195A" w14:paraId="091D655E" w14:textId="77777777" w:rsidTr="00B61222">
        <w:tc>
          <w:tcPr>
            <w:tcW w:w="9180" w:type="dxa"/>
            <w:gridSpan w:val="4"/>
            <w:vAlign w:val="center"/>
          </w:tcPr>
          <w:p w14:paraId="5DB52370"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
                <w:sz w:val="20"/>
              </w:rPr>
              <w:t>Population 3: Eligible for avacopan reinduction</w:t>
            </w:r>
          </w:p>
        </w:tc>
      </w:tr>
      <w:tr w:rsidR="0052778A" w:rsidRPr="0029195A" w14:paraId="2B264634" w14:textId="77777777" w:rsidTr="00B61222">
        <w:tc>
          <w:tcPr>
            <w:tcW w:w="1507" w:type="dxa"/>
            <w:vAlign w:val="center"/>
          </w:tcPr>
          <w:p w14:paraId="47C68D48"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Relapse rate</w:t>
            </w:r>
          </w:p>
        </w:tc>
        <w:tc>
          <w:tcPr>
            <w:tcW w:w="1347" w:type="dxa"/>
            <w:vAlign w:val="center"/>
          </w:tcPr>
          <w:p w14:paraId="2726DD99"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18% after 1</w:t>
            </w:r>
            <w:r w:rsidRPr="0029195A">
              <w:rPr>
                <w:rFonts w:ascii="Arial Narrow" w:eastAsiaTheme="majorEastAsia" w:hAnsi="Arial Narrow" w:cstheme="majorBidi"/>
                <w:bCs/>
                <w:sz w:val="20"/>
                <w:vertAlign w:val="superscript"/>
              </w:rPr>
              <w:t>st</w:t>
            </w:r>
            <w:r w:rsidRPr="0029195A">
              <w:rPr>
                <w:rFonts w:ascii="Arial Narrow" w:eastAsiaTheme="majorEastAsia" w:hAnsi="Arial Narrow" w:cstheme="majorBidi"/>
                <w:bCs/>
                <w:sz w:val="20"/>
              </w:rPr>
              <w:t xml:space="preserve"> induction and 5% for subsequent inductions</w:t>
            </w:r>
          </w:p>
        </w:tc>
        <w:tc>
          <w:tcPr>
            <w:tcW w:w="1413" w:type="dxa"/>
            <w:vAlign w:val="center"/>
          </w:tcPr>
          <w:p w14:paraId="190FF347"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 xml:space="preserve">Rates </w:t>
            </w:r>
            <w:r w:rsidRPr="0029195A">
              <w:rPr>
                <w:rFonts w:ascii="Arial Narrow" w:eastAsiaTheme="majorEastAsia" w:hAnsi="Arial Narrow" w:cstheme="majorBidi"/>
                <w:bCs/>
                <w:sz w:val="20"/>
                <w:lang w:eastAsia="en-GB"/>
              </w:rPr>
              <w:t>from the economic model (Section 3.4)</w:t>
            </w:r>
          </w:p>
        </w:tc>
        <w:tc>
          <w:tcPr>
            <w:tcW w:w="4913" w:type="dxa"/>
            <w:vAlign w:val="center"/>
          </w:tcPr>
          <w:p w14:paraId="180E0CB5"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This appears to be based on proportion of patients in remission at 26 and 52 weeks as per the ADVOCATE trial and based on submission’s assumptions. A relapse rate of 10% was used for Population 2, which is inconsistent with Population 3 as both relate to relapsing patients.</w:t>
            </w:r>
          </w:p>
          <w:p w14:paraId="54490066" w14:textId="5865BAB7" w:rsidR="003120F6" w:rsidRPr="0029195A" w:rsidRDefault="003120F6" w:rsidP="003120F6">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 xml:space="preserve">DUSC considered Population 3 to be inadequately defined with a poorly justified relapse rate that differed from Population 2. </w:t>
            </w:r>
          </w:p>
          <w:p w14:paraId="13F4A338" w14:textId="0FA11AE1" w:rsidR="003120F6" w:rsidRPr="0029195A" w:rsidRDefault="003120F6" w:rsidP="003120F6">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DUSC considered that removing this population would remove a substantial amount of uncertainty from the model.</w:t>
            </w:r>
          </w:p>
        </w:tc>
      </w:tr>
      <w:tr w:rsidR="0052778A" w:rsidRPr="0029195A" w14:paraId="2D0DEB1C" w14:textId="77777777" w:rsidTr="00B61222">
        <w:tc>
          <w:tcPr>
            <w:tcW w:w="1507" w:type="dxa"/>
            <w:vAlign w:val="center"/>
          </w:tcPr>
          <w:p w14:paraId="76600ED5"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Proportion of patients receiving avacopan induction</w:t>
            </w:r>
          </w:p>
        </w:tc>
        <w:tc>
          <w:tcPr>
            <w:tcW w:w="1347" w:type="dxa"/>
            <w:vAlign w:val="center"/>
          </w:tcPr>
          <w:p w14:paraId="5E25E854"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100%</w:t>
            </w:r>
          </w:p>
        </w:tc>
        <w:tc>
          <w:tcPr>
            <w:tcW w:w="1413" w:type="dxa"/>
            <w:vAlign w:val="center"/>
          </w:tcPr>
          <w:p w14:paraId="6F4ECE88"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Assumption</w:t>
            </w:r>
          </w:p>
        </w:tc>
        <w:tc>
          <w:tcPr>
            <w:tcW w:w="4913" w:type="dxa"/>
            <w:vAlign w:val="center"/>
          </w:tcPr>
          <w:p w14:paraId="014B6DC2" w14:textId="4BFBDF36"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Reasonable if re-induction with avacopan is deemed appropriate</w:t>
            </w:r>
            <w:r w:rsidR="0029195A">
              <w:rPr>
                <w:rFonts w:ascii="Arial Narrow" w:eastAsiaTheme="majorEastAsia" w:hAnsi="Arial Narrow" w:cstheme="majorBidi"/>
                <w:bCs/>
                <w:sz w:val="20"/>
              </w:rPr>
              <w:t xml:space="preserve">. </w:t>
            </w:r>
          </w:p>
          <w:p w14:paraId="3D562673" w14:textId="5C90556D" w:rsidR="003120F6" w:rsidRPr="0029195A" w:rsidRDefault="003120F6"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 xml:space="preserve">As per comment above, DUSC considered that removing this population would remove a substantial amount of uncertainty in the model. </w:t>
            </w:r>
          </w:p>
        </w:tc>
      </w:tr>
      <w:tr w:rsidR="0052778A" w:rsidRPr="0029195A" w14:paraId="732B46FE" w14:textId="77777777" w:rsidTr="00B61222">
        <w:tc>
          <w:tcPr>
            <w:tcW w:w="9180" w:type="dxa"/>
            <w:gridSpan w:val="4"/>
            <w:vAlign w:val="center"/>
          </w:tcPr>
          <w:p w14:paraId="0A016924"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
                <w:sz w:val="20"/>
              </w:rPr>
              <w:t>Population 4: Grandfathered patients</w:t>
            </w:r>
          </w:p>
        </w:tc>
      </w:tr>
      <w:tr w:rsidR="0052778A" w:rsidRPr="0029195A" w14:paraId="440BFE93" w14:textId="77777777" w:rsidTr="00B61222">
        <w:tc>
          <w:tcPr>
            <w:tcW w:w="1507" w:type="dxa"/>
            <w:vAlign w:val="center"/>
          </w:tcPr>
          <w:p w14:paraId="5E4F71F6"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Estimated patient numbers</w:t>
            </w:r>
          </w:p>
        </w:tc>
        <w:tc>
          <w:tcPr>
            <w:tcW w:w="1347" w:type="dxa"/>
            <w:vAlign w:val="center"/>
          </w:tcPr>
          <w:p w14:paraId="28D3D597" w14:textId="7615A3A1" w:rsidR="0052778A" w:rsidRPr="009F021C" w:rsidRDefault="0052778A" w:rsidP="0052778A">
            <w:pPr>
              <w:widowControl w:val="0"/>
              <w:jc w:val="left"/>
              <w:rPr>
                <w:rFonts w:ascii="Arial Narrow" w:eastAsiaTheme="majorEastAsia" w:hAnsi="Arial Narrow" w:cstheme="majorBidi"/>
                <w:bCs/>
                <w:sz w:val="20"/>
                <w:vertAlign w:val="superscript"/>
              </w:rPr>
            </w:pPr>
            <w:r w:rsidRPr="0029195A">
              <w:rPr>
                <w:rFonts w:ascii="Arial Narrow" w:eastAsiaTheme="majorEastAsia" w:hAnsi="Arial Narrow" w:cstheme="majorBidi"/>
                <w:bCs/>
                <w:sz w:val="20"/>
              </w:rPr>
              <w:t xml:space="preserve">Yr 1: </w:t>
            </w:r>
            <w:r w:rsidR="00A26F4F" w:rsidRPr="00A26F4F">
              <w:rPr>
                <w:rFonts w:ascii="Arial Narrow" w:eastAsiaTheme="majorEastAsia" w:hAnsi="Arial Narrow" w:cstheme="majorBidi"/>
                <w:bCs/>
                <w:color w:val="000000"/>
                <w:spacing w:val="53"/>
                <w:sz w:val="20"/>
                <w:shd w:val="solid" w:color="000000" w:fill="000000"/>
                <w:fitText w:val="330" w:id="-1168989686"/>
                <w14:textFill>
                  <w14:solidFill>
                    <w14:srgbClr w14:val="000000">
                      <w14:alpha w14:val="100000"/>
                    </w14:srgbClr>
                  </w14:solidFill>
                </w14:textFill>
              </w:rPr>
              <w:t>|||</w:t>
            </w:r>
            <w:r w:rsidR="00A26F4F" w:rsidRPr="00A26F4F">
              <w:rPr>
                <w:rFonts w:ascii="Arial Narrow" w:eastAsiaTheme="majorEastAsia" w:hAnsi="Arial Narrow" w:cstheme="majorBidi"/>
                <w:bCs/>
                <w:color w:val="000000"/>
                <w:spacing w:val="1"/>
                <w:sz w:val="20"/>
                <w:shd w:val="solid" w:color="000000" w:fill="000000"/>
                <w:fitText w:val="330" w:id="-1168989686"/>
                <w14:textFill>
                  <w14:solidFill>
                    <w14:srgbClr w14:val="000000">
                      <w14:alpha w14:val="100000"/>
                    </w14:srgbClr>
                  </w14:solidFill>
                </w14:textFill>
              </w:rPr>
              <w:t>|</w:t>
            </w:r>
            <w:r w:rsidR="009F021C">
              <w:rPr>
                <w:rFonts w:ascii="Arial Narrow" w:eastAsiaTheme="majorEastAsia" w:hAnsi="Arial Narrow" w:cstheme="majorBidi"/>
                <w:bCs/>
                <w:sz w:val="20"/>
                <w:vertAlign w:val="superscript"/>
              </w:rPr>
              <w:t>1</w:t>
            </w:r>
          </w:p>
          <w:p w14:paraId="61B5D8EC"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Not applicable to subsequent years</w:t>
            </w:r>
          </w:p>
        </w:tc>
        <w:tc>
          <w:tcPr>
            <w:tcW w:w="1413" w:type="dxa"/>
            <w:vAlign w:val="center"/>
          </w:tcPr>
          <w:p w14:paraId="184FB220"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Based on Sponsor’s compassionate program</w:t>
            </w:r>
          </w:p>
        </w:tc>
        <w:tc>
          <w:tcPr>
            <w:tcW w:w="4913" w:type="dxa"/>
            <w:vAlign w:val="center"/>
          </w:tcPr>
          <w:p w14:paraId="559DBF51" w14:textId="77777777" w:rsidR="0052778A" w:rsidRPr="0029195A" w:rsidRDefault="0052778A" w:rsidP="0052778A">
            <w:pPr>
              <w:widowControl w:val="0"/>
              <w:jc w:val="left"/>
              <w:rPr>
                <w:rFonts w:ascii="Arial Narrow" w:eastAsiaTheme="minorHAnsi" w:hAnsi="Arial Narrow" w:cstheme="majorBidi"/>
                <w:bCs/>
                <w:sz w:val="20"/>
              </w:rPr>
            </w:pPr>
            <w:r w:rsidRPr="0029195A">
              <w:rPr>
                <w:rFonts w:ascii="Arial Narrow" w:eastAsiaTheme="minorHAnsi" w:hAnsi="Arial Narrow" w:cstheme="majorBidi"/>
                <w:bCs/>
                <w:sz w:val="20"/>
              </w:rPr>
              <w:t>Given that prevalence data were used to estimate the number of eligible relapsed patients, grandfathered patients are already included in estimates above. This would lead to overestimation of patients eligible for avacopan.</w:t>
            </w:r>
          </w:p>
          <w:p w14:paraId="447127AD" w14:textId="67D4B462" w:rsidR="003120F6" w:rsidRPr="0029195A" w:rsidRDefault="003120F6" w:rsidP="0052778A">
            <w:pPr>
              <w:widowControl w:val="0"/>
              <w:jc w:val="left"/>
              <w:rPr>
                <w:rFonts w:ascii="Arial Narrow" w:eastAsiaTheme="majorEastAsia" w:hAnsi="Arial Narrow" w:cstheme="majorBidi"/>
                <w:bCs/>
                <w:sz w:val="20"/>
              </w:rPr>
            </w:pPr>
            <w:r w:rsidRPr="0029195A">
              <w:rPr>
                <w:rFonts w:ascii="Arial Narrow" w:eastAsiaTheme="minorHAnsi" w:hAnsi="Arial Narrow" w:cstheme="majorBidi"/>
                <w:bCs/>
                <w:sz w:val="20"/>
              </w:rPr>
              <w:t xml:space="preserve">DUSC agreed with the evaluation and noted that these patients would have been counted from the prevalent pool. </w:t>
            </w:r>
          </w:p>
        </w:tc>
      </w:tr>
      <w:tr w:rsidR="0052778A" w:rsidRPr="0029195A" w14:paraId="6E436541" w14:textId="77777777" w:rsidTr="00B61222">
        <w:tc>
          <w:tcPr>
            <w:tcW w:w="9180" w:type="dxa"/>
            <w:gridSpan w:val="4"/>
            <w:vAlign w:val="center"/>
          </w:tcPr>
          <w:p w14:paraId="1B32285E" w14:textId="77777777" w:rsidR="0052778A" w:rsidRPr="0029195A" w:rsidRDefault="0052778A" w:rsidP="0052778A">
            <w:pPr>
              <w:widowControl w:val="0"/>
              <w:jc w:val="left"/>
              <w:rPr>
                <w:rFonts w:ascii="Arial Narrow" w:eastAsiaTheme="majorEastAsia" w:hAnsi="Arial Narrow" w:cstheme="majorBidi"/>
                <w:b/>
                <w:bCs/>
                <w:sz w:val="20"/>
              </w:rPr>
            </w:pPr>
            <w:r w:rsidRPr="0029195A">
              <w:rPr>
                <w:rFonts w:ascii="Arial Narrow" w:eastAsiaTheme="majorEastAsia" w:hAnsi="Arial Narrow" w:cstheme="majorBidi"/>
                <w:b/>
                <w:bCs/>
                <w:sz w:val="20"/>
              </w:rPr>
              <w:t>Treatment utilisation</w:t>
            </w:r>
          </w:p>
        </w:tc>
      </w:tr>
      <w:tr w:rsidR="0052778A" w:rsidRPr="0029195A" w14:paraId="68741D40" w14:textId="77777777" w:rsidTr="00B61222">
        <w:tc>
          <w:tcPr>
            <w:tcW w:w="1507" w:type="dxa"/>
            <w:vAlign w:val="center"/>
          </w:tcPr>
          <w:p w14:paraId="2A9056EA"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Uptake rate</w:t>
            </w:r>
          </w:p>
        </w:tc>
        <w:tc>
          <w:tcPr>
            <w:tcW w:w="1347" w:type="dxa"/>
            <w:vAlign w:val="center"/>
          </w:tcPr>
          <w:p w14:paraId="7E6322D9"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Yr 1: 50%</w:t>
            </w:r>
          </w:p>
          <w:p w14:paraId="3C3CE8DA"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Yr 2: 50%</w:t>
            </w:r>
          </w:p>
          <w:p w14:paraId="07BDBD27"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Yr 3: 80%</w:t>
            </w:r>
          </w:p>
          <w:p w14:paraId="150E3F5D"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Yr 4: 85%</w:t>
            </w:r>
          </w:p>
          <w:p w14:paraId="5EA17D1E"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Yr 5: 90%</w:t>
            </w:r>
          </w:p>
          <w:p w14:paraId="7449D9C9"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lastRenderedPageBreak/>
              <w:t>Yr 6: 90%</w:t>
            </w:r>
          </w:p>
        </w:tc>
        <w:tc>
          <w:tcPr>
            <w:tcW w:w="1413" w:type="dxa"/>
            <w:vAlign w:val="center"/>
          </w:tcPr>
          <w:p w14:paraId="5034F7D1"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lastRenderedPageBreak/>
              <w:t>Assumption based on clinical guidance</w:t>
            </w:r>
          </w:p>
        </w:tc>
        <w:tc>
          <w:tcPr>
            <w:tcW w:w="4913" w:type="dxa"/>
            <w:vAlign w:val="center"/>
          </w:tcPr>
          <w:p w14:paraId="73E8C73A" w14:textId="77777777" w:rsidR="0052778A" w:rsidRPr="0029195A" w:rsidRDefault="0052778A" w:rsidP="0052778A">
            <w:pPr>
              <w:widowControl w:val="0"/>
              <w:jc w:val="left"/>
              <w:rPr>
                <w:rFonts w:ascii="Arial Narrow" w:eastAsiaTheme="majorEastAsia" w:hAnsi="Arial Narrow" w:cstheme="majorBidi"/>
                <w:bCs/>
                <w:sz w:val="20"/>
                <w:lang w:eastAsia="en-GB"/>
              </w:rPr>
            </w:pPr>
            <w:r w:rsidRPr="0029195A">
              <w:rPr>
                <w:rFonts w:ascii="Arial Narrow" w:eastAsiaTheme="majorEastAsia" w:hAnsi="Arial Narrow" w:cstheme="majorBidi"/>
                <w:bCs/>
                <w:sz w:val="20"/>
                <w:lang w:eastAsia="en-GB"/>
              </w:rPr>
              <w:t xml:space="preserve">Given that avacopan is the first-in-class treatment with effectiveness and safety data up to 52 weeks, it is reasonable to assume uptake to be slow in the first few years. However, there is uncertainty in the magnitude of the uptake rate. The financial estimates are highly sensitive to this assumption given that the </w:t>
            </w:r>
            <w:r w:rsidRPr="0029195A">
              <w:rPr>
                <w:rFonts w:ascii="Arial Narrow" w:eastAsiaTheme="majorEastAsia" w:hAnsi="Arial Narrow" w:cstheme="majorBidi"/>
                <w:bCs/>
                <w:sz w:val="20"/>
                <w:lang w:eastAsia="en-GB"/>
              </w:rPr>
              <w:lastRenderedPageBreak/>
              <w:t>cost of avacopan is the key driver of the financial estimates.</w:t>
            </w:r>
          </w:p>
          <w:p w14:paraId="4E54DAF3" w14:textId="4C5376EF" w:rsidR="003120F6" w:rsidRPr="0029195A" w:rsidRDefault="003120F6" w:rsidP="003120F6">
            <w:pPr>
              <w:widowControl w:val="0"/>
              <w:jc w:val="left"/>
              <w:rPr>
                <w:rFonts w:ascii="Arial Narrow" w:eastAsiaTheme="majorEastAsia" w:hAnsi="Arial Narrow" w:cstheme="majorBidi"/>
                <w:bCs/>
                <w:sz w:val="20"/>
                <w:lang w:eastAsia="en-GB"/>
              </w:rPr>
            </w:pPr>
            <w:r w:rsidRPr="0029195A">
              <w:rPr>
                <w:rFonts w:ascii="Arial Narrow" w:eastAsiaTheme="majorEastAsia" w:hAnsi="Arial Narrow" w:cstheme="majorBidi"/>
                <w:bCs/>
                <w:sz w:val="20"/>
                <w:lang w:eastAsia="en-GB"/>
              </w:rPr>
              <w:t>DUSC considered the uptake rates to be appropriate if Population 3 is removed from the model. DUSC noted that the higher uptake rates would lead to utilisation numbers mirroring rituximab use and also account for reinduction.</w:t>
            </w:r>
          </w:p>
          <w:p w14:paraId="1B13FA40" w14:textId="4F168150" w:rsidR="003120F6" w:rsidRPr="0029195A" w:rsidRDefault="003120F6" w:rsidP="003120F6">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lang w:eastAsia="en-GB"/>
              </w:rPr>
              <w:t xml:space="preserve">DUSC considered that the uptake rate in Year 2 could be increased to 65% to resemble the rituximab trajectory more closely. </w:t>
            </w:r>
          </w:p>
        </w:tc>
      </w:tr>
      <w:tr w:rsidR="0052778A" w:rsidRPr="0029195A" w14:paraId="112AF98C" w14:textId="77777777" w:rsidTr="00B61222">
        <w:tc>
          <w:tcPr>
            <w:tcW w:w="1507" w:type="dxa"/>
            <w:vAlign w:val="center"/>
          </w:tcPr>
          <w:p w14:paraId="4992FC56"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lastRenderedPageBreak/>
              <w:t>Duration of treatment</w:t>
            </w:r>
          </w:p>
        </w:tc>
        <w:tc>
          <w:tcPr>
            <w:tcW w:w="1347" w:type="dxa"/>
            <w:vAlign w:val="center"/>
          </w:tcPr>
          <w:p w14:paraId="26E75226"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14.21 months (newly diagnosed &amp; relapsed), 12.46 months (re-induction), 7.15 months (grandfathered)</w:t>
            </w:r>
          </w:p>
        </w:tc>
        <w:tc>
          <w:tcPr>
            <w:tcW w:w="1413" w:type="dxa"/>
            <w:vAlign w:val="center"/>
          </w:tcPr>
          <w:p w14:paraId="13474CA8"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Assumption</w:t>
            </w:r>
          </w:p>
        </w:tc>
        <w:tc>
          <w:tcPr>
            <w:tcW w:w="4913" w:type="dxa"/>
            <w:vAlign w:val="center"/>
          </w:tcPr>
          <w:p w14:paraId="682E11FE"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Patients in the ADVOCATE trial were treated with avacopan over a 52-week period and the mean duration of exposure to avacopan in the ADVOCATE trial was 305.1 days (10 months) (Table 2-15, p66 of the submission). This was inconsistent with the duration of therapy of 6-months induction followed by an 18-month maintenance treatment applied in the economic model.</w:t>
            </w:r>
          </w:p>
          <w:p w14:paraId="0CCBA79E" w14:textId="0C41F619" w:rsidR="00062E28" w:rsidRPr="0029195A" w:rsidRDefault="00062E28" w:rsidP="00062E28">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The PSCR  stated that the average duration of treatment in section 4 is the same as in the economic model but takes into account patients withdrawing early due to relapse/ disease progression/ death.</w:t>
            </w:r>
          </w:p>
          <w:p w14:paraId="31547C22" w14:textId="0D774090" w:rsidR="00062E28" w:rsidRPr="0029195A" w:rsidRDefault="00062E28" w:rsidP="00062E28">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DUSC considered this treatment duration to be appropriate. DUSC considered that the assumption of no more than two reinductions used by the economic model compared to unlimited reinductions in section 4 would have minimal impact as it is unlikely for any major use beyond two reinductions. DUSC considered that availability beyond two reinductions would be important for the few patients who would need to access it</w:t>
            </w:r>
            <w:r w:rsidR="0029195A">
              <w:rPr>
                <w:rFonts w:ascii="Arial Narrow" w:eastAsiaTheme="majorEastAsia" w:hAnsi="Arial Narrow" w:cstheme="majorBidi"/>
                <w:bCs/>
                <w:sz w:val="20"/>
              </w:rPr>
              <w:t xml:space="preserve">. </w:t>
            </w:r>
          </w:p>
        </w:tc>
      </w:tr>
      <w:tr w:rsidR="0052778A" w:rsidRPr="0029195A" w14:paraId="0264CFEA" w14:textId="77777777" w:rsidTr="00B61222">
        <w:tc>
          <w:tcPr>
            <w:tcW w:w="1507" w:type="dxa"/>
            <w:vAlign w:val="center"/>
          </w:tcPr>
          <w:p w14:paraId="38B4377E"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Avacopan compliance</w:t>
            </w:r>
          </w:p>
        </w:tc>
        <w:tc>
          <w:tcPr>
            <w:tcW w:w="1347" w:type="dxa"/>
            <w:vAlign w:val="center"/>
          </w:tcPr>
          <w:p w14:paraId="74C1A91F"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86.4% (estimated 10.5 scripts per year)</w:t>
            </w:r>
          </w:p>
        </w:tc>
        <w:tc>
          <w:tcPr>
            <w:tcW w:w="1413" w:type="dxa"/>
            <w:vAlign w:val="center"/>
          </w:tcPr>
          <w:p w14:paraId="44820DFC"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ADVOCATE trial</w:t>
            </w:r>
          </w:p>
        </w:tc>
        <w:tc>
          <w:tcPr>
            <w:tcW w:w="4913" w:type="dxa"/>
            <w:vAlign w:val="center"/>
          </w:tcPr>
          <w:p w14:paraId="4C5F62F9" w14:textId="54D6DA1D" w:rsidR="0052778A" w:rsidRPr="0029195A" w:rsidRDefault="00062E28"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DUSC agreed with the evaluation that t</w:t>
            </w:r>
            <w:r w:rsidR="0052778A" w:rsidRPr="0029195A">
              <w:rPr>
                <w:rFonts w:ascii="Arial Narrow" w:eastAsiaTheme="majorEastAsia" w:hAnsi="Arial Narrow" w:cstheme="majorBidi"/>
                <w:bCs/>
                <w:sz w:val="20"/>
              </w:rPr>
              <w:t xml:space="preserve">his is appropriate. </w:t>
            </w:r>
          </w:p>
        </w:tc>
      </w:tr>
      <w:tr w:rsidR="0052778A" w:rsidRPr="0029195A" w14:paraId="5134E59A" w14:textId="77777777" w:rsidTr="00B61222">
        <w:tc>
          <w:tcPr>
            <w:tcW w:w="9180" w:type="dxa"/>
            <w:gridSpan w:val="4"/>
            <w:vAlign w:val="center"/>
          </w:tcPr>
          <w:p w14:paraId="7088F53C" w14:textId="77777777" w:rsidR="0052778A" w:rsidRPr="0029195A" w:rsidRDefault="0052778A" w:rsidP="0052778A">
            <w:pPr>
              <w:widowControl w:val="0"/>
              <w:jc w:val="left"/>
              <w:rPr>
                <w:rFonts w:ascii="Arial Narrow" w:eastAsiaTheme="majorEastAsia" w:hAnsi="Arial Narrow" w:cstheme="majorBidi"/>
                <w:b/>
                <w:bCs/>
                <w:sz w:val="20"/>
              </w:rPr>
            </w:pPr>
            <w:r w:rsidRPr="0029195A">
              <w:rPr>
                <w:rFonts w:ascii="Arial Narrow" w:eastAsiaTheme="majorEastAsia" w:hAnsi="Arial Narrow" w:cstheme="majorBidi"/>
                <w:b/>
                <w:bCs/>
                <w:sz w:val="20"/>
              </w:rPr>
              <w:t>Costs</w:t>
            </w:r>
          </w:p>
        </w:tc>
      </w:tr>
      <w:tr w:rsidR="0052778A" w:rsidRPr="0029195A" w14:paraId="3F584006" w14:textId="77777777" w:rsidTr="00B61222">
        <w:tc>
          <w:tcPr>
            <w:tcW w:w="1507" w:type="dxa"/>
            <w:vAlign w:val="center"/>
          </w:tcPr>
          <w:p w14:paraId="75591797"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Proposed medicine (avacopan)</w:t>
            </w:r>
          </w:p>
        </w:tc>
        <w:tc>
          <w:tcPr>
            <w:tcW w:w="1347" w:type="dxa"/>
            <w:vAlign w:val="center"/>
          </w:tcPr>
          <w:p w14:paraId="75EAE31B" w14:textId="2FC15DAA" w:rsidR="0052778A" w:rsidRPr="0029195A" w:rsidRDefault="0052778A" w:rsidP="0052778A">
            <w:pPr>
              <w:widowControl w:val="0"/>
              <w:jc w:val="left"/>
              <w:rPr>
                <w:rFonts w:ascii="Arial Narrow" w:eastAsiaTheme="majorEastAsia" w:hAnsi="Arial Narrow" w:cstheme="majorBidi"/>
                <w:bCs/>
                <w:sz w:val="20"/>
                <w:vertAlign w:val="superscript"/>
              </w:rPr>
            </w:pPr>
            <w:r w:rsidRPr="0029195A">
              <w:rPr>
                <w:rFonts w:ascii="Arial Narrow" w:eastAsiaTheme="majorEastAsia" w:hAnsi="Arial Narrow" w:cstheme="majorBidi"/>
                <w:bCs/>
                <w:sz w:val="20"/>
              </w:rPr>
              <w:t>$</w:t>
            </w:r>
            <w:r w:rsidR="00A26F4F" w:rsidRPr="00A26F4F">
              <w:rPr>
                <w:rFonts w:ascii="Arial Narrow" w:eastAsiaTheme="majorEastAsia" w:hAnsi="Arial Narrow" w:cstheme="majorBidi"/>
                <w:bCs/>
                <w:color w:val="000000"/>
                <w:spacing w:val="53"/>
                <w:sz w:val="20"/>
                <w:shd w:val="solid" w:color="000000" w:fill="000000"/>
                <w:fitText w:val="330" w:id="-1168989685"/>
                <w14:textFill>
                  <w14:solidFill>
                    <w14:srgbClr w14:val="000000">
                      <w14:alpha w14:val="100000"/>
                    </w14:srgbClr>
                  </w14:solidFill>
                </w14:textFill>
              </w:rPr>
              <w:t>|||</w:t>
            </w:r>
            <w:r w:rsidR="00A26F4F" w:rsidRPr="00A26F4F">
              <w:rPr>
                <w:rFonts w:ascii="Arial Narrow" w:eastAsiaTheme="majorEastAsia" w:hAnsi="Arial Narrow" w:cstheme="majorBidi"/>
                <w:bCs/>
                <w:color w:val="000000"/>
                <w:spacing w:val="1"/>
                <w:sz w:val="20"/>
                <w:shd w:val="solid" w:color="000000" w:fill="000000"/>
                <w:fitText w:val="330" w:id="-1168989685"/>
                <w14:textFill>
                  <w14:solidFill>
                    <w14:srgbClr w14:val="000000">
                      <w14:alpha w14:val="100000"/>
                    </w14:srgbClr>
                  </w14:solidFill>
                </w14:textFill>
              </w:rPr>
              <w:t>|</w:t>
            </w:r>
            <w:r w:rsidRPr="0029195A">
              <w:rPr>
                <w:rFonts w:ascii="Arial Narrow" w:eastAsiaTheme="majorEastAsia" w:hAnsi="Arial Narrow" w:cstheme="majorBidi"/>
                <w:bCs/>
                <w:sz w:val="20"/>
              </w:rPr>
              <w:t xml:space="preserve"> </w:t>
            </w:r>
            <w:r w:rsidRPr="0029195A">
              <w:rPr>
                <w:rFonts w:ascii="Arial Narrow" w:eastAsiaTheme="majorEastAsia" w:hAnsi="Arial Narrow" w:cstheme="majorBidi"/>
                <w:bCs/>
                <w:sz w:val="20"/>
                <w:vertAlign w:val="superscript"/>
              </w:rPr>
              <w:t>a</w:t>
            </w:r>
          </w:p>
        </w:tc>
        <w:tc>
          <w:tcPr>
            <w:tcW w:w="1413" w:type="dxa"/>
            <w:vAlign w:val="center"/>
          </w:tcPr>
          <w:p w14:paraId="4F176856"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Requested (effective) price</w:t>
            </w:r>
          </w:p>
        </w:tc>
        <w:tc>
          <w:tcPr>
            <w:tcW w:w="4913" w:type="dxa"/>
            <w:vAlign w:val="center"/>
          </w:tcPr>
          <w:p w14:paraId="500A89E0" w14:textId="77777777" w:rsidR="0052778A" w:rsidRPr="0029195A" w:rsidRDefault="0052778A" w:rsidP="0052778A">
            <w:pPr>
              <w:widowControl w:val="0"/>
              <w:jc w:val="left"/>
              <w:rPr>
                <w:rFonts w:ascii="Arial Narrow" w:eastAsiaTheme="majorEastAsia" w:hAnsi="Arial Narrow" w:cstheme="majorBidi"/>
                <w:bCs/>
                <w:sz w:val="20"/>
              </w:rPr>
            </w:pPr>
          </w:p>
        </w:tc>
      </w:tr>
      <w:tr w:rsidR="0052778A" w:rsidRPr="0029195A" w14:paraId="0EEB19FE" w14:textId="77777777" w:rsidTr="00B61222">
        <w:tc>
          <w:tcPr>
            <w:tcW w:w="1507" w:type="dxa"/>
            <w:vAlign w:val="center"/>
          </w:tcPr>
          <w:p w14:paraId="379D045E"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Comparator (prednisone)</w:t>
            </w:r>
          </w:p>
        </w:tc>
        <w:tc>
          <w:tcPr>
            <w:tcW w:w="1347" w:type="dxa"/>
            <w:vAlign w:val="center"/>
          </w:tcPr>
          <w:p w14:paraId="1DBD49FD"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 xml:space="preserve">1 mg: $15.38 </w:t>
            </w:r>
            <w:r w:rsidRPr="0029195A">
              <w:rPr>
                <w:rFonts w:ascii="Arial Narrow" w:eastAsiaTheme="majorEastAsia" w:hAnsi="Arial Narrow" w:cstheme="majorBidi"/>
                <w:bCs/>
                <w:sz w:val="20"/>
                <w:vertAlign w:val="superscript"/>
              </w:rPr>
              <w:t>a</w:t>
            </w:r>
          </w:p>
          <w:p w14:paraId="01CC3F76"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 xml:space="preserve">5 mg: $15.76 </w:t>
            </w:r>
            <w:r w:rsidRPr="0029195A">
              <w:rPr>
                <w:rFonts w:ascii="Arial Narrow" w:eastAsiaTheme="majorEastAsia" w:hAnsi="Arial Narrow" w:cstheme="majorBidi"/>
                <w:bCs/>
                <w:sz w:val="20"/>
                <w:vertAlign w:val="superscript"/>
              </w:rPr>
              <w:t>a</w:t>
            </w:r>
          </w:p>
          <w:p w14:paraId="13AB4F76"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 xml:space="preserve">25 mg: $16.59 </w:t>
            </w:r>
            <w:r w:rsidRPr="0029195A">
              <w:rPr>
                <w:rFonts w:ascii="Arial Narrow" w:eastAsiaTheme="majorEastAsia" w:hAnsi="Arial Narrow" w:cstheme="majorBidi"/>
                <w:bCs/>
                <w:sz w:val="20"/>
                <w:vertAlign w:val="superscript"/>
              </w:rPr>
              <w:t>a</w:t>
            </w:r>
          </w:p>
        </w:tc>
        <w:tc>
          <w:tcPr>
            <w:tcW w:w="1413" w:type="dxa"/>
            <w:vAlign w:val="center"/>
          </w:tcPr>
          <w:p w14:paraId="2E14212F" w14:textId="77777777" w:rsidR="0052778A" w:rsidRPr="0029195A" w:rsidRDefault="0052778A" w:rsidP="0052778A">
            <w:pPr>
              <w:widowControl w:val="0"/>
              <w:jc w:val="left"/>
              <w:rPr>
                <w:rFonts w:ascii="Arial Narrow" w:eastAsiaTheme="majorEastAsia" w:hAnsi="Arial Narrow" w:cstheme="majorBidi"/>
                <w:bCs/>
                <w:sz w:val="20"/>
              </w:rPr>
            </w:pPr>
            <w:r w:rsidRPr="0029195A">
              <w:rPr>
                <w:rFonts w:ascii="Arial Narrow" w:eastAsiaTheme="majorEastAsia" w:hAnsi="Arial Narrow" w:cstheme="majorBidi"/>
                <w:bCs/>
                <w:sz w:val="20"/>
              </w:rPr>
              <w:t>PBS item numbers: 1934T, 1935W, 1936X</w:t>
            </w:r>
          </w:p>
        </w:tc>
        <w:tc>
          <w:tcPr>
            <w:tcW w:w="4913" w:type="dxa"/>
            <w:vAlign w:val="center"/>
          </w:tcPr>
          <w:p w14:paraId="5549E536" w14:textId="5FC2A489" w:rsidR="0052778A" w:rsidRPr="0029195A" w:rsidRDefault="0052778A" w:rsidP="0052778A">
            <w:pPr>
              <w:widowControl w:val="0"/>
              <w:jc w:val="left"/>
              <w:rPr>
                <w:rFonts w:ascii="Arial Narrow" w:eastAsiaTheme="majorEastAsia" w:hAnsi="Arial Narrow" w:cstheme="majorBidi"/>
                <w:bCs/>
                <w:sz w:val="20"/>
              </w:rPr>
            </w:pPr>
          </w:p>
        </w:tc>
      </w:tr>
    </w:tbl>
    <w:p w14:paraId="6C50E2CA" w14:textId="77777777" w:rsidR="0052778A" w:rsidRPr="0029195A" w:rsidRDefault="0052778A" w:rsidP="0052778A">
      <w:pPr>
        <w:widowControl w:val="0"/>
        <w:spacing w:after="120"/>
        <w:contextualSpacing/>
        <w:rPr>
          <w:rFonts w:ascii="Arial Narrow" w:hAnsi="Arial Narrow"/>
          <w:snapToGrid w:val="0"/>
          <w:sz w:val="18"/>
          <w:szCs w:val="22"/>
        </w:rPr>
      </w:pPr>
      <w:r w:rsidRPr="0029195A">
        <w:rPr>
          <w:rFonts w:ascii="Arial Narrow" w:hAnsi="Arial Narrow"/>
          <w:snapToGrid w:val="0"/>
          <w:sz w:val="18"/>
          <w:szCs w:val="22"/>
        </w:rPr>
        <w:t>Source: Compiled during the evaluation based on information sourced from Section 4.1, 4.2 and 4.3 of the submission</w:t>
      </w:r>
    </w:p>
    <w:p w14:paraId="76193E17" w14:textId="28D37A39" w:rsidR="0052778A" w:rsidRPr="0029195A" w:rsidRDefault="0052778A" w:rsidP="0052778A">
      <w:pPr>
        <w:widowControl w:val="0"/>
        <w:spacing w:after="120"/>
        <w:contextualSpacing/>
        <w:rPr>
          <w:rFonts w:ascii="Arial Narrow" w:hAnsi="Arial Narrow"/>
          <w:snapToGrid w:val="0"/>
          <w:sz w:val="18"/>
          <w:szCs w:val="22"/>
        </w:rPr>
      </w:pPr>
      <w:r w:rsidRPr="0029195A">
        <w:rPr>
          <w:rFonts w:ascii="Arial Narrow" w:hAnsi="Arial Narrow"/>
          <w:snapToGrid w:val="0"/>
          <w:sz w:val="18"/>
          <w:szCs w:val="22"/>
        </w:rPr>
        <w:t>Abbreviation: CI, confidence interval; DUSC; Drug Utilisation Sub Committee; GPA, granulomatosis polyangiitis; MPA, microscopic polyangiitis; PBS, Pharmaceutical Benefits Scheme; PBAC, Pharmaceutical Benefits Advisory Committee;  Yr, year</w:t>
      </w:r>
      <w:r w:rsidR="00D573A1">
        <w:rPr>
          <w:rFonts w:ascii="Arial Narrow" w:hAnsi="Arial Narrow"/>
          <w:snapToGrid w:val="0"/>
          <w:sz w:val="18"/>
          <w:szCs w:val="22"/>
        </w:rPr>
        <w:t>; PSD, Public Summary Document.</w:t>
      </w:r>
    </w:p>
    <w:p w14:paraId="416FE8F9" w14:textId="032BFFB6" w:rsidR="0052778A" w:rsidRDefault="0052778A" w:rsidP="0052778A">
      <w:pPr>
        <w:widowControl w:val="0"/>
        <w:spacing w:after="120"/>
        <w:contextualSpacing/>
        <w:rPr>
          <w:rFonts w:ascii="Arial Narrow" w:hAnsi="Arial Narrow"/>
          <w:snapToGrid w:val="0"/>
          <w:sz w:val="18"/>
          <w:szCs w:val="22"/>
        </w:rPr>
      </w:pPr>
      <w:r w:rsidRPr="0029195A">
        <w:rPr>
          <w:rFonts w:ascii="Arial Narrow" w:hAnsi="Arial Narrow"/>
          <w:snapToGrid w:val="0"/>
          <w:sz w:val="18"/>
          <w:szCs w:val="22"/>
          <w:vertAlign w:val="superscript"/>
        </w:rPr>
        <w:t>a</w:t>
      </w:r>
      <w:r w:rsidRPr="0029195A">
        <w:rPr>
          <w:rFonts w:ascii="Arial Narrow" w:hAnsi="Arial Narrow"/>
          <w:snapToGrid w:val="0"/>
          <w:sz w:val="18"/>
          <w:szCs w:val="22"/>
        </w:rPr>
        <w:t xml:space="preserve"> DPMQ prices</w:t>
      </w:r>
    </w:p>
    <w:p w14:paraId="49739D92" w14:textId="77777777" w:rsidR="009F021C" w:rsidRPr="009A6D58" w:rsidRDefault="009F021C" w:rsidP="009F021C">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7370B9D6" w14:textId="226C2DB9" w:rsidR="009F021C" w:rsidRPr="009F021C" w:rsidRDefault="009F021C" w:rsidP="009F021C">
      <w:pPr>
        <w:rPr>
          <w:rFonts w:ascii="Arial Narrow" w:hAnsi="Arial Narrow"/>
          <w:iCs/>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Pr>
          <w:rFonts w:ascii="Arial Narrow" w:hAnsi="Arial Narrow"/>
          <w:iCs/>
          <w:sz w:val="18"/>
          <w:szCs w:val="18"/>
        </w:rPr>
        <w:t>&lt; 500</w:t>
      </w:r>
    </w:p>
    <w:p w14:paraId="49FD8BBC" w14:textId="77777777" w:rsidR="009F021C" w:rsidRPr="0029195A" w:rsidRDefault="009F021C" w:rsidP="0052778A">
      <w:pPr>
        <w:widowControl w:val="0"/>
        <w:spacing w:after="120"/>
        <w:contextualSpacing/>
        <w:rPr>
          <w:rFonts w:ascii="Arial Narrow" w:hAnsi="Arial Narrow"/>
          <w:snapToGrid w:val="0"/>
          <w:sz w:val="20"/>
          <w:szCs w:val="22"/>
        </w:rPr>
      </w:pPr>
    </w:p>
    <w:p w14:paraId="7D497298" w14:textId="77777777" w:rsidR="0052778A" w:rsidRPr="0029195A" w:rsidRDefault="0052778A" w:rsidP="007A6355">
      <w:pPr>
        <w:pStyle w:val="3-BodyText"/>
      </w:pPr>
      <w:r w:rsidRPr="0029195A">
        <w:t>There is inconsistency in the submission’s approach to the requested PBS listing for maintenance of remission. The requested listing requires patients to have responded to avacopan defined as BVAS score of 0 (i.e., be in remission) for continued access to avacopan. The submission’s approach assumed that all inducted patients would go on to receive maintenance treatment. This may overestimate the use of avacopan given that at 6 months, only 72.3% and 70.1% of patients in the avacopan + SOC and GC + SOC arms achieved remission at 26 weeks in the ADVOCATE trial.</w:t>
      </w:r>
    </w:p>
    <w:p w14:paraId="05BE1EC5" w14:textId="77777777" w:rsidR="0052778A" w:rsidRPr="0029195A" w:rsidRDefault="0052778A" w:rsidP="007A6355">
      <w:pPr>
        <w:pStyle w:val="3-BodyText"/>
      </w:pPr>
      <w:r w:rsidRPr="0029195A">
        <w:lastRenderedPageBreak/>
        <w:t>The submission stated that prednisone is expected to be replaced by the proposed listing of avacopan. While avacopan is expected to replace the use of prednisone to reduce GC-related toxicities, in practice, it is unlikely to completely replace prednisone. In the ADVOCATE trial non-study supplied GC use was slightly higher in the avacopan arm compared to the GC + SOC arm. As such, the approach by the submission may have overestimated the changes in use of prednisone. This will likely only have a minor impact due to the small cost of prednisone relative to avacopan.</w:t>
      </w:r>
    </w:p>
    <w:p w14:paraId="69AF0E42" w14:textId="5E5BB6B6" w:rsidR="0052778A" w:rsidRPr="0029195A" w:rsidRDefault="0052778A" w:rsidP="007A6355">
      <w:pPr>
        <w:pStyle w:val="3-BodyText"/>
      </w:pPr>
      <w:r w:rsidRPr="0029195A">
        <w:fldChar w:fldCharType="begin" w:fldLock="1"/>
      </w:r>
      <w:r w:rsidRPr="0029195A">
        <w:instrText xml:space="preserve"> REF _Ref104805295 \h  \* MERGEFORMAT </w:instrText>
      </w:r>
      <w:r w:rsidRPr="0029195A">
        <w:fldChar w:fldCharType="separate"/>
      </w:r>
      <w:r w:rsidR="00610CB8" w:rsidRPr="00610CB8">
        <w:t>Table 18</w:t>
      </w:r>
      <w:r w:rsidRPr="0029195A">
        <w:fldChar w:fldCharType="end"/>
      </w:r>
      <w:r w:rsidRPr="0029195A">
        <w:t xml:space="preserve"> summarises the estimated eligible population, and the net cost to PBS/RPBS of listing avacopan, based on the submission’s DPMQ of $</w:t>
      </w:r>
      <w:r w:rsidR="00A26F4F" w:rsidRPr="00B10578">
        <w:rPr>
          <w:color w:val="000000"/>
          <w:w w:val="15"/>
          <w:shd w:val="solid" w:color="000000" w:fill="000000"/>
          <w:fitText w:val="-20" w:id="-1168989684"/>
          <w14:textFill>
            <w14:solidFill>
              <w14:srgbClr w14:val="000000">
                <w14:alpha w14:val="100000"/>
              </w14:srgbClr>
            </w14:solidFill>
          </w14:textFill>
        </w:rPr>
        <w:t xml:space="preserve">|  </w:t>
      </w:r>
      <w:r w:rsidR="00A26F4F" w:rsidRPr="00B10578">
        <w:rPr>
          <w:color w:val="000000"/>
          <w:spacing w:val="-69"/>
          <w:w w:val="15"/>
          <w:shd w:val="solid" w:color="000000" w:fill="000000"/>
          <w:fitText w:val="-20" w:id="-1168989684"/>
          <w14:textFill>
            <w14:solidFill>
              <w14:srgbClr w14:val="000000">
                <w14:alpha w14:val="100000"/>
              </w14:srgbClr>
            </w14:solidFill>
          </w14:textFill>
        </w:rPr>
        <w:t>|</w:t>
      </w:r>
      <w:r w:rsidRPr="0029195A">
        <w:t xml:space="preserve"> (effective price). </w:t>
      </w:r>
    </w:p>
    <w:p w14:paraId="7BC2D7A2" w14:textId="4B9BF2EE" w:rsidR="0052778A" w:rsidRPr="0029195A" w:rsidRDefault="0052778A" w:rsidP="0052778A">
      <w:pPr>
        <w:keepNext/>
        <w:keepLines/>
        <w:rPr>
          <w:rFonts w:ascii="Arial Narrow" w:hAnsi="Arial Narrow"/>
          <w:b/>
          <w:bCs/>
          <w:sz w:val="20"/>
          <w:szCs w:val="18"/>
        </w:rPr>
      </w:pPr>
      <w:bookmarkStart w:id="73" w:name="_Ref104805295"/>
      <w:r w:rsidRPr="0029195A">
        <w:rPr>
          <w:rFonts w:ascii="Arial Narrow" w:hAnsi="Arial Narrow"/>
          <w:b/>
          <w:bCs/>
          <w:sz w:val="20"/>
          <w:szCs w:val="18"/>
        </w:rPr>
        <w:t xml:space="preserve">Table </w:t>
      </w:r>
      <w:r w:rsidRPr="0029195A">
        <w:rPr>
          <w:rFonts w:ascii="Arial Narrow" w:hAnsi="Arial Narrow"/>
          <w:b/>
          <w:bCs/>
          <w:sz w:val="20"/>
          <w:szCs w:val="18"/>
        </w:rPr>
        <w:fldChar w:fldCharType="begin" w:fldLock="1"/>
      </w:r>
      <w:r w:rsidRPr="0029195A">
        <w:rPr>
          <w:rFonts w:ascii="Arial Narrow" w:hAnsi="Arial Narrow"/>
          <w:b/>
          <w:bCs/>
          <w:sz w:val="20"/>
          <w:szCs w:val="18"/>
        </w:rPr>
        <w:instrText>SEQ Table \* ARABIC</w:instrText>
      </w:r>
      <w:r w:rsidRPr="0029195A">
        <w:rPr>
          <w:rFonts w:ascii="Arial Narrow" w:hAnsi="Arial Narrow"/>
          <w:b/>
          <w:bCs/>
          <w:sz w:val="20"/>
          <w:szCs w:val="18"/>
        </w:rPr>
        <w:fldChar w:fldCharType="separate"/>
      </w:r>
      <w:r w:rsidR="00610CB8">
        <w:rPr>
          <w:rFonts w:ascii="Arial Narrow" w:hAnsi="Arial Narrow"/>
          <w:b/>
          <w:bCs/>
          <w:noProof/>
          <w:sz w:val="20"/>
          <w:szCs w:val="18"/>
        </w:rPr>
        <w:t>18</w:t>
      </w:r>
      <w:r w:rsidRPr="0029195A">
        <w:rPr>
          <w:rFonts w:ascii="Arial Narrow" w:hAnsi="Arial Narrow"/>
          <w:b/>
          <w:bCs/>
          <w:sz w:val="20"/>
          <w:szCs w:val="18"/>
        </w:rPr>
        <w:fldChar w:fldCharType="end"/>
      </w:r>
      <w:bookmarkEnd w:id="73"/>
      <w:r w:rsidRPr="0029195A">
        <w:rPr>
          <w:rFonts w:ascii="Arial Narrow" w:hAnsi="Arial Narrow"/>
          <w:b/>
          <w:bCs/>
          <w:sz w:val="20"/>
          <w:szCs w:val="18"/>
        </w:rPr>
        <w:t>:</w:t>
      </w:r>
      <w:r w:rsidRPr="0029195A">
        <w:rPr>
          <w:rFonts w:ascii="Arial Narrow" w:hAnsi="Arial Narrow"/>
          <w:bCs/>
          <w:sz w:val="20"/>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52778A" w:rsidRPr="0029195A" w14:paraId="40DD4530" w14:textId="77777777" w:rsidTr="00B61222">
        <w:trPr>
          <w:tblHeader/>
        </w:trPr>
        <w:tc>
          <w:tcPr>
            <w:tcW w:w="1334" w:type="pct"/>
            <w:shd w:val="clear" w:color="auto" w:fill="auto"/>
            <w:vAlign w:val="center"/>
          </w:tcPr>
          <w:p w14:paraId="7CD76400" w14:textId="77777777" w:rsidR="0052778A" w:rsidRPr="0029195A" w:rsidRDefault="0052778A" w:rsidP="0052778A">
            <w:pPr>
              <w:keepNext/>
              <w:jc w:val="center"/>
              <w:rPr>
                <w:rFonts w:ascii="Arial Narrow" w:eastAsiaTheme="majorEastAsia" w:hAnsi="Arial Narrow" w:cs="Times New Roman"/>
                <w:b/>
                <w:sz w:val="20"/>
              </w:rPr>
            </w:pPr>
          </w:p>
        </w:tc>
        <w:tc>
          <w:tcPr>
            <w:tcW w:w="611" w:type="pct"/>
            <w:shd w:val="clear" w:color="auto" w:fill="auto"/>
            <w:vAlign w:val="center"/>
          </w:tcPr>
          <w:p w14:paraId="6E244178" w14:textId="77777777" w:rsidR="0052778A" w:rsidRPr="0029195A" w:rsidRDefault="0052778A" w:rsidP="0052778A">
            <w:pPr>
              <w:keepNext/>
              <w:jc w:val="center"/>
              <w:rPr>
                <w:rFonts w:ascii="Arial Narrow" w:eastAsiaTheme="majorEastAsia" w:hAnsi="Arial Narrow" w:cs="Times New Roman"/>
                <w:b/>
                <w:sz w:val="20"/>
              </w:rPr>
            </w:pPr>
            <w:r w:rsidRPr="0029195A">
              <w:rPr>
                <w:rFonts w:ascii="Arial Narrow" w:eastAsiaTheme="majorEastAsia" w:hAnsi="Arial Narrow" w:cs="Times New Roman"/>
                <w:b/>
                <w:sz w:val="20"/>
              </w:rPr>
              <w:t>Year 1</w:t>
            </w:r>
          </w:p>
        </w:tc>
        <w:tc>
          <w:tcPr>
            <w:tcW w:w="611" w:type="pct"/>
            <w:shd w:val="clear" w:color="auto" w:fill="auto"/>
            <w:vAlign w:val="center"/>
          </w:tcPr>
          <w:p w14:paraId="7FF080F7" w14:textId="77777777" w:rsidR="0052778A" w:rsidRPr="0029195A" w:rsidRDefault="0052778A" w:rsidP="0052778A">
            <w:pPr>
              <w:keepNext/>
              <w:jc w:val="center"/>
              <w:rPr>
                <w:rFonts w:ascii="Arial Narrow" w:eastAsiaTheme="majorEastAsia" w:hAnsi="Arial Narrow" w:cs="Times New Roman"/>
                <w:b/>
                <w:sz w:val="20"/>
              </w:rPr>
            </w:pPr>
            <w:r w:rsidRPr="0029195A">
              <w:rPr>
                <w:rFonts w:ascii="Arial Narrow" w:eastAsiaTheme="majorEastAsia" w:hAnsi="Arial Narrow" w:cs="Times New Roman"/>
                <w:b/>
                <w:sz w:val="20"/>
              </w:rPr>
              <w:t>Year 2</w:t>
            </w:r>
          </w:p>
        </w:tc>
        <w:tc>
          <w:tcPr>
            <w:tcW w:w="611" w:type="pct"/>
            <w:shd w:val="clear" w:color="auto" w:fill="auto"/>
            <w:vAlign w:val="center"/>
          </w:tcPr>
          <w:p w14:paraId="489084FB" w14:textId="77777777" w:rsidR="0052778A" w:rsidRPr="0029195A" w:rsidRDefault="0052778A" w:rsidP="0052778A">
            <w:pPr>
              <w:keepNext/>
              <w:jc w:val="center"/>
              <w:rPr>
                <w:rFonts w:ascii="Arial Narrow" w:eastAsiaTheme="majorEastAsia" w:hAnsi="Arial Narrow" w:cs="Times New Roman"/>
                <w:b/>
                <w:sz w:val="20"/>
              </w:rPr>
            </w:pPr>
            <w:r w:rsidRPr="0029195A">
              <w:rPr>
                <w:rFonts w:ascii="Arial Narrow" w:eastAsiaTheme="majorEastAsia" w:hAnsi="Arial Narrow" w:cs="Times New Roman"/>
                <w:b/>
                <w:sz w:val="20"/>
              </w:rPr>
              <w:t>Year 3</w:t>
            </w:r>
          </w:p>
        </w:tc>
        <w:tc>
          <w:tcPr>
            <w:tcW w:w="611" w:type="pct"/>
            <w:shd w:val="clear" w:color="auto" w:fill="auto"/>
            <w:vAlign w:val="center"/>
          </w:tcPr>
          <w:p w14:paraId="6B4A77C2" w14:textId="77777777" w:rsidR="0052778A" w:rsidRPr="0029195A" w:rsidRDefault="0052778A" w:rsidP="0052778A">
            <w:pPr>
              <w:keepNext/>
              <w:jc w:val="center"/>
              <w:rPr>
                <w:rFonts w:ascii="Arial Narrow" w:eastAsiaTheme="majorEastAsia" w:hAnsi="Arial Narrow" w:cs="Times New Roman"/>
                <w:b/>
                <w:sz w:val="20"/>
              </w:rPr>
            </w:pPr>
            <w:r w:rsidRPr="0029195A">
              <w:rPr>
                <w:rFonts w:ascii="Arial Narrow" w:eastAsiaTheme="majorEastAsia" w:hAnsi="Arial Narrow" w:cs="Times New Roman"/>
                <w:b/>
                <w:sz w:val="20"/>
              </w:rPr>
              <w:t>Year 4</w:t>
            </w:r>
          </w:p>
        </w:tc>
        <w:tc>
          <w:tcPr>
            <w:tcW w:w="611" w:type="pct"/>
            <w:shd w:val="clear" w:color="auto" w:fill="auto"/>
            <w:vAlign w:val="center"/>
          </w:tcPr>
          <w:p w14:paraId="22E140DE" w14:textId="77777777" w:rsidR="0052778A" w:rsidRPr="0029195A" w:rsidRDefault="0052778A" w:rsidP="0052778A">
            <w:pPr>
              <w:keepNext/>
              <w:jc w:val="center"/>
              <w:rPr>
                <w:rFonts w:ascii="Arial Narrow" w:eastAsiaTheme="majorEastAsia" w:hAnsi="Arial Narrow" w:cs="Times New Roman"/>
                <w:b/>
                <w:sz w:val="20"/>
              </w:rPr>
            </w:pPr>
            <w:r w:rsidRPr="0029195A">
              <w:rPr>
                <w:rFonts w:ascii="Arial Narrow" w:eastAsiaTheme="majorEastAsia" w:hAnsi="Arial Narrow" w:cs="Times New Roman"/>
                <w:b/>
                <w:sz w:val="20"/>
              </w:rPr>
              <w:t>Year 5</w:t>
            </w:r>
          </w:p>
        </w:tc>
        <w:tc>
          <w:tcPr>
            <w:tcW w:w="611" w:type="pct"/>
            <w:vAlign w:val="center"/>
          </w:tcPr>
          <w:p w14:paraId="36825400" w14:textId="77777777" w:rsidR="0052778A" w:rsidRPr="0029195A" w:rsidRDefault="0052778A" w:rsidP="0052778A">
            <w:pPr>
              <w:keepNext/>
              <w:jc w:val="center"/>
              <w:rPr>
                <w:rFonts w:ascii="Arial Narrow" w:eastAsiaTheme="majorEastAsia" w:hAnsi="Arial Narrow" w:cs="Times New Roman"/>
                <w:b/>
                <w:sz w:val="20"/>
              </w:rPr>
            </w:pPr>
            <w:r w:rsidRPr="0029195A">
              <w:rPr>
                <w:rFonts w:ascii="Arial Narrow" w:eastAsiaTheme="majorEastAsia" w:hAnsi="Arial Narrow" w:cs="Times New Roman"/>
                <w:b/>
                <w:sz w:val="20"/>
              </w:rPr>
              <w:t>Year 6</w:t>
            </w:r>
          </w:p>
        </w:tc>
      </w:tr>
      <w:tr w:rsidR="0052778A" w:rsidRPr="0029195A" w14:paraId="2FD5DFA8" w14:textId="77777777" w:rsidTr="00B61222">
        <w:tc>
          <w:tcPr>
            <w:tcW w:w="5000" w:type="pct"/>
            <w:gridSpan w:val="7"/>
            <w:shd w:val="clear" w:color="auto" w:fill="auto"/>
            <w:vAlign w:val="center"/>
          </w:tcPr>
          <w:p w14:paraId="03B41D54" w14:textId="77777777" w:rsidR="0052778A" w:rsidRPr="0029195A" w:rsidRDefault="0052778A" w:rsidP="0052778A">
            <w:pPr>
              <w:keepNext/>
              <w:jc w:val="left"/>
              <w:rPr>
                <w:rFonts w:ascii="Arial Narrow" w:eastAsiaTheme="majorEastAsia" w:hAnsi="Arial Narrow" w:cs="Times New Roman"/>
                <w:b/>
                <w:bCs/>
                <w:color w:val="000000"/>
                <w:sz w:val="20"/>
              </w:rPr>
            </w:pPr>
            <w:r w:rsidRPr="0029195A">
              <w:rPr>
                <w:rFonts w:ascii="Arial Narrow" w:eastAsiaTheme="majorEastAsia" w:hAnsi="Arial Narrow" w:cs="Times New Roman"/>
                <w:b/>
                <w:bCs/>
                <w:color w:val="000000"/>
                <w:sz w:val="20"/>
              </w:rPr>
              <w:t>Estimated extent of use</w:t>
            </w:r>
          </w:p>
        </w:tc>
      </w:tr>
      <w:tr w:rsidR="0052778A" w:rsidRPr="0029195A" w14:paraId="25CD515F" w14:textId="77777777" w:rsidTr="00B61222">
        <w:tc>
          <w:tcPr>
            <w:tcW w:w="1334" w:type="pct"/>
            <w:shd w:val="clear" w:color="auto" w:fill="auto"/>
            <w:vAlign w:val="center"/>
          </w:tcPr>
          <w:p w14:paraId="3AF1F617" w14:textId="77777777" w:rsidR="0052778A" w:rsidRPr="0029195A" w:rsidRDefault="0052778A" w:rsidP="0052778A">
            <w:pPr>
              <w:keepNext/>
              <w:jc w:val="left"/>
              <w:rPr>
                <w:rFonts w:ascii="Times" w:eastAsiaTheme="majorEastAsia" w:hAnsi="Times" w:cstheme="majorBidi"/>
                <w:bCs/>
                <w:sz w:val="20"/>
              </w:rPr>
            </w:pPr>
            <w:r w:rsidRPr="0029195A">
              <w:rPr>
                <w:rFonts w:ascii="Arial Narrow" w:eastAsiaTheme="majorEastAsia" w:hAnsi="Arial Narrow" w:cstheme="majorBidi"/>
                <w:bCs/>
                <w:sz w:val="20"/>
              </w:rPr>
              <w:t>Number of patients treated</w:t>
            </w:r>
          </w:p>
        </w:tc>
        <w:tc>
          <w:tcPr>
            <w:tcW w:w="611" w:type="pct"/>
            <w:shd w:val="clear" w:color="auto" w:fill="auto"/>
            <w:vAlign w:val="center"/>
          </w:tcPr>
          <w:p w14:paraId="6F7AA3D3" w14:textId="5CF3F4DE" w:rsidR="0052778A" w:rsidRPr="009F021C" w:rsidRDefault="00A26F4F" w:rsidP="0052778A">
            <w:pPr>
              <w:keepNext/>
              <w:jc w:val="center"/>
              <w:rPr>
                <w:rFonts w:ascii="Arial Narrow" w:eastAsiaTheme="majorEastAsia" w:hAnsi="Arial Narrow" w:cstheme="majorBidi"/>
                <w:bCs/>
                <w:color w:val="000000"/>
                <w:sz w:val="20"/>
                <w:highlight w:val="darkGray"/>
                <w:vertAlign w:val="superscript"/>
              </w:rPr>
            </w:pPr>
            <w:r w:rsidRPr="00A26F4F">
              <w:rPr>
                <w:rFonts w:ascii="Arial Narrow" w:eastAsiaTheme="majorEastAsia" w:hAnsi="Arial Narrow" w:cstheme="majorBidi" w:hint="eastAsia"/>
                <w:bCs/>
                <w:color w:val="000000"/>
                <w:w w:val="15"/>
                <w:sz w:val="20"/>
                <w:shd w:val="solid" w:color="000000" w:fill="000000"/>
                <w:fitText w:val="45" w:id="-1168989683"/>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683"/>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683"/>
                <w14:textFill>
                  <w14:solidFill>
                    <w14:srgbClr w14:val="000000">
                      <w14:alpha w14:val="100000"/>
                    </w14:srgbClr>
                  </w14:solidFill>
                </w14:textFill>
              </w:rPr>
              <w:t xml:space="preserve">　</w:t>
            </w:r>
            <w:r w:rsidR="009F021C" w:rsidRPr="009F021C">
              <w:rPr>
                <w:rFonts w:ascii="Arial Narrow" w:eastAsiaTheme="majorEastAsia" w:hAnsi="Arial Narrow" w:cstheme="majorBidi"/>
                <w:bCs/>
                <w:sz w:val="20"/>
                <w:vertAlign w:val="superscript"/>
              </w:rPr>
              <w:t>1</w:t>
            </w:r>
          </w:p>
        </w:tc>
        <w:tc>
          <w:tcPr>
            <w:tcW w:w="611" w:type="pct"/>
            <w:shd w:val="clear" w:color="auto" w:fill="auto"/>
            <w:vAlign w:val="center"/>
          </w:tcPr>
          <w:p w14:paraId="4EEBBCD4" w14:textId="24E7CD44" w:rsidR="0052778A" w:rsidRPr="009F021C" w:rsidRDefault="00A26F4F" w:rsidP="0052778A">
            <w:pPr>
              <w:keepNext/>
              <w:jc w:val="center"/>
              <w:rPr>
                <w:rFonts w:ascii="Arial Narrow" w:eastAsiaTheme="majorEastAsia" w:hAnsi="Arial Narrow" w:cstheme="majorBidi"/>
                <w:bCs/>
                <w:color w:val="000000"/>
                <w:sz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682"/>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682"/>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682"/>
                <w14:textFill>
                  <w14:solidFill>
                    <w14:srgbClr w14:val="000000">
                      <w14:alpha w14:val="100000"/>
                    </w14:srgbClr>
                  </w14:solidFill>
                </w14:textFill>
              </w:rPr>
              <w:t xml:space="preserve">　</w:t>
            </w:r>
            <w:r w:rsidR="009F021C" w:rsidRPr="009F021C">
              <w:rPr>
                <w:rFonts w:ascii="Arial Narrow" w:eastAsiaTheme="majorEastAsia" w:hAnsi="Arial Narrow" w:cstheme="majorBidi"/>
                <w:bCs/>
                <w:sz w:val="20"/>
                <w:vertAlign w:val="superscript"/>
              </w:rPr>
              <w:t>1</w:t>
            </w:r>
          </w:p>
        </w:tc>
        <w:tc>
          <w:tcPr>
            <w:tcW w:w="611" w:type="pct"/>
            <w:shd w:val="clear" w:color="auto" w:fill="auto"/>
            <w:vAlign w:val="center"/>
          </w:tcPr>
          <w:p w14:paraId="44B7EF80" w14:textId="28618156" w:rsidR="0052778A" w:rsidRPr="009F021C" w:rsidRDefault="00A26F4F" w:rsidP="0052778A">
            <w:pPr>
              <w:keepNext/>
              <w:jc w:val="center"/>
              <w:rPr>
                <w:rFonts w:ascii="Arial Narrow" w:eastAsiaTheme="majorEastAsia" w:hAnsi="Arial Narrow" w:cstheme="majorBidi"/>
                <w:bCs/>
                <w:color w:val="000000"/>
                <w:sz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681"/>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681"/>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681"/>
                <w14:textFill>
                  <w14:solidFill>
                    <w14:srgbClr w14:val="000000">
                      <w14:alpha w14:val="100000"/>
                    </w14:srgbClr>
                  </w14:solidFill>
                </w14:textFill>
              </w:rPr>
              <w:t xml:space="preserve">　</w:t>
            </w:r>
            <w:r w:rsidR="009F021C" w:rsidRPr="009F021C">
              <w:rPr>
                <w:rFonts w:ascii="Arial Narrow" w:eastAsiaTheme="majorEastAsia" w:hAnsi="Arial Narrow" w:cstheme="majorBidi"/>
                <w:bCs/>
                <w:sz w:val="20"/>
                <w:vertAlign w:val="superscript"/>
              </w:rPr>
              <w:t>1</w:t>
            </w:r>
          </w:p>
        </w:tc>
        <w:tc>
          <w:tcPr>
            <w:tcW w:w="611" w:type="pct"/>
            <w:shd w:val="clear" w:color="auto" w:fill="auto"/>
            <w:vAlign w:val="center"/>
          </w:tcPr>
          <w:p w14:paraId="5F6BDD36" w14:textId="4629AAE3" w:rsidR="0052778A" w:rsidRPr="009F021C" w:rsidRDefault="00A26F4F" w:rsidP="0052778A">
            <w:pPr>
              <w:keepNext/>
              <w:jc w:val="center"/>
              <w:rPr>
                <w:rFonts w:ascii="Arial Narrow" w:eastAsiaTheme="majorEastAsia" w:hAnsi="Arial Narrow" w:cstheme="majorBidi"/>
                <w:bCs/>
                <w:color w:val="000000"/>
                <w:sz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680"/>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680"/>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680"/>
                <w14:textFill>
                  <w14:solidFill>
                    <w14:srgbClr w14:val="000000">
                      <w14:alpha w14:val="100000"/>
                    </w14:srgbClr>
                  </w14:solidFill>
                </w14:textFill>
              </w:rPr>
              <w:t xml:space="preserve">　</w:t>
            </w:r>
            <w:r w:rsidR="009F021C" w:rsidRPr="009F021C">
              <w:rPr>
                <w:rFonts w:ascii="Arial Narrow" w:eastAsiaTheme="majorEastAsia" w:hAnsi="Arial Narrow" w:cstheme="majorBidi"/>
                <w:bCs/>
                <w:sz w:val="20"/>
                <w:vertAlign w:val="superscript"/>
              </w:rPr>
              <w:t>1</w:t>
            </w:r>
          </w:p>
        </w:tc>
        <w:tc>
          <w:tcPr>
            <w:tcW w:w="611" w:type="pct"/>
            <w:shd w:val="clear" w:color="auto" w:fill="auto"/>
            <w:vAlign w:val="center"/>
          </w:tcPr>
          <w:p w14:paraId="4812470B" w14:textId="60F70493" w:rsidR="0052778A" w:rsidRPr="009F021C" w:rsidRDefault="00A26F4F" w:rsidP="0052778A">
            <w:pPr>
              <w:keepNext/>
              <w:jc w:val="center"/>
              <w:rPr>
                <w:rFonts w:ascii="Arial Narrow" w:eastAsiaTheme="majorEastAsia" w:hAnsi="Arial Narrow" w:cstheme="majorBidi"/>
                <w:bCs/>
                <w:color w:val="000000"/>
                <w:sz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696"/>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696"/>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696"/>
                <w14:textFill>
                  <w14:solidFill>
                    <w14:srgbClr w14:val="000000">
                      <w14:alpha w14:val="100000"/>
                    </w14:srgbClr>
                  </w14:solidFill>
                </w14:textFill>
              </w:rPr>
              <w:t xml:space="preserve">　</w:t>
            </w:r>
            <w:r w:rsidR="009F021C" w:rsidRPr="009F021C">
              <w:rPr>
                <w:rFonts w:ascii="Arial Narrow" w:eastAsiaTheme="majorEastAsia" w:hAnsi="Arial Narrow" w:cstheme="majorBidi"/>
                <w:bCs/>
                <w:sz w:val="20"/>
                <w:vertAlign w:val="superscript"/>
              </w:rPr>
              <w:t>1</w:t>
            </w:r>
          </w:p>
        </w:tc>
        <w:tc>
          <w:tcPr>
            <w:tcW w:w="611" w:type="pct"/>
            <w:vAlign w:val="center"/>
          </w:tcPr>
          <w:p w14:paraId="003C5674" w14:textId="6E73AC95" w:rsidR="0052778A" w:rsidRPr="009F021C" w:rsidRDefault="00A26F4F" w:rsidP="0052778A">
            <w:pPr>
              <w:keepNext/>
              <w:jc w:val="center"/>
              <w:rPr>
                <w:rFonts w:ascii="Arial Narrow" w:eastAsiaTheme="majorEastAsia" w:hAnsi="Arial Narrow" w:cstheme="majorBidi"/>
                <w:bCs/>
                <w:color w:val="000000"/>
                <w:sz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695"/>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695"/>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695"/>
                <w14:textFill>
                  <w14:solidFill>
                    <w14:srgbClr w14:val="000000">
                      <w14:alpha w14:val="100000"/>
                    </w14:srgbClr>
                  </w14:solidFill>
                </w14:textFill>
              </w:rPr>
              <w:t xml:space="preserve">　</w:t>
            </w:r>
            <w:r w:rsidR="00131381" w:rsidRPr="009F021C">
              <w:rPr>
                <w:rFonts w:ascii="Arial Narrow" w:eastAsiaTheme="majorEastAsia" w:hAnsi="Arial Narrow" w:cstheme="majorBidi"/>
                <w:bCs/>
                <w:sz w:val="20"/>
                <w:vertAlign w:val="superscript"/>
              </w:rPr>
              <w:t>1</w:t>
            </w:r>
          </w:p>
        </w:tc>
      </w:tr>
      <w:tr w:rsidR="0052778A" w:rsidRPr="0029195A" w14:paraId="1EA12AB8" w14:textId="77777777" w:rsidTr="00B61222">
        <w:tc>
          <w:tcPr>
            <w:tcW w:w="1334" w:type="pct"/>
            <w:shd w:val="clear" w:color="auto" w:fill="auto"/>
            <w:vAlign w:val="center"/>
          </w:tcPr>
          <w:p w14:paraId="50B769F3" w14:textId="77777777" w:rsidR="0052778A" w:rsidRPr="0029195A" w:rsidRDefault="0052778A" w:rsidP="0052778A">
            <w:pPr>
              <w:keepNext/>
              <w:jc w:val="left"/>
              <w:rPr>
                <w:rFonts w:ascii="Arial Narrow" w:eastAsiaTheme="majorEastAsia" w:hAnsi="Arial Narrow" w:cstheme="majorBidi"/>
                <w:bCs/>
                <w:sz w:val="20"/>
                <w:vertAlign w:val="superscript"/>
              </w:rPr>
            </w:pPr>
            <w:r w:rsidRPr="0029195A">
              <w:rPr>
                <w:rFonts w:ascii="Arial Narrow" w:eastAsiaTheme="majorEastAsia" w:hAnsi="Arial Narrow" w:cstheme="majorBidi"/>
                <w:bCs/>
                <w:sz w:val="20"/>
              </w:rPr>
              <w:t xml:space="preserve">Number of patient years of treatment </w:t>
            </w:r>
            <w:r w:rsidRPr="0029195A">
              <w:rPr>
                <w:rFonts w:ascii="Arial Narrow" w:eastAsiaTheme="majorEastAsia" w:hAnsi="Arial Narrow" w:cstheme="majorBidi"/>
                <w:bCs/>
                <w:sz w:val="20"/>
                <w:vertAlign w:val="superscript"/>
              </w:rPr>
              <w:t>a</w:t>
            </w:r>
          </w:p>
        </w:tc>
        <w:tc>
          <w:tcPr>
            <w:tcW w:w="611" w:type="pct"/>
            <w:shd w:val="clear" w:color="auto" w:fill="auto"/>
            <w:vAlign w:val="center"/>
          </w:tcPr>
          <w:p w14:paraId="27687F99" w14:textId="1C10DFFC" w:rsidR="0052778A" w:rsidRPr="009F021C" w:rsidRDefault="00A26F4F" w:rsidP="0052778A">
            <w:pPr>
              <w:keepNext/>
              <w:jc w:val="center"/>
              <w:rPr>
                <w:rFonts w:ascii="Arial Narrow" w:eastAsiaTheme="majorEastAsia" w:hAnsi="Arial Narrow" w:cstheme="majorBidi"/>
                <w:bCs/>
                <w:color w:val="000000"/>
                <w:sz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694"/>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694"/>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694"/>
                <w14:textFill>
                  <w14:solidFill>
                    <w14:srgbClr w14:val="000000">
                      <w14:alpha w14:val="100000"/>
                    </w14:srgbClr>
                  </w14:solidFill>
                </w14:textFill>
              </w:rPr>
              <w:t xml:space="preserve">　</w:t>
            </w:r>
            <w:r w:rsidR="009F021C" w:rsidRPr="009F021C">
              <w:rPr>
                <w:rFonts w:ascii="Arial Narrow" w:eastAsiaTheme="majorEastAsia" w:hAnsi="Arial Narrow" w:cstheme="majorBidi"/>
                <w:bCs/>
                <w:sz w:val="20"/>
                <w:vertAlign w:val="superscript"/>
              </w:rPr>
              <w:t>1</w:t>
            </w:r>
            <w:r w:rsidRPr="00A26F4F">
              <w:rPr>
                <w:rFonts w:ascii="Arial Narrow" w:eastAsiaTheme="majorEastAsia" w:hAnsi="Arial Narrow" w:cstheme="majorBidi"/>
                <w:bCs/>
                <w:sz w:val="20"/>
              </w:rPr>
              <w:t xml:space="preserve"> </w:t>
            </w:r>
          </w:p>
        </w:tc>
        <w:tc>
          <w:tcPr>
            <w:tcW w:w="611" w:type="pct"/>
            <w:shd w:val="clear" w:color="auto" w:fill="auto"/>
            <w:vAlign w:val="center"/>
          </w:tcPr>
          <w:p w14:paraId="6EF3CEC5" w14:textId="2DF6F94B" w:rsidR="0052778A" w:rsidRPr="009F021C" w:rsidRDefault="00A26F4F" w:rsidP="0052778A">
            <w:pPr>
              <w:keepNext/>
              <w:jc w:val="center"/>
              <w:rPr>
                <w:rFonts w:ascii="Arial Narrow" w:eastAsiaTheme="majorEastAsia" w:hAnsi="Arial Narrow" w:cstheme="majorBidi"/>
                <w:bCs/>
                <w:color w:val="000000"/>
                <w:sz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693"/>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693"/>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693"/>
                <w14:textFill>
                  <w14:solidFill>
                    <w14:srgbClr w14:val="000000">
                      <w14:alpha w14:val="100000"/>
                    </w14:srgbClr>
                  </w14:solidFill>
                </w14:textFill>
              </w:rPr>
              <w:t xml:space="preserve">　</w:t>
            </w:r>
            <w:r w:rsidR="009F021C" w:rsidRPr="009F021C">
              <w:rPr>
                <w:rFonts w:ascii="Arial Narrow" w:eastAsiaTheme="majorEastAsia" w:hAnsi="Arial Narrow" w:cstheme="majorBidi"/>
                <w:bCs/>
                <w:sz w:val="20"/>
                <w:vertAlign w:val="superscript"/>
              </w:rPr>
              <w:t>1</w:t>
            </w:r>
          </w:p>
        </w:tc>
        <w:tc>
          <w:tcPr>
            <w:tcW w:w="611" w:type="pct"/>
            <w:shd w:val="clear" w:color="auto" w:fill="auto"/>
            <w:vAlign w:val="center"/>
          </w:tcPr>
          <w:p w14:paraId="1A5052A1" w14:textId="178BA99F" w:rsidR="0052778A" w:rsidRPr="009F021C" w:rsidRDefault="00A26F4F" w:rsidP="0052778A">
            <w:pPr>
              <w:keepNext/>
              <w:jc w:val="center"/>
              <w:rPr>
                <w:rFonts w:ascii="Arial Narrow" w:eastAsiaTheme="majorEastAsia" w:hAnsi="Arial Narrow" w:cstheme="majorBidi"/>
                <w:bCs/>
                <w:color w:val="000000"/>
                <w:sz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692"/>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692"/>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692"/>
                <w14:textFill>
                  <w14:solidFill>
                    <w14:srgbClr w14:val="000000">
                      <w14:alpha w14:val="100000"/>
                    </w14:srgbClr>
                  </w14:solidFill>
                </w14:textFill>
              </w:rPr>
              <w:t xml:space="preserve">　</w:t>
            </w:r>
            <w:r w:rsidR="009F021C" w:rsidRPr="009F021C">
              <w:rPr>
                <w:rFonts w:ascii="Arial Narrow" w:eastAsiaTheme="majorEastAsia" w:hAnsi="Arial Narrow" w:cstheme="majorBidi"/>
                <w:bCs/>
                <w:sz w:val="20"/>
                <w:vertAlign w:val="superscript"/>
              </w:rPr>
              <w:t>1</w:t>
            </w:r>
            <w:r w:rsidRPr="00A26F4F">
              <w:rPr>
                <w:rFonts w:ascii="Arial Narrow" w:eastAsiaTheme="majorEastAsia" w:hAnsi="Arial Narrow" w:cstheme="majorBidi"/>
                <w:bCs/>
                <w:sz w:val="20"/>
              </w:rPr>
              <w:t xml:space="preserve"> </w:t>
            </w:r>
          </w:p>
        </w:tc>
        <w:tc>
          <w:tcPr>
            <w:tcW w:w="611" w:type="pct"/>
            <w:shd w:val="clear" w:color="auto" w:fill="auto"/>
            <w:vAlign w:val="center"/>
          </w:tcPr>
          <w:p w14:paraId="167EB618" w14:textId="21A04A13" w:rsidR="0052778A" w:rsidRPr="009F021C" w:rsidRDefault="00A26F4F" w:rsidP="0052778A">
            <w:pPr>
              <w:keepNext/>
              <w:jc w:val="center"/>
              <w:rPr>
                <w:rFonts w:ascii="Arial Narrow" w:eastAsiaTheme="majorEastAsia" w:hAnsi="Arial Narrow" w:cstheme="majorBidi"/>
                <w:bCs/>
                <w:color w:val="000000"/>
                <w:sz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691"/>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691"/>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691"/>
                <w14:textFill>
                  <w14:solidFill>
                    <w14:srgbClr w14:val="000000">
                      <w14:alpha w14:val="100000"/>
                    </w14:srgbClr>
                  </w14:solidFill>
                </w14:textFill>
              </w:rPr>
              <w:t xml:space="preserve">　</w:t>
            </w:r>
            <w:r w:rsidR="009F021C" w:rsidRPr="009F021C">
              <w:rPr>
                <w:rFonts w:ascii="Arial Narrow" w:eastAsiaTheme="majorEastAsia" w:hAnsi="Arial Narrow" w:cstheme="majorBidi"/>
                <w:bCs/>
                <w:sz w:val="20"/>
                <w:vertAlign w:val="superscript"/>
              </w:rPr>
              <w:t>1</w:t>
            </w:r>
            <w:r w:rsidRPr="00A26F4F">
              <w:rPr>
                <w:rFonts w:ascii="Arial Narrow" w:eastAsiaTheme="majorEastAsia" w:hAnsi="Arial Narrow" w:cstheme="majorBidi"/>
                <w:bCs/>
                <w:sz w:val="20"/>
              </w:rPr>
              <w:t xml:space="preserve"> </w:t>
            </w:r>
          </w:p>
        </w:tc>
        <w:tc>
          <w:tcPr>
            <w:tcW w:w="611" w:type="pct"/>
            <w:shd w:val="clear" w:color="auto" w:fill="auto"/>
            <w:vAlign w:val="center"/>
          </w:tcPr>
          <w:p w14:paraId="161C74C3" w14:textId="7A37BB12" w:rsidR="0052778A" w:rsidRPr="009F021C" w:rsidRDefault="00A26F4F" w:rsidP="0052778A">
            <w:pPr>
              <w:keepNext/>
              <w:jc w:val="center"/>
              <w:rPr>
                <w:rFonts w:ascii="Arial Narrow" w:eastAsiaTheme="majorEastAsia" w:hAnsi="Arial Narrow" w:cstheme="majorBidi"/>
                <w:bCs/>
                <w:color w:val="000000"/>
                <w:sz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690"/>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690"/>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690"/>
                <w14:textFill>
                  <w14:solidFill>
                    <w14:srgbClr w14:val="000000">
                      <w14:alpha w14:val="100000"/>
                    </w14:srgbClr>
                  </w14:solidFill>
                </w14:textFill>
              </w:rPr>
              <w:t xml:space="preserve">　</w:t>
            </w:r>
            <w:r w:rsidR="009F021C" w:rsidRPr="009F021C">
              <w:rPr>
                <w:rFonts w:ascii="Arial Narrow" w:eastAsiaTheme="majorEastAsia" w:hAnsi="Arial Narrow" w:cstheme="majorBidi"/>
                <w:bCs/>
                <w:sz w:val="20"/>
                <w:vertAlign w:val="superscript"/>
              </w:rPr>
              <w:t>1</w:t>
            </w:r>
            <w:r w:rsidRPr="00A26F4F">
              <w:rPr>
                <w:rFonts w:ascii="Arial Narrow" w:eastAsiaTheme="majorEastAsia" w:hAnsi="Arial Narrow" w:cstheme="majorBidi"/>
                <w:bCs/>
                <w:sz w:val="20"/>
              </w:rPr>
              <w:t xml:space="preserve"> </w:t>
            </w:r>
          </w:p>
        </w:tc>
        <w:tc>
          <w:tcPr>
            <w:tcW w:w="611" w:type="pct"/>
            <w:vAlign w:val="center"/>
          </w:tcPr>
          <w:p w14:paraId="5CB81F99" w14:textId="1627349C" w:rsidR="0052778A" w:rsidRPr="009F021C" w:rsidRDefault="00A26F4F" w:rsidP="0052778A">
            <w:pPr>
              <w:keepNext/>
              <w:jc w:val="center"/>
              <w:rPr>
                <w:rFonts w:ascii="Arial Narrow" w:eastAsiaTheme="majorEastAsia" w:hAnsi="Arial Narrow" w:cstheme="majorBidi"/>
                <w:bCs/>
                <w:color w:val="000000"/>
                <w:sz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689"/>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689"/>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689"/>
                <w14:textFill>
                  <w14:solidFill>
                    <w14:srgbClr w14:val="000000">
                      <w14:alpha w14:val="100000"/>
                    </w14:srgbClr>
                  </w14:solidFill>
                </w14:textFill>
              </w:rPr>
              <w:t xml:space="preserve">　</w:t>
            </w:r>
            <w:r w:rsidR="009F021C" w:rsidRPr="009F021C">
              <w:rPr>
                <w:rFonts w:ascii="Arial Narrow" w:eastAsiaTheme="majorEastAsia" w:hAnsi="Arial Narrow" w:cstheme="majorBidi"/>
                <w:bCs/>
                <w:sz w:val="20"/>
                <w:vertAlign w:val="superscript"/>
              </w:rPr>
              <w:t>1</w:t>
            </w:r>
            <w:r w:rsidRPr="00A26F4F">
              <w:rPr>
                <w:rFonts w:ascii="Arial Narrow" w:eastAsiaTheme="majorEastAsia" w:hAnsi="Arial Narrow" w:cstheme="majorBidi"/>
                <w:bCs/>
                <w:sz w:val="20"/>
              </w:rPr>
              <w:t xml:space="preserve"> </w:t>
            </w:r>
          </w:p>
        </w:tc>
      </w:tr>
      <w:tr w:rsidR="0052778A" w:rsidRPr="0029195A" w14:paraId="50A8F59D" w14:textId="77777777" w:rsidTr="00B61222">
        <w:tc>
          <w:tcPr>
            <w:tcW w:w="1334" w:type="pct"/>
            <w:shd w:val="clear" w:color="auto" w:fill="auto"/>
            <w:vAlign w:val="center"/>
          </w:tcPr>
          <w:p w14:paraId="27F08B2B" w14:textId="77777777" w:rsidR="0052778A" w:rsidRPr="0029195A" w:rsidRDefault="0052778A" w:rsidP="0052778A">
            <w:pPr>
              <w:keepNext/>
              <w:jc w:val="left"/>
              <w:rPr>
                <w:rFonts w:ascii="Times" w:eastAsiaTheme="majorEastAsia" w:hAnsi="Times" w:cstheme="majorBidi"/>
                <w:bCs/>
                <w:sz w:val="20"/>
              </w:rPr>
            </w:pPr>
            <w:r w:rsidRPr="0029195A">
              <w:rPr>
                <w:rFonts w:ascii="Arial Narrow" w:eastAsiaTheme="majorEastAsia" w:hAnsi="Arial Narrow" w:cstheme="majorBidi"/>
                <w:bCs/>
                <w:sz w:val="20"/>
              </w:rPr>
              <w:t xml:space="preserve">Number of scripts dispensed </w:t>
            </w:r>
            <w:r w:rsidRPr="0029195A">
              <w:rPr>
                <w:rFonts w:ascii="Arial Narrow" w:eastAsiaTheme="majorEastAsia" w:hAnsi="Arial Narrow" w:cstheme="majorBidi"/>
                <w:bCs/>
                <w:sz w:val="20"/>
                <w:vertAlign w:val="superscript"/>
              </w:rPr>
              <w:t>b</w:t>
            </w:r>
          </w:p>
        </w:tc>
        <w:tc>
          <w:tcPr>
            <w:tcW w:w="611" w:type="pct"/>
            <w:shd w:val="clear" w:color="auto" w:fill="auto"/>
            <w:vAlign w:val="center"/>
          </w:tcPr>
          <w:p w14:paraId="5217BE8C" w14:textId="3A1FC138" w:rsidR="0052778A" w:rsidRPr="009F021C" w:rsidRDefault="00A26F4F" w:rsidP="0052778A">
            <w:pPr>
              <w:keepNext/>
              <w:jc w:val="center"/>
              <w:rPr>
                <w:rFonts w:ascii="Arial Narrow" w:eastAsiaTheme="majorEastAsia" w:hAnsi="Arial Narrow" w:cstheme="majorBidi"/>
                <w:bCs/>
                <w:color w:val="000000"/>
                <w:sz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688"/>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688"/>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688"/>
                <w14:textFill>
                  <w14:solidFill>
                    <w14:srgbClr w14:val="000000">
                      <w14:alpha w14:val="100000"/>
                    </w14:srgbClr>
                  </w14:solidFill>
                </w14:textFill>
              </w:rPr>
              <w:t xml:space="preserve">　</w:t>
            </w:r>
            <w:r w:rsidR="009F021C" w:rsidRPr="009F021C">
              <w:rPr>
                <w:rFonts w:ascii="Arial Narrow" w:eastAsiaTheme="majorEastAsia" w:hAnsi="Arial Narrow" w:cstheme="majorBidi"/>
                <w:bCs/>
                <w:sz w:val="20"/>
                <w:vertAlign w:val="superscript"/>
              </w:rPr>
              <w:t>2</w:t>
            </w:r>
            <w:r w:rsidR="0052778A" w:rsidRPr="009F021C">
              <w:rPr>
                <w:rFonts w:ascii="Arial Narrow" w:eastAsiaTheme="majorEastAsia" w:hAnsi="Arial Narrow" w:cstheme="majorBidi"/>
                <w:bCs/>
                <w:sz w:val="20"/>
              </w:rPr>
              <w:t xml:space="preserve"> </w:t>
            </w:r>
          </w:p>
        </w:tc>
        <w:tc>
          <w:tcPr>
            <w:tcW w:w="611" w:type="pct"/>
            <w:shd w:val="clear" w:color="auto" w:fill="auto"/>
            <w:vAlign w:val="center"/>
          </w:tcPr>
          <w:p w14:paraId="73F5D719" w14:textId="3143BBB8" w:rsidR="0052778A" w:rsidRPr="009F021C" w:rsidRDefault="00A26F4F" w:rsidP="0052778A">
            <w:pPr>
              <w:keepNext/>
              <w:jc w:val="center"/>
              <w:rPr>
                <w:rFonts w:ascii="Arial Narrow" w:eastAsiaTheme="majorEastAsia" w:hAnsi="Arial Narrow" w:cstheme="majorBidi"/>
                <w:bCs/>
                <w:color w:val="000000"/>
                <w:sz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687"/>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687"/>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687"/>
                <w14:textFill>
                  <w14:solidFill>
                    <w14:srgbClr w14:val="000000">
                      <w14:alpha w14:val="100000"/>
                    </w14:srgbClr>
                  </w14:solidFill>
                </w14:textFill>
              </w:rPr>
              <w:t xml:space="preserve">　</w:t>
            </w:r>
            <w:r w:rsidR="009F021C" w:rsidRPr="009F021C">
              <w:rPr>
                <w:rFonts w:ascii="Arial Narrow" w:eastAsiaTheme="majorEastAsia" w:hAnsi="Arial Narrow" w:cstheme="majorBidi"/>
                <w:bCs/>
                <w:sz w:val="20"/>
                <w:vertAlign w:val="superscript"/>
              </w:rPr>
              <w:t>2</w:t>
            </w:r>
          </w:p>
        </w:tc>
        <w:tc>
          <w:tcPr>
            <w:tcW w:w="611" w:type="pct"/>
            <w:shd w:val="clear" w:color="auto" w:fill="auto"/>
            <w:vAlign w:val="center"/>
          </w:tcPr>
          <w:p w14:paraId="3949DCE8" w14:textId="711423C2" w:rsidR="0052778A" w:rsidRPr="009F021C" w:rsidRDefault="00A26F4F" w:rsidP="0052778A">
            <w:pPr>
              <w:keepNext/>
              <w:jc w:val="center"/>
              <w:rPr>
                <w:rFonts w:ascii="Arial Narrow" w:eastAsiaTheme="majorEastAsia" w:hAnsi="Arial Narrow" w:cstheme="majorBidi"/>
                <w:bCs/>
                <w:color w:val="000000"/>
                <w:sz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686"/>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686"/>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686"/>
                <w14:textFill>
                  <w14:solidFill>
                    <w14:srgbClr w14:val="000000">
                      <w14:alpha w14:val="100000"/>
                    </w14:srgbClr>
                  </w14:solidFill>
                </w14:textFill>
              </w:rPr>
              <w:t xml:space="preserve">　</w:t>
            </w:r>
            <w:r w:rsidR="009F021C" w:rsidRPr="009F021C">
              <w:rPr>
                <w:rFonts w:ascii="Arial Narrow" w:eastAsiaTheme="majorEastAsia" w:hAnsi="Arial Narrow" w:cstheme="majorBidi"/>
                <w:bCs/>
                <w:sz w:val="20"/>
                <w:vertAlign w:val="superscript"/>
              </w:rPr>
              <w:t>2</w:t>
            </w:r>
            <w:r w:rsidRPr="00A26F4F">
              <w:rPr>
                <w:rFonts w:ascii="Arial Narrow" w:eastAsiaTheme="majorEastAsia" w:hAnsi="Arial Narrow" w:cstheme="majorBidi"/>
                <w:bCs/>
                <w:sz w:val="20"/>
              </w:rPr>
              <w:t xml:space="preserve"> </w:t>
            </w:r>
          </w:p>
        </w:tc>
        <w:tc>
          <w:tcPr>
            <w:tcW w:w="611" w:type="pct"/>
            <w:shd w:val="clear" w:color="auto" w:fill="auto"/>
            <w:vAlign w:val="center"/>
          </w:tcPr>
          <w:p w14:paraId="61AC8FD0" w14:textId="3AC9DC44" w:rsidR="0052778A" w:rsidRPr="009F021C" w:rsidRDefault="00A26F4F" w:rsidP="0052778A">
            <w:pPr>
              <w:keepNext/>
              <w:jc w:val="center"/>
              <w:rPr>
                <w:rFonts w:ascii="Arial Narrow" w:eastAsiaTheme="majorEastAsia" w:hAnsi="Arial Narrow" w:cstheme="majorBidi"/>
                <w:bCs/>
                <w:color w:val="000000"/>
                <w:sz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440"/>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440"/>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440"/>
                <w14:textFill>
                  <w14:solidFill>
                    <w14:srgbClr w14:val="000000">
                      <w14:alpha w14:val="100000"/>
                    </w14:srgbClr>
                  </w14:solidFill>
                </w14:textFill>
              </w:rPr>
              <w:t xml:space="preserve">　</w:t>
            </w:r>
            <w:r w:rsidR="009F021C" w:rsidRPr="009F021C">
              <w:rPr>
                <w:rFonts w:ascii="Arial Narrow" w:eastAsiaTheme="majorEastAsia" w:hAnsi="Arial Narrow" w:cstheme="majorBidi"/>
                <w:bCs/>
                <w:sz w:val="20"/>
                <w:vertAlign w:val="superscript"/>
              </w:rPr>
              <w:t>2</w:t>
            </w:r>
            <w:r w:rsidRPr="00A26F4F">
              <w:rPr>
                <w:rFonts w:ascii="Arial Narrow" w:eastAsiaTheme="majorEastAsia" w:hAnsi="Arial Narrow" w:cstheme="majorBidi"/>
                <w:bCs/>
                <w:sz w:val="20"/>
              </w:rPr>
              <w:t xml:space="preserve"> </w:t>
            </w:r>
          </w:p>
        </w:tc>
        <w:tc>
          <w:tcPr>
            <w:tcW w:w="611" w:type="pct"/>
            <w:shd w:val="clear" w:color="auto" w:fill="auto"/>
            <w:vAlign w:val="center"/>
          </w:tcPr>
          <w:p w14:paraId="34160F1B" w14:textId="71139412" w:rsidR="0052778A" w:rsidRPr="009F021C" w:rsidRDefault="00A26F4F" w:rsidP="0052778A">
            <w:pPr>
              <w:keepNext/>
              <w:jc w:val="center"/>
              <w:rPr>
                <w:rFonts w:ascii="Arial Narrow" w:eastAsiaTheme="majorEastAsia" w:hAnsi="Arial Narrow" w:cstheme="majorBidi"/>
                <w:bCs/>
                <w:color w:val="000000"/>
                <w:sz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439"/>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439"/>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439"/>
                <w14:textFill>
                  <w14:solidFill>
                    <w14:srgbClr w14:val="000000">
                      <w14:alpha w14:val="100000"/>
                    </w14:srgbClr>
                  </w14:solidFill>
                </w14:textFill>
              </w:rPr>
              <w:t xml:space="preserve">　</w:t>
            </w:r>
            <w:r w:rsidR="009F021C" w:rsidRPr="009F021C">
              <w:rPr>
                <w:rFonts w:ascii="Arial Narrow" w:eastAsiaTheme="majorEastAsia" w:hAnsi="Arial Narrow" w:cstheme="majorBidi"/>
                <w:bCs/>
                <w:sz w:val="20"/>
                <w:vertAlign w:val="superscript"/>
              </w:rPr>
              <w:t>3</w:t>
            </w:r>
            <w:r w:rsidR="0052778A" w:rsidRPr="009F021C">
              <w:rPr>
                <w:rFonts w:ascii="Arial Narrow" w:eastAsiaTheme="majorEastAsia" w:hAnsi="Arial Narrow" w:cstheme="majorBidi"/>
                <w:bCs/>
                <w:sz w:val="20"/>
              </w:rPr>
              <w:t xml:space="preserve"> </w:t>
            </w:r>
          </w:p>
        </w:tc>
        <w:tc>
          <w:tcPr>
            <w:tcW w:w="611" w:type="pct"/>
            <w:vAlign w:val="center"/>
          </w:tcPr>
          <w:p w14:paraId="4D4E51E7" w14:textId="7FEE4466" w:rsidR="0052778A" w:rsidRPr="009F021C" w:rsidRDefault="00A26F4F" w:rsidP="0052778A">
            <w:pPr>
              <w:keepNext/>
              <w:jc w:val="center"/>
              <w:rPr>
                <w:rFonts w:ascii="Arial Narrow" w:eastAsiaTheme="majorEastAsia" w:hAnsi="Arial Narrow" w:cstheme="majorBidi"/>
                <w:bCs/>
                <w:color w:val="000000"/>
                <w:sz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438"/>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438"/>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438"/>
                <w14:textFill>
                  <w14:solidFill>
                    <w14:srgbClr w14:val="000000">
                      <w14:alpha w14:val="100000"/>
                    </w14:srgbClr>
                  </w14:solidFill>
                </w14:textFill>
              </w:rPr>
              <w:t xml:space="preserve">　</w:t>
            </w:r>
            <w:r w:rsidR="009F021C" w:rsidRPr="009F021C">
              <w:rPr>
                <w:rFonts w:ascii="Arial Narrow" w:eastAsiaTheme="majorEastAsia" w:hAnsi="Arial Narrow" w:cstheme="majorBidi"/>
                <w:bCs/>
                <w:sz w:val="20"/>
                <w:vertAlign w:val="superscript"/>
              </w:rPr>
              <w:t>3</w:t>
            </w:r>
          </w:p>
        </w:tc>
      </w:tr>
      <w:tr w:rsidR="0052778A" w:rsidRPr="0029195A" w14:paraId="3DF47498" w14:textId="77777777" w:rsidTr="00B61222">
        <w:tc>
          <w:tcPr>
            <w:tcW w:w="5000" w:type="pct"/>
            <w:gridSpan w:val="7"/>
            <w:shd w:val="clear" w:color="auto" w:fill="auto"/>
            <w:vAlign w:val="center"/>
          </w:tcPr>
          <w:p w14:paraId="7CE37B0C" w14:textId="77777777" w:rsidR="0052778A" w:rsidRPr="0029195A" w:rsidRDefault="0052778A" w:rsidP="0052778A">
            <w:pPr>
              <w:keepNext/>
              <w:jc w:val="left"/>
              <w:rPr>
                <w:rFonts w:ascii="Arial Narrow" w:eastAsiaTheme="majorEastAsia" w:hAnsi="Arial Narrow" w:cs="Times New Roman"/>
                <w:b/>
                <w:sz w:val="20"/>
              </w:rPr>
            </w:pPr>
            <w:r w:rsidRPr="0029195A">
              <w:rPr>
                <w:rFonts w:ascii="Arial Narrow" w:eastAsiaTheme="majorEastAsia" w:hAnsi="Arial Narrow" w:cs="Times New Roman"/>
                <w:b/>
                <w:sz w:val="20"/>
              </w:rPr>
              <w:t>Estimated financial implications of avacopan</w:t>
            </w:r>
          </w:p>
        </w:tc>
      </w:tr>
      <w:tr w:rsidR="0052778A" w:rsidRPr="0029195A" w14:paraId="551EB001" w14:textId="77777777" w:rsidTr="00B61222">
        <w:tc>
          <w:tcPr>
            <w:tcW w:w="1334" w:type="pct"/>
            <w:shd w:val="clear" w:color="auto" w:fill="auto"/>
            <w:vAlign w:val="center"/>
          </w:tcPr>
          <w:p w14:paraId="6629C129" w14:textId="4CD8FF08" w:rsidR="0052778A" w:rsidRPr="0029195A" w:rsidRDefault="0052778A" w:rsidP="0052778A">
            <w:pPr>
              <w:keepNext/>
              <w:jc w:val="left"/>
              <w:rPr>
                <w:rFonts w:ascii="Arial Narrow" w:eastAsiaTheme="majorEastAsia" w:hAnsi="Arial Narrow" w:cstheme="majorBidi"/>
                <w:bCs/>
                <w:sz w:val="20"/>
                <w:szCs w:val="20"/>
              </w:rPr>
            </w:pPr>
            <w:r w:rsidRPr="0029195A">
              <w:rPr>
                <w:rFonts w:ascii="Arial Narrow" w:eastAsiaTheme="majorEastAsia" w:hAnsi="Arial Narrow" w:cstheme="majorBidi"/>
                <w:bCs/>
                <w:sz w:val="20"/>
                <w:szCs w:val="20"/>
              </w:rPr>
              <w:t>Cost to PBS/RPBS less copayments</w:t>
            </w:r>
            <w:r w:rsidR="009F021C">
              <w:rPr>
                <w:rFonts w:ascii="Arial Narrow" w:eastAsiaTheme="majorEastAsia" w:hAnsi="Arial Narrow" w:cstheme="majorBidi"/>
                <w:bCs/>
                <w:sz w:val="20"/>
                <w:szCs w:val="20"/>
              </w:rPr>
              <w:t xml:space="preserve"> ($)</w:t>
            </w:r>
          </w:p>
        </w:tc>
        <w:tc>
          <w:tcPr>
            <w:tcW w:w="611" w:type="pct"/>
            <w:shd w:val="clear" w:color="auto" w:fill="auto"/>
            <w:vAlign w:val="center"/>
          </w:tcPr>
          <w:p w14:paraId="6AE428D8" w14:textId="0614526E" w:rsidR="0052778A" w:rsidRPr="000760AA" w:rsidRDefault="00A26F4F" w:rsidP="0052778A">
            <w:pPr>
              <w:keepNext/>
              <w:jc w:val="center"/>
              <w:rPr>
                <w:rFonts w:ascii="Arial Narrow" w:eastAsiaTheme="majorEastAsia" w:hAnsi="Arial Narrow" w:cstheme="majorBidi"/>
                <w:bCs/>
                <w:sz w:val="20"/>
                <w:highlight w:val="darkGray"/>
                <w:vertAlign w:val="superscript"/>
              </w:rPr>
            </w:pPr>
            <w:r w:rsidRPr="00A26F4F">
              <w:rPr>
                <w:rFonts w:ascii="Arial Narrow" w:eastAsiaTheme="majorEastAsia" w:hAnsi="Arial Narrow" w:cstheme="majorBidi" w:hint="eastAsia"/>
                <w:bCs/>
                <w:color w:val="000000"/>
                <w:w w:val="15"/>
                <w:sz w:val="20"/>
                <w:shd w:val="solid" w:color="000000" w:fill="000000"/>
                <w:fitText w:val="45" w:id="-1168989437"/>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437"/>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437"/>
                <w14:textFill>
                  <w14:solidFill>
                    <w14:srgbClr w14:val="000000">
                      <w14:alpha w14:val="100000"/>
                    </w14:srgbClr>
                  </w14:solidFill>
                </w14:textFill>
              </w:rPr>
              <w:t xml:space="preserve">　</w:t>
            </w:r>
            <w:r w:rsidR="000760AA" w:rsidRPr="000760AA">
              <w:rPr>
                <w:rFonts w:ascii="Arial Narrow" w:eastAsiaTheme="majorEastAsia" w:hAnsi="Arial Narrow" w:cstheme="majorBidi"/>
                <w:bCs/>
                <w:sz w:val="20"/>
                <w:vertAlign w:val="superscript"/>
              </w:rPr>
              <w:t>4</w:t>
            </w:r>
          </w:p>
        </w:tc>
        <w:tc>
          <w:tcPr>
            <w:tcW w:w="611" w:type="pct"/>
            <w:shd w:val="clear" w:color="auto" w:fill="auto"/>
            <w:vAlign w:val="center"/>
          </w:tcPr>
          <w:p w14:paraId="4DFFD656" w14:textId="50530D6F" w:rsidR="0052778A" w:rsidRPr="009F021C" w:rsidRDefault="00A26F4F" w:rsidP="0052778A">
            <w:pPr>
              <w:keepNext/>
              <w:jc w:val="center"/>
              <w:rPr>
                <w:rFonts w:ascii="Arial Narrow" w:eastAsiaTheme="majorEastAsia" w:hAnsi="Arial Narrow" w:cstheme="majorBidi"/>
                <w:bCs/>
                <w:sz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436"/>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436"/>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436"/>
                <w14:textFill>
                  <w14:solidFill>
                    <w14:srgbClr w14:val="000000">
                      <w14:alpha w14:val="100000"/>
                    </w14:srgbClr>
                  </w14:solidFill>
                </w14:textFill>
              </w:rPr>
              <w:t xml:space="preserve">　</w:t>
            </w:r>
            <w:r w:rsidR="000760AA" w:rsidRPr="000760AA">
              <w:rPr>
                <w:rFonts w:ascii="Arial Narrow" w:eastAsiaTheme="majorEastAsia" w:hAnsi="Arial Narrow" w:cstheme="majorBidi"/>
                <w:bCs/>
                <w:sz w:val="20"/>
                <w:vertAlign w:val="superscript"/>
              </w:rPr>
              <w:t>4</w:t>
            </w:r>
          </w:p>
        </w:tc>
        <w:tc>
          <w:tcPr>
            <w:tcW w:w="611" w:type="pct"/>
            <w:shd w:val="clear" w:color="auto" w:fill="auto"/>
            <w:vAlign w:val="center"/>
          </w:tcPr>
          <w:p w14:paraId="6ACE826C" w14:textId="38A3BBAC" w:rsidR="0052778A" w:rsidRPr="000760AA" w:rsidRDefault="00A26F4F" w:rsidP="0052778A">
            <w:pPr>
              <w:keepNext/>
              <w:jc w:val="center"/>
              <w:rPr>
                <w:rFonts w:ascii="Arial Narrow" w:eastAsiaTheme="majorEastAsia" w:hAnsi="Arial Narrow" w:cstheme="majorBidi"/>
                <w:bCs/>
                <w:sz w:val="20"/>
                <w:highlight w:val="darkGray"/>
                <w:vertAlign w:val="superscript"/>
              </w:rPr>
            </w:pPr>
            <w:r w:rsidRPr="00A26F4F">
              <w:rPr>
                <w:rFonts w:ascii="Arial Narrow" w:eastAsiaTheme="majorEastAsia" w:hAnsi="Arial Narrow" w:cstheme="majorBidi" w:hint="eastAsia"/>
                <w:bCs/>
                <w:color w:val="000000"/>
                <w:w w:val="15"/>
                <w:sz w:val="20"/>
                <w:shd w:val="solid" w:color="000000" w:fill="000000"/>
                <w:fitText w:val="45" w:id="-1168989435"/>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435"/>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435"/>
                <w14:textFill>
                  <w14:solidFill>
                    <w14:srgbClr w14:val="000000">
                      <w14:alpha w14:val="100000"/>
                    </w14:srgbClr>
                  </w14:solidFill>
                </w14:textFill>
              </w:rPr>
              <w:t xml:space="preserve">　</w:t>
            </w:r>
            <w:r w:rsidR="000760AA" w:rsidRPr="000760AA">
              <w:rPr>
                <w:rFonts w:ascii="Arial Narrow" w:eastAsiaTheme="majorEastAsia" w:hAnsi="Arial Narrow" w:cstheme="majorBidi"/>
                <w:bCs/>
                <w:sz w:val="20"/>
                <w:vertAlign w:val="superscript"/>
              </w:rPr>
              <w:t>5</w:t>
            </w:r>
          </w:p>
        </w:tc>
        <w:tc>
          <w:tcPr>
            <w:tcW w:w="611" w:type="pct"/>
            <w:shd w:val="clear" w:color="auto" w:fill="auto"/>
            <w:vAlign w:val="center"/>
          </w:tcPr>
          <w:p w14:paraId="0F6E59A1" w14:textId="48EDA10B" w:rsidR="0052778A" w:rsidRPr="009F021C" w:rsidRDefault="00A26F4F" w:rsidP="0052778A">
            <w:pPr>
              <w:keepNext/>
              <w:jc w:val="center"/>
              <w:rPr>
                <w:rFonts w:ascii="Arial Narrow" w:eastAsiaTheme="majorEastAsia" w:hAnsi="Arial Narrow" w:cstheme="majorBidi"/>
                <w:bCs/>
                <w:sz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434"/>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434"/>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434"/>
                <w14:textFill>
                  <w14:solidFill>
                    <w14:srgbClr w14:val="000000">
                      <w14:alpha w14:val="100000"/>
                    </w14:srgbClr>
                  </w14:solidFill>
                </w14:textFill>
              </w:rPr>
              <w:t xml:space="preserve">　</w:t>
            </w:r>
            <w:r w:rsidR="000760AA" w:rsidRPr="000760AA">
              <w:rPr>
                <w:rFonts w:ascii="Arial Narrow" w:eastAsiaTheme="majorEastAsia" w:hAnsi="Arial Narrow" w:cstheme="majorBidi"/>
                <w:bCs/>
                <w:sz w:val="20"/>
                <w:vertAlign w:val="superscript"/>
              </w:rPr>
              <w:t>5</w:t>
            </w:r>
          </w:p>
        </w:tc>
        <w:tc>
          <w:tcPr>
            <w:tcW w:w="611" w:type="pct"/>
            <w:shd w:val="clear" w:color="auto" w:fill="auto"/>
            <w:vAlign w:val="center"/>
          </w:tcPr>
          <w:p w14:paraId="17713AA6" w14:textId="67514595" w:rsidR="0052778A" w:rsidRPr="009F021C" w:rsidRDefault="00A26F4F" w:rsidP="0052778A">
            <w:pPr>
              <w:keepNext/>
              <w:jc w:val="center"/>
              <w:rPr>
                <w:rFonts w:ascii="Arial Narrow" w:eastAsiaTheme="majorEastAsia" w:hAnsi="Arial Narrow" w:cstheme="majorBidi"/>
                <w:bCs/>
                <w:sz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433"/>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433"/>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433"/>
                <w14:textFill>
                  <w14:solidFill>
                    <w14:srgbClr w14:val="000000">
                      <w14:alpha w14:val="100000"/>
                    </w14:srgbClr>
                  </w14:solidFill>
                </w14:textFill>
              </w:rPr>
              <w:t xml:space="preserve">　</w:t>
            </w:r>
            <w:r w:rsidR="000760AA" w:rsidRPr="000760AA">
              <w:rPr>
                <w:rFonts w:ascii="Arial Narrow" w:eastAsiaTheme="majorEastAsia" w:hAnsi="Arial Narrow" w:cstheme="majorBidi"/>
                <w:bCs/>
                <w:sz w:val="20"/>
                <w:vertAlign w:val="superscript"/>
              </w:rPr>
              <w:t>5</w:t>
            </w:r>
          </w:p>
        </w:tc>
        <w:tc>
          <w:tcPr>
            <w:tcW w:w="611" w:type="pct"/>
            <w:vAlign w:val="center"/>
          </w:tcPr>
          <w:p w14:paraId="6DE3BEE1" w14:textId="15CC9C1C" w:rsidR="0052778A" w:rsidRPr="009F021C" w:rsidRDefault="00A26F4F" w:rsidP="0052778A">
            <w:pPr>
              <w:keepNext/>
              <w:jc w:val="center"/>
              <w:rPr>
                <w:rFonts w:ascii="Arial Narrow" w:eastAsiaTheme="majorEastAsia" w:hAnsi="Arial Narrow" w:cstheme="majorBidi"/>
                <w:bCs/>
                <w:sz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432"/>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432"/>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432"/>
                <w14:textFill>
                  <w14:solidFill>
                    <w14:srgbClr w14:val="000000">
                      <w14:alpha w14:val="100000"/>
                    </w14:srgbClr>
                  </w14:solidFill>
                </w14:textFill>
              </w:rPr>
              <w:t xml:space="preserve">　</w:t>
            </w:r>
            <w:r w:rsidR="000760AA" w:rsidRPr="000760AA">
              <w:rPr>
                <w:rFonts w:ascii="Arial Narrow" w:eastAsiaTheme="majorEastAsia" w:hAnsi="Arial Narrow" w:cstheme="majorBidi"/>
                <w:bCs/>
                <w:sz w:val="20"/>
                <w:vertAlign w:val="superscript"/>
              </w:rPr>
              <w:t>5</w:t>
            </w:r>
          </w:p>
        </w:tc>
      </w:tr>
      <w:tr w:rsidR="0052778A" w:rsidRPr="0029195A" w14:paraId="29DB8C4E" w14:textId="77777777" w:rsidTr="00B61222">
        <w:tc>
          <w:tcPr>
            <w:tcW w:w="5000" w:type="pct"/>
            <w:gridSpan w:val="7"/>
            <w:shd w:val="clear" w:color="auto" w:fill="auto"/>
            <w:vAlign w:val="center"/>
          </w:tcPr>
          <w:p w14:paraId="1552F05B" w14:textId="77777777" w:rsidR="0052778A" w:rsidRPr="0029195A" w:rsidRDefault="0052778A" w:rsidP="0052778A">
            <w:pPr>
              <w:keepNext/>
              <w:jc w:val="left"/>
              <w:rPr>
                <w:rFonts w:ascii="Arial Narrow" w:eastAsiaTheme="majorEastAsia" w:hAnsi="Arial Narrow" w:cstheme="majorBidi"/>
                <w:bCs/>
                <w:sz w:val="20"/>
                <w:szCs w:val="20"/>
              </w:rPr>
            </w:pPr>
            <w:r w:rsidRPr="0029195A">
              <w:rPr>
                <w:rFonts w:ascii="Arial Narrow" w:eastAsiaTheme="majorEastAsia" w:hAnsi="Arial Narrow" w:cstheme="majorBidi"/>
                <w:bCs/>
                <w:sz w:val="20"/>
                <w:szCs w:val="20"/>
              </w:rPr>
              <w:t>Estimated financial implications for prednisone</w:t>
            </w:r>
          </w:p>
        </w:tc>
      </w:tr>
      <w:tr w:rsidR="0052778A" w:rsidRPr="0029195A" w14:paraId="351D3E97" w14:textId="77777777" w:rsidTr="00B61222">
        <w:tc>
          <w:tcPr>
            <w:tcW w:w="1334" w:type="pct"/>
            <w:shd w:val="clear" w:color="auto" w:fill="auto"/>
            <w:vAlign w:val="center"/>
          </w:tcPr>
          <w:p w14:paraId="66A25D7B" w14:textId="6554EB65" w:rsidR="0052778A" w:rsidRPr="0029195A" w:rsidRDefault="0052778A" w:rsidP="0052778A">
            <w:pPr>
              <w:keepNext/>
              <w:jc w:val="left"/>
              <w:rPr>
                <w:rFonts w:ascii="Arial Narrow" w:eastAsiaTheme="majorEastAsia" w:hAnsi="Arial Narrow" w:cstheme="majorBidi"/>
                <w:bCs/>
                <w:sz w:val="20"/>
                <w:szCs w:val="20"/>
              </w:rPr>
            </w:pPr>
            <w:r w:rsidRPr="0029195A">
              <w:rPr>
                <w:rFonts w:ascii="Arial Narrow" w:eastAsiaTheme="majorEastAsia" w:hAnsi="Arial Narrow" w:cstheme="majorBidi"/>
                <w:bCs/>
                <w:sz w:val="20"/>
                <w:szCs w:val="20"/>
              </w:rPr>
              <w:t>Cost to PBS/RPBS less copayments</w:t>
            </w:r>
            <w:r w:rsidR="009F021C">
              <w:rPr>
                <w:rFonts w:ascii="Arial Narrow" w:eastAsiaTheme="majorEastAsia" w:hAnsi="Arial Narrow" w:cstheme="majorBidi"/>
                <w:bCs/>
                <w:sz w:val="20"/>
                <w:szCs w:val="20"/>
              </w:rPr>
              <w:t xml:space="preserve"> ($)</w:t>
            </w:r>
          </w:p>
        </w:tc>
        <w:tc>
          <w:tcPr>
            <w:tcW w:w="611" w:type="pct"/>
            <w:shd w:val="clear" w:color="auto" w:fill="auto"/>
            <w:vAlign w:val="center"/>
          </w:tcPr>
          <w:p w14:paraId="7DE92D05" w14:textId="0AA6DE35" w:rsidR="0052778A" w:rsidRPr="000760AA" w:rsidRDefault="00A26F4F" w:rsidP="0052778A">
            <w:pPr>
              <w:keepNext/>
              <w:jc w:val="center"/>
              <w:rPr>
                <w:rFonts w:ascii="Arial Narrow" w:eastAsiaTheme="majorEastAsia" w:hAnsi="Arial Narrow" w:cstheme="majorBidi"/>
                <w:bCs/>
                <w:sz w:val="20"/>
                <w:vertAlign w:val="superscript"/>
              </w:rPr>
            </w:pPr>
            <w:r w:rsidRPr="00A26F4F">
              <w:rPr>
                <w:rFonts w:ascii="Arial Narrow" w:eastAsiaTheme="majorEastAsia" w:hAnsi="Arial Narrow" w:cstheme="majorBidi" w:hint="eastAsia"/>
                <w:bCs/>
                <w:color w:val="000000"/>
                <w:w w:val="15"/>
                <w:sz w:val="20"/>
                <w:shd w:val="solid" w:color="000000" w:fill="000000"/>
                <w:fitText w:val="45" w:id="-1168989431"/>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431"/>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431"/>
                <w14:textFill>
                  <w14:solidFill>
                    <w14:srgbClr w14:val="000000">
                      <w14:alpha w14:val="100000"/>
                    </w14:srgbClr>
                  </w14:solidFill>
                </w14:textFill>
              </w:rPr>
              <w:t xml:space="preserve">　</w:t>
            </w:r>
            <w:r w:rsidR="000760AA">
              <w:rPr>
                <w:rFonts w:ascii="Arial Narrow" w:eastAsiaTheme="majorEastAsia" w:hAnsi="Arial Narrow" w:cstheme="majorBidi"/>
                <w:bCs/>
                <w:sz w:val="20"/>
                <w:vertAlign w:val="superscript"/>
              </w:rPr>
              <w:t>6</w:t>
            </w:r>
          </w:p>
        </w:tc>
        <w:tc>
          <w:tcPr>
            <w:tcW w:w="611" w:type="pct"/>
            <w:shd w:val="clear" w:color="auto" w:fill="auto"/>
            <w:vAlign w:val="center"/>
          </w:tcPr>
          <w:p w14:paraId="757103E3" w14:textId="439C1020" w:rsidR="0052778A" w:rsidRPr="0029195A" w:rsidRDefault="00A26F4F" w:rsidP="0052778A">
            <w:pPr>
              <w:keepNext/>
              <w:jc w:val="center"/>
              <w:rPr>
                <w:rFonts w:ascii="Arial Narrow" w:eastAsiaTheme="majorEastAsia" w:hAnsi="Arial Narrow" w:cstheme="majorBidi"/>
                <w:bCs/>
                <w:sz w:val="20"/>
              </w:rPr>
            </w:pPr>
            <w:r w:rsidRPr="00A26F4F">
              <w:rPr>
                <w:rFonts w:ascii="Arial Narrow" w:eastAsiaTheme="majorEastAsia" w:hAnsi="Arial Narrow" w:cstheme="majorBidi" w:hint="eastAsia"/>
                <w:bCs/>
                <w:color w:val="000000"/>
                <w:w w:val="15"/>
                <w:sz w:val="20"/>
                <w:shd w:val="solid" w:color="000000" w:fill="000000"/>
                <w:fitText w:val="45" w:id="-1168989430"/>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430"/>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430"/>
                <w14:textFill>
                  <w14:solidFill>
                    <w14:srgbClr w14:val="000000">
                      <w14:alpha w14:val="100000"/>
                    </w14:srgbClr>
                  </w14:solidFill>
                </w14:textFill>
              </w:rPr>
              <w:t xml:space="preserve">　</w:t>
            </w:r>
            <w:r w:rsidR="000760AA">
              <w:rPr>
                <w:rFonts w:ascii="Arial Narrow" w:eastAsiaTheme="majorEastAsia" w:hAnsi="Arial Narrow" w:cstheme="majorBidi"/>
                <w:bCs/>
                <w:sz w:val="20"/>
                <w:vertAlign w:val="superscript"/>
              </w:rPr>
              <w:t>6</w:t>
            </w:r>
          </w:p>
        </w:tc>
        <w:tc>
          <w:tcPr>
            <w:tcW w:w="611" w:type="pct"/>
            <w:shd w:val="clear" w:color="auto" w:fill="auto"/>
            <w:vAlign w:val="center"/>
          </w:tcPr>
          <w:p w14:paraId="0BAF0B09" w14:textId="4818E9A8" w:rsidR="0052778A" w:rsidRPr="0029195A" w:rsidRDefault="00A26F4F" w:rsidP="0052778A">
            <w:pPr>
              <w:keepNext/>
              <w:jc w:val="center"/>
              <w:rPr>
                <w:rFonts w:ascii="Arial Narrow" w:eastAsiaTheme="majorEastAsia" w:hAnsi="Arial Narrow" w:cstheme="majorBidi"/>
                <w:bCs/>
                <w:sz w:val="20"/>
              </w:rPr>
            </w:pPr>
            <w:r w:rsidRPr="00A26F4F">
              <w:rPr>
                <w:rFonts w:ascii="Arial Narrow" w:eastAsiaTheme="majorEastAsia" w:hAnsi="Arial Narrow" w:cstheme="majorBidi" w:hint="eastAsia"/>
                <w:bCs/>
                <w:color w:val="000000"/>
                <w:w w:val="15"/>
                <w:sz w:val="20"/>
                <w:shd w:val="solid" w:color="000000" w:fill="000000"/>
                <w:fitText w:val="45" w:id="-1168989429"/>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429"/>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429"/>
                <w14:textFill>
                  <w14:solidFill>
                    <w14:srgbClr w14:val="000000">
                      <w14:alpha w14:val="100000"/>
                    </w14:srgbClr>
                  </w14:solidFill>
                </w14:textFill>
              </w:rPr>
              <w:t xml:space="preserve">　</w:t>
            </w:r>
            <w:r w:rsidR="000760AA">
              <w:rPr>
                <w:rFonts w:ascii="Arial Narrow" w:eastAsiaTheme="majorEastAsia" w:hAnsi="Arial Narrow" w:cstheme="majorBidi"/>
                <w:bCs/>
                <w:sz w:val="20"/>
                <w:vertAlign w:val="superscript"/>
              </w:rPr>
              <w:t>6</w:t>
            </w:r>
          </w:p>
        </w:tc>
        <w:tc>
          <w:tcPr>
            <w:tcW w:w="611" w:type="pct"/>
            <w:shd w:val="clear" w:color="auto" w:fill="auto"/>
            <w:vAlign w:val="center"/>
          </w:tcPr>
          <w:p w14:paraId="55471D94" w14:textId="4776E5E0" w:rsidR="0052778A" w:rsidRPr="0029195A" w:rsidRDefault="00A26F4F" w:rsidP="0052778A">
            <w:pPr>
              <w:keepNext/>
              <w:jc w:val="center"/>
              <w:rPr>
                <w:rFonts w:ascii="Arial Narrow" w:eastAsiaTheme="majorEastAsia" w:hAnsi="Arial Narrow" w:cstheme="majorBidi"/>
                <w:bCs/>
                <w:sz w:val="20"/>
              </w:rPr>
            </w:pPr>
            <w:r w:rsidRPr="00A26F4F">
              <w:rPr>
                <w:rFonts w:ascii="Arial Narrow" w:eastAsiaTheme="majorEastAsia" w:hAnsi="Arial Narrow" w:cstheme="majorBidi" w:hint="eastAsia"/>
                <w:bCs/>
                <w:color w:val="000000"/>
                <w:w w:val="15"/>
                <w:sz w:val="20"/>
                <w:shd w:val="solid" w:color="000000" w:fill="000000"/>
                <w:fitText w:val="45" w:id="-1168989428"/>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428"/>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428"/>
                <w14:textFill>
                  <w14:solidFill>
                    <w14:srgbClr w14:val="000000">
                      <w14:alpha w14:val="100000"/>
                    </w14:srgbClr>
                  </w14:solidFill>
                </w14:textFill>
              </w:rPr>
              <w:t xml:space="preserve">　</w:t>
            </w:r>
            <w:r w:rsidR="000760AA">
              <w:rPr>
                <w:rFonts w:ascii="Arial Narrow" w:eastAsiaTheme="majorEastAsia" w:hAnsi="Arial Narrow" w:cstheme="majorBidi"/>
                <w:bCs/>
                <w:sz w:val="20"/>
                <w:vertAlign w:val="superscript"/>
              </w:rPr>
              <w:t>6</w:t>
            </w:r>
          </w:p>
        </w:tc>
        <w:tc>
          <w:tcPr>
            <w:tcW w:w="611" w:type="pct"/>
            <w:shd w:val="clear" w:color="auto" w:fill="auto"/>
            <w:vAlign w:val="center"/>
          </w:tcPr>
          <w:p w14:paraId="24469148" w14:textId="1C482F88" w:rsidR="0052778A" w:rsidRPr="0029195A" w:rsidRDefault="00A26F4F" w:rsidP="0052778A">
            <w:pPr>
              <w:keepNext/>
              <w:jc w:val="center"/>
              <w:rPr>
                <w:rFonts w:ascii="Arial Narrow" w:eastAsiaTheme="majorEastAsia" w:hAnsi="Arial Narrow" w:cstheme="majorBidi"/>
                <w:bCs/>
                <w:sz w:val="20"/>
              </w:rPr>
            </w:pPr>
            <w:r w:rsidRPr="00A26F4F">
              <w:rPr>
                <w:rFonts w:ascii="Arial Narrow" w:eastAsiaTheme="majorEastAsia" w:hAnsi="Arial Narrow" w:cstheme="majorBidi" w:hint="eastAsia"/>
                <w:bCs/>
                <w:color w:val="000000"/>
                <w:w w:val="15"/>
                <w:sz w:val="20"/>
                <w:shd w:val="solid" w:color="000000" w:fill="000000"/>
                <w:fitText w:val="45" w:id="-1168989427"/>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427"/>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427"/>
                <w14:textFill>
                  <w14:solidFill>
                    <w14:srgbClr w14:val="000000">
                      <w14:alpha w14:val="100000"/>
                    </w14:srgbClr>
                  </w14:solidFill>
                </w14:textFill>
              </w:rPr>
              <w:t xml:space="preserve">　</w:t>
            </w:r>
            <w:r w:rsidR="000760AA">
              <w:rPr>
                <w:rFonts w:ascii="Arial Narrow" w:eastAsiaTheme="majorEastAsia" w:hAnsi="Arial Narrow" w:cstheme="majorBidi"/>
                <w:bCs/>
                <w:sz w:val="20"/>
                <w:vertAlign w:val="superscript"/>
              </w:rPr>
              <w:t>6</w:t>
            </w:r>
          </w:p>
        </w:tc>
        <w:tc>
          <w:tcPr>
            <w:tcW w:w="611" w:type="pct"/>
            <w:vAlign w:val="center"/>
          </w:tcPr>
          <w:p w14:paraId="42403AD1" w14:textId="10D1CFDB" w:rsidR="0052778A" w:rsidRPr="0029195A" w:rsidRDefault="00A26F4F" w:rsidP="0052778A">
            <w:pPr>
              <w:keepNext/>
              <w:jc w:val="center"/>
              <w:rPr>
                <w:rFonts w:ascii="Arial Narrow" w:eastAsiaTheme="majorEastAsia" w:hAnsi="Arial Narrow" w:cstheme="majorBidi"/>
                <w:bCs/>
                <w:sz w:val="20"/>
              </w:rPr>
            </w:pPr>
            <w:r w:rsidRPr="00A26F4F">
              <w:rPr>
                <w:rFonts w:ascii="Arial Narrow" w:eastAsiaTheme="majorEastAsia" w:hAnsi="Arial Narrow" w:cstheme="majorBidi" w:hint="eastAsia"/>
                <w:bCs/>
                <w:color w:val="000000"/>
                <w:w w:val="15"/>
                <w:sz w:val="20"/>
                <w:shd w:val="solid" w:color="000000" w:fill="000000"/>
                <w:fitText w:val="45" w:id="-1168989426"/>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426"/>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426"/>
                <w14:textFill>
                  <w14:solidFill>
                    <w14:srgbClr w14:val="000000">
                      <w14:alpha w14:val="100000"/>
                    </w14:srgbClr>
                  </w14:solidFill>
                </w14:textFill>
              </w:rPr>
              <w:t xml:space="preserve">　</w:t>
            </w:r>
            <w:r w:rsidR="000760AA">
              <w:rPr>
                <w:rFonts w:ascii="Arial Narrow" w:eastAsiaTheme="majorEastAsia" w:hAnsi="Arial Narrow" w:cstheme="majorBidi"/>
                <w:bCs/>
                <w:sz w:val="20"/>
                <w:vertAlign w:val="superscript"/>
              </w:rPr>
              <w:t>6</w:t>
            </w:r>
          </w:p>
        </w:tc>
      </w:tr>
      <w:tr w:rsidR="0052778A" w:rsidRPr="0029195A" w14:paraId="46A64C90" w14:textId="77777777" w:rsidTr="00B61222">
        <w:tc>
          <w:tcPr>
            <w:tcW w:w="5000" w:type="pct"/>
            <w:gridSpan w:val="7"/>
            <w:shd w:val="clear" w:color="auto" w:fill="auto"/>
            <w:vAlign w:val="center"/>
          </w:tcPr>
          <w:p w14:paraId="3DF6F874" w14:textId="77777777" w:rsidR="0052778A" w:rsidRPr="0029195A" w:rsidRDefault="0052778A" w:rsidP="0052778A">
            <w:pPr>
              <w:keepNext/>
              <w:jc w:val="left"/>
              <w:rPr>
                <w:rFonts w:ascii="Arial Narrow" w:eastAsiaTheme="majorEastAsia" w:hAnsi="Arial Narrow" w:cs="Times New Roman"/>
                <w:b/>
                <w:sz w:val="20"/>
              </w:rPr>
            </w:pPr>
            <w:r w:rsidRPr="0029195A">
              <w:rPr>
                <w:rFonts w:ascii="Arial Narrow" w:eastAsiaTheme="majorEastAsia" w:hAnsi="Arial Narrow" w:cs="Times New Roman"/>
                <w:b/>
                <w:sz w:val="20"/>
              </w:rPr>
              <w:t>Net financial implications</w:t>
            </w:r>
            <w:r w:rsidRPr="0029195A">
              <w:rPr>
                <w:rFonts w:ascii="Arial Narrow" w:eastAsiaTheme="majorEastAsia" w:hAnsi="Arial Narrow" w:cs="Times New Roman"/>
                <w:b/>
                <w:color w:val="4BACC6" w:themeColor="accent5"/>
                <w:sz w:val="20"/>
              </w:rPr>
              <w:t xml:space="preserve"> </w:t>
            </w:r>
          </w:p>
        </w:tc>
      </w:tr>
      <w:tr w:rsidR="0052778A" w:rsidRPr="0029195A" w14:paraId="6FA4051B" w14:textId="77777777" w:rsidTr="00B61222">
        <w:tc>
          <w:tcPr>
            <w:tcW w:w="1334" w:type="pct"/>
            <w:shd w:val="clear" w:color="auto" w:fill="auto"/>
            <w:vAlign w:val="center"/>
          </w:tcPr>
          <w:p w14:paraId="74D402A8" w14:textId="21D62C31" w:rsidR="0052778A" w:rsidRPr="0029195A" w:rsidRDefault="0052778A" w:rsidP="0052778A">
            <w:pPr>
              <w:keepNext/>
              <w:jc w:val="left"/>
              <w:rPr>
                <w:rFonts w:ascii="Arial Narrow" w:eastAsiaTheme="majorEastAsia" w:hAnsi="Arial Narrow" w:cstheme="majorBidi"/>
                <w:bCs/>
                <w:sz w:val="20"/>
                <w:szCs w:val="20"/>
              </w:rPr>
            </w:pPr>
            <w:r w:rsidRPr="0029195A">
              <w:rPr>
                <w:rFonts w:ascii="Arial Narrow" w:eastAsiaTheme="majorEastAsia" w:hAnsi="Arial Narrow" w:cstheme="majorBidi"/>
                <w:bCs/>
                <w:sz w:val="20"/>
                <w:szCs w:val="20"/>
              </w:rPr>
              <w:t>Net cost to PBS/RPBS</w:t>
            </w:r>
            <w:r w:rsidR="009F021C">
              <w:rPr>
                <w:rFonts w:ascii="Arial Narrow" w:eastAsiaTheme="majorEastAsia" w:hAnsi="Arial Narrow" w:cstheme="majorBidi"/>
                <w:bCs/>
                <w:sz w:val="20"/>
                <w:szCs w:val="20"/>
              </w:rPr>
              <w:t xml:space="preserve"> ($)</w:t>
            </w:r>
          </w:p>
        </w:tc>
        <w:tc>
          <w:tcPr>
            <w:tcW w:w="611" w:type="pct"/>
            <w:shd w:val="clear" w:color="auto" w:fill="auto"/>
            <w:vAlign w:val="center"/>
          </w:tcPr>
          <w:p w14:paraId="0476D8C7" w14:textId="1E622CA0" w:rsidR="0052778A" w:rsidRPr="009F021C" w:rsidRDefault="00A26F4F" w:rsidP="0052778A">
            <w:pPr>
              <w:keepNext/>
              <w:jc w:val="center"/>
              <w:rPr>
                <w:rFonts w:ascii="Arial Narrow" w:eastAsiaTheme="majorEastAsia" w:hAnsi="Arial Narrow" w:cstheme="majorBidi"/>
                <w:bCs/>
                <w:sz w:val="20"/>
                <w:highlight w:val="darkGray"/>
              </w:rPr>
            </w:pPr>
            <w:r w:rsidRPr="00A26F4F">
              <w:rPr>
                <w:rFonts w:ascii="Arial Narrow" w:eastAsiaTheme="majorEastAsia" w:hAnsi="Arial Narrow" w:cstheme="majorBidi" w:hint="eastAsia"/>
                <w:bCs/>
                <w:color w:val="000000"/>
                <w:w w:val="15"/>
                <w:sz w:val="20"/>
                <w:szCs w:val="20"/>
                <w:shd w:val="solid" w:color="000000" w:fill="000000"/>
                <w:fitText w:val="45" w:id="-1168989425"/>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zCs w:val="20"/>
                <w:shd w:val="solid" w:color="000000" w:fill="000000"/>
                <w:fitText w:val="45" w:id="-1168989425"/>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zCs w:val="20"/>
                <w:shd w:val="solid" w:color="000000" w:fill="000000"/>
                <w:fitText w:val="45" w:id="-1168989425"/>
                <w14:textFill>
                  <w14:solidFill>
                    <w14:srgbClr w14:val="000000">
                      <w14:alpha w14:val="100000"/>
                    </w14:srgbClr>
                  </w14:solidFill>
                </w14:textFill>
              </w:rPr>
              <w:t xml:space="preserve">　</w:t>
            </w:r>
            <w:r w:rsidR="000760AA" w:rsidRPr="000760AA">
              <w:rPr>
                <w:rFonts w:ascii="Arial Narrow" w:eastAsiaTheme="majorEastAsia" w:hAnsi="Arial Narrow" w:cstheme="majorBidi"/>
                <w:bCs/>
                <w:sz w:val="20"/>
                <w:vertAlign w:val="superscript"/>
              </w:rPr>
              <w:t>4</w:t>
            </w:r>
          </w:p>
        </w:tc>
        <w:tc>
          <w:tcPr>
            <w:tcW w:w="611" w:type="pct"/>
            <w:shd w:val="clear" w:color="auto" w:fill="auto"/>
            <w:vAlign w:val="center"/>
          </w:tcPr>
          <w:p w14:paraId="5E66F394" w14:textId="549C38BB" w:rsidR="0052778A" w:rsidRPr="009F021C" w:rsidRDefault="00A26F4F" w:rsidP="0052778A">
            <w:pPr>
              <w:keepNext/>
              <w:jc w:val="center"/>
              <w:rPr>
                <w:rFonts w:ascii="Arial Narrow" w:eastAsiaTheme="majorEastAsia" w:hAnsi="Arial Narrow" w:cstheme="majorBidi"/>
                <w:bCs/>
                <w:sz w:val="20"/>
                <w:highlight w:val="darkGray"/>
              </w:rPr>
            </w:pPr>
            <w:r w:rsidRPr="00A26F4F">
              <w:rPr>
                <w:rFonts w:ascii="Arial Narrow" w:eastAsiaTheme="majorEastAsia" w:hAnsi="Arial Narrow" w:cstheme="majorBidi" w:hint="eastAsia"/>
                <w:bCs/>
                <w:color w:val="000000"/>
                <w:w w:val="15"/>
                <w:sz w:val="20"/>
                <w:szCs w:val="20"/>
                <w:shd w:val="solid" w:color="000000" w:fill="000000"/>
                <w:fitText w:val="45" w:id="-1168989424"/>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zCs w:val="20"/>
                <w:shd w:val="solid" w:color="000000" w:fill="000000"/>
                <w:fitText w:val="45" w:id="-1168989424"/>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zCs w:val="20"/>
                <w:shd w:val="solid" w:color="000000" w:fill="000000"/>
                <w:fitText w:val="45" w:id="-1168989424"/>
                <w14:textFill>
                  <w14:solidFill>
                    <w14:srgbClr w14:val="000000">
                      <w14:alpha w14:val="100000"/>
                    </w14:srgbClr>
                  </w14:solidFill>
                </w14:textFill>
              </w:rPr>
              <w:t xml:space="preserve">　</w:t>
            </w:r>
            <w:r w:rsidR="000760AA" w:rsidRPr="000760AA">
              <w:rPr>
                <w:rFonts w:ascii="Arial Narrow" w:eastAsiaTheme="majorEastAsia" w:hAnsi="Arial Narrow" w:cstheme="majorBidi"/>
                <w:bCs/>
                <w:sz w:val="20"/>
                <w:vertAlign w:val="superscript"/>
              </w:rPr>
              <w:t>4</w:t>
            </w:r>
          </w:p>
        </w:tc>
        <w:tc>
          <w:tcPr>
            <w:tcW w:w="611" w:type="pct"/>
            <w:shd w:val="clear" w:color="auto" w:fill="auto"/>
            <w:vAlign w:val="center"/>
          </w:tcPr>
          <w:p w14:paraId="2E9B51D4" w14:textId="5455D96D" w:rsidR="0052778A" w:rsidRPr="009F021C" w:rsidRDefault="00A26F4F" w:rsidP="0052778A">
            <w:pPr>
              <w:keepNext/>
              <w:jc w:val="center"/>
              <w:rPr>
                <w:rFonts w:ascii="Arial Narrow" w:eastAsiaTheme="majorEastAsia" w:hAnsi="Arial Narrow" w:cstheme="majorBidi"/>
                <w:bCs/>
                <w:sz w:val="20"/>
                <w:highlight w:val="darkGray"/>
              </w:rPr>
            </w:pPr>
            <w:r w:rsidRPr="00A26F4F">
              <w:rPr>
                <w:rFonts w:ascii="Arial Narrow" w:eastAsiaTheme="majorEastAsia" w:hAnsi="Arial Narrow" w:cstheme="majorBidi" w:hint="eastAsia"/>
                <w:bCs/>
                <w:color w:val="000000"/>
                <w:w w:val="15"/>
                <w:sz w:val="20"/>
                <w:szCs w:val="20"/>
                <w:shd w:val="solid" w:color="000000" w:fill="000000"/>
                <w:fitText w:val="45" w:id="-1168989440"/>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zCs w:val="20"/>
                <w:shd w:val="solid" w:color="000000" w:fill="000000"/>
                <w:fitText w:val="45" w:id="-1168989440"/>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zCs w:val="20"/>
                <w:shd w:val="solid" w:color="000000" w:fill="000000"/>
                <w:fitText w:val="45" w:id="-1168989440"/>
                <w14:textFill>
                  <w14:solidFill>
                    <w14:srgbClr w14:val="000000">
                      <w14:alpha w14:val="100000"/>
                    </w14:srgbClr>
                  </w14:solidFill>
                </w14:textFill>
              </w:rPr>
              <w:t xml:space="preserve">　</w:t>
            </w:r>
            <w:r w:rsidR="000760AA" w:rsidRPr="000760AA">
              <w:rPr>
                <w:rFonts w:ascii="Arial Narrow" w:eastAsiaTheme="majorEastAsia" w:hAnsi="Arial Narrow" w:cstheme="majorBidi"/>
                <w:bCs/>
                <w:sz w:val="20"/>
                <w:vertAlign w:val="superscript"/>
              </w:rPr>
              <w:t>5</w:t>
            </w:r>
          </w:p>
        </w:tc>
        <w:tc>
          <w:tcPr>
            <w:tcW w:w="611" w:type="pct"/>
            <w:shd w:val="clear" w:color="auto" w:fill="auto"/>
            <w:vAlign w:val="center"/>
          </w:tcPr>
          <w:p w14:paraId="179EFC6C" w14:textId="1B71FE05" w:rsidR="0052778A" w:rsidRPr="009F021C" w:rsidRDefault="00A26F4F" w:rsidP="0052778A">
            <w:pPr>
              <w:keepNext/>
              <w:jc w:val="center"/>
              <w:rPr>
                <w:rFonts w:ascii="Arial Narrow" w:eastAsiaTheme="majorEastAsia" w:hAnsi="Arial Narrow" w:cstheme="majorBidi"/>
                <w:bCs/>
                <w:sz w:val="20"/>
                <w:highlight w:val="darkGray"/>
              </w:rPr>
            </w:pPr>
            <w:r w:rsidRPr="00A26F4F">
              <w:rPr>
                <w:rFonts w:ascii="Arial Narrow" w:eastAsiaTheme="majorEastAsia" w:hAnsi="Arial Narrow" w:cstheme="majorBidi" w:hint="eastAsia"/>
                <w:bCs/>
                <w:color w:val="000000"/>
                <w:w w:val="15"/>
                <w:sz w:val="20"/>
                <w:szCs w:val="20"/>
                <w:shd w:val="solid" w:color="000000" w:fill="000000"/>
                <w:fitText w:val="45" w:id="-1168989439"/>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zCs w:val="20"/>
                <w:shd w:val="solid" w:color="000000" w:fill="000000"/>
                <w:fitText w:val="45" w:id="-1168989439"/>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zCs w:val="20"/>
                <w:shd w:val="solid" w:color="000000" w:fill="000000"/>
                <w:fitText w:val="45" w:id="-1168989439"/>
                <w14:textFill>
                  <w14:solidFill>
                    <w14:srgbClr w14:val="000000">
                      <w14:alpha w14:val="100000"/>
                    </w14:srgbClr>
                  </w14:solidFill>
                </w14:textFill>
              </w:rPr>
              <w:t xml:space="preserve">　</w:t>
            </w:r>
            <w:r w:rsidR="000760AA" w:rsidRPr="000760AA">
              <w:rPr>
                <w:rFonts w:ascii="Arial Narrow" w:eastAsiaTheme="majorEastAsia" w:hAnsi="Arial Narrow" w:cstheme="majorBidi"/>
                <w:bCs/>
                <w:sz w:val="20"/>
                <w:vertAlign w:val="superscript"/>
              </w:rPr>
              <w:t>5</w:t>
            </w:r>
          </w:p>
        </w:tc>
        <w:tc>
          <w:tcPr>
            <w:tcW w:w="611" w:type="pct"/>
            <w:shd w:val="clear" w:color="auto" w:fill="auto"/>
            <w:vAlign w:val="center"/>
          </w:tcPr>
          <w:p w14:paraId="49467CDF" w14:textId="4C672063" w:rsidR="0052778A" w:rsidRPr="009F021C" w:rsidRDefault="00A26F4F" w:rsidP="0052778A">
            <w:pPr>
              <w:keepNext/>
              <w:jc w:val="center"/>
              <w:rPr>
                <w:rFonts w:ascii="Arial Narrow" w:eastAsiaTheme="majorEastAsia" w:hAnsi="Arial Narrow" w:cstheme="majorBidi"/>
                <w:bCs/>
                <w:sz w:val="20"/>
                <w:highlight w:val="darkGray"/>
              </w:rPr>
            </w:pPr>
            <w:r w:rsidRPr="00A26F4F">
              <w:rPr>
                <w:rFonts w:ascii="Arial Narrow" w:eastAsiaTheme="majorEastAsia" w:hAnsi="Arial Narrow" w:cstheme="majorBidi" w:hint="eastAsia"/>
                <w:bCs/>
                <w:color w:val="000000"/>
                <w:w w:val="15"/>
                <w:sz w:val="20"/>
                <w:szCs w:val="20"/>
                <w:shd w:val="solid" w:color="000000" w:fill="000000"/>
                <w:fitText w:val="45" w:id="-1168989438"/>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zCs w:val="20"/>
                <w:shd w:val="solid" w:color="000000" w:fill="000000"/>
                <w:fitText w:val="45" w:id="-1168989438"/>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zCs w:val="20"/>
                <w:shd w:val="solid" w:color="000000" w:fill="000000"/>
                <w:fitText w:val="45" w:id="-1168989438"/>
                <w14:textFill>
                  <w14:solidFill>
                    <w14:srgbClr w14:val="000000">
                      <w14:alpha w14:val="100000"/>
                    </w14:srgbClr>
                  </w14:solidFill>
                </w14:textFill>
              </w:rPr>
              <w:t xml:space="preserve">　</w:t>
            </w:r>
            <w:r w:rsidR="000760AA" w:rsidRPr="000760AA">
              <w:rPr>
                <w:rFonts w:ascii="Arial Narrow" w:eastAsiaTheme="majorEastAsia" w:hAnsi="Arial Narrow" w:cstheme="majorBidi"/>
                <w:bCs/>
                <w:sz w:val="20"/>
                <w:vertAlign w:val="superscript"/>
              </w:rPr>
              <w:t>5</w:t>
            </w:r>
          </w:p>
        </w:tc>
        <w:tc>
          <w:tcPr>
            <w:tcW w:w="611" w:type="pct"/>
            <w:vAlign w:val="center"/>
          </w:tcPr>
          <w:p w14:paraId="30315559" w14:textId="7F278F12" w:rsidR="0052778A" w:rsidRPr="009F021C" w:rsidRDefault="00A26F4F" w:rsidP="0052778A">
            <w:pPr>
              <w:keepNext/>
              <w:jc w:val="center"/>
              <w:rPr>
                <w:rFonts w:ascii="Arial Narrow" w:eastAsiaTheme="majorEastAsia" w:hAnsi="Arial Narrow" w:cstheme="majorBidi"/>
                <w:bCs/>
                <w:sz w:val="20"/>
                <w:highlight w:val="darkGray"/>
              </w:rPr>
            </w:pPr>
            <w:r w:rsidRPr="00A26F4F">
              <w:rPr>
                <w:rFonts w:ascii="Arial Narrow" w:eastAsiaTheme="majorEastAsia" w:hAnsi="Arial Narrow" w:cstheme="majorBidi" w:hint="eastAsia"/>
                <w:bCs/>
                <w:color w:val="000000"/>
                <w:w w:val="15"/>
                <w:sz w:val="20"/>
                <w:szCs w:val="20"/>
                <w:shd w:val="solid" w:color="000000" w:fill="000000"/>
                <w:fitText w:val="45" w:id="-1168989437"/>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zCs w:val="20"/>
                <w:shd w:val="solid" w:color="000000" w:fill="000000"/>
                <w:fitText w:val="45" w:id="-1168989437"/>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zCs w:val="20"/>
                <w:shd w:val="solid" w:color="000000" w:fill="000000"/>
                <w:fitText w:val="45" w:id="-1168989437"/>
                <w14:textFill>
                  <w14:solidFill>
                    <w14:srgbClr w14:val="000000">
                      <w14:alpha w14:val="100000"/>
                    </w14:srgbClr>
                  </w14:solidFill>
                </w14:textFill>
              </w:rPr>
              <w:t xml:space="preserve">　</w:t>
            </w:r>
            <w:r w:rsidR="000760AA" w:rsidRPr="000760AA">
              <w:rPr>
                <w:rFonts w:ascii="Arial Narrow" w:eastAsiaTheme="majorEastAsia" w:hAnsi="Arial Narrow" w:cstheme="majorBidi"/>
                <w:bCs/>
                <w:sz w:val="20"/>
                <w:vertAlign w:val="superscript"/>
              </w:rPr>
              <w:t>5</w:t>
            </w:r>
          </w:p>
        </w:tc>
      </w:tr>
    </w:tbl>
    <w:p w14:paraId="0264CB7B" w14:textId="77777777" w:rsidR="0052778A" w:rsidRPr="0029195A" w:rsidRDefault="0052778A" w:rsidP="0052778A">
      <w:pPr>
        <w:spacing w:after="120"/>
        <w:contextualSpacing/>
        <w:rPr>
          <w:rFonts w:ascii="Arial Narrow" w:hAnsi="Arial Narrow"/>
          <w:snapToGrid w:val="0"/>
          <w:sz w:val="18"/>
          <w:szCs w:val="22"/>
        </w:rPr>
      </w:pPr>
      <w:r w:rsidRPr="0029195A">
        <w:rPr>
          <w:rFonts w:ascii="Arial Narrow" w:hAnsi="Arial Narrow"/>
          <w:snapToGrid w:val="0"/>
          <w:sz w:val="18"/>
          <w:szCs w:val="22"/>
        </w:rPr>
        <w:t>Source: Tables 4-2, 4-4, 4-5, 4-8, 4-12, 4-14 and 4-15, p133-139 of the submission</w:t>
      </w:r>
    </w:p>
    <w:p w14:paraId="6FDEEC19" w14:textId="77777777" w:rsidR="0052778A" w:rsidRPr="0029195A" w:rsidRDefault="0052778A" w:rsidP="0052778A">
      <w:pPr>
        <w:spacing w:after="120"/>
        <w:contextualSpacing/>
        <w:rPr>
          <w:rFonts w:ascii="Arial Narrow" w:hAnsi="Arial Narrow"/>
          <w:snapToGrid w:val="0"/>
          <w:sz w:val="18"/>
          <w:szCs w:val="22"/>
        </w:rPr>
      </w:pPr>
      <w:r w:rsidRPr="0029195A">
        <w:rPr>
          <w:rFonts w:ascii="Arial Narrow" w:hAnsi="Arial Narrow"/>
          <w:snapToGrid w:val="0"/>
          <w:sz w:val="18"/>
          <w:szCs w:val="22"/>
        </w:rPr>
        <w:t>Abbreviations: PBS, Pharmaceutical Benefits Scheme; RPBS, Repatriation Schedule of Pharmaceutical Benefits.</w:t>
      </w:r>
    </w:p>
    <w:p w14:paraId="561460B0" w14:textId="77777777" w:rsidR="0052778A" w:rsidRPr="0029195A" w:rsidRDefault="0052778A" w:rsidP="0052778A">
      <w:pPr>
        <w:spacing w:after="120"/>
        <w:contextualSpacing/>
        <w:rPr>
          <w:rFonts w:ascii="Arial Narrow" w:hAnsi="Arial Narrow"/>
          <w:b/>
          <w:snapToGrid w:val="0"/>
          <w:sz w:val="20"/>
          <w:szCs w:val="16"/>
        </w:rPr>
      </w:pPr>
      <w:r w:rsidRPr="0029195A">
        <w:rPr>
          <w:rFonts w:ascii="Arial Narrow" w:hAnsi="Arial Narrow"/>
          <w:snapToGrid w:val="0"/>
          <w:sz w:val="18"/>
          <w:szCs w:val="22"/>
          <w:vertAlign w:val="superscript"/>
        </w:rPr>
        <w:t>a</w:t>
      </w:r>
      <w:r w:rsidRPr="0029195A">
        <w:rPr>
          <w:rFonts w:ascii="Arial Narrow" w:hAnsi="Arial Narrow"/>
          <w:snapToGrid w:val="0"/>
          <w:sz w:val="18"/>
          <w:szCs w:val="22"/>
        </w:rPr>
        <w:t xml:space="preserve"> Duration of treatment: 14.21 months (newly diagnosed &amp; relapsed), 12.46 months (re-induction), 7.15 months (grandfathered) </w:t>
      </w:r>
    </w:p>
    <w:p w14:paraId="66CE162E" w14:textId="7D814217" w:rsidR="0052778A" w:rsidRDefault="0052778A" w:rsidP="0052778A">
      <w:pPr>
        <w:spacing w:after="120"/>
        <w:contextualSpacing/>
        <w:rPr>
          <w:rFonts w:ascii="Arial Narrow" w:hAnsi="Arial Narrow"/>
          <w:snapToGrid w:val="0"/>
          <w:sz w:val="18"/>
          <w:szCs w:val="22"/>
        </w:rPr>
      </w:pPr>
      <w:r w:rsidRPr="0029195A">
        <w:rPr>
          <w:rFonts w:ascii="Arial Narrow" w:hAnsi="Arial Narrow"/>
          <w:snapToGrid w:val="0"/>
          <w:sz w:val="18"/>
          <w:szCs w:val="22"/>
          <w:vertAlign w:val="superscript"/>
        </w:rPr>
        <w:t>b</w:t>
      </w:r>
      <w:r w:rsidRPr="0029195A">
        <w:rPr>
          <w:rFonts w:ascii="Arial Narrow" w:hAnsi="Arial Narrow"/>
          <w:snapToGrid w:val="0"/>
          <w:sz w:val="18"/>
          <w:szCs w:val="22"/>
        </w:rPr>
        <w:t xml:space="preserve"> Assuming 10.5 per year as estimated by the submission.</w:t>
      </w:r>
    </w:p>
    <w:p w14:paraId="6E6891CE" w14:textId="77777777" w:rsidR="009F021C" w:rsidRPr="009A6D58" w:rsidRDefault="009F021C" w:rsidP="009F021C">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CAE897E" w14:textId="0BE20E12" w:rsidR="009F021C" w:rsidRPr="006C573C" w:rsidRDefault="009F021C" w:rsidP="009F021C">
      <w:pPr>
        <w:rPr>
          <w:rFonts w:ascii="Arial Narrow" w:hAnsi="Arial Narrow"/>
          <w:i/>
          <w:sz w:val="18"/>
          <w:szCs w:val="18"/>
        </w:rPr>
      </w:pPr>
      <w:r w:rsidRPr="006C573C">
        <w:rPr>
          <w:rFonts w:ascii="Arial Narrow" w:hAnsi="Arial Narrow"/>
          <w:i/>
          <w:sz w:val="18"/>
          <w:szCs w:val="18"/>
          <w:vertAlign w:val="superscript"/>
        </w:rPr>
        <w:t>1</w:t>
      </w:r>
      <w:r w:rsidRPr="006C573C">
        <w:rPr>
          <w:rFonts w:ascii="Arial Narrow" w:hAnsi="Arial Narrow"/>
          <w:i/>
          <w:sz w:val="18"/>
          <w:szCs w:val="18"/>
        </w:rPr>
        <w:t xml:space="preserve"> &lt; 500</w:t>
      </w:r>
    </w:p>
    <w:p w14:paraId="0EDD71C8" w14:textId="6CD01772" w:rsidR="009F021C" w:rsidRPr="006C573C" w:rsidRDefault="009F021C" w:rsidP="009F021C">
      <w:pPr>
        <w:rPr>
          <w:rFonts w:ascii="Arial Narrow" w:hAnsi="Arial Narrow"/>
          <w:i/>
          <w:sz w:val="18"/>
          <w:szCs w:val="18"/>
        </w:rPr>
      </w:pPr>
      <w:r w:rsidRPr="006C573C">
        <w:rPr>
          <w:rFonts w:ascii="Arial Narrow" w:hAnsi="Arial Narrow"/>
          <w:i/>
          <w:sz w:val="18"/>
          <w:szCs w:val="18"/>
          <w:vertAlign w:val="superscript"/>
        </w:rPr>
        <w:t>2</w:t>
      </w:r>
      <w:r w:rsidRPr="006C573C">
        <w:rPr>
          <w:rFonts w:ascii="Arial Narrow" w:hAnsi="Arial Narrow"/>
          <w:i/>
          <w:sz w:val="18"/>
          <w:szCs w:val="18"/>
        </w:rPr>
        <w:t xml:space="preserve"> 500 to &lt; 5,000</w:t>
      </w:r>
    </w:p>
    <w:p w14:paraId="6062B250" w14:textId="6FD70263" w:rsidR="009F021C" w:rsidRPr="006C573C" w:rsidRDefault="009F021C" w:rsidP="009F021C">
      <w:pPr>
        <w:rPr>
          <w:rFonts w:ascii="Arial Narrow" w:hAnsi="Arial Narrow"/>
          <w:i/>
          <w:sz w:val="18"/>
          <w:szCs w:val="18"/>
        </w:rPr>
      </w:pPr>
      <w:r w:rsidRPr="006C573C">
        <w:rPr>
          <w:rFonts w:ascii="Arial Narrow" w:hAnsi="Arial Narrow"/>
          <w:i/>
          <w:sz w:val="18"/>
          <w:szCs w:val="18"/>
          <w:vertAlign w:val="superscript"/>
        </w:rPr>
        <w:t>3</w:t>
      </w:r>
      <w:r w:rsidRPr="006C573C">
        <w:rPr>
          <w:rFonts w:ascii="Arial Narrow" w:hAnsi="Arial Narrow"/>
          <w:i/>
          <w:sz w:val="18"/>
          <w:szCs w:val="18"/>
        </w:rPr>
        <w:t xml:space="preserve"> 5,000 to &lt; 10,000</w:t>
      </w:r>
    </w:p>
    <w:p w14:paraId="455F8ACB" w14:textId="7FD0BA1E" w:rsidR="009F021C" w:rsidRPr="006C573C" w:rsidRDefault="009F021C" w:rsidP="009F021C">
      <w:pPr>
        <w:rPr>
          <w:rFonts w:ascii="Arial Narrow" w:hAnsi="Arial Narrow"/>
          <w:i/>
          <w:sz w:val="18"/>
          <w:szCs w:val="18"/>
        </w:rPr>
      </w:pPr>
      <w:r w:rsidRPr="006C573C">
        <w:rPr>
          <w:rFonts w:ascii="Arial Narrow" w:hAnsi="Arial Narrow"/>
          <w:i/>
          <w:sz w:val="18"/>
          <w:szCs w:val="18"/>
          <w:vertAlign w:val="superscript"/>
        </w:rPr>
        <w:t>4</w:t>
      </w:r>
      <w:r w:rsidRPr="006C573C">
        <w:rPr>
          <w:rFonts w:ascii="Arial Narrow" w:hAnsi="Arial Narrow"/>
          <w:i/>
          <w:sz w:val="18"/>
          <w:szCs w:val="18"/>
        </w:rPr>
        <w:t xml:space="preserve"> </w:t>
      </w:r>
      <w:r w:rsidR="000760AA" w:rsidRPr="006C573C">
        <w:rPr>
          <w:rFonts w:ascii="Arial Narrow" w:hAnsi="Arial Narrow"/>
          <w:i/>
          <w:sz w:val="18"/>
          <w:szCs w:val="18"/>
        </w:rPr>
        <w:t>$10 million to &lt; $20 million</w:t>
      </w:r>
    </w:p>
    <w:p w14:paraId="7D5C5E84" w14:textId="12F1F6AE" w:rsidR="009F021C" w:rsidRPr="006C573C" w:rsidRDefault="009F021C" w:rsidP="009F021C">
      <w:pPr>
        <w:rPr>
          <w:rFonts w:ascii="Arial Narrow" w:hAnsi="Arial Narrow"/>
          <w:i/>
          <w:sz w:val="18"/>
          <w:szCs w:val="18"/>
        </w:rPr>
      </w:pPr>
      <w:r w:rsidRPr="006C573C">
        <w:rPr>
          <w:rFonts w:ascii="Arial Narrow" w:hAnsi="Arial Narrow"/>
          <w:i/>
          <w:sz w:val="18"/>
          <w:szCs w:val="18"/>
          <w:vertAlign w:val="superscript"/>
        </w:rPr>
        <w:t>5</w:t>
      </w:r>
      <w:r w:rsidRPr="006C573C">
        <w:rPr>
          <w:rFonts w:ascii="Arial Narrow" w:hAnsi="Arial Narrow"/>
          <w:i/>
          <w:sz w:val="18"/>
          <w:szCs w:val="18"/>
        </w:rPr>
        <w:t xml:space="preserve"> </w:t>
      </w:r>
      <w:r w:rsidR="000760AA" w:rsidRPr="006C573C">
        <w:rPr>
          <w:rFonts w:ascii="Arial Narrow" w:hAnsi="Arial Narrow"/>
          <w:i/>
          <w:sz w:val="18"/>
          <w:szCs w:val="18"/>
        </w:rPr>
        <w:t xml:space="preserve">$20 million to &lt; $30 million </w:t>
      </w:r>
    </w:p>
    <w:p w14:paraId="4A8D0B6C" w14:textId="22FFF354" w:rsidR="00131381" w:rsidRPr="006C573C" w:rsidRDefault="009F021C" w:rsidP="009F021C">
      <w:pPr>
        <w:rPr>
          <w:rFonts w:ascii="Arial Narrow" w:hAnsi="Arial Narrow"/>
          <w:i/>
          <w:sz w:val="18"/>
          <w:szCs w:val="18"/>
        </w:rPr>
      </w:pPr>
      <w:r w:rsidRPr="006C573C">
        <w:rPr>
          <w:rFonts w:ascii="Arial Narrow" w:hAnsi="Arial Narrow"/>
          <w:i/>
          <w:sz w:val="18"/>
          <w:szCs w:val="18"/>
          <w:vertAlign w:val="superscript"/>
        </w:rPr>
        <w:t>6</w:t>
      </w:r>
      <w:r w:rsidRPr="006C573C">
        <w:rPr>
          <w:rFonts w:ascii="Arial Narrow" w:hAnsi="Arial Narrow"/>
          <w:i/>
          <w:sz w:val="18"/>
          <w:szCs w:val="18"/>
        </w:rPr>
        <w:t xml:space="preserve"> </w:t>
      </w:r>
      <w:r w:rsidR="00131381" w:rsidRPr="006C573C">
        <w:rPr>
          <w:rFonts w:ascii="Arial Narrow" w:hAnsi="Arial Narrow"/>
          <w:i/>
          <w:sz w:val="18"/>
          <w:szCs w:val="18"/>
        </w:rPr>
        <w:t>net cost saving</w:t>
      </w:r>
    </w:p>
    <w:p w14:paraId="62D1631D" w14:textId="77777777" w:rsidR="009F021C" w:rsidRPr="0029195A" w:rsidRDefault="009F021C" w:rsidP="0052778A">
      <w:pPr>
        <w:spacing w:after="120"/>
        <w:contextualSpacing/>
        <w:rPr>
          <w:rFonts w:ascii="Arial Narrow" w:hAnsi="Arial Narrow"/>
          <w:snapToGrid w:val="0"/>
          <w:sz w:val="18"/>
          <w:szCs w:val="22"/>
        </w:rPr>
      </w:pPr>
    </w:p>
    <w:p w14:paraId="0B35BF2D" w14:textId="6EDA289E" w:rsidR="0052778A" w:rsidRPr="0029195A" w:rsidRDefault="0052778A" w:rsidP="007A6355">
      <w:pPr>
        <w:pStyle w:val="3-BodyText"/>
      </w:pPr>
      <w:r w:rsidRPr="0029195A">
        <w:t>The total cost to the PBS/RPBS of listing avacopan was estimated to be $</w:t>
      </w:r>
      <w:r w:rsidR="00575922">
        <w:t>10</w:t>
      </w:r>
      <w:r w:rsidR="006C573C">
        <w:t> </w:t>
      </w:r>
      <w:r w:rsidR="00575922">
        <w:t>million</w:t>
      </w:r>
      <w:r w:rsidR="008553BC">
        <w:t> </w:t>
      </w:r>
      <w:r w:rsidR="00575922">
        <w:t>to</w:t>
      </w:r>
      <w:r w:rsidR="008553BC">
        <w:t> </w:t>
      </w:r>
      <w:r w:rsidR="00575922">
        <w:t>&lt;</w:t>
      </w:r>
      <w:r w:rsidR="008553BC">
        <w:t> </w:t>
      </w:r>
      <w:r w:rsidR="00575922">
        <w:t>$</w:t>
      </w:r>
      <w:r w:rsidR="00E523DD">
        <w:t xml:space="preserve">20 </w:t>
      </w:r>
      <w:r w:rsidR="00E523DD" w:rsidRPr="0029195A">
        <w:t>million</w:t>
      </w:r>
      <w:r w:rsidRPr="0029195A">
        <w:t xml:space="preserve"> in Year 1 and $</w:t>
      </w:r>
      <w:r w:rsidR="00575922">
        <w:t>20 million</w:t>
      </w:r>
      <w:r w:rsidR="008553BC">
        <w:t> </w:t>
      </w:r>
      <w:r w:rsidR="00575922">
        <w:t>to</w:t>
      </w:r>
      <w:r w:rsidR="008553BC">
        <w:t> </w:t>
      </w:r>
      <w:r w:rsidR="00575922">
        <w:t>&lt;</w:t>
      </w:r>
      <w:r w:rsidR="008553BC">
        <w:t> </w:t>
      </w:r>
      <w:r w:rsidR="00575922">
        <w:t>$30</w:t>
      </w:r>
      <w:r w:rsidRPr="0029195A">
        <w:t xml:space="preserve"> million in Year 6, totalling $</w:t>
      </w:r>
      <w:r w:rsidR="00575922">
        <w:t xml:space="preserve">100 </w:t>
      </w:r>
      <w:r w:rsidR="006846C9">
        <w:t>million</w:t>
      </w:r>
      <w:r w:rsidR="008553BC">
        <w:t> </w:t>
      </w:r>
      <w:r w:rsidR="00575922">
        <w:t>to</w:t>
      </w:r>
      <w:r w:rsidR="008553BC">
        <w:t> </w:t>
      </w:r>
      <w:r w:rsidR="00575922">
        <w:t>&lt;</w:t>
      </w:r>
      <w:r w:rsidR="008553BC">
        <w:t> </w:t>
      </w:r>
      <w:r w:rsidR="00575922">
        <w:t>$200</w:t>
      </w:r>
      <w:r w:rsidRPr="0029195A">
        <w:t xml:space="preserve"> million over 6 years. The impact of offsets due to prednisone were small relative to the cost of avacopan. </w:t>
      </w:r>
    </w:p>
    <w:p w14:paraId="2EBB054C" w14:textId="31F1C643" w:rsidR="0052778A" w:rsidRPr="0029195A" w:rsidRDefault="0052778A" w:rsidP="007A6355">
      <w:pPr>
        <w:pStyle w:val="3-BodyText"/>
      </w:pPr>
      <w:r w:rsidRPr="0029195A">
        <w:t xml:space="preserve">The submission stated that </w:t>
      </w:r>
      <w:r w:rsidR="00575922">
        <w:t>&lt;</w:t>
      </w:r>
      <w:r w:rsidR="008553BC">
        <w:t> </w:t>
      </w:r>
      <w:r w:rsidR="00575922">
        <w:t>500</w:t>
      </w:r>
      <w:r w:rsidRPr="0029195A">
        <w:t xml:space="preserve"> patients were expected to be grandfathered based on the Sponsor’s compassionate program. Given that prevalence data were used, grandfathered patients are already included, therefore have been double counted. Sensitivity analysis conducted during the evaluation excluding grandfathered patients from the financial estimated had a small impact on the total net cost to PBS/RPBS over 6 years (1% decrease).</w:t>
      </w:r>
    </w:p>
    <w:p w14:paraId="5C539F6A" w14:textId="55CD6C69" w:rsidR="006E20F4" w:rsidRPr="0029195A" w:rsidRDefault="006E20F4" w:rsidP="007A6355">
      <w:pPr>
        <w:pStyle w:val="3-BodyText"/>
      </w:pPr>
      <w:r w:rsidRPr="0029195A">
        <w:lastRenderedPageBreak/>
        <w:t>DUSC considered the estimates presented in the submission to be reasonable. The main issues identified were:</w:t>
      </w:r>
    </w:p>
    <w:p w14:paraId="44C4DA73" w14:textId="51C7FD3D" w:rsidR="006E20F4" w:rsidRPr="008515B4" w:rsidRDefault="006E20F4" w:rsidP="008515B4">
      <w:pPr>
        <w:pStyle w:val="ListParagraph"/>
      </w:pPr>
      <w:r w:rsidRPr="008515B4">
        <w:t>DUSC noted that the estimated use of a</w:t>
      </w:r>
      <w:r w:rsidR="00950D69" w:rsidRPr="008515B4">
        <w:t>v</w:t>
      </w:r>
      <w:r w:rsidRPr="008515B4">
        <w:t xml:space="preserve">acopan was aligned with the previous use of rituximab for the same indications between 2016-2022 and that avacopan was unlikely to grow the population. </w:t>
      </w:r>
    </w:p>
    <w:p w14:paraId="3FFFD6CF" w14:textId="53749E67" w:rsidR="006E20F4" w:rsidRPr="008515B4" w:rsidRDefault="006E20F4" w:rsidP="008515B4">
      <w:pPr>
        <w:pStyle w:val="ListParagraph"/>
      </w:pPr>
      <w:r w:rsidRPr="008515B4">
        <w:t xml:space="preserve">DUSC considered Population 3 (patients eligible for avacopan reinduction) to be inadequately defined, with a poorly justified relapse rate that differed from Population 2 (relapsed patients). DUSC considered that deleting this population would remove a substantial amount of uncertainty from the model. </w:t>
      </w:r>
    </w:p>
    <w:p w14:paraId="52E18A0A" w14:textId="71B37211" w:rsidR="006E20F4" w:rsidRPr="008515B4" w:rsidRDefault="006E20F4" w:rsidP="008515B4">
      <w:pPr>
        <w:pStyle w:val="ListParagraph"/>
      </w:pPr>
      <w:r w:rsidRPr="008515B4">
        <w:t xml:space="preserve">DUSC considered that the availability of use beyond two reinductions would be clinically important but would have a minimal impact to the financial estimates, as few patients are likely to require it. </w:t>
      </w:r>
    </w:p>
    <w:p w14:paraId="57C70143" w14:textId="56783CDB" w:rsidR="0052778A" w:rsidRPr="0029195A" w:rsidRDefault="0052778A" w:rsidP="007A6355">
      <w:pPr>
        <w:pStyle w:val="3-BodyText"/>
      </w:pPr>
      <w:r w:rsidRPr="0029195A">
        <w:t xml:space="preserve">The results of the sensitivity analysis </w:t>
      </w:r>
      <w:r w:rsidR="006E20F4" w:rsidRPr="0029195A">
        <w:t xml:space="preserve">conducted during the evaluation </w:t>
      </w:r>
      <w:r w:rsidRPr="0029195A">
        <w:t xml:space="preserve">are presented in </w:t>
      </w:r>
      <w:r w:rsidRPr="0029195A">
        <w:fldChar w:fldCharType="begin" w:fldLock="1"/>
      </w:r>
      <w:r w:rsidRPr="0029195A">
        <w:instrText xml:space="preserve"> REF _Ref132122987 \h  \* MERGEFORMAT </w:instrText>
      </w:r>
      <w:r w:rsidRPr="0029195A">
        <w:fldChar w:fldCharType="separate"/>
      </w:r>
      <w:r w:rsidR="00610CB8" w:rsidRPr="00610CB8">
        <w:t>Table 19</w:t>
      </w:r>
      <w:r w:rsidRPr="0029195A">
        <w:fldChar w:fldCharType="end"/>
      </w:r>
      <w:r w:rsidRPr="0029195A">
        <w:t xml:space="preserve">. The results are most sensitivity to the incidence and prevalence estimates used. </w:t>
      </w:r>
    </w:p>
    <w:p w14:paraId="08883A37" w14:textId="0F1F8CC0" w:rsidR="0052778A" w:rsidRPr="0029195A" w:rsidRDefault="0052778A" w:rsidP="0052778A">
      <w:pPr>
        <w:keepNext/>
        <w:keepLines/>
        <w:rPr>
          <w:rFonts w:ascii="Arial Narrow" w:hAnsi="Arial Narrow"/>
          <w:b/>
          <w:bCs/>
          <w:sz w:val="20"/>
          <w:szCs w:val="18"/>
        </w:rPr>
      </w:pPr>
      <w:bookmarkStart w:id="74" w:name="_Ref132122987"/>
      <w:r w:rsidRPr="0029195A">
        <w:rPr>
          <w:rFonts w:ascii="Arial Narrow" w:hAnsi="Arial Narrow"/>
          <w:b/>
          <w:bCs/>
          <w:sz w:val="20"/>
          <w:szCs w:val="18"/>
        </w:rPr>
        <w:t xml:space="preserve">Table </w:t>
      </w:r>
      <w:r w:rsidRPr="0029195A">
        <w:rPr>
          <w:rFonts w:ascii="Arial Narrow" w:hAnsi="Arial Narrow"/>
          <w:b/>
          <w:bCs/>
          <w:sz w:val="20"/>
          <w:szCs w:val="18"/>
        </w:rPr>
        <w:fldChar w:fldCharType="begin" w:fldLock="1"/>
      </w:r>
      <w:r w:rsidRPr="0029195A">
        <w:rPr>
          <w:rFonts w:ascii="Arial Narrow" w:hAnsi="Arial Narrow"/>
          <w:b/>
          <w:bCs/>
          <w:sz w:val="20"/>
          <w:szCs w:val="18"/>
        </w:rPr>
        <w:instrText>SEQ Table \* ARABIC</w:instrText>
      </w:r>
      <w:r w:rsidRPr="0029195A">
        <w:rPr>
          <w:rFonts w:ascii="Arial Narrow" w:hAnsi="Arial Narrow"/>
          <w:b/>
          <w:bCs/>
          <w:sz w:val="20"/>
          <w:szCs w:val="18"/>
        </w:rPr>
        <w:fldChar w:fldCharType="separate"/>
      </w:r>
      <w:r w:rsidR="00610CB8">
        <w:rPr>
          <w:rFonts w:ascii="Arial Narrow" w:hAnsi="Arial Narrow"/>
          <w:b/>
          <w:bCs/>
          <w:noProof/>
          <w:sz w:val="20"/>
          <w:szCs w:val="18"/>
        </w:rPr>
        <w:t>19</w:t>
      </w:r>
      <w:r w:rsidRPr="0029195A">
        <w:rPr>
          <w:rFonts w:ascii="Arial Narrow" w:hAnsi="Arial Narrow"/>
          <w:b/>
          <w:bCs/>
          <w:sz w:val="20"/>
          <w:szCs w:val="18"/>
        </w:rPr>
        <w:fldChar w:fldCharType="end"/>
      </w:r>
      <w:bookmarkEnd w:id="74"/>
      <w:r w:rsidRPr="0029195A">
        <w:rPr>
          <w:rFonts w:ascii="Arial Narrow" w:hAnsi="Arial Narrow"/>
          <w:b/>
          <w:bCs/>
          <w:sz w:val="20"/>
          <w:szCs w:val="18"/>
        </w:rPr>
        <w:t>: Results of sensitivity analysis</w:t>
      </w:r>
      <w:r w:rsidR="006E20F4" w:rsidRPr="0029195A">
        <w:rPr>
          <w:rFonts w:ascii="Arial Narrow" w:hAnsi="Arial Narrow"/>
          <w:b/>
          <w:bCs/>
          <w:sz w:val="20"/>
          <w:szCs w:val="18"/>
        </w:rPr>
        <w:t xml:space="preserve"> conducted during the evaluation</w:t>
      </w:r>
    </w:p>
    <w:tbl>
      <w:tblPr>
        <w:tblW w:w="923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72"/>
        <w:gridCol w:w="1027"/>
        <w:gridCol w:w="1133"/>
        <w:gridCol w:w="1080"/>
        <w:gridCol w:w="1080"/>
        <w:gridCol w:w="1080"/>
        <w:gridCol w:w="1080"/>
        <w:gridCol w:w="1080"/>
        <w:gridCol w:w="600"/>
      </w:tblGrid>
      <w:tr w:rsidR="006E20F4" w:rsidRPr="0029195A" w14:paraId="65555D0D" w14:textId="77777777" w:rsidTr="002034AF">
        <w:trPr>
          <w:trHeight w:val="300"/>
        </w:trPr>
        <w:tc>
          <w:tcPr>
            <w:tcW w:w="107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3763E5E" w14:textId="77777777" w:rsidR="006E20F4" w:rsidRPr="0029195A" w:rsidRDefault="006E20F4" w:rsidP="006E20F4">
            <w:pPr>
              <w:keepNext/>
              <w:spacing w:before="20" w:after="20"/>
              <w:rPr>
                <w:rFonts w:asciiTheme="minorHAnsi" w:hAnsiTheme="minorHAnsi" w:cs="Times New Roman"/>
                <w:sz w:val="18"/>
                <w:szCs w:val="20"/>
              </w:rPr>
            </w:pPr>
          </w:p>
        </w:tc>
        <w:tc>
          <w:tcPr>
            <w:tcW w:w="102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A43685B" w14:textId="77777777" w:rsidR="006E20F4" w:rsidRPr="0029195A" w:rsidRDefault="006E20F4" w:rsidP="006E20F4">
            <w:pPr>
              <w:keepNext/>
              <w:jc w:val="center"/>
              <w:rPr>
                <w:rFonts w:ascii="Arial Narrow" w:eastAsiaTheme="majorEastAsia" w:hAnsi="Arial Narrow" w:cs="Times New Roman"/>
                <w:b/>
                <w:sz w:val="20"/>
              </w:rPr>
            </w:pPr>
            <w:r w:rsidRPr="0029195A">
              <w:rPr>
                <w:rFonts w:ascii="Arial Narrow" w:eastAsiaTheme="majorEastAsia" w:hAnsi="Arial Narrow" w:cs="Times New Roman"/>
                <w:b/>
                <w:sz w:val="20"/>
              </w:rPr>
              <w:t>Year 1</w:t>
            </w:r>
          </w:p>
        </w:tc>
        <w:tc>
          <w:tcPr>
            <w:tcW w:w="113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707141E" w14:textId="77777777" w:rsidR="006E20F4" w:rsidRPr="0029195A" w:rsidRDefault="006E20F4" w:rsidP="006E20F4">
            <w:pPr>
              <w:keepNext/>
              <w:jc w:val="center"/>
              <w:rPr>
                <w:rFonts w:ascii="Arial Narrow" w:eastAsiaTheme="majorEastAsia" w:hAnsi="Arial Narrow" w:cs="Times New Roman"/>
                <w:b/>
                <w:sz w:val="20"/>
              </w:rPr>
            </w:pPr>
            <w:r w:rsidRPr="0029195A">
              <w:rPr>
                <w:rFonts w:ascii="Arial Narrow" w:eastAsiaTheme="majorEastAsia" w:hAnsi="Arial Narrow" w:cs="Times New Roman"/>
                <w:b/>
                <w:sz w:val="20"/>
              </w:rPr>
              <w:t>Year 2</w:t>
            </w:r>
          </w:p>
        </w:tc>
        <w:tc>
          <w:tcPr>
            <w:tcW w:w="10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59BB16B" w14:textId="77777777" w:rsidR="006E20F4" w:rsidRPr="0029195A" w:rsidRDefault="006E20F4" w:rsidP="006E20F4">
            <w:pPr>
              <w:keepNext/>
              <w:jc w:val="center"/>
              <w:rPr>
                <w:rFonts w:ascii="Arial Narrow" w:eastAsiaTheme="majorEastAsia" w:hAnsi="Arial Narrow" w:cs="Times New Roman"/>
                <w:b/>
                <w:sz w:val="20"/>
              </w:rPr>
            </w:pPr>
            <w:r w:rsidRPr="0029195A">
              <w:rPr>
                <w:rFonts w:ascii="Arial Narrow" w:eastAsiaTheme="majorEastAsia" w:hAnsi="Arial Narrow" w:cs="Times New Roman"/>
                <w:b/>
                <w:sz w:val="20"/>
              </w:rPr>
              <w:t>Year 3</w:t>
            </w:r>
          </w:p>
        </w:tc>
        <w:tc>
          <w:tcPr>
            <w:tcW w:w="10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0F22CA4" w14:textId="77777777" w:rsidR="006E20F4" w:rsidRPr="0029195A" w:rsidRDefault="006E20F4" w:rsidP="006E20F4">
            <w:pPr>
              <w:keepNext/>
              <w:jc w:val="center"/>
              <w:rPr>
                <w:rFonts w:ascii="Arial Narrow" w:eastAsiaTheme="majorEastAsia" w:hAnsi="Arial Narrow" w:cs="Times New Roman"/>
                <w:b/>
                <w:sz w:val="20"/>
              </w:rPr>
            </w:pPr>
            <w:r w:rsidRPr="0029195A">
              <w:rPr>
                <w:rFonts w:ascii="Arial Narrow" w:eastAsiaTheme="majorEastAsia" w:hAnsi="Arial Narrow" w:cs="Times New Roman"/>
                <w:b/>
                <w:sz w:val="20"/>
              </w:rPr>
              <w:t>Year 4</w:t>
            </w:r>
          </w:p>
        </w:tc>
        <w:tc>
          <w:tcPr>
            <w:tcW w:w="10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5A75017" w14:textId="77777777" w:rsidR="006E20F4" w:rsidRPr="0029195A" w:rsidRDefault="006E20F4" w:rsidP="006E20F4">
            <w:pPr>
              <w:keepNext/>
              <w:jc w:val="center"/>
              <w:rPr>
                <w:rFonts w:ascii="Arial Narrow" w:eastAsiaTheme="majorEastAsia" w:hAnsi="Arial Narrow" w:cs="Times New Roman"/>
                <w:b/>
                <w:sz w:val="20"/>
              </w:rPr>
            </w:pPr>
            <w:r w:rsidRPr="0029195A">
              <w:rPr>
                <w:rFonts w:ascii="Arial Narrow" w:eastAsiaTheme="majorEastAsia" w:hAnsi="Arial Narrow" w:cs="Times New Roman"/>
                <w:b/>
                <w:sz w:val="20"/>
              </w:rPr>
              <w:t>Year 5</w:t>
            </w:r>
          </w:p>
        </w:tc>
        <w:tc>
          <w:tcPr>
            <w:tcW w:w="10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EB86B41" w14:textId="77777777" w:rsidR="006E20F4" w:rsidRPr="0029195A" w:rsidRDefault="006E20F4" w:rsidP="006E20F4">
            <w:pPr>
              <w:keepNext/>
              <w:jc w:val="center"/>
              <w:rPr>
                <w:rFonts w:ascii="Arial Narrow" w:eastAsiaTheme="majorEastAsia" w:hAnsi="Arial Narrow" w:cs="Times New Roman"/>
                <w:b/>
                <w:sz w:val="20"/>
              </w:rPr>
            </w:pPr>
            <w:r w:rsidRPr="0029195A">
              <w:rPr>
                <w:rFonts w:ascii="Arial Narrow" w:eastAsiaTheme="majorEastAsia" w:hAnsi="Arial Narrow" w:cs="Times New Roman"/>
                <w:b/>
                <w:sz w:val="20"/>
              </w:rPr>
              <w:t>Year 6</w:t>
            </w:r>
          </w:p>
        </w:tc>
        <w:tc>
          <w:tcPr>
            <w:tcW w:w="10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3F78D4E" w14:textId="77777777" w:rsidR="006E20F4" w:rsidRPr="0029195A" w:rsidRDefault="006E20F4" w:rsidP="006E20F4">
            <w:pPr>
              <w:keepNext/>
              <w:jc w:val="center"/>
              <w:rPr>
                <w:rFonts w:ascii="Arial Narrow" w:eastAsiaTheme="majorEastAsia" w:hAnsi="Arial Narrow" w:cs="Times New Roman"/>
                <w:b/>
                <w:sz w:val="20"/>
              </w:rPr>
            </w:pPr>
            <w:r w:rsidRPr="0029195A">
              <w:rPr>
                <w:rFonts w:ascii="Arial Narrow" w:eastAsiaTheme="majorEastAsia" w:hAnsi="Arial Narrow" w:cs="Times New Roman"/>
                <w:b/>
                <w:sz w:val="20"/>
              </w:rPr>
              <w:t>Total over 6 years</w:t>
            </w:r>
          </w:p>
        </w:tc>
        <w:tc>
          <w:tcPr>
            <w:tcW w:w="6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AF4CA5F" w14:textId="77777777" w:rsidR="006E20F4" w:rsidRPr="0029195A" w:rsidRDefault="006E20F4" w:rsidP="006E20F4">
            <w:pPr>
              <w:keepNext/>
              <w:jc w:val="center"/>
              <w:rPr>
                <w:rFonts w:ascii="Arial Narrow" w:eastAsiaTheme="majorEastAsia" w:hAnsi="Arial Narrow" w:cs="Times New Roman"/>
                <w:b/>
                <w:sz w:val="20"/>
              </w:rPr>
            </w:pPr>
            <w:r w:rsidRPr="0029195A">
              <w:rPr>
                <w:rFonts w:ascii="Arial Narrow" w:eastAsiaTheme="majorEastAsia" w:hAnsi="Arial Narrow" w:cs="Times New Roman"/>
                <w:b/>
                <w:sz w:val="20"/>
              </w:rPr>
              <w:t>% change</w:t>
            </w:r>
          </w:p>
        </w:tc>
      </w:tr>
      <w:tr w:rsidR="006E20F4" w:rsidRPr="0029195A" w14:paraId="5D1F84DC" w14:textId="77777777" w:rsidTr="002034AF">
        <w:trPr>
          <w:trHeight w:val="300"/>
        </w:trPr>
        <w:tc>
          <w:tcPr>
            <w:tcW w:w="8632" w:type="dxa"/>
            <w:gridSpan w:val="8"/>
            <w:tcBorders>
              <w:top w:val="nil"/>
              <w:left w:val="single" w:sz="6" w:space="0" w:color="auto"/>
              <w:bottom w:val="single" w:sz="6" w:space="0" w:color="auto"/>
              <w:right w:val="single" w:sz="6" w:space="0" w:color="auto"/>
            </w:tcBorders>
            <w:shd w:val="clear" w:color="auto" w:fill="auto"/>
            <w:vAlign w:val="center"/>
            <w:hideMark/>
          </w:tcPr>
          <w:p w14:paraId="1E14B9B6" w14:textId="77777777" w:rsidR="006E20F4" w:rsidRPr="0029195A" w:rsidRDefault="006E20F4" w:rsidP="001F0D7A">
            <w:pPr>
              <w:widowControl w:val="0"/>
              <w:jc w:val="left"/>
              <w:rPr>
                <w:rFonts w:ascii="Arial Narrow" w:eastAsiaTheme="majorEastAsia" w:hAnsi="Arial Narrow" w:cstheme="majorBidi"/>
                <w:b/>
                <w:sz w:val="20"/>
                <w:szCs w:val="20"/>
              </w:rPr>
            </w:pPr>
            <w:r w:rsidRPr="0029195A">
              <w:rPr>
                <w:rFonts w:ascii="Arial Narrow" w:eastAsiaTheme="majorEastAsia" w:hAnsi="Arial Narrow" w:cstheme="majorBidi"/>
                <w:b/>
                <w:sz w:val="20"/>
                <w:szCs w:val="20"/>
              </w:rPr>
              <w:t>Base case </w:t>
            </w:r>
          </w:p>
        </w:tc>
        <w:tc>
          <w:tcPr>
            <w:tcW w:w="600" w:type="dxa"/>
            <w:tcBorders>
              <w:top w:val="nil"/>
              <w:left w:val="single" w:sz="6" w:space="0" w:color="auto"/>
              <w:bottom w:val="single" w:sz="6" w:space="0" w:color="auto"/>
              <w:right w:val="single" w:sz="6" w:space="0" w:color="auto"/>
            </w:tcBorders>
            <w:vAlign w:val="center"/>
          </w:tcPr>
          <w:p w14:paraId="1C2546F2" w14:textId="77777777" w:rsidR="006E20F4" w:rsidRPr="0029195A" w:rsidRDefault="006E20F4" w:rsidP="001F0D7A">
            <w:pPr>
              <w:widowControl w:val="0"/>
              <w:jc w:val="left"/>
              <w:rPr>
                <w:rFonts w:ascii="Arial Narrow" w:eastAsiaTheme="majorEastAsia" w:hAnsi="Arial Narrow" w:cstheme="majorBidi"/>
                <w:bCs/>
                <w:sz w:val="20"/>
                <w:szCs w:val="20"/>
              </w:rPr>
            </w:pPr>
          </w:p>
        </w:tc>
      </w:tr>
      <w:tr w:rsidR="006E20F4" w:rsidRPr="0029195A" w14:paraId="5B5FD36E" w14:textId="77777777" w:rsidTr="002034AF">
        <w:trPr>
          <w:trHeight w:val="300"/>
        </w:trPr>
        <w:tc>
          <w:tcPr>
            <w:tcW w:w="1072" w:type="dxa"/>
            <w:tcBorders>
              <w:top w:val="nil"/>
              <w:left w:val="single" w:sz="6" w:space="0" w:color="auto"/>
              <w:bottom w:val="single" w:sz="6" w:space="0" w:color="auto"/>
              <w:right w:val="single" w:sz="6" w:space="0" w:color="auto"/>
            </w:tcBorders>
            <w:shd w:val="clear" w:color="auto" w:fill="auto"/>
            <w:vAlign w:val="center"/>
            <w:hideMark/>
          </w:tcPr>
          <w:p w14:paraId="1D38C8B0" w14:textId="4D7E561A" w:rsidR="006E20F4" w:rsidRPr="0029195A" w:rsidRDefault="006E20F4" w:rsidP="001F0D7A">
            <w:pPr>
              <w:widowControl w:val="0"/>
              <w:jc w:val="left"/>
              <w:rPr>
                <w:rFonts w:ascii="Arial Narrow" w:eastAsiaTheme="majorEastAsia" w:hAnsi="Arial Narrow" w:cstheme="majorBidi"/>
                <w:b/>
                <w:sz w:val="20"/>
                <w:szCs w:val="20"/>
              </w:rPr>
            </w:pPr>
            <w:r w:rsidRPr="0029195A">
              <w:rPr>
                <w:rFonts w:ascii="Arial Narrow" w:eastAsiaTheme="majorEastAsia" w:hAnsi="Arial Narrow" w:cstheme="majorBidi"/>
                <w:b/>
                <w:sz w:val="20"/>
                <w:szCs w:val="20"/>
              </w:rPr>
              <w:t>Net cost to PBS/RBS </w:t>
            </w:r>
            <w:r w:rsidR="00575922">
              <w:rPr>
                <w:rFonts w:ascii="Arial Narrow" w:eastAsiaTheme="majorEastAsia" w:hAnsi="Arial Narrow" w:cstheme="majorBidi"/>
                <w:b/>
                <w:sz w:val="20"/>
                <w:szCs w:val="20"/>
              </w:rPr>
              <w:t>($)</w:t>
            </w:r>
          </w:p>
        </w:tc>
        <w:tc>
          <w:tcPr>
            <w:tcW w:w="1027" w:type="dxa"/>
            <w:tcBorders>
              <w:top w:val="single" w:sz="6" w:space="0" w:color="auto"/>
              <w:left w:val="nil"/>
              <w:bottom w:val="single" w:sz="6" w:space="0" w:color="auto"/>
              <w:right w:val="single" w:sz="6" w:space="0" w:color="auto"/>
            </w:tcBorders>
            <w:shd w:val="clear" w:color="auto" w:fill="auto"/>
            <w:vAlign w:val="center"/>
            <w:hideMark/>
          </w:tcPr>
          <w:p w14:paraId="2677B678" w14:textId="5A49BC50" w:rsidR="006E20F4" w:rsidRPr="00B4537C" w:rsidRDefault="00A26F4F" w:rsidP="001F0D7A">
            <w:pPr>
              <w:widowControl w:val="0"/>
              <w:jc w:val="center"/>
              <w:rPr>
                <w:rFonts w:ascii="Arial Narrow" w:eastAsiaTheme="majorEastAsia" w:hAnsi="Arial Narrow" w:cstheme="majorBidi"/>
                <w:b/>
                <w:sz w:val="20"/>
                <w:szCs w:val="20"/>
                <w:highlight w:val="darkGray"/>
                <w:vertAlign w:val="superscript"/>
              </w:rPr>
            </w:pPr>
            <w:r w:rsidRPr="00A26F4F">
              <w:rPr>
                <w:rFonts w:ascii="Arial Narrow" w:eastAsiaTheme="majorEastAsia" w:hAnsi="Arial Narrow" w:cstheme="majorBidi" w:hint="eastAsia"/>
                <w:b/>
                <w:color w:val="000000"/>
                <w:w w:val="26"/>
                <w:sz w:val="20"/>
                <w:szCs w:val="20"/>
                <w:shd w:val="solid" w:color="000000" w:fill="000000"/>
                <w:fitText w:val="120" w:id="-1168989436"/>
                <w14:textFill>
                  <w14:solidFill>
                    <w14:srgbClr w14:val="000000">
                      <w14:alpha w14:val="100000"/>
                    </w14:srgbClr>
                  </w14:solidFill>
                </w14:textFill>
              </w:rPr>
              <w:t xml:space="preserve">　</w:t>
            </w:r>
            <w:r w:rsidRPr="00A26F4F">
              <w:rPr>
                <w:rFonts w:ascii="Arial Narrow" w:eastAsiaTheme="majorEastAsia" w:hAnsi="Arial Narrow" w:cstheme="majorBidi"/>
                <w:b/>
                <w:color w:val="000000"/>
                <w:w w:val="26"/>
                <w:sz w:val="20"/>
                <w:szCs w:val="20"/>
                <w:shd w:val="solid" w:color="000000" w:fill="000000"/>
                <w:fitText w:val="120" w:id="-1168989436"/>
                <w14:textFill>
                  <w14:solidFill>
                    <w14:srgbClr w14:val="000000">
                      <w14:alpha w14:val="100000"/>
                    </w14:srgbClr>
                  </w14:solidFill>
                </w14:textFill>
              </w:rPr>
              <w:t>|</w:t>
            </w:r>
            <w:r w:rsidRPr="00A26F4F">
              <w:rPr>
                <w:rFonts w:ascii="Arial Narrow" w:eastAsiaTheme="majorEastAsia" w:hAnsi="Arial Narrow" w:cstheme="majorBidi" w:hint="eastAsia"/>
                <w:b/>
                <w:color w:val="000000"/>
                <w:spacing w:val="4"/>
                <w:w w:val="26"/>
                <w:sz w:val="20"/>
                <w:szCs w:val="20"/>
                <w:shd w:val="solid" w:color="000000" w:fill="000000"/>
                <w:fitText w:val="120" w:id="-1168989436"/>
                <w14:textFill>
                  <w14:solidFill>
                    <w14:srgbClr w14:val="000000">
                      <w14:alpha w14:val="100000"/>
                    </w14:srgbClr>
                  </w14:solidFill>
                </w14:textFill>
              </w:rPr>
              <w:t xml:space="preserve">　</w:t>
            </w:r>
            <w:r w:rsidR="00B4537C" w:rsidRPr="00B4537C">
              <w:rPr>
                <w:rFonts w:ascii="Arial Narrow" w:eastAsiaTheme="majorEastAsia" w:hAnsi="Arial Narrow" w:cstheme="majorBidi"/>
                <w:bCs/>
                <w:sz w:val="20"/>
                <w:szCs w:val="20"/>
                <w:vertAlign w:val="superscript"/>
              </w:rPr>
              <w:t>1</w:t>
            </w:r>
          </w:p>
        </w:tc>
        <w:tc>
          <w:tcPr>
            <w:tcW w:w="11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9FEBB7" w14:textId="61A5FAD1" w:rsidR="006E20F4" w:rsidRPr="00575922" w:rsidRDefault="00A26F4F" w:rsidP="001F0D7A">
            <w:pPr>
              <w:widowControl w:val="0"/>
              <w:jc w:val="center"/>
              <w:rPr>
                <w:rFonts w:ascii="Arial Narrow" w:eastAsiaTheme="majorEastAsia" w:hAnsi="Arial Narrow" w:cstheme="majorBidi"/>
                <w:b/>
                <w:sz w:val="20"/>
                <w:szCs w:val="20"/>
                <w:highlight w:val="darkGray"/>
              </w:rPr>
            </w:pPr>
            <w:r w:rsidRPr="00A26F4F">
              <w:rPr>
                <w:rFonts w:ascii="Arial Narrow" w:eastAsiaTheme="majorEastAsia" w:hAnsi="Arial Narrow" w:cstheme="majorBidi" w:hint="eastAsia"/>
                <w:b/>
                <w:color w:val="000000"/>
                <w:w w:val="15"/>
                <w:sz w:val="20"/>
                <w:szCs w:val="20"/>
                <w:shd w:val="solid" w:color="000000" w:fill="000000"/>
                <w:fitText w:val="60" w:id="-1168989435"/>
                <w14:textFill>
                  <w14:solidFill>
                    <w14:srgbClr w14:val="000000">
                      <w14:alpha w14:val="100000"/>
                    </w14:srgbClr>
                  </w14:solidFill>
                </w14:textFill>
              </w:rPr>
              <w:t xml:space="preserve">　</w:t>
            </w:r>
            <w:r w:rsidRPr="00A26F4F">
              <w:rPr>
                <w:rFonts w:ascii="Arial Narrow" w:eastAsiaTheme="majorEastAsia" w:hAnsi="Arial Narrow" w:cstheme="majorBidi"/>
                <w:b/>
                <w:color w:val="000000"/>
                <w:w w:val="15"/>
                <w:sz w:val="20"/>
                <w:szCs w:val="20"/>
                <w:shd w:val="solid" w:color="000000" w:fill="000000"/>
                <w:fitText w:val="60" w:id="-1168989435"/>
                <w14:textFill>
                  <w14:solidFill>
                    <w14:srgbClr w14:val="000000">
                      <w14:alpha w14:val="100000"/>
                    </w14:srgbClr>
                  </w14:solidFill>
                </w14:textFill>
              </w:rPr>
              <w:t>|</w:t>
            </w:r>
            <w:r w:rsidRPr="00A26F4F">
              <w:rPr>
                <w:rFonts w:ascii="Arial Narrow" w:eastAsiaTheme="majorEastAsia" w:hAnsi="Arial Narrow" w:cstheme="majorBidi" w:hint="eastAsia"/>
                <w:b/>
                <w:color w:val="000000"/>
                <w:spacing w:val="-6"/>
                <w:w w:val="15"/>
                <w:sz w:val="20"/>
                <w:szCs w:val="20"/>
                <w:shd w:val="solid" w:color="000000" w:fill="000000"/>
                <w:fitText w:val="60" w:id="-1168989435"/>
                <w14:textFill>
                  <w14:solidFill>
                    <w14:srgbClr w14:val="000000">
                      <w14:alpha w14:val="100000"/>
                    </w14:srgbClr>
                  </w14:solidFill>
                </w14:textFill>
              </w:rPr>
              <w:t xml:space="preserve">　</w:t>
            </w:r>
            <w:r w:rsidR="00B4537C" w:rsidRPr="00B4537C">
              <w:rPr>
                <w:rFonts w:ascii="Arial Narrow" w:eastAsiaTheme="majorEastAsia" w:hAnsi="Arial Narrow" w:cstheme="majorBidi"/>
                <w:bCs/>
                <w:sz w:val="20"/>
                <w:szCs w:val="20"/>
                <w:vertAlign w:val="superscript"/>
              </w:rPr>
              <w:t>1</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22A851" w14:textId="0A832008" w:rsidR="006E20F4" w:rsidRPr="005F6E54" w:rsidRDefault="00A26F4F" w:rsidP="001F0D7A">
            <w:pPr>
              <w:widowControl w:val="0"/>
              <w:jc w:val="center"/>
              <w:rPr>
                <w:rFonts w:ascii="Arial Narrow" w:eastAsiaTheme="majorEastAsia" w:hAnsi="Arial Narrow" w:cstheme="majorBidi"/>
                <w:b/>
                <w:sz w:val="20"/>
                <w:szCs w:val="20"/>
                <w:highlight w:val="darkGray"/>
                <w:vertAlign w:val="superscript"/>
              </w:rPr>
            </w:pPr>
            <w:r w:rsidRPr="00A26F4F">
              <w:rPr>
                <w:rFonts w:ascii="Arial Narrow" w:eastAsiaTheme="majorEastAsia" w:hAnsi="Arial Narrow" w:cstheme="majorBidi" w:hint="eastAsia"/>
                <w:b/>
                <w:color w:val="000000"/>
                <w:w w:val="16"/>
                <w:sz w:val="20"/>
                <w:szCs w:val="20"/>
                <w:shd w:val="solid" w:color="000000" w:fill="000000"/>
                <w:fitText w:val="75" w:id="-1168989434"/>
                <w14:textFill>
                  <w14:solidFill>
                    <w14:srgbClr w14:val="000000">
                      <w14:alpha w14:val="100000"/>
                    </w14:srgbClr>
                  </w14:solidFill>
                </w14:textFill>
              </w:rPr>
              <w:t xml:space="preserve">　</w:t>
            </w:r>
            <w:r w:rsidRPr="00A26F4F">
              <w:rPr>
                <w:rFonts w:ascii="Arial Narrow" w:eastAsiaTheme="majorEastAsia" w:hAnsi="Arial Narrow" w:cstheme="majorBidi"/>
                <w:b/>
                <w:color w:val="000000"/>
                <w:w w:val="16"/>
                <w:sz w:val="20"/>
                <w:szCs w:val="20"/>
                <w:shd w:val="solid" w:color="000000" w:fill="000000"/>
                <w:fitText w:val="75" w:id="-1168989434"/>
                <w14:textFill>
                  <w14:solidFill>
                    <w14:srgbClr w14:val="000000">
                      <w14:alpha w14:val="100000"/>
                    </w14:srgbClr>
                  </w14:solidFill>
                </w14:textFill>
              </w:rPr>
              <w:t>|</w:t>
            </w:r>
            <w:r w:rsidRPr="00A26F4F">
              <w:rPr>
                <w:rFonts w:ascii="Arial Narrow" w:eastAsiaTheme="majorEastAsia" w:hAnsi="Arial Narrow" w:cstheme="majorBidi" w:hint="eastAsia"/>
                <w:b/>
                <w:color w:val="000000"/>
                <w:spacing w:val="5"/>
                <w:w w:val="16"/>
                <w:sz w:val="20"/>
                <w:szCs w:val="20"/>
                <w:shd w:val="solid" w:color="000000" w:fill="000000"/>
                <w:fitText w:val="75" w:id="-1168989434"/>
                <w14:textFill>
                  <w14:solidFill>
                    <w14:srgbClr w14:val="000000">
                      <w14:alpha w14:val="100000"/>
                    </w14:srgbClr>
                  </w14:solidFill>
                </w14:textFill>
              </w:rPr>
              <w:t xml:space="preserve">　</w:t>
            </w:r>
            <w:r w:rsidR="005F6E54" w:rsidRPr="005F6E54">
              <w:rPr>
                <w:rFonts w:ascii="Arial Narrow" w:eastAsiaTheme="majorEastAsia" w:hAnsi="Arial Narrow" w:cstheme="majorBidi"/>
                <w:bCs/>
                <w:sz w:val="20"/>
                <w:szCs w:val="20"/>
                <w:vertAlign w:val="superscript"/>
              </w:rPr>
              <w:t>2</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A0074A" w14:textId="1090D034" w:rsidR="006E20F4" w:rsidRPr="00575922" w:rsidRDefault="00A26F4F" w:rsidP="001F0D7A">
            <w:pPr>
              <w:widowControl w:val="0"/>
              <w:jc w:val="center"/>
              <w:rPr>
                <w:rFonts w:ascii="Arial Narrow" w:eastAsiaTheme="majorEastAsia" w:hAnsi="Arial Narrow" w:cstheme="majorBidi"/>
                <w:b/>
                <w:sz w:val="20"/>
                <w:szCs w:val="20"/>
                <w:highlight w:val="darkGray"/>
              </w:rPr>
            </w:pPr>
            <w:r w:rsidRPr="00A26F4F">
              <w:rPr>
                <w:rFonts w:ascii="Arial Narrow" w:eastAsiaTheme="majorEastAsia" w:hAnsi="Arial Narrow" w:cstheme="majorBidi" w:hint="eastAsia"/>
                <w:b/>
                <w:color w:val="000000"/>
                <w:w w:val="16"/>
                <w:sz w:val="20"/>
                <w:szCs w:val="20"/>
                <w:shd w:val="solid" w:color="000000" w:fill="000000"/>
                <w:fitText w:val="75" w:id="-1168989433"/>
                <w14:textFill>
                  <w14:solidFill>
                    <w14:srgbClr w14:val="000000">
                      <w14:alpha w14:val="100000"/>
                    </w14:srgbClr>
                  </w14:solidFill>
                </w14:textFill>
              </w:rPr>
              <w:t xml:space="preserve">　</w:t>
            </w:r>
            <w:r w:rsidRPr="00A26F4F">
              <w:rPr>
                <w:rFonts w:ascii="Arial Narrow" w:eastAsiaTheme="majorEastAsia" w:hAnsi="Arial Narrow" w:cstheme="majorBidi"/>
                <w:b/>
                <w:color w:val="000000"/>
                <w:w w:val="16"/>
                <w:sz w:val="20"/>
                <w:szCs w:val="20"/>
                <w:shd w:val="solid" w:color="000000" w:fill="000000"/>
                <w:fitText w:val="75" w:id="-1168989433"/>
                <w14:textFill>
                  <w14:solidFill>
                    <w14:srgbClr w14:val="000000">
                      <w14:alpha w14:val="100000"/>
                    </w14:srgbClr>
                  </w14:solidFill>
                </w14:textFill>
              </w:rPr>
              <w:t>|</w:t>
            </w:r>
            <w:r w:rsidRPr="00A26F4F">
              <w:rPr>
                <w:rFonts w:ascii="Arial Narrow" w:eastAsiaTheme="majorEastAsia" w:hAnsi="Arial Narrow" w:cstheme="majorBidi" w:hint="eastAsia"/>
                <w:b/>
                <w:color w:val="000000"/>
                <w:spacing w:val="5"/>
                <w:w w:val="16"/>
                <w:sz w:val="20"/>
                <w:szCs w:val="20"/>
                <w:shd w:val="solid" w:color="000000" w:fill="000000"/>
                <w:fitText w:val="75" w:id="-1168989433"/>
                <w14:textFill>
                  <w14:solidFill>
                    <w14:srgbClr w14:val="000000">
                      <w14:alpha w14:val="100000"/>
                    </w14:srgbClr>
                  </w14:solidFill>
                </w14:textFill>
              </w:rPr>
              <w:t xml:space="preserve">　</w:t>
            </w:r>
            <w:r w:rsidR="005F6E54" w:rsidRPr="005F6E54">
              <w:rPr>
                <w:rFonts w:ascii="Arial Narrow" w:eastAsiaTheme="majorEastAsia" w:hAnsi="Arial Narrow" w:cstheme="majorBidi"/>
                <w:bCs/>
                <w:sz w:val="20"/>
                <w:szCs w:val="20"/>
                <w:vertAlign w:val="superscript"/>
              </w:rPr>
              <w:t>2</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446FE3" w14:textId="02DCFDBD" w:rsidR="006E20F4" w:rsidRPr="00575922" w:rsidRDefault="00A26F4F" w:rsidP="001F0D7A">
            <w:pPr>
              <w:widowControl w:val="0"/>
              <w:jc w:val="center"/>
              <w:rPr>
                <w:rFonts w:ascii="Arial Narrow" w:eastAsiaTheme="majorEastAsia" w:hAnsi="Arial Narrow" w:cstheme="majorBidi"/>
                <w:b/>
                <w:sz w:val="20"/>
                <w:szCs w:val="20"/>
                <w:highlight w:val="darkGray"/>
              </w:rPr>
            </w:pPr>
            <w:r w:rsidRPr="00A26F4F">
              <w:rPr>
                <w:rFonts w:ascii="Arial Narrow" w:eastAsiaTheme="majorEastAsia" w:hAnsi="Arial Narrow" w:cstheme="majorBidi" w:hint="eastAsia"/>
                <w:b/>
                <w:color w:val="000000"/>
                <w:w w:val="16"/>
                <w:sz w:val="20"/>
                <w:szCs w:val="20"/>
                <w:shd w:val="solid" w:color="000000" w:fill="000000"/>
                <w:fitText w:val="75" w:id="-1168989432"/>
                <w14:textFill>
                  <w14:solidFill>
                    <w14:srgbClr w14:val="000000">
                      <w14:alpha w14:val="100000"/>
                    </w14:srgbClr>
                  </w14:solidFill>
                </w14:textFill>
              </w:rPr>
              <w:t xml:space="preserve">　</w:t>
            </w:r>
            <w:r w:rsidRPr="00A26F4F">
              <w:rPr>
                <w:rFonts w:ascii="Arial Narrow" w:eastAsiaTheme="majorEastAsia" w:hAnsi="Arial Narrow" w:cstheme="majorBidi"/>
                <w:b/>
                <w:color w:val="000000"/>
                <w:w w:val="16"/>
                <w:sz w:val="20"/>
                <w:szCs w:val="20"/>
                <w:shd w:val="solid" w:color="000000" w:fill="000000"/>
                <w:fitText w:val="75" w:id="-1168989432"/>
                <w14:textFill>
                  <w14:solidFill>
                    <w14:srgbClr w14:val="000000">
                      <w14:alpha w14:val="100000"/>
                    </w14:srgbClr>
                  </w14:solidFill>
                </w14:textFill>
              </w:rPr>
              <w:t>|</w:t>
            </w:r>
            <w:r w:rsidRPr="00A26F4F">
              <w:rPr>
                <w:rFonts w:ascii="Arial Narrow" w:eastAsiaTheme="majorEastAsia" w:hAnsi="Arial Narrow" w:cstheme="majorBidi" w:hint="eastAsia"/>
                <w:b/>
                <w:color w:val="000000"/>
                <w:spacing w:val="5"/>
                <w:w w:val="16"/>
                <w:sz w:val="20"/>
                <w:szCs w:val="20"/>
                <w:shd w:val="solid" w:color="000000" w:fill="000000"/>
                <w:fitText w:val="75" w:id="-1168989432"/>
                <w14:textFill>
                  <w14:solidFill>
                    <w14:srgbClr w14:val="000000">
                      <w14:alpha w14:val="100000"/>
                    </w14:srgbClr>
                  </w14:solidFill>
                </w14:textFill>
              </w:rPr>
              <w:t xml:space="preserve">　</w:t>
            </w:r>
            <w:r w:rsidR="005F6E54" w:rsidRPr="005F6E54">
              <w:rPr>
                <w:rFonts w:ascii="Arial Narrow" w:eastAsiaTheme="majorEastAsia" w:hAnsi="Arial Narrow" w:cstheme="majorBidi"/>
                <w:bCs/>
                <w:sz w:val="20"/>
                <w:szCs w:val="20"/>
                <w:vertAlign w:val="superscript"/>
              </w:rPr>
              <w:t>2</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850E51" w14:textId="7A0ACF40" w:rsidR="006E20F4" w:rsidRPr="00575922" w:rsidRDefault="00A26F4F" w:rsidP="001F0D7A">
            <w:pPr>
              <w:widowControl w:val="0"/>
              <w:jc w:val="center"/>
              <w:rPr>
                <w:rFonts w:ascii="Arial Narrow" w:eastAsiaTheme="majorEastAsia" w:hAnsi="Arial Narrow" w:cstheme="majorBidi"/>
                <w:b/>
                <w:sz w:val="20"/>
                <w:szCs w:val="20"/>
                <w:highlight w:val="darkGray"/>
              </w:rPr>
            </w:pPr>
            <w:r w:rsidRPr="00A26F4F">
              <w:rPr>
                <w:rFonts w:ascii="Arial Narrow" w:eastAsiaTheme="majorEastAsia" w:hAnsi="Arial Narrow" w:cstheme="majorBidi" w:hint="eastAsia"/>
                <w:b/>
                <w:color w:val="000000"/>
                <w:w w:val="16"/>
                <w:sz w:val="20"/>
                <w:szCs w:val="20"/>
                <w:shd w:val="solid" w:color="000000" w:fill="000000"/>
                <w:fitText w:val="75" w:id="-1168989431"/>
                <w14:textFill>
                  <w14:solidFill>
                    <w14:srgbClr w14:val="000000">
                      <w14:alpha w14:val="100000"/>
                    </w14:srgbClr>
                  </w14:solidFill>
                </w14:textFill>
              </w:rPr>
              <w:t xml:space="preserve">　</w:t>
            </w:r>
            <w:r w:rsidRPr="00A26F4F">
              <w:rPr>
                <w:rFonts w:ascii="Arial Narrow" w:eastAsiaTheme="majorEastAsia" w:hAnsi="Arial Narrow" w:cstheme="majorBidi"/>
                <w:b/>
                <w:color w:val="000000"/>
                <w:w w:val="16"/>
                <w:sz w:val="20"/>
                <w:szCs w:val="20"/>
                <w:shd w:val="solid" w:color="000000" w:fill="000000"/>
                <w:fitText w:val="75" w:id="-1168989431"/>
                <w14:textFill>
                  <w14:solidFill>
                    <w14:srgbClr w14:val="000000">
                      <w14:alpha w14:val="100000"/>
                    </w14:srgbClr>
                  </w14:solidFill>
                </w14:textFill>
              </w:rPr>
              <w:t>|</w:t>
            </w:r>
            <w:r w:rsidRPr="00A26F4F">
              <w:rPr>
                <w:rFonts w:ascii="Arial Narrow" w:eastAsiaTheme="majorEastAsia" w:hAnsi="Arial Narrow" w:cstheme="majorBidi" w:hint="eastAsia"/>
                <w:b/>
                <w:color w:val="000000"/>
                <w:spacing w:val="5"/>
                <w:w w:val="16"/>
                <w:sz w:val="20"/>
                <w:szCs w:val="20"/>
                <w:shd w:val="solid" w:color="000000" w:fill="000000"/>
                <w:fitText w:val="75" w:id="-1168989431"/>
                <w14:textFill>
                  <w14:solidFill>
                    <w14:srgbClr w14:val="000000">
                      <w14:alpha w14:val="100000"/>
                    </w14:srgbClr>
                  </w14:solidFill>
                </w14:textFill>
              </w:rPr>
              <w:t xml:space="preserve">　</w:t>
            </w:r>
            <w:r w:rsidR="005F6E54" w:rsidRPr="005F6E54">
              <w:rPr>
                <w:rFonts w:ascii="Arial Narrow" w:eastAsiaTheme="majorEastAsia" w:hAnsi="Arial Narrow" w:cstheme="majorBidi"/>
                <w:bCs/>
                <w:sz w:val="20"/>
                <w:szCs w:val="20"/>
                <w:vertAlign w:val="superscript"/>
              </w:rPr>
              <w:t>2</w:t>
            </w:r>
          </w:p>
        </w:tc>
        <w:tc>
          <w:tcPr>
            <w:tcW w:w="1080" w:type="dxa"/>
            <w:tcBorders>
              <w:top w:val="single" w:sz="6" w:space="0" w:color="auto"/>
              <w:left w:val="single" w:sz="6" w:space="0" w:color="auto"/>
              <w:bottom w:val="single" w:sz="6" w:space="0" w:color="auto"/>
              <w:right w:val="single" w:sz="6" w:space="0" w:color="auto"/>
            </w:tcBorders>
            <w:vAlign w:val="center"/>
          </w:tcPr>
          <w:p w14:paraId="5082EB67" w14:textId="03BFB196" w:rsidR="006E20F4" w:rsidRPr="00575922" w:rsidRDefault="00A26F4F" w:rsidP="001F0D7A">
            <w:pPr>
              <w:widowControl w:val="0"/>
              <w:jc w:val="center"/>
              <w:rPr>
                <w:rFonts w:ascii="Arial Narrow" w:eastAsiaTheme="majorEastAsia" w:hAnsi="Arial Narrow" w:cstheme="majorBidi"/>
                <w:b/>
                <w:sz w:val="20"/>
                <w:szCs w:val="20"/>
                <w:highlight w:val="darkGray"/>
              </w:rPr>
            </w:pPr>
            <w:r w:rsidRPr="00A26F4F">
              <w:rPr>
                <w:rFonts w:ascii="Arial Narrow" w:eastAsiaTheme="majorEastAsia" w:hAnsi="Arial Narrow" w:cs="Calibri" w:hint="eastAsia"/>
                <w:b/>
                <w:color w:val="000000"/>
                <w:w w:val="16"/>
                <w:sz w:val="20"/>
                <w:szCs w:val="20"/>
                <w:shd w:val="solid" w:color="000000" w:fill="000000"/>
                <w:fitText w:val="75" w:id="-1168989430"/>
                <w14:textFill>
                  <w14:solidFill>
                    <w14:srgbClr w14:val="000000">
                      <w14:alpha w14:val="100000"/>
                    </w14:srgbClr>
                  </w14:solidFill>
                </w14:textFill>
              </w:rPr>
              <w:t xml:space="preserve">　</w:t>
            </w:r>
            <w:r w:rsidRPr="00A26F4F">
              <w:rPr>
                <w:rFonts w:ascii="Arial Narrow" w:eastAsiaTheme="majorEastAsia" w:hAnsi="Arial Narrow" w:cs="Calibri"/>
                <w:b/>
                <w:color w:val="000000"/>
                <w:w w:val="16"/>
                <w:sz w:val="20"/>
                <w:szCs w:val="20"/>
                <w:shd w:val="solid" w:color="000000" w:fill="000000"/>
                <w:fitText w:val="75" w:id="-1168989430"/>
                <w14:textFill>
                  <w14:solidFill>
                    <w14:srgbClr w14:val="000000">
                      <w14:alpha w14:val="100000"/>
                    </w14:srgbClr>
                  </w14:solidFill>
                </w14:textFill>
              </w:rPr>
              <w:t>|</w:t>
            </w:r>
            <w:r w:rsidRPr="00A26F4F">
              <w:rPr>
                <w:rFonts w:ascii="Arial Narrow" w:eastAsiaTheme="majorEastAsia" w:hAnsi="Arial Narrow" w:cs="Calibri" w:hint="eastAsia"/>
                <w:b/>
                <w:color w:val="000000"/>
                <w:spacing w:val="5"/>
                <w:w w:val="16"/>
                <w:sz w:val="20"/>
                <w:szCs w:val="20"/>
                <w:shd w:val="solid" w:color="000000" w:fill="000000"/>
                <w:fitText w:val="75" w:id="-1168989430"/>
                <w14:textFill>
                  <w14:solidFill>
                    <w14:srgbClr w14:val="000000">
                      <w14:alpha w14:val="100000"/>
                    </w14:srgbClr>
                  </w14:solidFill>
                </w14:textFill>
              </w:rPr>
              <w:t xml:space="preserve">　</w:t>
            </w:r>
            <w:r w:rsidR="005F6E54" w:rsidRPr="005F6E54">
              <w:rPr>
                <w:rFonts w:ascii="Arial Narrow" w:hAnsi="Arial Narrow"/>
                <w:iCs/>
                <w:sz w:val="18"/>
                <w:szCs w:val="18"/>
                <w:vertAlign w:val="superscript"/>
              </w:rPr>
              <w:t>3</w:t>
            </w:r>
          </w:p>
        </w:tc>
        <w:tc>
          <w:tcPr>
            <w:tcW w:w="600" w:type="dxa"/>
            <w:tcBorders>
              <w:top w:val="single" w:sz="6" w:space="0" w:color="auto"/>
              <w:left w:val="single" w:sz="6" w:space="0" w:color="auto"/>
              <w:bottom w:val="single" w:sz="6" w:space="0" w:color="auto"/>
              <w:right w:val="single" w:sz="6" w:space="0" w:color="auto"/>
            </w:tcBorders>
            <w:vAlign w:val="center"/>
          </w:tcPr>
          <w:p w14:paraId="498DAE2D" w14:textId="77777777" w:rsidR="006E20F4" w:rsidRPr="0029195A" w:rsidRDefault="006E20F4" w:rsidP="001F0D7A">
            <w:pPr>
              <w:widowControl w:val="0"/>
              <w:jc w:val="center"/>
              <w:rPr>
                <w:rFonts w:ascii="Arial Narrow" w:eastAsiaTheme="majorEastAsia" w:hAnsi="Arial Narrow" w:cstheme="majorBidi"/>
                <w:bCs/>
                <w:sz w:val="20"/>
                <w:szCs w:val="20"/>
              </w:rPr>
            </w:pPr>
          </w:p>
        </w:tc>
      </w:tr>
      <w:tr w:rsidR="006E20F4" w:rsidRPr="0029195A" w14:paraId="108FB0BC" w14:textId="77777777" w:rsidTr="002034AF">
        <w:trPr>
          <w:trHeight w:val="300"/>
        </w:trPr>
        <w:tc>
          <w:tcPr>
            <w:tcW w:w="8632" w:type="dxa"/>
            <w:gridSpan w:val="8"/>
            <w:tcBorders>
              <w:top w:val="single" w:sz="6" w:space="0" w:color="auto"/>
              <w:left w:val="single" w:sz="6" w:space="0" w:color="auto"/>
              <w:bottom w:val="single" w:sz="6" w:space="0" w:color="auto"/>
              <w:right w:val="single" w:sz="6" w:space="0" w:color="auto"/>
            </w:tcBorders>
            <w:shd w:val="clear" w:color="auto" w:fill="auto"/>
            <w:vAlign w:val="center"/>
          </w:tcPr>
          <w:p w14:paraId="063F100F" w14:textId="77777777" w:rsidR="006E20F4" w:rsidRPr="0029195A" w:rsidRDefault="006E20F4" w:rsidP="001F0D7A">
            <w:pPr>
              <w:widowControl w:val="0"/>
              <w:jc w:val="left"/>
              <w:rPr>
                <w:rFonts w:ascii="Arial Narrow" w:eastAsiaTheme="majorEastAsia" w:hAnsi="Arial Narrow" w:cstheme="majorBidi"/>
                <w:b/>
                <w:sz w:val="20"/>
                <w:szCs w:val="20"/>
              </w:rPr>
            </w:pPr>
            <w:r w:rsidRPr="0029195A">
              <w:rPr>
                <w:rFonts w:ascii="Arial Narrow" w:eastAsiaTheme="majorEastAsia" w:hAnsi="Arial Narrow" w:cstheme="majorBidi"/>
                <w:b/>
                <w:sz w:val="20"/>
              </w:rPr>
              <w:t>Using lower 95% CI values for incident and prevalence estimates from Ormerod et al. (2008)</w:t>
            </w:r>
          </w:p>
        </w:tc>
        <w:tc>
          <w:tcPr>
            <w:tcW w:w="600" w:type="dxa"/>
            <w:tcBorders>
              <w:top w:val="single" w:sz="6" w:space="0" w:color="auto"/>
              <w:left w:val="single" w:sz="6" w:space="0" w:color="auto"/>
              <w:bottom w:val="single" w:sz="6" w:space="0" w:color="auto"/>
              <w:right w:val="single" w:sz="6" w:space="0" w:color="auto"/>
            </w:tcBorders>
            <w:vAlign w:val="center"/>
          </w:tcPr>
          <w:p w14:paraId="3C57D4E9" w14:textId="77777777" w:rsidR="006E20F4" w:rsidRPr="0029195A" w:rsidRDefault="006E20F4" w:rsidP="001F0D7A">
            <w:pPr>
              <w:widowControl w:val="0"/>
              <w:jc w:val="left"/>
              <w:rPr>
                <w:rFonts w:ascii="Arial Narrow" w:eastAsiaTheme="majorEastAsia" w:hAnsi="Arial Narrow" w:cstheme="majorBidi"/>
                <w:bCs/>
                <w:sz w:val="20"/>
                <w:szCs w:val="20"/>
              </w:rPr>
            </w:pPr>
          </w:p>
        </w:tc>
      </w:tr>
      <w:tr w:rsidR="006E20F4" w:rsidRPr="0029195A" w14:paraId="097005D0" w14:textId="77777777" w:rsidTr="002034AF">
        <w:trPr>
          <w:trHeight w:val="300"/>
        </w:trPr>
        <w:tc>
          <w:tcPr>
            <w:tcW w:w="1072" w:type="dxa"/>
            <w:tcBorders>
              <w:top w:val="single" w:sz="6" w:space="0" w:color="auto"/>
              <w:left w:val="single" w:sz="6" w:space="0" w:color="auto"/>
              <w:bottom w:val="single" w:sz="6" w:space="0" w:color="auto"/>
              <w:right w:val="single" w:sz="6" w:space="0" w:color="auto"/>
            </w:tcBorders>
            <w:shd w:val="clear" w:color="auto" w:fill="auto"/>
            <w:vAlign w:val="center"/>
          </w:tcPr>
          <w:p w14:paraId="737BD7B6" w14:textId="6C503F00" w:rsidR="006E20F4" w:rsidRPr="0029195A" w:rsidRDefault="006E20F4" w:rsidP="001F0D7A">
            <w:pPr>
              <w:widowControl w:val="0"/>
              <w:jc w:val="left"/>
              <w:rPr>
                <w:rFonts w:ascii="Arial Narrow" w:eastAsiaTheme="majorEastAsia" w:hAnsi="Arial Narrow" w:cstheme="majorBidi"/>
                <w:bCs/>
                <w:sz w:val="20"/>
                <w:szCs w:val="20"/>
              </w:rPr>
            </w:pPr>
            <w:r w:rsidRPr="0029195A">
              <w:rPr>
                <w:rFonts w:ascii="Arial Narrow" w:eastAsiaTheme="majorEastAsia" w:hAnsi="Arial Narrow" w:cstheme="majorBidi"/>
                <w:bCs/>
                <w:sz w:val="20"/>
                <w:szCs w:val="20"/>
              </w:rPr>
              <w:t>Net cost to PBS/RBS </w:t>
            </w:r>
            <w:r w:rsidR="00575922">
              <w:rPr>
                <w:rFonts w:ascii="Arial Narrow" w:eastAsiaTheme="majorEastAsia" w:hAnsi="Arial Narrow" w:cstheme="majorBidi"/>
                <w:bCs/>
                <w:sz w:val="20"/>
                <w:szCs w:val="20"/>
              </w:rPr>
              <w:t>($)</w:t>
            </w:r>
          </w:p>
        </w:tc>
        <w:tc>
          <w:tcPr>
            <w:tcW w:w="1027" w:type="dxa"/>
            <w:tcBorders>
              <w:top w:val="single" w:sz="6" w:space="0" w:color="auto"/>
              <w:left w:val="single" w:sz="6" w:space="0" w:color="auto"/>
              <w:bottom w:val="single" w:sz="6" w:space="0" w:color="auto"/>
              <w:right w:val="single" w:sz="6" w:space="0" w:color="auto"/>
            </w:tcBorders>
            <w:shd w:val="clear" w:color="auto" w:fill="auto"/>
            <w:vAlign w:val="center"/>
          </w:tcPr>
          <w:p w14:paraId="710F62E4" w14:textId="4DB5B67D" w:rsidR="006E20F4" w:rsidRPr="00575922" w:rsidRDefault="00A26F4F" w:rsidP="001F0D7A">
            <w:pPr>
              <w:widowControl w:val="0"/>
              <w:jc w:val="center"/>
              <w:rPr>
                <w:rFonts w:ascii="Arial Narrow" w:eastAsiaTheme="majorEastAsia" w:hAnsi="Arial Narrow" w:cstheme="majorBidi"/>
                <w:bCs/>
                <w:sz w:val="20"/>
                <w:szCs w:val="20"/>
                <w:highlight w:val="darkGray"/>
              </w:rPr>
            </w:pPr>
            <w:r w:rsidRPr="00A26F4F">
              <w:rPr>
                <w:rFonts w:ascii="Arial Narrow" w:eastAsiaTheme="majorEastAsia" w:hAnsi="Arial Narrow" w:cstheme="majorBidi" w:hint="eastAsia"/>
                <w:bCs/>
                <w:color w:val="000000"/>
                <w:w w:val="16"/>
                <w:sz w:val="20"/>
                <w:shd w:val="solid" w:color="000000" w:fill="000000"/>
                <w:fitText w:val="75" w:id="-1168989429"/>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6"/>
                <w:sz w:val="20"/>
                <w:shd w:val="solid" w:color="000000" w:fill="000000"/>
                <w:fitText w:val="75" w:id="-1168989429"/>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5"/>
                <w:w w:val="16"/>
                <w:sz w:val="20"/>
                <w:shd w:val="solid" w:color="000000" w:fill="000000"/>
                <w:fitText w:val="75" w:id="-1168989429"/>
                <w14:textFill>
                  <w14:solidFill>
                    <w14:srgbClr w14:val="000000">
                      <w14:alpha w14:val="100000"/>
                    </w14:srgbClr>
                  </w14:solidFill>
                </w14:textFill>
              </w:rPr>
              <w:t xml:space="preserve">　</w:t>
            </w:r>
            <w:r w:rsidR="005F6E54">
              <w:rPr>
                <w:rFonts w:ascii="Arial Narrow" w:eastAsiaTheme="majorEastAsia" w:hAnsi="Arial Narrow" w:cstheme="majorBidi"/>
                <w:bCs/>
                <w:sz w:val="20"/>
                <w:szCs w:val="20"/>
                <w:vertAlign w:val="superscript"/>
              </w:rPr>
              <w:t>4</w:t>
            </w:r>
          </w:p>
        </w:tc>
        <w:tc>
          <w:tcPr>
            <w:tcW w:w="1133" w:type="dxa"/>
            <w:tcBorders>
              <w:top w:val="single" w:sz="6" w:space="0" w:color="auto"/>
              <w:left w:val="single" w:sz="6" w:space="0" w:color="auto"/>
              <w:bottom w:val="single" w:sz="6" w:space="0" w:color="auto"/>
              <w:right w:val="single" w:sz="6" w:space="0" w:color="auto"/>
            </w:tcBorders>
            <w:shd w:val="clear" w:color="auto" w:fill="auto"/>
            <w:vAlign w:val="center"/>
          </w:tcPr>
          <w:p w14:paraId="7651B5BE" w14:textId="552CD918" w:rsidR="006E20F4" w:rsidRPr="00575922" w:rsidRDefault="00A26F4F" w:rsidP="001F0D7A">
            <w:pPr>
              <w:widowControl w:val="0"/>
              <w:jc w:val="center"/>
              <w:rPr>
                <w:rFonts w:ascii="Arial Narrow" w:eastAsiaTheme="majorEastAsia" w:hAnsi="Arial Narrow" w:cstheme="majorBidi"/>
                <w:bCs/>
                <w:sz w:val="20"/>
                <w:szCs w:val="20"/>
                <w:highlight w:val="darkGray"/>
              </w:rPr>
            </w:pPr>
            <w:r w:rsidRPr="00B10578">
              <w:rPr>
                <w:rFonts w:ascii="Arial Narrow" w:eastAsiaTheme="majorEastAsia" w:hAnsi="Arial Narrow" w:cstheme="majorBidi" w:hint="eastAsia"/>
                <w:bCs/>
                <w:color w:val="000000"/>
                <w:w w:val="15"/>
                <w:sz w:val="20"/>
                <w:shd w:val="solid" w:color="000000" w:fill="000000"/>
                <w:fitText w:val="15" w:id="-1168989428"/>
                <w14:textFill>
                  <w14:solidFill>
                    <w14:srgbClr w14:val="000000">
                      <w14:alpha w14:val="100000"/>
                    </w14:srgbClr>
                  </w14:solidFill>
                </w14:textFill>
              </w:rPr>
              <w:t xml:space="preserve">　</w:t>
            </w:r>
            <w:r w:rsidRPr="00B10578">
              <w:rPr>
                <w:rFonts w:ascii="Arial Narrow" w:eastAsiaTheme="majorEastAsia" w:hAnsi="Arial Narrow" w:cstheme="majorBidi"/>
                <w:bCs/>
                <w:color w:val="000000"/>
                <w:w w:val="15"/>
                <w:sz w:val="20"/>
                <w:shd w:val="solid" w:color="000000" w:fill="000000"/>
                <w:fitText w:val="15" w:id="-1168989428"/>
                <w14:textFill>
                  <w14:solidFill>
                    <w14:srgbClr w14:val="000000">
                      <w14:alpha w14:val="100000"/>
                    </w14:srgbClr>
                  </w14:solidFill>
                </w14:textFill>
              </w:rPr>
              <w:t>|</w:t>
            </w:r>
            <w:r w:rsidRPr="00B10578">
              <w:rPr>
                <w:rFonts w:ascii="Arial Narrow" w:eastAsiaTheme="majorEastAsia" w:hAnsi="Arial Narrow" w:cstheme="majorBidi" w:hint="eastAsia"/>
                <w:bCs/>
                <w:color w:val="000000"/>
                <w:spacing w:val="-50"/>
                <w:w w:val="15"/>
                <w:sz w:val="20"/>
                <w:shd w:val="solid" w:color="000000" w:fill="000000"/>
                <w:fitText w:val="15" w:id="-1168989428"/>
                <w14:textFill>
                  <w14:solidFill>
                    <w14:srgbClr w14:val="000000">
                      <w14:alpha w14:val="100000"/>
                    </w14:srgbClr>
                  </w14:solidFill>
                </w14:textFill>
              </w:rPr>
              <w:t xml:space="preserve">　</w:t>
            </w:r>
            <w:r w:rsidR="005F6E54">
              <w:rPr>
                <w:rFonts w:ascii="Arial Narrow" w:eastAsiaTheme="majorEastAsia" w:hAnsi="Arial Narrow" w:cstheme="majorBidi"/>
                <w:bCs/>
                <w:sz w:val="20"/>
                <w:szCs w:val="20"/>
                <w:vertAlign w:val="superscript"/>
              </w:rPr>
              <w:t>4</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37B63009" w14:textId="23316037" w:rsidR="006E20F4" w:rsidRPr="00575922" w:rsidRDefault="00A26F4F" w:rsidP="001F0D7A">
            <w:pPr>
              <w:widowControl w:val="0"/>
              <w:jc w:val="center"/>
              <w:rPr>
                <w:rFonts w:ascii="Arial Narrow" w:eastAsiaTheme="majorEastAsia" w:hAnsi="Arial Narrow" w:cstheme="majorBidi"/>
                <w:bCs/>
                <w:sz w:val="20"/>
                <w:szCs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427"/>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427"/>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427"/>
                <w14:textFill>
                  <w14:solidFill>
                    <w14:srgbClr w14:val="000000">
                      <w14:alpha w14:val="100000"/>
                    </w14:srgbClr>
                  </w14:solidFill>
                </w14:textFill>
              </w:rPr>
              <w:t xml:space="preserve">　</w:t>
            </w:r>
            <w:r w:rsidR="005F6E54" w:rsidRPr="00B4537C">
              <w:rPr>
                <w:rFonts w:ascii="Arial Narrow" w:eastAsiaTheme="majorEastAsia" w:hAnsi="Arial Narrow" w:cstheme="majorBidi"/>
                <w:bCs/>
                <w:sz w:val="20"/>
                <w:szCs w:val="20"/>
                <w:vertAlign w:val="superscript"/>
              </w:rPr>
              <w:t>1</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635DA667" w14:textId="2ED2D216" w:rsidR="006E20F4" w:rsidRPr="00575922" w:rsidRDefault="00A26F4F" w:rsidP="001F0D7A">
            <w:pPr>
              <w:widowControl w:val="0"/>
              <w:jc w:val="center"/>
              <w:rPr>
                <w:rFonts w:ascii="Arial Narrow" w:eastAsiaTheme="majorEastAsia" w:hAnsi="Arial Narrow" w:cstheme="majorBidi"/>
                <w:bCs/>
                <w:sz w:val="20"/>
                <w:szCs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426"/>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426"/>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426"/>
                <w14:textFill>
                  <w14:solidFill>
                    <w14:srgbClr w14:val="000000">
                      <w14:alpha w14:val="100000"/>
                    </w14:srgbClr>
                  </w14:solidFill>
                </w14:textFill>
              </w:rPr>
              <w:t xml:space="preserve">　</w:t>
            </w:r>
            <w:r w:rsidR="005F6E54" w:rsidRPr="00B4537C">
              <w:rPr>
                <w:rFonts w:ascii="Arial Narrow" w:eastAsiaTheme="majorEastAsia" w:hAnsi="Arial Narrow" w:cstheme="majorBidi"/>
                <w:bCs/>
                <w:sz w:val="20"/>
                <w:szCs w:val="20"/>
                <w:vertAlign w:val="superscript"/>
              </w:rPr>
              <w:t>1</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1AC5B528" w14:textId="6B5F39CA" w:rsidR="006E20F4" w:rsidRPr="00575922" w:rsidRDefault="00A26F4F" w:rsidP="001F0D7A">
            <w:pPr>
              <w:widowControl w:val="0"/>
              <w:jc w:val="center"/>
              <w:rPr>
                <w:rFonts w:ascii="Arial Narrow" w:eastAsiaTheme="majorEastAsia" w:hAnsi="Arial Narrow" w:cstheme="majorBidi"/>
                <w:bCs/>
                <w:sz w:val="20"/>
                <w:szCs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425"/>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425"/>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425"/>
                <w14:textFill>
                  <w14:solidFill>
                    <w14:srgbClr w14:val="000000">
                      <w14:alpha w14:val="100000"/>
                    </w14:srgbClr>
                  </w14:solidFill>
                </w14:textFill>
              </w:rPr>
              <w:t xml:space="preserve">　</w:t>
            </w:r>
            <w:r w:rsidR="005F6E54" w:rsidRPr="00B4537C">
              <w:rPr>
                <w:rFonts w:ascii="Arial Narrow" w:eastAsiaTheme="majorEastAsia" w:hAnsi="Arial Narrow" w:cstheme="majorBidi"/>
                <w:bCs/>
                <w:sz w:val="20"/>
                <w:szCs w:val="20"/>
                <w:vertAlign w:val="superscript"/>
              </w:rPr>
              <w:t>1</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2DC37D0C" w14:textId="1747596E" w:rsidR="006E20F4" w:rsidRPr="00575922" w:rsidRDefault="00A26F4F" w:rsidP="001F0D7A">
            <w:pPr>
              <w:widowControl w:val="0"/>
              <w:jc w:val="center"/>
              <w:rPr>
                <w:rFonts w:ascii="Arial Narrow" w:eastAsiaTheme="majorEastAsia" w:hAnsi="Arial Narrow" w:cstheme="majorBidi"/>
                <w:bCs/>
                <w:sz w:val="20"/>
                <w:szCs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424"/>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424"/>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424"/>
                <w14:textFill>
                  <w14:solidFill>
                    <w14:srgbClr w14:val="000000">
                      <w14:alpha w14:val="100000"/>
                    </w14:srgbClr>
                  </w14:solidFill>
                </w14:textFill>
              </w:rPr>
              <w:t xml:space="preserve">　</w:t>
            </w:r>
            <w:r w:rsidR="005F6E54" w:rsidRPr="00B4537C">
              <w:rPr>
                <w:rFonts w:ascii="Arial Narrow" w:eastAsiaTheme="majorEastAsia" w:hAnsi="Arial Narrow" w:cstheme="majorBidi"/>
                <w:bCs/>
                <w:sz w:val="20"/>
                <w:szCs w:val="20"/>
                <w:vertAlign w:val="superscript"/>
              </w:rPr>
              <w:t>1</w:t>
            </w:r>
          </w:p>
        </w:tc>
        <w:tc>
          <w:tcPr>
            <w:tcW w:w="1080" w:type="dxa"/>
            <w:tcBorders>
              <w:top w:val="single" w:sz="6" w:space="0" w:color="auto"/>
              <w:left w:val="single" w:sz="6" w:space="0" w:color="auto"/>
              <w:bottom w:val="single" w:sz="6" w:space="0" w:color="auto"/>
              <w:right w:val="single" w:sz="6" w:space="0" w:color="auto"/>
            </w:tcBorders>
            <w:vAlign w:val="center"/>
          </w:tcPr>
          <w:p w14:paraId="3FA11412" w14:textId="652EE5AD" w:rsidR="006E20F4" w:rsidRPr="005F6E54" w:rsidRDefault="00A26F4F" w:rsidP="001F0D7A">
            <w:pPr>
              <w:widowControl w:val="0"/>
              <w:jc w:val="center"/>
              <w:rPr>
                <w:rFonts w:ascii="Arial Narrow" w:eastAsiaTheme="majorEastAsia" w:hAnsi="Arial Narrow" w:cstheme="majorBidi"/>
                <w:bCs/>
                <w:sz w:val="20"/>
                <w:szCs w:val="20"/>
                <w:highlight w:val="darkGray"/>
                <w:vertAlign w:val="superscript"/>
              </w:rPr>
            </w:pPr>
            <w:r w:rsidRPr="00A26F4F">
              <w:rPr>
                <w:rFonts w:ascii="Arial Narrow" w:eastAsiaTheme="majorEastAsia" w:hAnsi="Arial Narrow" w:cstheme="majorBidi" w:hint="eastAsia"/>
                <w:bCs/>
                <w:color w:val="000000"/>
                <w:w w:val="15"/>
                <w:sz w:val="20"/>
                <w:shd w:val="solid" w:color="000000" w:fill="000000"/>
                <w:fitText w:val="45" w:id="-1168989440"/>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440"/>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440"/>
                <w14:textFill>
                  <w14:solidFill>
                    <w14:srgbClr w14:val="000000">
                      <w14:alpha w14:val="100000"/>
                    </w14:srgbClr>
                  </w14:solidFill>
                </w14:textFill>
              </w:rPr>
              <w:t xml:space="preserve">　</w:t>
            </w:r>
            <w:r w:rsidR="005F6E54" w:rsidRPr="005F6E54">
              <w:rPr>
                <w:rFonts w:ascii="Arial Narrow" w:eastAsiaTheme="majorEastAsia" w:hAnsi="Arial Narrow" w:cstheme="majorBidi"/>
                <w:bCs/>
                <w:sz w:val="20"/>
                <w:vertAlign w:val="superscript"/>
              </w:rPr>
              <w:t>5</w:t>
            </w:r>
          </w:p>
        </w:tc>
        <w:tc>
          <w:tcPr>
            <w:tcW w:w="600" w:type="dxa"/>
            <w:tcBorders>
              <w:top w:val="single" w:sz="6" w:space="0" w:color="auto"/>
              <w:left w:val="single" w:sz="6" w:space="0" w:color="auto"/>
              <w:bottom w:val="single" w:sz="6" w:space="0" w:color="auto"/>
              <w:right w:val="single" w:sz="6" w:space="0" w:color="auto"/>
            </w:tcBorders>
            <w:vAlign w:val="center"/>
          </w:tcPr>
          <w:p w14:paraId="218BC0CC" w14:textId="77777777" w:rsidR="006E20F4" w:rsidRPr="0029195A" w:rsidRDefault="006E20F4" w:rsidP="001F0D7A">
            <w:pPr>
              <w:widowControl w:val="0"/>
              <w:jc w:val="center"/>
              <w:rPr>
                <w:rFonts w:ascii="Arial Narrow" w:eastAsiaTheme="majorEastAsia" w:hAnsi="Arial Narrow" w:cstheme="majorBidi"/>
                <w:bCs/>
                <w:sz w:val="20"/>
                <w:szCs w:val="20"/>
              </w:rPr>
            </w:pPr>
            <w:r w:rsidRPr="0029195A">
              <w:rPr>
                <w:rFonts w:ascii="Arial Narrow" w:eastAsiaTheme="majorEastAsia" w:hAnsi="Arial Narrow" w:cstheme="majorBidi"/>
                <w:bCs/>
                <w:sz w:val="20"/>
              </w:rPr>
              <w:t>-43%</w:t>
            </w:r>
          </w:p>
        </w:tc>
      </w:tr>
      <w:tr w:rsidR="006E20F4" w:rsidRPr="0029195A" w14:paraId="36417824" w14:textId="77777777" w:rsidTr="002034AF">
        <w:trPr>
          <w:trHeight w:val="300"/>
        </w:trPr>
        <w:tc>
          <w:tcPr>
            <w:tcW w:w="8632" w:type="dxa"/>
            <w:gridSpan w:val="8"/>
            <w:tcBorders>
              <w:top w:val="single" w:sz="6" w:space="0" w:color="auto"/>
              <w:left w:val="single" w:sz="6" w:space="0" w:color="auto"/>
              <w:bottom w:val="single" w:sz="6" w:space="0" w:color="auto"/>
              <w:right w:val="single" w:sz="6" w:space="0" w:color="auto"/>
            </w:tcBorders>
            <w:shd w:val="clear" w:color="auto" w:fill="auto"/>
            <w:vAlign w:val="center"/>
          </w:tcPr>
          <w:p w14:paraId="299BBCC7" w14:textId="77777777" w:rsidR="006E20F4" w:rsidRPr="0029195A" w:rsidRDefault="006E20F4" w:rsidP="001F0D7A">
            <w:pPr>
              <w:widowControl w:val="0"/>
              <w:jc w:val="left"/>
              <w:rPr>
                <w:rFonts w:ascii="Arial Narrow" w:eastAsiaTheme="majorEastAsia" w:hAnsi="Arial Narrow" w:cstheme="majorBidi"/>
                <w:b/>
                <w:sz w:val="20"/>
                <w:szCs w:val="20"/>
              </w:rPr>
            </w:pPr>
            <w:r w:rsidRPr="0029195A">
              <w:rPr>
                <w:rFonts w:ascii="Arial Narrow" w:eastAsiaTheme="majorEastAsia" w:hAnsi="Arial Narrow" w:cstheme="majorBidi"/>
                <w:b/>
                <w:sz w:val="20"/>
              </w:rPr>
              <w:t>Using upper 95% CI values for incident and prevalence estimates from Ormerod et al. (2008)</w:t>
            </w:r>
          </w:p>
        </w:tc>
        <w:tc>
          <w:tcPr>
            <w:tcW w:w="600" w:type="dxa"/>
            <w:tcBorders>
              <w:top w:val="single" w:sz="6" w:space="0" w:color="auto"/>
              <w:left w:val="single" w:sz="6" w:space="0" w:color="auto"/>
              <w:bottom w:val="single" w:sz="6" w:space="0" w:color="auto"/>
              <w:right w:val="single" w:sz="6" w:space="0" w:color="auto"/>
            </w:tcBorders>
            <w:vAlign w:val="center"/>
          </w:tcPr>
          <w:p w14:paraId="56A5EB51" w14:textId="77777777" w:rsidR="006E20F4" w:rsidRPr="0029195A" w:rsidRDefault="006E20F4" w:rsidP="001F0D7A">
            <w:pPr>
              <w:widowControl w:val="0"/>
              <w:jc w:val="left"/>
              <w:rPr>
                <w:rFonts w:ascii="Arial Narrow" w:eastAsiaTheme="majorEastAsia" w:hAnsi="Arial Narrow" w:cstheme="majorBidi"/>
                <w:bCs/>
                <w:sz w:val="20"/>
                <w:szCs w:val="20"/>
              </w:rPr>
            </w:pPr>
          </w:p>
        </w:tc>
      </w:tr>
      <w:tr w:rsidR="006E20F4" w:rsidRPr="0029195A" w14:paraId="4B6A47FE" w14:textId="77777777" w:rsidTr="002034AF">
        <w:trPr>
          <w:trHeight w:val="300"/>
        </w:trPr>
        <w:tc>
          <w:tcPr>
            <w:tcW w:w="1072" w:type="dxa"/>
            <w:tcBorders>
              <w:top w:val="single" w:sz="6" w:space="0" w:color="auto"/>
              <w:left w:val="single" w:sz="6" w:space="0" w:color="auto"/>
              <w:bottom w:val="single" w:sz="6" w:space="0" w:color="auto"/>
              <w:right w:val="single" w:sz="6" w:space="0" w:color="auto"/>
            </w:tcBorders>
            <w:shd w:val="clear" w:color="auto" w:fill="auto"/>
            <w:vAlign w:val="center"/>
          </w:tcPr>
          <w:p w14:paraId="08AABE45" w14:textId="2C0A3AD0" w:rsidR="006E20F4" w:rsidRPr="0029195A" w:rsidRDefault="006E20F4" w:rsidP="001F0D7A">
            <w:pPr>
              <w:widowControl w:val="0"/>
              <w:jc w:val="left"/>
              <w:rPr>
                <w:rFonts w:ascii="Arial Narrow" w:eastAsiaTheme="majorEastAsia" w:hAnsi="Arial Narrow" w:cstheme="majorBidi"/>
                <w:bCs/>
                <w:sz w:val="20"/>
                <w:szCs w:val="20"/>
              </w:rPr>
            </w:pPr>
            <w:r w:rsidRPr="0029195A">
              <w:rPr>
                <w:rFonts w:ascii="Arial Narrow" w:eastAsiaTheme="majorEastAsia" w:hAnsi="Arial Narrow" w:cstheme="majorBidi"/>
                <w:bCs/>
                <w:sz w:val="20"/>
                <w:szCs w:val="20"/>
              </w:rPr>
              <w:t>Net cost to PBS/RBS </w:t>
            </w:r>
            <w:r w:rsidR="00575922">
              <w:rPr>
                <w:rFonts w:ascii="Arial Narrow" w:eastAsiaTheme="majorEastAsia" w:hAnsi="Arial Narrow" w:cstheme="majorBidi"/>
                <w:bCs/>
                <w:sz w:val="20"/>
                <w:szCs w:val="20"/>
              </w:rPr>
              <w:t>($)</w:t>
            </w:r>
          </w:p>
        </w:tc>
        <w:tc>
          <w:tcPr>
            <w:tcW w:w="1027" w:type="dxa"/>
            <w:tcBorders>
              <w:top w:val="single" w:sz="6" w:space="0" w:color="auto"/>
              <w:left w:val="single" w:sz="6" w:space="0" w:color="auto"/>
              <w:bottom w:val="single" w:sz="6" w:space="0" w:color="auto"/>
              <w:right w:val="single" w:sz="6" w:space="0" w:color="auto"/>
            </w:tcBorders>
            <w:shd w:val="clear" w:color="auto" w:fill="auto"/>
            <w:vAlign w:val="center"/>
          </w:tcPr>
          <w:p w14:paraId="19521198" w14:textId="1CE18151" w:rsidR="006E20F4" w:rsidRPr="00575922" w:rsidRDefault="00A26F4F" w:rsidP="001F0D7A">
            <w:pPr>
              <w:widowControl w:val="0"/>
              <w:jc w:val="center"/>
              <w:rPr>
                <w:rFonts w:ascii="Arial Narrow" w:eastAsiaTheme="majorEastAsia" w:hAnsi="Arial Narrow" w:cstheme="majorBidi"/>
                <w:bCs/>
                <w:sz w:val="20"/>
                <w:szCs w:val="20"/>
                <w:highlight w:val="darkGray"/>
              </w:rPr>
            </w:pPr>
            <w:r w:rsidRPr="00A26F4F">
              <w:rPr>
                <w:rFonts w:ascii="Arial Narrow" w:eastAsiaTheme="majorEastAsia" w:hAnsi="Arial Narrow" w:cstheme="majorBidi" w:hint="eastAsia"/>
                <w:bCs/>
                <w:color w:val="000000"/>
                <w:w w:val="16"/>
                <w:sz w:val="20"/>
                <w:shd w:val="solid" w:color="000000" w:fill="000000"/>
                <w:fitText w:val="75" w:id="-1168989439"/>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6"/>
                <w:sz w:val="20"/>
                <w:shd w:val="solid" w:color="000000" w:fill="000000"/>
                <w:fitText w:val="75" w:id="-1168989439"/>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5"/>
                <w:w w:val="16"/>
                <w:sz w:val="20"/>
                <w:shd w:val="solid" w:color="000000" w:fill="000000"/>
                <w:fitText w:val="75" w:id="-1168989439"/>
                <w14:textFill>
                  <w14:solidFill>
                    <w14:srgbClr w14:val="000000">
                      <w14:alpha w14:val="100000"/>
                    </w14:srgbClr>
                  </w14:solidFill>
                </w14:textFill>
              </w:rPr>
              <w:t xml:space="preserve">　</w:t>
            </w:r>
            <w:r w:rsidR="002034AF" w:rsidRPr="005F6E54">
              <w:rPr>
                <w:rFonts w:ascii="Arial Narrow" w:eastAsiaTheme="majorEastAsia" w:hAnsi="Arial Narrow" w:cstheme="majorBidi"/>
                <w:bCs/>
                <w:sz w:val="20"/>
                <w:szCs w:val="20"/>
                <w:vertAlign w:val="superscript"/>
              </w:rPr>
              <w:t>2</w:t>
            </w:r>
          </w:p>
        </w:tc>
        <w:tc>
          <w:tcPr>
            <w:tcW w:w="1133" w:type="dxa"/>
            <w:tcBorders>
              <w:top w:val="single" w:sz="6" w:space="0" w:color="auto"/>
              <w:left w:val="single" w:sz="6" w:space="0" w:color="auto"/>
              <w:bottom w:val="single" w:sz="6" w:space="0" w:color="auto"/>
              <w:right w:val="single" w:sz="6" w:space="0" w:color="auto"/>
            </w:tcBorders>
            <w:shd w:val="clear" w:color="auto" w:fill="auto"/>
            <w:vAlign w:val="center"/>
          </w:tcPr>
          <w:p w14:paraId="7C79B45B" w14:textId="790265E4" w:rsidR="006E20F4" w:rsidRPr="00575922" w:rsidRDefault="00A26F4F" w:rsidP="001F0D7A">
            <w:pPr>
              <w:widowControl w:val="0"/>
              <w:jc w:val="center"/>
              <w:rPr>
                <w:rFonts w:ascii="Arial Narrow" w:eastAsiaTheme="majorEastAsia" w:hAnsi="Arial Narrow" w:cstheme="majorBidi"/>
                <w:bCs/>
                <w:sz w:val="20"/>
                <w:szCs w:val="20"/>
                <w:highlight w:val="darkGray"/>
              </w:rPr>
            </w:pPr>
            <w:r w:rsidRPr="00B10578">
              <w:rPr>
                <w:rFonts w:ascii="Arial Narrow" w:eastAsiaTheme="majorEastAsia" w:hAnsi="Arial Narrow" w:cstheme="majorBidi" w:hint="eastAsia"/>
                <w:bCs/>
                <w:color w:val="000000"/>
                <w:w w:val="15"/>
                <w:sz w:val="20"/>
                <w:shd w:val="solid" w:color="000000" w:fill="000000"/>
                <w:fitText w:val="15" w:id="-1168989438"/>
                <w14:textFill>
                  <w14:solidFill>
                    <w14:srgbClr w14:val="000000">
                      <w14:alpha w14:val="100000"/>
                    </w14:srgbClr>
                  </w14:solidFill>
                </w14:textFill>
              </w:rPr>
              <w:t xml:space="preserve">　</w:t>
            </w:r>
            <w:r w:rsidRPr="00B10578">
              <w:rPr>
                <w:rFonts w:ascii="Arial Narrow" w:eastAsiaTheme="majorEastAsia" w:hAnsi="Arial Narrow" w:cstheme="majorBidi"/>
                <w:bCs/>
                <w:color w:val="000000"/>
                <w:w w:val="15"/>
                <w:sz w:val="20"/>
                <w:shd w:val="solid" w:color="000000" w:fill="000000"/>
                <w:fitText w:val="15" w:id="-1168989438"/>
                <w14:textFill>
                  <w14:solidFill>
                    <w14:srgbClr w14:val="000000">
                      <w14:alpha w14:val="100000"/>
                    </w14:srgbClr>
                  </w14:solidFill>
                </w14:textFill>
              </w:rPr>
              <w:t>|</w:t>
            </w:r>
            <w:r w:rsidRPr="00B10578">
              <w:rPr>
                <w:rFonts w:ascii="Arial Narrow" w:eastAsiaTheme="majorEastAsia" w:hAnsi="Arial Narrow" w:cstheme="majorBidi" w:hint="eastAsia"/>
                <w:bCs/>
                <w:color w:val="000000"/>
                <w:spacing w:val="-50"/>
                <w:w w:val="15"/>
                <w:sz w:val="20"/>
                <w:shd w:val="solid" w:color="000000" w:fill="000000"/>
                <w:fitText w:val="15" w:id="-1168989438"/>
                <w14:textFill>
                  <w14:solidFill>
                    <w14:srgbClr w14:val="000000">
                      <w14:alpha w14:val="100000"/>
                    </w14:srgbClr>
                  </w14:solidFill>
                </w14:textFill>
              </w:rPr>
              <w:t xml:space="preserve">　</w:t>
            </w:r>
            <w:r w:rsidR="002034AF" w:rsidRPr="005F6E54">
              <w:rPr>
                <w:rFonts w:ascii="Arial Narrow" w:eastAsiaTheme="majorEastAsia" w:hAnsi="Arial Narrow" w:cstheme="majorBidi"/>
                <w:bCs/>
                <w:sz w:val="20"/>
                <w:szCs w:val="20"/>
                <w:vertAlign w:val="superscript"/>
              </w:rPr>
              <w:t>2</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6408F37A" w14:textId="49554A0C" w:rsidR="006E20F4" w:rsidRPr="00575922" w:rsidRDefault="00A26F4F" w:rsidP="001F0D7A">
            <w:pPr>
              <w:widowControl w:val="0"/>
              <w:jc w:val="center"/>
              <w:rPr>
                <w:rFonts w:ascii="Arial Narrow" w:eastAsiaTheme="majorEastAsia" w:hAnsi="Arial Narrow" w:cstheme="majorBidi"/>
                <w:bCs/>
                <w:sz w:val="20"/>
                <w:szCs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437"/>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437"/>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437"/>
                <w14:textFill>
                  <w14:solidFill>
                    <w14:srgbClr w14:val="000000">
                      <w14:alpha w14:val="100000"/>
                    </w14:srgbClr>
                  </w14:solidFill>
                </w14:textFill>
              </w:rPr>
              <w:t xml:space="preserve">　</w:t>
            </w:r>
            <w:r w:rsidR="002034AF">
              <w:rPr>
                <w:rFonts w:ascii="Arial Narrow" w:eastAsiaTheme="majorEastAsia" w:hAnsi="Arial Narrow" w:cstheme="majorBidi"/>
                <w:bCs/>
                <w:sz w:val="20"/>
                <w:szCs w:val="20"/>
                <w:vertAlign w:val="superscript"/>
              </w:rPr>
              <w:t>6</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4671893B" w14:textId="5A5A256F" w:rsidR="006E20F4" w:rsidRPr="00575922" w:rsidRDefault="00A26F4F" w:rsidP="001F0D7A">
            <w:pPr>
              <w:widowControl w:val="0"/>
              <w:jc w:val="center"/>
              <w:rPr>
                <w:rFonts w:ascii="Arial Narrow" w:eastAsiaTheme="majorEastAsia" w:hAnsi="Arial Narrow" w:cstheme="majorBidi"/>
                <w:bCs/>
                <w:sz w:val="20"/>
                <w:szCs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436"/>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436"/>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436"/>
                <w14:textFill>
                  <w14:solidFill>
                    <w14:srgbClr w14:val="000000">
                      <w14:alpha w14:val="100000"/>
                    </w14:srgbClr>
                  </w14:solidFill>
                </w14:textFill>
              </w:rPr>
              <w:t xml:space="preserve">　</w:t>
            </w:r>
            <w:r w:rsidR="002034AF">
              <w:rPr>
                <w:rFonts w:ascii="Arial Narrow" w:eastAsiaTheme="majorEastAsia" w:hAnsi="Arial Narrow" w:cstheme="majorBidi"/>
                <w:bCs/>
                <w:sz w:val="20"/>
                <w:szCs w:val="20"/>
                <w:vertAlign w:val="superscript"/>
              </w:rPr>
              <w:t>6</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0CAA6438" w14:textId="636D9008" w:rsidR="006E20F4" w:rsidRPr="00575922" w:rsidRDefault="00A26F4F" w:rsidP="001F0D7A">
            <w:pPr>
              <w:widowControl w:val="0"/>
              <w:jc w:val="center"/>
              <w:rPr>
                <w:rFonts w:ascii="Arial Narrow" w:eastAsiaTheme="majorEastAsia" w:hAnsi="Arial Narrow" w:cstheme="majorBidi"/>
                <w:bCs/>
                <w:sz w:val="20"/>
                <w:szCs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435"/>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435"/>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435"/>
                <w14:textFill>
                  <w14:solidFill>
                    <w14:srgbClr w14:val="000000">
                      <w14:alpha w14:val="100000"/>
                    </w14:srgbClr>
                  </w14:solidFill>
                </w14:textFill>
              </w:rPr>
              <w:t xml:space="preserve">　</w:t>
            </w:r>
            <w:r w:rsidR="002034AF">
              <w:rPr>
                <w:rFonts w:ascii="Arial Narrow" w:eastAsiaTheme="majorEastAsia" w:hAnsi="Arial Narrow" w:cstheme="majorBidi"/>
                <w:bCs/>
                <w:sz w:val="20"/>
                <w:szCs w:val="20"/>
                <w:vertAlign w:val="superscript"/>
              </w:rPr>
              <w:t>6</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7FD36C44" w14:textId="68F9049A" w:rsidR="006E20F4" w:rsidRPr="00575922" w:rsidRDefault="00A26F4F" w:rsidP="001F0D7A">
            <w:pPr>
              <w:widowControl w:val="0"/>
              <w:jc w:val="center"/>
              <w:rPr>
                <w:rFonts w:ascii="Arial Narrow" w:eastAsiaTheme="majorEastAsia" w:hAnsi="Arial Narrow" w:cstheme="majorBidi"/>
                <w:bCs/>
                <w:sz w:val="20"/>
                <w:szCs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434"/>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434"/>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434"/>
                <w14:textFill>
                  <w14:solidFill>
                    <w14:srgbClr w14:val="000000">
                      <w14:alpha w14:val="100000"/>
                    </w14:srgbClr>
                  </w14:solidFill>
                </w14:textFill>
              </w:rPr>
              <w:t xml:space="preserve">　</w:t>
            </w:r>
            <w:r w:rsidR="002034AF">
              <w:rPr>
                <w:rFonts w:ascii="Arial Narrow" w:eastAsiaTheme="majorEastAsia" w:hAnsi="Arial Narrow" w:cstheme="majorBidi"/>
                <w:bCs/>
                <w:sz w:val="20"/>
                <w:szCs w:val="20"/>
                <w:vertAlign w:val="superscript"/>
              </w:rPr>
              <w:t>6</w:t>
            </w:r>
          </w:p>
        </w:tc>
        <w:tc>
          <w:tcPr>
            <w:tcW w:w="1080" w:type="dxa"/>
            <w:tcBorders>
              <w:top w:val="single" w:sz="6" w:space="0" w:color="auto"/>
              <w:left w:val="single" w:sz="6" w:space="0" w:color="auto"/>
              <w:bottom w:val="single" w:sz="6" w:space="0" w:color="auto"/>
              <w:right w:val="single" w:sz="6" w:space="0" w:color="auto"/>
            </w:tcBorders>
            <w:vAlign w:val="center"/>
          </w:tcPr>
          <w:p w14:paraId="6CED682F" w14:textId="5FFEB771" w:rsidR="006E20F4" w:rsidRPr="002034AF" w:rsidRDefault="00A26F4F" w:rsidP="001F0D7A">
            <w:pPr>
              <w:widowControl w:val="0"/>
              <w:jc w:val="center"/>
              <w:rPr>
                <w:rFonts w:ascii="Arial Narrow" w:eastAsiaTheme="majorEastAsia" w:hAnsi="Arial Narrow" w:cstheme="majorBidi"/>
                <w:bCs/>
                <w:sz w:val="20"/>
                <w:szCs w:val="20"/>
                <w:highlight w:val="darkGray"/>
                <w:vertAlign w:val="superscript"/>
              </w:rPr>
            </w:pPr>
            <w:r w:rsidRPr="00A26F4F">
              <w:rPr>
                <w:rFonts w:ascii="Arial Narrow" w:eastAsiaTheme="majorEastAsia" w:hAnsi="Arial Narrow" w:cstheme="majorBidi" w:hint="eastAsia"/>
                <w:bCs/>
                <w:color w:val="000000"/>
                <w:w w:val="15"/>
                <w:sz w:val="20"/>
                <w:shd w:val="solid" w:color="000000" w:fill="000000"/>
                <w:fitText w:val="45" w:id="-1168989433"/>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433"/>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433"/>
                <w14:textFill>
                  <w14:solidFill>
                    <w14:srgbClr w14:val="000000">
                      <w14:alpha w14:val="100000"/>
                    </w14:srgbClr>
                  </w14:solidFill>
                </w14:textFill>
              </w:rPr>
              <w:t xml:space="preserve">　</w:t>
            </w:r>
            <w:r w:rsidR="002034AF" w:rsidRPr="002034AF">
              <w:rPr>
                <w:rFonts w:ascii="Arial Narrow" w:eastAsiaTheme="majorEastAsia" w:hAnsi="Arial Narrow" w:cstheme="majorBidi"/>
                <w:bCs/>
                <w:sz w:val="20"/>
                <w:vertAlign w:val="superscript"/>
              </w:rPr>
              <w:t>7</w:t>
            </w:r>
          </w:p>
        </w:tc>
        <w:tc>
          <w:tcPr>
            <w:tcW w:w="600" w:type="dxa"/>
            <w:tcBorders>
              <w:top w:val="single" w:sz="6" w:space="0" w:color="auto"/>
              <w:left w:val="single" w:sz="6" w:space="0" w:color="auto"/>
              <w:bottom w:val="single" w:sz="6" w:space="0" w:color="auto"/>
              <w:right w:val="single" w:sz="6" w:space="0" w:color="auto"/>
            </w:tcBorders>
            <w:vAlign w:val="center"/>
          </w:tcPr>
          <w:p w14:paraId="6AC2BA19" w14:textId="77777777" w:rsidR="006E20F4" w:rsidRPr="0029195A" w:rsidRDefault="006E20F4" w:rsidP="001F0D7A">
            <w:pPr>
              <w:widowControl w:val="0"/>
              <w:jc w:val="center"/>
              <w:rPr>
                <w:rFonts w:ascii="Arial Narrow" w:eastAsiaTheme="majorEastAsia" w:hAnsi="Arial Narrow" w:cstheme="majorBidi"/>
                <w:bCs/>
                <w:sz w:val="20"/>
                <w:szCs w:val="20"/>
              </w:rPr>
            </w:pPr>
            <w:r w:rsidRPr="0029195A">
              <w:rPr>
                <w:rFonts w:ascii="Arial Narrow" w:eastAsiaTheme="majorEastAsia" w:hAnsi="Arial Narrow" w:cstheme="majorBidi"/>
                <w:bCs/>
                <w:sz w:val="20"/>
              </w:rPr>
              <w:t>68%</w:t>
            </w:r>
          </w:p>
        </w:tc>
      </w:tr>
      <w:tr w:rsidR="006E20F4" w:rsidRPr="0029195A" w14:paraId="32ACF9C0" w14:textId="77777777" w:rsidTr="002034AF">
        <w:trPr>
          <w:trHeight w:val="300"/>
        </w:trPr>
        <w:tc>
          <w:tcPr>
            <w:tcW w:w="9232" w:type="dxa"/>
            <w:gridSpan w:val="9"/>
            <w:tcBorders>
              <w:top w:val="single" w:sz="6" w:space="0" w:color="auto"/>
              <w:left w:val="single" w:sz="6" w:space="0" w:color="auto"/>
              <w:bottom w:val="single" w:sz="6" w:space="0" w:color="auto"/>
              <w:right w:val="single" w:sz="6" w:space="0" w:color="auto"/>
            </w:tcBorders>
            <w:shd w:val="clear" w:color="auto" w:fill="auto"/>
            <w:vAlign w:val="center"/>
          </w:tcPr>
          <w:p w14:paraId="4758BF3A" w14:textId="77777777" w:rsidR="006E20F4" w:rsidRPr="0029195A" w:rsidRDefault="006E20F4" w:rsidP="001F0D7A">
            <w:pPr>
              <w:widowControl w:val="0"/>
              <w:jc w:val="left"/>
              <w:rPr>
                <w:rFonts w:ascii="Arial Narrow" w:eastAsiaTheme="majorEastAsia" w:hAnsi="Arial Narrow" w:cstheme="majorBidi"/>
                <w:b/>
                <w:sz w:val="20"/>
              </w:rPr>
            </w:pPr>
            <w:r w:rsidRPr="0029195A">
              <w:rPr>
                <w:rFonts w:ascii="Arial Narrow" w:eastAsiaTheme="majorEastAsia" w:hAnsi="Arial Narrow" w:cstheme="majorBidi"/>
                <w:b/>
                <w:sz w:val="20"/>
                <w:szCs w:val="20"/>
              </w:rPr>
              <w:t>Proportion of severity of disease is set to 100% for incident and prevalent patients</w:t>
            </w:r>
          </w:p>
        </w:tc>
      </w:tr>
      <w:tr w:rsidR="006E20F4" w:rsidRPr="0029195A" w14:paraId="16D43C48" w14:textId="77777777" w:rsidTr="002034AF">
        <w:trPr>
          <w:trHeight w:val="300"/>
        </w:trPr>
        <w:tc>
          <w:tcPr>
            <w:tcW w:w="1072" w:type="dxa"/>
            <w:tcBorders>
              <w:top w:val="single" w:sz="6" w:space="0" w:color="auto"/>
              <w:left w:val="single" w:sz="6" w:space="0" w:color="auto"/>
              <w:bottom w:val="single" w:sz="6" w:space="0" w:color="auto"/>
              <w:right w:val="single" w:sz="6" w:space="0" w:color="auto"/>
            </w:tcBorders>
            <w:shd w:val="clear" w:color="auto" w:fill="auto"/>
            <w:vAlign w:val="center"/>
          </w:tcPr>
          <w:p w14:paraId="30F600E2" w14:textId="29B9B8BE" w:rsidR="006E20F4" w:rsidRPr="0029195A" w:rsidRDefault="006E20F4" w:rsidP="001F0D7A">
            <w:pPr>
              <w:widowControl w:val="0"/>
              <w:jc w:val="left"/>
              <w:rPr>
                <w:rFonts w:ascii="Arial Narrow" w:eastAsiaTheme="majorEastAsia" w:hAnsi="Arial Narrow" w:cstheme="majorBidi"/>
                <w:bCs/>
                <w:sz w:val="20"/>
                <w:szCs w:val="20"/>
              </w:rPr>
            </w:pPr>
            <w:r w:rsidRPr="0029195A">
              <w:rPr>
                <w:rFonts w:ascii="Arial Narrow" w:eastAsiaTheme="majorEastAsia" w:hAnsi="Arial Narrow" w:cstheme="majorBidi"/>
                <w:bCs/>
                <w:sz w:val="20"/>
                <w:szCs w:val="20"/>
              </w:rPr>
              <w:t>Net cost to PBS/RBS </w:t>
            </w:r>
            <w:r w:rsidR="00575922">
              <w:rPr>
                <w:rFonts w:ascii="Arial Narrow" w:eastAsiaTheme="majorEastAsia" w:hAnsi="Arial Narrow" w:cstheme="majorBidi"/>
                <w:bCs/>
                <w:sz w:val="20"/>
                <w:szCs w:val="20"/>
              </w:rPr>
              <w:t>($)</w:t>
            </w:r>
          </w:p>
        </w:tc>
        <w:tc>
          <w:tcPr>
            <w:tcW w:w="1027" w:type="dxa"/>
            <w:tcBorders>
              <w:top w:val="single" w:sz="6" w:space="0" w:color="auto"/>
              <w:left w:val="single" w:sz="6" w:space="0" w:color="auto"/>
              <w:bottom w:val="single" w:sz="6" w:space="0" w:color="auto"/>
              <w:right w:val="single" w:sz="6" w:space="0" w:color="auto"/>
            </w:tcBorders>
            <w:shd w:val="clear" w:color="auto" w:fill="auto"/>
            <w:vAlign w:val="center"/>
          </w:tcPr>
          <w:p w14:paraId="688CB88A" w14:textId="4BFA0E8C" w:rsidR="006E20F4" w:rsidRPr="00575922" w:rsidRDefault="00A26F4F" w:rsidP="002034AF">
            <w:pPr>
              <w:widowControl w:val="0"/>
              <w:jc w:val="center"/>
              <w:rPr>
                <w:rFonts w:ascii="Arial Narrow" w:eastAsiaTheme="majorEastAsia" w:hAnsi="Arial Narrow" w:cstheme="majorBidi"/>
                <w:bCs/>
                <w:sz w:val="20"/>
                <w:highlight w:val="darkGray"/>
              </w:rPr>
            </w:pPr>
            <w:r w:rsidRPr="00A26F4F">
              <w:rPr>
                <w:rFonts w:ascii="Arial Narrow" w:eastAsiaTheme="majorEastAsia" w:hAnsi="Arial Narrow" w:cstheme="majorBidi" w:hint="eastAsia"/>
                <w:bCs/>
                <w:color w:val="000000"/>
                <w:w w:val="16"/>
                <w:sz w:val="20"/>
                <w:shd w:val="solid" w:color="000000" w:fill="000000"/>
                <w:fitText w:val="75" w:id="-1168989432"/>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6"/>
                <w:sz w:val="20"/>
                <w:shd w:val="solid" w:color="000000" w:fill="000000"/>
                <w:fitText w:val="75" w:id="-1168989432"/>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5"/>
                <w:w w:val="16"/>
                <w:sz w:val="20"/>
                <w:shd w:val="solid" w:color="000000" w:fill="000000"/>
                <w:fitText w:val="75" w:id="-1168989432"/>
                <w14:textFill>
                  <w14:solidFill>
                    <w14:srgbClr w14:val="000000">
                      <w14:alpha w14:val="100000"/>
                    </w14:srgbClr>
                  </w14:solidFill>
                </w14:textFill>
              </w:rPr>
              <w:t xml:space="preserve">　</w:t>
            </w:r>
            <w:r w:rsidR="002034AF" w:rsidRPr="00B4537C">
              <w:rPr>
                <w:rFonts w:ascii="Arial Narrow" w:eastAsiaTheme="majorEastAsia" w:hAnsi="Arial Narrow" w:cstheme="majorBidi"/>
                <w:bCs/>
                <w:sz w:val="20"/>
                <w:szCs w:val="20"/>
                <w:vertAlign w:val="superscript"/>
              </w:rPr>
              <w:t>1</w:t>
            </w:r>
          </w:p>
        </w:tc>
        <w:tc>
          <w:tcPr>
            <w:tcW w:w="1133" w:type="dxa"/>
            <w:tcBorders>
              <w:top w:val="single" w:sz="6" w:space="0" w:color="auto"/>
              <w:left w:val="single" w:sz="6" w:space="0" w:color="auto"/>
              <w:bottom w:val="single" w:sz="6" w:space="0" w:color="auto"/>
              <w:right w:val="single" w:sz="6" w:space="0" w:color="auto"/>
            </w:tcBorders>
            <w:shd w:val="clear" w:color="auto" w:fill="auto"/>
            <w:vAlign w:val="center"/>
          </w:tcPr>
          <w:p w14:paraId="7990692F" w14:textId="45B38DA1" w:rsidR="006E20F4" w:rsidRPr="00575922" w:rsidRDefault="00A26F4F" w:rsidP="001F0D7A">
            <w:pPr>
              <w:widowControl w:val="0"/>
              <w:jc w:val="center"/>
              <w:rPr>
                <w:rFonts w:ascii="Arial Narrow" w:eastAsiaTheme="majorEastAsia" w:hAnsi="Arial Narrow" w:cstheme="majorBidi"/>
                <w:bCs/>
                <w:sz w:val="20"/>
                <w:highlight w:val="darkGray"/>
              </w:rPr>
            </w:pPr>
            <w:r w:rsidRPr="00A26F4F">
              <w:rPr>
                <w:rFonts w:ascii="Arial Narrow" w:eastAsiaTheme="majorEastAsia" w:hAnsi="Arial Narrow" w:cstheme="majorBidi"/>
                <w:bCs/>
                <w:sz w:val="20"/>
              </w:rPr>
              <w:t xml:space="preserve"> </w:t>
            </w:r>
            <w:r w:rsidRPr="00A26F4F">
              <w:rPr>
                <w:rFonts w:ascii="Arial Narrow" w:eastAsiaTheme="majorEastAsia" w:hAnsi="Arial Narrow" w:cstheme="majorBidi" w:hint="eastAsia"/>
                <w:bCs/>
                <w:color w:val="000000"/>
                <w:w w:val="15"/>
                <w:sz w:val="20"/>
                <w:shd w:val="solid" w:color="000000" w:fill="000000"/>
                <w:fitText w:val="60" w:id="-1168989431"/>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60" w:id="-1168989431"/>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5"/>
                <w:w w:val="15"/>
                <w:sz w:val="20"/>
                <w:shd w:val="solid" w:color="000000" w:fill="000000"/>
                <w:fitText w:val="60" w:id="-1168989431"/>
                <w14:textFill>
                  <w14:solidFill>
                    <w14:srgbClr w14:val="000000">
                      <w14:alpha w14:val="100000"/>
                    </w14:srgbClr>
                  </w14:solidFill>
                </w14:textFill>
              </w:rPr>
              <w:t xml:space="preserve">　</w:t>
            </w:r>
            <w:r w:rsidRPr="00A26F4F">
              <w:rPr>
                <w:rFonts w:ascii="Arial Narrow" w:eastAsiaTheme="majorEastAsia" w:hAnsi="Arial Narrow" w:cstheme="majorBidi"/>
                <w:bCs/>
                <w:sz w:val="20"/>
              </w:rPr>
              <w:t xml:space="preserve"> </w:t>
            </w:r>
            <w:r w:rsidR="002034AF" w:rsidRPr="005F6E54">
              <w:rPr>
                <w:rFonts w:ascii="Arial Narrow" w:eastAsiaTheme="majorEastAsia" w:hAnsi="Arial Narrow" w:cstheme="majorBidi"/>
                <w:bCs/>
                <w:sz w:val="20"/>
                <w:szCs w:val="20"/>
                <w:vertAlign w:val="superscript"/>
              </w:rPr>
              <w:t>2</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34203539" w14:textId="3AD7B436" w:rsidR="006E20F4" w:rsidRPr="00575922" w:rsidRDefault="00A26F4F" w:rsidP="001F0D7A">
            <w:pPr>
              <w:widowControl w:val="0"/>
              <w:jc w:val="center"/>
              <w:rPr>
                <w:rFonts w:ascii="Arial Narrow" w:eastAsiaTheme="majorEastAsia" w:hAnsi="Arial Narrow" w:cstheme="majorBidi"/>
                <w:bCs/>
                <w:sz w:val="20"/>
                <w:highlight w:val="darkGray"/>
              </w:rPr>
            </w:pPr>
            <w:r w:rsidRPr="00A26F4F">
              <w:rPr>
                <w:rFonts w:ascii="Arial Narrow" w:eastAsiaTheme="majorEastAsia" w:hAnsi="Arial Narrow" w:cstheme="majorBidi"/>
                <w:bCs/>
                <w:sz w:val="20"/>
              </w:rPr>
              <w:t xml:space="preserve"> </w:t>
            </w:r>
            <w:r w:rsidRPr="00A26F4F">
              <w:rPr>
                <w:rFonts w:ascii="Arial Narrow" w:eastAsiaTheme="majorEastAsia" w:hAnsi="Arial Narrow" w:cstheme="majorBidi" w:hint="eastAsia"/>
                <w:bCs/>
                <w:color w:val="000000"/>
                <w:w w:val="16"/>
                <w:sz w:val="20"/>
                <w:shd w:val="solid" w:color="000000" w:fill="000000"/>
                <w:fitText w:val="75" w:id="-1168989430"/>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6"/>
                <w:sz w:val="20"/>
                <w:shd w:val="solid" w:color="000000" w:fill="000000"/>
                <w:fitText w:val="75" w:id="-1168989430"/>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5"/>
                <w:w w:val="16"/>
                <w:sz w:val="20"/>
                <w:shd w:val="solid" w:color="000000" w:fill="000000"/>
                <w:fitText w:val="75" w:id="-1168989430"/>
                <w14:textFill>
                  <w14:solidFill>
                    <w14:srgbClr w14:val="000000">
                      <w14:alpha w14:val="100000"/>
                    </w14:srgbClr>
                  </w14:solidFill>
                </w14:textFill>
              </w:rPr>
              <w:t xml:space="preserve">　</w:t>
            </w:r>
            <w:r w:rsidR="002034AF" w:rsidRPr="005F6E54">
              <w:rPr>
                <w:rFonts w:ascii="Arial Narrow" w:eastAsiaTheme="majorEastAsia" w:hAnsi="Arial Narrow" w:cstheme="majorBidi"/>
                <w:bCs/>
                <w:sz w:val="20"/>
                <w:szCs w:val="20"/>
                <w:vertAlign w:val="superscript"/>
              </w:rPr>
              <w:t>2</w:t>
            </w:r>
            <w:r w:rsidRPr="00A26F4F">
              <w:rPr>
                <w:rFonts w:ascii="Arial Narrow" w:eastAsiaTheme="majorEastAsia" w:hAnsi="Arial Narrow" w:cstheme="majorBidi"/>
                <w:bCs/>
                <w:sz w:val="20"/>
              </w:rPr>
              <w:t xml:space="preserve">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52A69D01" w14:textId="7CBF8EC4" w:rsidR="006E20F4" w:rsidRPr="00575922" w:rsidRDefault="00A26F4F" w:rsidP="001F0D7A">
            <w:pPr>
              <w:widowControl w:val="0"/>
              <w:jc w:val="center"/>
              <w:rPr>
                <w:rFonts w:ascii="Arial Narrow" w:eastAsiaTheme="majorEastAsia" w:hAnsi="Arial Narrow" w:cstheme="majorBidi"/>
                <w:bCs/>
                <w:sz w:val="20"/>
                <w:highlight w:val="darkGray"/>
              </w:rPr>
            </w:pPr>
            <w:r w:rsidRPr="00A26F4F">
              <w:rPr>
                <w:rFonts w:ascii="Arial Narrow" w:eastAsiaTheme="majorEastAsia" w:hAnsi="Arial Narrow" w:cstheme="majorBidi"/>
                <w:bCs/>
                <w:sz w:val="20"/>
              </w:rPr>
              <w:t xml:space="preserve"> </w:t>
            </w:r>
            <w:r w:rsidRPr="00A26F4F">
              <w:rPr>
                <w:rFonts w:ascii="Arial Narrow" w:eastAsiaTheme="majorEastAsia" w:hAnsi="Arial Narrow" w:cstheme="majorBidi" w:hint="eastAsia"/>
                <w:bCs/>
                <w:color w:val="000000"/>
                <w:w w:val="16"/>
                <w:sz w:val="20"/>
                <w:shd w:val="solid" w:color="000000" w:fill="000000"/>
                <w:fitText w:val="75" w:id="-1168989429"/>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6"/>
                <w:sz w:val="20"/>
                <w:shd w:val="solid" w:color="000000" w:fill="000000"/>
                <w:fitText w:val="75" w:id="-1168989429"/>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5"/>
                <w:w w:val="16"/>
                <w:sz w:val="20"/>
                <w:shd w:val="solid" w:color="000000" w:fill="000000"/>
                <w:fitText w:val="75" w:id="-1168989429"/>
                <w14:textFill>
                  <w14:solidFill>
                    <w14:srgbClr w14:val="000000">
                      <w14:alpha w14:val="100000"/>
                    </w14:srgbClr>
                  </w14:solidFill>
                </w14:textFill>
              </w:rPr>
              <w:t xml:space="preserve">　</w:t>
            </w:r>
            <w:r w:rsidR="002034AF">
              <w:rPr>
                <w:rFonts w:ascii="Arial Narrow" w:eastAsiaTheme="majorEastAsia" w:hAnsi="Arial Narrow" w:cstheme="majorBidi"/>
                <w:bCs/>
                <w:sz w:val="20"/>
                <w:szCs w:val="20"/>
                <w:vertAlign w:val="superscript"/>
              </w:rPr>
              <w:t>8</w:t>
            </w:r>
            <w:r w:rsidRPr="00A26F4F">
              <w:rPr>
                <w:rFonts w:ascii="Arial Narrow" w:eastAsiaTheme="majorEastAsia" w:hAnsi="Arial Narrow" w:cstheme="majorBidi"/>
                <w:bCs/>
                <w:sz w:val="20"/>
              </w:rPr>
              <w:t xml:space="preserve">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5CE20C46" w14:textId="5898C409" w:rsidR="006E20F4" w:rsidRPr="00575922" w:rsidRDefault="00A26F4F" w:rsidP="001F0D7A">
            <w:pPr>
              <w:widowControl w:val="0"/>
              <w:jc w:val="center"/>
              <w:rPr>
                <w:rFonts w:ascii="Arial Narrow" w:eastAsiaTheme="majorEastAsia" w:hAnsi="Arial Narrow" w:cstheme="majorBidi"/>
                <w:bCs/>
                <w:sz w:val="20"/>
                <w:highlight w:val="darkGray"/>
              </w:rPr>
            </w:pPr>
            <w:r w:rsidRPr="00A26F4F">
              <w:rPr>
                <w:rFonts w:ascii="Arial Narrow" w:eastAsiaTheme="majorEastAsia" w:hAnsi="Arial Narrow" w:cstheme="majorBidi"/>
                <w:bCs/>
                <w:sz w:val="20"/>
              </w:rPr>
              <w:t xml:space="preserve"> </w:t>
            </w:r>
            <w:r w:rsidRPr="00A26F4F">
              <w:rPr>
                <w:rFonts w:ascii="Arial Narrow" w:eastAsiaTheme="majorEastAsia" w:hAnsi="Arial Narrow" w:cstheme="majorBidi" w:hint="eastAsia"/>
                <w:bCs/>
                <w:color w:val="000000"/>
                <w:w w:val="16"/>
                <w:sz w:val="20"/>
                <w:shd w:val="solid" w:color="000000" w:fill="000000"/>
                <w:fitText w:val="75" w:id="-1168989428"/>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6"/>
                <w:sz w:val="20"/>
                <w:shd w:val="solid" w:color="000000" w:fill="000000"/>
                <w:fitText w:val="75" w:id="-1168989428"/>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5"/>
                <w:w w:val="16"/>
                <w:sz w:val="20"/>
                <w:shd w:val="solid" w:color="000000" w:fill="000000"/>
                <w:fitText w:val="75" w:id="-1168989428"/>
                <w14:textFill>
                  <w14:solidFill>
                    <w14:srgbClr w14:val="000000">
                      <w14:alpha w14:val="100000"/>
                    </w14:srgbClr>
                  </w14:solidFill>
                </w14:textFill>
              </w:rPr>
              <w:t xml:space="preserve">　</w:t>
            </w:r>
            <w:r w:rsidR="002034AF">
              <w:rPr>
                <w:rFonts w:ascii="Arial Narrow" w:eastAsiaTheme="majorEastAsia" w:hAnsi="Arial Narrow" w:cstheme="majorBidi"/>
                <w:bCs/>
                <w:sz w:val="20"/>
                <w:szCs w:val="20"/>
                <w:vertAlign w:val="superscript"/>
              </w:rPr>
              <w:t>8</w:t>
            </w:r>
            <w:r w:rsidRPr="00A26F4F">
              <w:rPr>
                <w:rFonts w:ascii="Arial Narrow" w:eastAsiaTheme="majorEastAsia" w:hAnsi="Arial Narrow" w:cstheme="majorBidi"/>
                <w:bCs/>
                <w:sz w:val="20"/>
              </w:rPr>
              <w:t xml:space="preserve">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66FDBC42" w14:textId="1C0D4CEA" w:rsidR="006E20F4" w:rsidRPr="00575922" w:rsidRDefault="00A26F4F" w:rsidP="001F0D7A">
            <w:pPr>
              <w:widowControl w:val="0"/>
              <w:jc w:val="center"/>
              <w:rPr>
                <w:rFonts w:ascii="Arial Narrow" w:eastAsiaTheme="majorEastAsia" w:hAnsi="Arial Narrow" w:cstheme="majorBidi"/>
                <w:bCs/>
                <w:sz w:val="20"/>
                <w:highlight w:val="darkGray"/>
              </w:rPr>
            </w:pPr>
            <w:r w:rsidRPr="00A26F4F">
              <w:rPr>
                <w:rFonts w:ascii="Arial Narrow" w:eastAsiaTheme="majorEastAsia" w:hAnsi="Arial Narrow" w:cstheme="majorBidi"/>
                <w:bCs/>
                <w:sz w:val="20"/>
              </w:rPr>
              <w:t xml:space="preserve"> </w:t>
            </w:r>
            <w:r w:rsidRPr="00A26F4F">
              <w:rPr>
                <w:rFonts w:ascii="Arial Narrow" w:eastAsiaTheme="majorEastAsia" w:hAnsi="Arial Narrow" w:cstheme="majorBidi" w:hint="eastAsia"/>
                <w:bCs/>
                <w:color w:val="000000"/>
                <w:w w:val="16"/>
                <w:sz w:val="20"/>
                <w:shd w:val="solid" w:color="000000" w:fill="000000"/>
                <w:fitText w:val="75" w:id="-1168989427"/>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6"/>
                <w:sz w:val="20"/>
                <w:shd w:val="solid" w:color="000000" w:fill="000000"/>
                <w:fitText w:val="75" w:id="-1168989427"/>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5"/>
                <w:w w:val="16"/>
                <w:sz w:val="20"/>
                <w:shd w:val="solid" w:color="000000" w:fill="000000"/>
                <w:fitText w:val="75" w:id="-1168989427"/>
                <w14:textFill>
                  <w14:solidFill>
                    <w14:srgbClr w14:val="000000">
                      <w14:alpha w14:val="100000"/>
                    </w14:srgbClr>
                  </w14:solidFill>
                </w14:textFill>
              </w:rPr>
              <w:t xml:space="preserve">　</w:t>
            </w:r>
            <w:r w:rsidR="002034AF">
              <w:rPr>
                <w:rFonts w:ascii="Arial Narrow" w:eastAsiaTheme="majorEastAsia" w:hAnsi="Arial Narrow" w:cstheme="majorBidi"/>
                <w:bCs/>
                <w:sz w:val="20"/>
                <w:szCs w:val="20"/>
                <w:vertAlign w:val="superscript"/>
              </w:rPr>
              <w:t>8</w:t>
            </w:r>
            <w:r w:rsidRPr="00A26F4F">
              <w:rPr>
                <w:rFonts w:ascii="Arial Narrow" w:eastAsiaTheme="majorEastAsia" w:hAnsi="Arial Narrow" w:cstheme="majorBidi"/>
                <w:bCs/>
                <w:sz w:val="20"/>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14:paraId="2F2C2038" w14:textId="5BB65D6C" w:rsidR="006E20F4" w:rsidRPr="00575922" w:rsidRDefault="00A26F4F" w:rsidP="002034AF">
            <w:pPr>
              <w:widowControl w:val="0"/>
              <w:jc w:val="center"/>
              <w:rPr>
                <w:rFonts w:ascii="Arial Narrow" w:eastAsiaTheme="majorEastAsia" w:hAnsi="Arial Narrow" w:cstheme="majorBidi"/>
                <w:bCs/>
                <w:sz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426"/>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426"/>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426"/>
                <w14:textFill>
                  <w14:solidFill>
                    <w14:srgbClr w14:val="000000">
                      <w14:alpha w14:val="100000"/>
                    </w14:srgbClr>
                  </w14:solidFill>
                </w14:textFill>
              </w:rPr>
              <w:t xml:space="preserve">　</w:t>
            </w:r>
            <w:r w:rsidR="002034AF" w:rsidRPr="005F6E54">
              <w:rPr>
                <w:rFonts w:ascii="Arial Narrow" w:hAnsi="Arial Narrow"/>
                <w:iCs/>
                <w:sz w:val="18"/>
                <w:szCs w:val="18"/>
                <w:vertAlign w:val="superscript"/>
              </w:rPr>
              <w:t>3</w:t>
            </w:r>
          </w:p>
        </w:tc>
        <w:tc>
          <w:tcPr>
            <w:tcW w:w="600" w:type="dxa"/>
            <w:tcBorders>
              <w:top w:val="single" w:sz="6" w:space="0" w:color="auto"/>
              <w:left w:val="single" w:sz="6" w:space="0" w:color="auto"/>
              <w:bottom w:val="single" w:sz="6" w:space="0" w:color="auto"/>
              <w:right w:val="single" w:sz="6" w:space="0" w:color="auto"/>
            </w:tcBorders>
            <w:vAlign w:val="center"/>
          </w:tcPr>
          <w:p w14:paraId="4ADCE1EE" w14:textId="77777777" w:rsidR="006E20F4" w:rsidRPr="0029195A" w:rsidRDefault="006E20F4" w:rsidP="001F0D7A">
            <w:pPr>
              <w:widowControl w:val="0"/>
              <w:jc w:val="center"/>
              <w:rPr>
                <w:rFonts w:ascii="Arial Narrow" w:eastAsiaTheme="majorEastAsia" w:hAnsi="Arial Narrow" w:cstheme="majorBidi"/>
                <w:bCs/>
                <w:sz w:val="20"/>
              </w:rPr>
            </w:pPr>
            <w:r w:rsidRPr="0029195A">
              <w:rPr>
                <w:rFonts w:ascii="Arial Narrow" w:eastAsiaTheme="majorEastAsia" w:hAnsi="Arial Narrow" w:cstheme="majorBidi"/>
                <w:bCs/>
                <w:sz w:val="20"/>
              </w:rPr>
              <w:t>20%</w:t>
            </w:r>
          </w:p>
        </w:tc>
      </w:tr>
      <w:tr w:rsidR="006E20F4" w:rsidRPr="0029195A" w14:paraId="53B6F4A8" w14:textId="77777777" w:rsidTr="002034AF">
        <w:trPr>
          <w:trHeight w:val="300"/>
        </w:trPr>
        <w:tc>
          <w:tcPr>
            <w:tcW w:w="9232" w:type="dxa"/>
            <w:gridSpan w:val="9"/>
            <w:tcBorders>
              <w:top w:val="single" w:sz="6" w:space="0" w:color="auto"/>
              <w:left w:val="single" w:sz="6" w:space="0" w:color="auto"/>
              <w:bottom w:val="single" w:sz="6" w:space="0" w:color="auto"/>
              <w:right w:val="single" w:sz="6" w:space="0" w:color="auto"/>
            </w:tcBorders>
            <w:shd w:val="clear" w:color="auto" w:fill="auto"/>
            <w:vAlign w:val="center"/>
          </w:tcPr>
          <w:p w14:paraId="6719614F" w14:textId="77777777" w:rsidR="006E20F4" w:rsidRPr="0029195A" w:rsidRDefault="006E20F4" w:rsidP="001F0D7A">
            <w:pPr>
              <w:widowControl w:val="0"/>
              <w:jc w:val="left"/>
              <w:rPr>
                <w:b/>
                <w:bCs/>
              </w:rPr>
            </w:pPr>
            <w:r w:rsidRPr="0029195A">
              <w:rPr>
                <w:rFonts w:ascii="Arial Narrow" w:hAnsi="Arial Narrow" w:cs="Calibri"/>
                <w:b/>
                <w:bCs/>
                <w:color w:val="000000"/>
                <w:sz w:val="20"/>
                <w:szCs w:val="20"/>
              </w:rPr>
              <w:t>Relapse rate at 25% in Year 1 and 10% for subsequent years (for Population 2)</w:t>
            </w:r>
          </w:p>
        </w:tc>
      </w:tr>
      <w:tr w:rsidR="006E20F4" w:rsidRPr="0029195A" w14:paraId="770600B1" w14:textId="77777777" w:rsidTr="002034AF">
        <w:trPr>
          <w:trHeight w:val="300"/>
        </w:trPr>
        <w:tc>
          <w:tcPr>
            <w:tcW w:w="1072" w:type="dxa"/>
            <w:tcBorders>
              <w:top w:val="single" w:sz="6" w:space="0" w:color="auto"/>
              <w:left w:val="single" w:sz="6" w:space="0" w:color="auto"/>
              <w:bottom w:val="single" w:sz="6" w:space="0" w:color="auto"/>
              <w:right w:val="single" w:sz="6" w:space="0" w:color="auto"/>
            </w:tcBorders>
            <w:shd w:val="clear" w:color="auto" w:fill="auto"/>
            <w:vAlign w:val="center"/>
          </w:tcPr>
          <w:p w14:paraId="2CD4AC85" w14:textId="05E85DD2" w:rsidR="006E20F4" w:rsidRPr="0029195A" w:rsidRDefault="006E20F4" w:rsidP="001F0D7A">
            <w:pPr>
              <w:widowControl w:val="0"/>
              <w:jc w:val="left"/>
              <w:rPr>
                <w:rFonts w:ascii="Arial Narrow" w:eastAsiaTheme="majorEastAsia" w:hAnsi="Arial Narrow" w:cstheme="majorBidi"/>
                <w:bCs/>
                <w:sz w:val="20"/>
                <w:szCs w:val="20"/>
              </w:rPr>
            </w:pPr>
            <w:r w:rsidRPr="0029195A">
              <w:rPr>
                <w:rFonts w:ascii="Arial Narrow" w:eastAsiaTheme="majorEastAsia" w:hAnsi="Arial Narrow" w:cstheme="majorBidi"/>
                <w:bCs/>
                <w:sz w:val="20"/>
                <w:szCs w:val="20"/>
              </w:rPr>
              <w:t>Net cost to PBS/RBS </w:t>
            </w:r>
            <w:r w:rsidR="00575922">
              <w:rPr>
                <w:rFonts w:ascii="Arial Narrow" w:eastAsiaTheme="majorEastAsia" w:hAnsi="Arial Narrow" w:cstheme="majorBidi"/>
                <w:bCs/>
                <w:sz w:val="20"/>
                <w:szCs w:val="20"/>
              </w:rPr>
              <w:t>($)</w:t>
            </w:r>
          </w:p>
        </w:tc>
        <w:tc>
          <w:tcPr>
            <w:tcW w:w="1027" w:type="dxa"/>
            <w:tcBorders>
              <w:top w:val="single" w:sz="6" w:space="0" w:color="auto"/>
              <w:left w:val="single" w:sz="6" w:space="0" w:color="auto"/>
              <w:bottom w:val="single" w:sz="6" w:space="0" w:color="auto"/>
              <w:right w:val="single" w:sz="6" w:space="0" w:color="auto"/>
            </w:tcBorders>
            <w:shd w:val="clear" w:color="auto" w:fill="auto"/>
            <w:vAlign w:val="center"/>
          </w:tcPr>
          <w:p w14:paraId="75EB3BD6" w14:textId="1E796FB1" w:rsidR="006E20F4" w:rsidRPr="00575922" w:rsidRDefault="00A26F4F" w:rsidP="001F0D7A">
            <w:pPr>
              <w:widowControl w:val="0"/>
              <w:jc w:val="center"/>
              <w:rPr>
                <w:rFonts w:ascii="Arial Narrow" w:eastAsiaTheme="majorEastAsia" w:hAnsi="Arial Narrow" w:cstheme="majorBidi"/>
                <w:bCs/>
                <w:sz w:val="20"/>
                <w:highlight w:val="darkGray"/>
              </w:rPr>
            </w:pPr>
            <w:r w:rsidRPr="00A26F4F">
              <w:rPr>
                <w:rFonts w:ascii="Arial Narrow" w:eastAsiaTheme="majorEastAsia" w:hAnsi="Arial Narrow" w:cstheme="majorBidi" w:hint="eastAsia"/>
                <w:bCs/>
                <w:color w:val="000000"/>
                <w:w w:val="16"/>
                <w:sz w:val="20"/>
                <w:shd w:val="solid" w:color="000000" w:fill="000000"/>
                <w:fitText w:val="75" w:id="-1168989425"/>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6"/>
                <w:sz w:val="20"/>
                <w:shd w:val="solid" w:color="000000" w:fill="000000"/>
                <w:fitText w:val="75" w:id="-1168989425"/>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5"/>
                <w:w w:val="16"/>
                <w:sz w:val="20"/>
                <w:shd w:val="solid" w:color="000000" w:fill="000000"/>
                <w:fitText w:val="75" w:id="-1168989425"/>
                <w14:textFill>
                  <w14:solidFill>
                    <w14:srgbClr w14:val="000000">
                      <w14:alpha w14:val="100000"/>
                    </w14:srgbClr>
                  </w14:solidFill>
                </w14:textFill>
              </w:rPr>
              <w:t xml:space="preserve">　</w:t>
            </w:r>
            <w:r w:rsidR="00941272" w:rsidRPr="005F6E54">
              <w:rPr>
                <w:rFonts w:ascii="Arial Narrow" w:eastAsiaTheme="majorEastAsia" w:hAnsi="Arial Narrow" w:cstheme="majorBidi"/>
                <w:bCs/>
                <w:sz w:val="20"/>
                <w:szCs w:val="20"/>
                <w:vertAlign w:val="superscript"/>
              </w:rPr>
              <w:t>2</w:t>
            </w:r>
          </w:p>
        </w:tc>
        <w:tc>
          <w:tcPr>
            <w:tcW w:w="1133" w:type="dxa"/>
            <w:tcBorders>
              <w:top w:val="single" w:sz="6" w:space="0" w:color="auto"/>
              <w:left w:val="single" w:sz="6" w:space="0" w:color="auto"/>
              <w:bottom w:val="single" w:sz="6" w:space="0" w:color="auto"/>
              <w:right w:val="single" w:sz="6" w:space="0" w:color="auto"/>
            </w:tcBorders>
            <w:shd w:val="clear" w:color="auto" w:fill="auto"/>
            <w:vAlign w:val="center"/>
          </w:tcPr>
          <w:p w14:paraId="5C63728F" w14:textId="40A3FD4C" w:rsidR="006E20F4" w:rsidRPr="00575922" w:rsidRDefault="00A26F4F" w:rsidP="001F0D7A">
            <w:pPr>
              <w:widowControl w:val="0"/>
              <w:jc w:val="center"/>
              <w:rPr>
                <w:rFonts w:ascii="Arial Narrow" w:eastAsiaTheme="majorEastAsia" w:hAnsi="Arial Narrow" w:cstheme="majorBidi"/>
                <w:bCs/>
                <w:sz w:val="20"/>
                <w:highlight w:val="darkGray"/>
              </w:rPr>
            </w:pPr>
            <w:r w:rsidRPr="00B10578">
              <w:rPr>
                <w:rFonts w:ascii="Arial Narrow" w:eastAsiaTheme="majorEastAsia" w:hAnsi="Arial Narrow" w:cstheme="majorBidi" w:hint="eastAsia"/>
                <w:bCs/>
                <w:color w:val="000000"/>
                <w:w w:val="15"/>
                <w:sz w:val="20"/>
                <w:shd w:val="solid" w:color="000000" w:fill="000000"/>
                <w:fitText w:val="15" w:id="-1168989424"/>
                <w14:textFill>
                  <w14:solidFill>
                    <w14:srgbClr w14:val="000000">
                      <w14:alpha w14:val="100000"/>
                    </w14:srgbClr>
                  </w14:solidFill>
                </w14:textFill>
              </w:rPr>
              <w:t xml:space="preserve">　</w:t>
            </w:r>
            <w:r w:rsidRPr="00B10578">
              <w:rPr>
                <w:rFonts w:ascii="Arial Narrow" w:eastAsiaTheme="majorEastAsia" w:hAnsi="Arial Narrow" w:cstheme="majorBidi"/>
                <w:bCs/>
                <w:color w:val="000000"/>
                <w:w w:val="15"/>
                <w:sz w:val="20"/>
                <w:shd w:val="solid" w:color="000000" w:fill="000000"/>
                <w:fitText w:val="15" w:id="-1168989424"/>
                <w14:textFill>
                  <w14:solidFill>
                    <w14:srgbClr w14:val="000000">
                      <w14:alpha w14:val="100000"/>
                    </w14:srgbClr>
                  </w14:solidFill>
                </w14:textFill>
              </w:rPr>
              <w:t>|</w:t>
            </w:r>
            <w:r w:rsidRPr="00B10578">
              <w:rPr>
                <w:rFonts w:ascii="Arial Narrow" w:eastAsiaTheme="majorEastAsia" w:hAnsi="Arial Narrow" w:cstheme="majorBidi" w:hint="eastAsia"/>
                <w:bCs/>
                <w:color w:val="000000"/>
                <w:spacing w:val="-50"/>
                <w:w w:val="15"/>
                <w:sz w:val="20"/>
                <w:shd w:val="solid" w:color="000000" w:fill="000000"/>
                <w:fitText w:val="15" w:id="-1168989424"/>
                <w14:textFill>
                  <w14:solidFill>
                    <w14:srgbClr w14:val="000000">
                      <w14:alpha w14:val="100000"/>
                    </w14:srgbClr>
                  </w14:solidFill>
                </w14:textFill>
              </w:rPr>
              <w:t xml:space="preserve">　</w:t>
            </w:r>
            <w:r w:rsidR="00941272">
              <w:rPr>
                <w:rFonts w:ascii="Arial Narrow" w:eastAsiaTheme="majorEastAsia" w:hAnsi="Arial Narrow" w:cstheme="majorBidi"/>
                <w:bCs/>
                <w:sz w:val="20"/>
                <w:szCs w:val="20"/>
                <w:vertAlign w:val="superscript"/>
              </w:rPr>
              <w:t>1</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6E2EAE7D" w14:textId="3DD201BF" w:rsidR="006E20F4" w:rsidRPr="00575922" w:rsidRDefault="00A26F4F" w:rsidP="001F0D7A">
            <w:pPr>
              <w:widowControl w:val="0"/>
              <w:jc w:val="center"/>
              <w:rPr>
                <w:rFonts w:ascii="Arial Narrow" w:eastAsiaTheme="majorEastAsia" w:hAnsi="Arial Narrow" w:cstheme="majorBidi"/>
                <w:bCs/>
                <w:sz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440"/>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440"/>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440"/>
                <w14:textFill>
                  <w14:solidFill>
                    <w14:srgbClr w14:val="000000">
                      <w14:alpha w14:val="100000"/>
                    </w14:srgbClr>
                  </w14:solidFill>
                </w14:textFill>
              </w:rPr>
              <w:t xml:space="preserve">　</w:t>
            </w:r>
            <w:r w:rsidR="00941272" w:rsidRPr="005F6E54">
              <w:rPr>
                <w:rFonts w:ascii="Arial Narrow" w:eastAsiaTheme="majorEastAsia" w:hAnsi="Arial Narrow" w:cstheme="majorBidi"/>
                <w:bCs/>
                <w:sz w:val="20"/>
                <w:szCs w:val="20"/>
                <w:vertAlign w:val="superscript"/>
              </w:rPr>
              <w:t>2</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0FE8E9C0" w14:textId="4746DA17" w:rsidR="006E20F4" w:rsidRPr="00575922" w:rsidRDefault="00A26F4F" w:rsidP="001F0D7A">
            <w:pPr>
              <w:widowControl w:val="0"/>
              <w:jc w:val="center"/>
              <w:rPr>
                <w:rFonts w:ascii="Arial Narrow" w:eastAsiaTheme="majorEastAsia" w:hAnsi="Arial Narrow" w:cstheme="majorBidi"/>
                <w:bCs/>
                <w:sz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439"/>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439"/>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439"/>
                <w14:textFill>
                  <w14:solidFill>
                    <w14:srgbClr w14:val="000000">
                      <w14:alpha w14:val="100000"/>
                    </w14:srgbClr>
                  </w14:solidFill>
                </w14:textFill>
              </w:rPr>
              <w:t xml:space="preserve">　</w:t>
            </w:r>
            <w:r w:rsidR="00941272" w:rsidRPr="005F6E54">
              <w:rPr>
                <w:rFonts w:ascii="Arial Narrow" w:eastAsiaTheme="majorEastAsia" w:hAnsi="Arial Narrow" w:cstheme="majorBidi"/>
                <w:bCs/>
                <w:sz w:val="20"/>
                <w:szCs w:val="20"/>
                <w:vertAlign w:val="superscript"/>
              </w:rPr>
              <w:t>2</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755C136F" w14:textId="6BD3E03E" w:rsidR="006E20F4" w:rsidRPr="00575922" w:rsidRDefault="00A26F4F" w:rsidP="001F0D7A">
            <w:pPr>
              <w:widowControl w:val="0"/>
              <w:jc w:val="center"/>
              <w:rPr>
                <w:rFonts w:ascii="Arial Narrow" w:eastAsiaTheme="majorEastAsia" w:hAnsi="Arial Narrow" w:cstheme="majorBidi"/>
                <w:bCs/>
                <w:sz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438"/>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438"/>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438"/>
                <w14:textFill>
                  <w14:solidFill>
                    <w14:srgbClr w14:val="000000">
                      <w14:alpha w14:val="100000"/>
                    </w14:srgbClr>
                  </w14:solidFill>
                </w14:textFill>
              </w:rPr>
              <w:t xml:space="preserve">　</w:t>
            </w:r>
            <w:r w:rsidR="00941272" w:rsidRPr="005F6E54">
              <w:rPr>
                <w:rFonts w:ascii="Arial Narrow" w:eastAsiaTheme="majorEastAsia" w:hAnsi="Arial Narrow" w:cstheme="majorBidi"/>
                <w:bCs/>
                <w:sz w:val="20"/>
                <w:szCs w:val="20"/>
                <w:vertAlign w:val="superscript"/>
              </w:rPr>
              <w:t>2</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68627B5D" w14:textId="53E43D6E" w:rsidR="006E20F4" w:rsidRPr="00575922" w:rsidRDefault="00A26F4F" w:rsidP="001F0D7A">
            <w:pPr>
              <w:widowControl w:val="0"/>
              <w:jc w:val="center"/>
              <w:rPr>
                <w:rFonts w:ascii="Arial Narrow" w:eastAsiaTheme="majorEastAsia" w:hAnsi="Arial Narrow" w:cstheme="majorBidi"/>
                <w:bCs/>
                <w:sz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437"/>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437"/>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437"/>
                <w14:textFill>
                  <w14:solidFill>
                    <w14:srgbClr w14:val="000000">
                      <w14:alpha w14:val="100000"/>
                    </w14:srgbClr>
                  </w14:solidFill>
                </w14:textFill>
              </w:rPr>
              <w:t xml:space="preserve">　</w:t>
            </w:r>
            <w:r w:rsidR="00941272" w:rsidRPr="005F6E54">
              <w:rPr>
                <w:rFonts w:ascii="Arial Narrow" w:eastAsiaTheme="majorEastAsia" w:hAnsi="Arial Narrow" w:cstheme="majorBidi"/>
                <w:bCs/>
                <w:sz w:val="20"/>
                <w:szCs w:val="20"/>
                <w:vertAlign w:val="superscript"/>
              </w:rPr>
              <w:t>2</w:t>
            </w:r>
          </w:p>
        </w:tc>
        <w:tc>
          <w:tcPr>
            <w:tcW w:w="1080" w:type="dxa"/>
            <w:tcBorders>
              <w:top w:val="single" w:sz="6" w:space="0" w:color="auto"/>
              <w:left w:val="single" w:sz="6" w:space="0" w:color="auto"/>
              <w:bottom w:val="single" w:sz="6" w:space="0" w:color="auto"/>
              <w:right w:val="single" w:sz="6" w:space="0" w:color="auto"/>
            </w:tcBorders>
            <w:vAlign w:val="center"/>
          </w:tcPr>
          <w:p w14:paraId="25238A4F" w14:textId="08EA85E8" w:rsidR="006E20F4" w:rsidRPr="00575922" w:rsidRDefault="00A26F4F" w:rsidP="001F0D7A">
            <w:pPr>
              <w:widowControl w:val="0"/>
              <w:jc w:val="center"/>
              <w:rPr>
                <w:rFonts w:ascii="Arial Narrow" w:eastAsiaTheme="majorEastAsia" w:hAnsi="Arial Narrow" w:cstheme="majorBidi"/>
                <w:bCs/>
                <w:sz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436"/>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436"/>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436"/>
                <w14:textFill>
                  <w14:solidFill>
                    <w14:srgbClr w14:val="000000">
                      <w14:alpha w14:val="100000"/>
                    </w14:srgbClr>
                  </w14:solidFill>
                </w14:textFill>
              </w:rPr>
              <w:t xml:space="preserve">　</w:t>
            </w:r>
            <w:r w:rsidR="00941272">
              <w:rPr>
                <w:rFonts w:ascii="Arial Narrow" w:eastAsiaTheme="majorEastAsia" w:hAnsi="Arial Narrow" w:cstheme="majorBidi"/>
                <w:bCs/>
                <w:sz w:val="20"/>
                <w:szCs w:val="20"/>
                <w:vertAlign w:val="superscript"/>
              </w:rPr>
              <w:t>3</w:t>
            </w:r>
          </w:p>
        </w:tc>
        <w:tc>
          <w:tcPr>
            <w:tcW w:w="600" w:type="dxa"/>
            <w:tcBorders>
              <w:top w:val="single" w:sz="6" w:space="0" w:color="auto"/>
              <w:left w:val="single" w:sz="6" w:space="0" w:color="auto"/>
              <w:bottom w:val="single" w:sz="6" w:space="0" w:color="auto"/>
              <w:right w:val="single" w:sz="6" w:space="0" w:color="auto"/>
            </w:tcBorders>
            <w:vAlign w:val="center"/>
          </w:tcPr>
          <w:p w14:paraId="5F7DC546" w14:textId="77777777" w:rsidR="006E20F4" w:rsidRPr="0029195A" w:rsidRDefault="006E20F4" w:rsidP="001F0D7A">
            <w:pPr>
              <w:widowControl w:val="0"/>
              <w:jc w:val="center"/>
              <w:rPr>
                <w:rFonts w:ascii="Arial Narrow" w:eastAsiaTheme="majorEastAsia" w:hAnsi="Arial Narrow" w:cstheme="majorBidi"/>
                <w:bCs/>
                <w:sz w:val="20"/>
              </w:rPr>
            </w:pPr>
            <w:r w:rsidRPr="0029195A">
              <w:rPr>
                <w:rFonts w:ascii="Arial Narrow" w:eastAsiaTheme="majorEastAsia" w:hAnsi="Arial Narrow" w:cstheme="majorBidi"/>
                <w:bCs/>
                <w:sz w:val="20"/>
              </w:rPr>
              <w:t>7%</w:t>
            </w:r>
          </w:p>
        </w:tc>
      </w:tr>
      <w:tr w:rsidR="006E20F4" w:rsidRPr="0029195A" w14:paraId="26CDCF0D" w14:textId="77777777" w:rsidTr="002034AF">
        <w:trPr>
          <w:trHeight w:val="300"/>
        </w:trPr>
        <w:tc>
          <w:tcPr>
            <w:tcW w:w="8632" w:type="dxa"/>
            <w:gridSpan w:val="8"/>
            <w:tcBorders>
              <w:top w:val="nil"/>
              <w:left w:val="single" w:sz="6" w:space="0" w:color="auto"/>
              <w:bottom w:val="single" w:sz="6" w:space="0" w:color="auto"/>
              <w:right w:val="single" w:sz="6" w:space="0" w:color="auto"/>
            </w:tcBorders>
            <w:shd w:val="clear" w:color="auto" w:fill="auto"/>
            <w:vAlign w:val="center"/>
          </w:tcPr>
          <w:p w14:paraId="3C558694" w14:textId="77777777" w:rsidR="006E20F4" w:rsidRPr="0029195A" w:rsidRDefault="006E20F4" w:rsidP="001F0D7A">
            <w:pPr>
              <w:widowControl w:val="0"/>
              <w:jc w:val="left"/>
              <w:rPr>
                <w:b/>
                <w:bCs/>
                <w:szCs w:val="20"/>
              </w:rPr>
            </w:pPr>
            <w:r w:rsidRPr="0029195A">
              <w:rPr>
                <w:rFonts w:ascii="Arial Narrow" w:hAnsi="Arial Narrow" w:cs="Calibri"/>
                <w:b/>
                <w:bCs/>
                <w:color w:val="000000"/>
                <w:sz w:val="20"/>
                <w:szCs w:val="20"/>
              </w:rPr>
              <w:t>Reduce uptake rate by 10% across all years</w:t>
            </w:r>
          </w:p>
        </w:tc>
        <w:tc>
          <w:tcPr>
            <w:tcW w:w="600" w:type="dxa"/>
            <w:tcBorders>
              <w:top w:val="nil"/>
              <w:left w:val="single" w:sz="6" w:space="0" w:color="auto"/>
              <w:bottom w:val="single" w:sz="6" w:space="0" w:color="auto"/>
              <w:right w:val="single" w:sz="6" w:space="0" w:color="auto"/>
            </w:tcBorders>
            <w:vAlign w:val="center"/>
          </w:tcPr>
          <w:p w14:paraId="3818B468" w14:textId="77777777" w:rsidR="006E20F4" w:rsidRPr="0029195A" w:rsidRDefault="006E20F4" w:rsidP="001F0D7A">
            <w:pPr>
              <w:widowControl w:val="0"/>
              <w:jc w:val="left"/>
              <w:rPr>
                <w:rFonts w:ascii="Arial Narrow" w:eastAsiaTheme="majorEastAsia" w:hAnsi="Arial Narrow" w:cstheme="majorBidi"/>
                <w:bCs/>
                <w:sz w:val="20"/>
                <w:szCs w:val="20"/>
              </w:rPr>
            </w:pPr>
          </w:p>
        </w:tc>
      </w:tr>
      <w:tr w:rsidR="006E20F4" w:rsidRPr="0029195A" w14:paraId="50DC3BA1" w14:textId="77777777" w:rsidTr="002034AF">
        <w:trPr>
          <w:trHeight w:val="300"/>
        </w:trPr>
        <w:tc>
          <w:tcPr>
            <w:tcW w:w="1072" w:type="dxa"/>
            <w:tcBorders>
              <w:top w:val="nil"/>
              <w:left w:val="single" w:sz="6" w:space="0" w:color="auto"/>
              <w:bottom w:val="single" w:sz="6" w:space="0" w:color="auto"/>
              <w:right w:val="single" w:sz="6" w:space="0" w:color="auto"/>
            </w:tcBorders>
            <w:shd w:val="clear" w:color="auto" w:fill="auto"/>
            <w:vAlign w:val="center"/>
          </w:tcPr>
          <w:p w14:paraId="408CF453" w14:textId="43C8E47B" w:rsidR="006E20F4" w:rsidRPr="0029195A" w:rsidRDefault="006E20F4" w:rsidP="001F0D7A">
            <w:pPr>
              <w:widowControl w:val="0"/>
              <w:jc w:val="left"/>
              <w:rPr>
                <w:rFonts w:ascii="Arial Narrow" w:eastAsiaTheme="majorEastAsia" w:hAnsi="Arial Narrow" w:cstheme="majorBidi"/>
                <w:bCs/>
                <w:sz w:val="20"/>
                <w:szCs w:val="20"/>
              </w:rPr>
            </w:pPr>
            <w:r w:rsidRPr="0029195A">
              <w:rPr>
                <w:rFonts w:ascii="Arial Narrow" w:eastAsiaTheme="majorEastAsia" w:hAnsi="Arial Narrow" w:cstheme="majorBidi"/>
                <w:bCs/>
                <w:sz w:val="20"/>
                <w:szCs w:val="20"/>
              </w:rPr>
              <w:t>Net cost to PBS/RBS </w:t>
            </w:r>
            <w:r w:rsidR="00575922">
              <w:rPr>
                <w:rFonts w:ascii="Arial Narrow" w:eastAsiaTheme="majorEastAsia" w:hAnsi="Arial Narrow" w:cstheme="majorBidi"/>
                <w:bCs/>
                <w:sz w:val="20"/>
                <w:szCs w:val="20"/>
              </w:rPr>
              <w:t>($)</w:t>
            </w:r>
          </w:p>
        </w:tc>
        <w:tc>
          <w:tcPr>
            <w:tcW w:w="1027" w:type="dxa"/>
            <w:tcBorders>
              <w:top w:val="single" w:sz="6" w:space="0" w:color="auto"/>
              <w:left w:val="nil"/>
              <w:bottom w:val="single" w:sz="6" w:space="0" w:color="auto"/>
              <w:right w:val="single" w:sz="6" w:space="0" w:color="auto"/>
            </w:tcBorders>
            <w:shd w:val="clear" w:color="auto" w:fill="auto"/>
            <w:vAlign w:val="center"/>
          </w:tcPr>
          <w:p w14:paraId="7A85DC61" w14:textId="7401D03C" w:rsidR="006E20F4" w:rsidRPr="00575922" w:rsidRDefault="00A26F4F" w:rsidP="001F0D7A">
            <w:pPr>
              <w:widowControl w:val="0"/>
              <w:jc w:val="center"/>
              <w:rPr>
                <w:rFonts w:ascii="Arial Narrow" w:eastAsiaTheme="majorEastAsia" w:hAnsi="Arial Narrow" w:cstheme="majorBidi"/>
                <w:bCs/>
                <w:sz w:val="20"/>
                <w:szCs w:val="20"/>
                <w:highlight w:val="darkGray"/>
              </w:rPr>
            </w:pPr>
            <w:r w:rsidRPr="00A26F4F">
              <w:rPr>
                <w:rFonts w:ascii="Arial Narrow" w:eastAsiaTheme="majorEastAsia" w:hAnsi="Arial Narrow" w:cstheme="majorBidi" w:hint="eastAsia"/>
                <w:bCs/>
                <w:color w:val="000000"/>
                <w:w w:val="16"/>
                <w:sz w:val="20"/>
                <w:shd w:val="solid" w:color="000000" w:fill="000000"/>
                <w:fitText w:val="75" w:id="-1168989435"/>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6"/>
                <w:sz w:val="20"/>
                <w:shd w:val="solid" w:color="000000" w:fill="000000"/>
                <w:fitText w:val="75" w:id="-1168989435"/>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5"/>
                <w:w w:val="16"/>
                <w:sz w:val="20"/>
                <w:shd w:val="solid" w:color="000000" w:fill="000000"/>
                <w:fitText w:val="75" w:id="-1168989435"/>
                <w14:textFill>
                  <w14:solidFill>
                    <w14:srgbClr w14:val="000000">
                      <w14:alpha w14:val="100000"/>
                    </w14:srgbClr>
                  </w14:solidFill>
                </w14:textFill>
              </w:rPr>
              <w:t xml:space="preserve">　</w:t>
            </w:r>
            <w:r w:rsidR="00941272">
              <w:rPr>
                <w:rFonts w:ascii="Arial Narrow" w:eastAsiaTheme="majorEastAsia" w:hAnsi="Arial Narrow" w:cstheme="majorBidi"/>
                <w:bCs/>
                <w:sz w:val="20"/>
                <w:szCs w:val="20"/>
                <w:vertAlign w:val="superscript"/>
              </w:rPr>
              <w:t>1</w:t>
            </w:r>
          </w:p>
        </w:tc>
        <w:tc>
          <w:tcPr>
            <w:tcW w:w="1133" w:type="dxa"/>
            <w:tcBorders>
              <w:top w:val="single" w:sz="6" w:space="0" w:color="auto"/>
              <w:left w:val="single" w:sz="6" w:space="0" w:color="auto"/>
              <w:bottom w:val="single" w:sz="6" w:space="0" w:color="auto"/>
              <w:right w:val="single" w:sz="6" w:space="0" w:color="auto"/>
            </w:tcBorders>
            <w:shd w:val="clear" w:color="auto" w:fill="auto"/>
            <w:vAlign w:val="center"/>
          </w:tcPr>
          <w:p w14:paraId="7C647955" w14:textId="3C7DB65B" w:rsidR="006E20F4" w:rsidRPr="00575922" w:rsidRDefault="00A26F4F" w:rsidP="001F0D7A">
            <w:pPr>
              <w:widowControl w:val="0"/>
              <w:jc w:val="center"/>
              <w:rPr>
                <w:rFonts w:ascii="Arial Narrow" w:eastAsiaTheme="majorEastAsia" w:hAnsi="Arial Narrow" w:cstheme="majorBidi"/>
                <w:bCs/>
                <w:sz w:val="20"/>
                <w:szCs w:val="20"/>
                <w:highlight w:val="darkGray"/>
              </w:rPr>
            </w:pPr>
            <w:r w:rsidRPr="00B10578">
              <w:rPr>
                <w:rFonts w:ascii="Arial Narrow" w:eastAsiaTheme="majorEastAsia" w:hAnsi="Arial Narrow" w:cstheme="majorBidi" w:hint="eastAsia"/>
                <w:bCs/>
                <w:color w:val="000000"/>
                <w:w w:val="15"/>
                <w:sz w:val="20"/>
                <w:shd w:val="solid" w:color="000000" w:fill="000000"/>
                <w:fitText w:val="15" w:id="-1168989434"/>
                <w14:textFill>
                  <w14:solidFill>
                    <w14:srgbClr w14:val="000000">
                      <w14:alpha w14:val="100000"/>
                    </w14:srgbClr>
                  </w14:solidFill>
                </w14:textFill>
              </w:rPr>
              <w:t xml:space="preserve">　</w:t>
            </w:r>
            <w:r w:rsidRPr="00B10578">
              <w:rPr>
                <w:rFonts w:ascii="Arial Narrow" w:eastAsiaTheme="majorEastAsia" w:hAnsi="Arial Narrow" w:cstheme="majorBidi"/>
                <w:bCs/>
                <w:color w:val="000000"/>
                <w:w w:val="15"/>
                <w:sz w:val="20"/>
                <w:shd w:val="solid" w:color="000000" w:fill="000000"/>
                <w:fitText w:val="15" w:id="-1168989434"/>
                <w14:textFill>
                  <w14:solidFill>
                    <w14:srgbClr w14:val="000000">
                      <w14:alpha w14:val="100000"/>
                    </w14:srgbClr>
                  </w14:solidFill>
                </w14:textFill>
              </w:rPr>
              <w:t>|</w:t>
            </w:r>
            <w:r w:rsidRPr="00B10578">
              <w:rPr>
                <w:rFonts w:ascii="Arial Narrow" w:eastAsiaTheme="majorEastAsia" w:hAnsi="Arial Narrow" w:cstheme="majorBidi" w:hint="eastAsia"/>
                <w:bCs/>
                <w:color w:val="000000"/>
                <w:spacing w:val="-50"/>
                <w:w w:val="15"/>
                <w:sz w:val="20"/>
                <w:shd w:val="solid" w:color="000000" w:fill="000000"/>
                <w:fitText w:val="15" w:id="-1168989434"/>
                <w14:textFill>
                  <w14:solidFill>
                    <w14:srgbClr w14:val="000000">
                      <w14:alpha w14:val="100000"/>
                    </w14:srgbClr>
                  </w14:solidFill>
                </w14:textFill>
              </w:rPr>
              <w:t xml:space="preserve">　</w:t>
            </w:r>
            <w:r w:rsidR="00941272">
              <w:rPr>
                <w:rFonts w:ascii="Arial Narrow" w:eastAsiaTheme="majorEastAsia" w:hAnsi="Arial Narrow" w:cstheme="majorBidi"/>
                <w:bCs/>
                <w:sz w:val="20"/>
                <w:szCs w:val="20"/>
                <w:vertAlign w:val="superscript"/>
              </w:rPr>
              <w:t>1</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358FBB13" w14:textId="38554495" w:rsidR="006E20F4" w:rsidRPr="00575922" w:rsidRDefault="00A26F4F" w:rsidP="001F0D7A">
            <w:pPr>
              <w:widowControl w:val="0"/>
              <w:jc w:val="center"/>
              <w:rPr>
                <w:rFonts w:ascii="Arial Narrow" w:eastAsiaTheme="majorEastAsia" w:hAnsi="Arial Narrow" w:cstheme="majorBidi"/>
                <w:bCs/>
                <w:sz w:val="20"/>
                <w:szCs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433"/>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433"/>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433"/>
                <w14:textFill>
                  <w14:solidFill>
                    <w14:srgbClr w14:val="000000">
                      <w14:alpha w14:val="100000"/>
                    </w14:srgbClr>
                  </w14:solidFill>
                </w14:textFill>
              </w:rPr>
              <w:t xml:space="preserve">　</w:t>
            </w:r>
            <w:r w:rsidR="00941272">
              <w:rPr>
                <w:rFonts w:ascii="Arial Narrow" w:eastAsiaTheme="majorEastAsia" w:hAnsi="Arial Narrow" w:cstheme="majorBidi"/>
                <w:bCs/>
                <w:sz w:val="20"/>
                <w:szCs w:val="20"/>
                <w:vertAlign w:val="superscript"/>
              </w:rPr>
              <w:t>2</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660891DB" w14:textId="42940621" w:rsidR="006E20F4" w:rsidRPr="00575922" w:rsidRDefault="00A26F4F" w:rsidP="001F0D7A">
            <w:pPr>
              <w:widowControl w:val="0"/>
              <w:jc w:val="center"/>
              <w:rPr>
                <w:rFonts w:ascii="Arial Narrow" w:eastAsiaTheme="majorEastAsia" w:hAnsi="Arial Narrow" w:cstheme="majorBidi"/>
                <w:bCs/>
                <w:sz w:val="20"/>
                <w:szCs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432"/>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432"/>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432"/>
                <w14:textFill>
                  <w14:solidFill>
                    <w14:srgbClr w14:val="000000">
                      <w14:alpha w14:val="100000"/>
                    </w14:srgbClr>
                  </w14:solidFill>
                </w14:textFill>
              </w:rPr>
              <w:t xml:space="preserve">　</w:t>
            </w:r>
            <w:r w:rsidR="00941272">
              <w:rPr>
                <w:rFonts w:ascii="Arial Narrow" w:eastAsiaTheme="majorEastAsia" w:hAnsi="Arial Narrow" w:cstheme="majorBidi"/>
                <w:bCs/>
                <w:sz w:val="20"/>
                <w:szCs w:val="20"/>
                <w:vertAlign w:val="superscript"/>
              </w:rPr>
              <w:t>2</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71D0631C" w14:textId="016E81A4" w:rsidR="006E20F4" w:rsidRPr="00575922" w:rsidRDefault="00A26F4F" w:rsidP="001F0D7A">
            <w:pPr>
              <w:widowControl w:val="0"/>
              <w:jc w:val="center"/>
              <w:rPr>
                <w:rFonts w:ascii="Arial Narrow" w:eastAsiaTheme="majorEastAsia" w:hAnsi="Arial Narrow" w:cstheme="majorBidi"/>
                <w:bCs/>
                <w:sz w:val="20"/>
                <w:szCs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431"/>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431"/>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431"/>
                <w14:textFill>
                  <w14:solidFill>
                    <w14:srgbClr w14:val="000000">
                      <w14:alpha w14:val="100000"/>
                    </w14:srgbClr>
                  </w14:solidFill>
                </w14:textFill>
              </w:rPr>
              <w:t xml:space="preserve">　</w:t>
            </w:r>
            <w:r w:rsidR="00941272">
              <w:rPr>
                <w:rFonts w:ascii="Arial Narrow" w:eastAsiaTheme="majorEastAsia" w:hAnsi="Arial Narrow" w:cstheme="majorBidi"/>
                <w:bCs/>
                <w:sz w:val="20"/>
                <w:szCs w:val="20"/>
                <w:vertAlign w:val="superscript"/>
              </w:rPr>
              <w:t>2</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6277203B" w14:textId="2E95CE5E" w:rsidR="006E20F4" w:rsidRPr="00575922" w:rsidRDefault="00A26F4F" w:rsidP="001F0D7A">
            <w:pPr>
              <w:widowControl w:val="0"/>
              <w:jc w:val="center"/>
              <w:rPr>
                <w:rFonts w:ascii="Arial Narrow" w:eastAsiaTheme="majorEastAsia" w:hAnsi="Arial Narrow" w:cstheme="majorBidi"/>
                <w:bCs/>
                <w:sz w:val="20"/>
                <w:szCs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430"/>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430"/>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430"/>
                <w14:textFill>
                  <w14:solidFill>
                    <w14:srgbClr w14:val="000000">
                      <w14:alpha w14:val="100000"/>
                    </w14:srgbClr>
                  </w14:solidFill>
                </w14:textFill>
              </w:rPr>
              <w:t xml:space="preserve">　</w:t>
            </w:r>
            <w:r w:rsidR="00941272">
              <w:rPr>
                <w:rFonts w:ascii="Arial Narrow" w:eastAsiaTheme="majorEastAsia" w:hAnsi="Arial Narrow" w:cstheme="majorBidi"/>
                <w:bCs/>
                <w:sz w:val="20"/>
                <w:szCs w:val="20"/>
                <w:vertAlign w:val="superscript"/>
              </w:rPr>
              <w:t>2</w:t>
            </w:r>
          </w:p>
        </w:tc>
        <w:tc>
          <w:tcPr>
            <w:tcW w:w="1080" w:type="dxa"/>
            <w:tcBorders>
              <w:top w:val="single" w:sz="6" w:space="0" w:color="auto"/>
              <w:left w:val="single" w:sz="6" w:space="0" w:color="auto"/>
              <w:bottom w:val="single" w:sz="6" w:space="0" w:color="auto"/>
              <w:right w:val="single" w:sz="6" w:space="0" w:color="auto"/>
            </w:tcBorders>
            <w:vAlign w:val="center"/>
          </w:tcPr>
          <w:p w14:paraId="0F1C6967" w14:textId="09CAC629" w:rsidR="006E20F4" w:rsidRPr="00575922" w:rsidRDefault="00A26F4F" w:rsidP="001F0D7A">
            <w:pPr>
              <w:widowControl w:val="0"/>
              <w:jc w:val="center"/>
              <w:rPr>
                <w:rFonts w:ascii="Arial Narrow" w:eastAsiaTheme="majorEastAsia" w:hAnsi="Arial Narrow" w:cstheme="majorBidi"/>
                <w:bCs/>
                <w:sz w:val="20"/>
                <w:szCs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429"/>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429"/>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429"/>
                <w14:textFill>
                  <w14:solidFill>
                    <w14:srgbClr w14:val="000000">
                      <w14:alpha w14:val="100000"/>
                    </w14:srgbClr>
                  </w14:solidFill>
                </w14:textFill>
              </w:rPr>
              <w:t xml:space="preserve">　</w:t>
            </w:r>
            <w:r w:rsidR="00941272">
              <w:rPr>
                <w:rFonts w:ascii="Arial Narrow" w:eastAsiaTheme="majorEastAsia" w:hAnsi="Arial Narrow" w:cstheme="majorBidi"/>
                <w:bCs/>
                <w:sz w:val="20"/>
                <w:szCs w:val="20"/>
                <w:vertAlign w:val="superscript"/>
              </w:rPr>
              <w:t>3</w:t>
            </w:r>
          </w:p>
        </w:tc>
        <w:tc>
          <w:tcPr>
            <w:tcW w:w="600" w:type="dxa"/>
            <w:tcBorders>
              <w:top w:val="single" w:sz="6" w:space="0" w:color="auto"/>
              <w:left w:val="single" w:sz="6" w:space="0" w:color="auto"/>
              <w:bottom w:val="single" w:sz="6" w:space="0" w:color="auto"/>
              <w:right w:val="single" w:sz="6" w:space="0" w:color="auto"/>
            </w:tcBorders>
            <w:vAlign w:val="center"/>
          </w:tcPr>
          <w:p w14:paraId="50045275" w14:textId="77777777" w:rsidR="006E20F4" w:rsidRPr="0029195A" w:rsidRDefault="006E20F4" w:rsidP="001F0D7A">
            <w:pPr>
              <w:widowControl w:val="0"/>
              <w:jc w:val="center"/>
              <w:rPr>
                <w:rFonts w:ascii="Arial Narrow" w:eastAsiaTheme="majorEastAsia" w:hAnsi="Arial Narrow" w:cstheme="majorBidi"/>
                <w:bCs/>
                <w:sz w:val="20"/>
                <w:szCs w:val="20"/>
              </w:rPr>
            </w:pPr>
            <w:r w:rsidRPr="0029195A">
              <w:rPr>
                <w:rFonts w:ascii="Arial Narrow" w:eastAsiaTheme="majorEastAsia" w:hAnsi="Arial Narrow" w:cstheme="majorBidi"/>
                <w:bCs/>
                <w:sz w:val="20"/>
              </w:rPr>
              <w:t>-12%</w:t>
            </w:r>
          </w:p>
        </w:tc>
      </w:tr>
      <w:tr w:rsidR="006E20F4" w:rsidRPr="0029195A" w14:paraId="3A76C2AF" w14:textId="77777777" w:rsidTr="002034AF">
        <w:trPr>
          <w:trHeight w:val="300"/>
        </w:trPr>
        <w:tc>
          <w:tcPr>
            <w:tcW w:w="8632" w:type="dxa"/>
            <w:gridSpan w:val="8"/>
            <w:tcBorders>
              <w:top w:val="single" w:sz="6" w:space="0" w:color="auto"/>
              <w:left w:val="single" w:sz="6" w:space="0" w:color="auto"/>
              <w:bottom w:val="single" w:sz="6" w:space="0" w:color="auto"/>
              <w:right w:val="single" w:sz="6" w:space="0" w:color="auto"/>
            </w:tcBorders>
            <w:shd w:val="clear" w:color="auto" w:fill="auto"/>
            <w:vAlign w:val="center"/>
          </w:tcPr>
          <w:p w14:paraId="2BE86342" w14:textId="77777777" w:rsidR="006E20F4" w:rsidRPr="0029195A" w:rsidRDefault="006E20F4" w:rsidP="001F0D7A">
            <w:pPr>
              <w:widowControl w:val="0"/>
              <w:jc w:val="left"/>
              <w:rPr>
                <w:rFonts w:ascii="Arial Narrow" w:eastAsiaTheme="majorEastAsia" w:hAnsi="Arial Narrow" w:cstheme="majorBidi"/>
                <w:b/>
                <w:sz w:val="20"/>
                <w:szCs w:val="20"/>
              </w:rPr>
            </w:pPr>
            <w:r w:rsidRPr="0029195A">
              <w:rPr>
                <w:rFonts w:ascii="Arial Narrow" w:eastAsiaTheme="majorEastAsia" w:hAnsi="Arial Narrow" w:cstheme="majorBidi"/>
                <w:b/>
                <w:sz w:val="20"/>
                <w:szCs w:val="20"/>
              </w:rPr>
              <w:t>Uptake rate of 50% across all years</w:t>
            </w:r>
            <w:r w:rsidRPr="0029195A">
              <w:rPr>
                <w:rFonts w:ascii="Arial Narrow" w:eastAsiaTheme="majorEastAsia" w:hAnsi="Arial Narrow" w:cstheme="majorBidi"/>
                <w:b/>
                <w:sz w:val="20"/>
                <w:szCs w:val="20"/>
              </w:rPr>
              <w:tab/>
            </w:r>
            <w:r w:rsidRPr="0029195A">
              <w:rPr>
                <w:rFonts w:ascii="Arial Narrow" w:eastAsiaTheme="majorEastAsia" w:hAnsi="Arial Narrow" w:cstheme="majorBidi"/>
                <w:b/>
                <w:sz w:val="20"/>
                <w:szCs w:val="20"/>
              </w:rPr>
              <w:tab/>
            </w:r>
            <w:r w:rsidRPr="0029195A">
              <w:rPr>
                <w:rFonts w:ascii="Arial Narrow" w:eastAsiaTheme="majorEastAsia" w:hAnsi="Arial Narrow" w:cstheme="majorBidi"/>
                <w:b/>
                <w:sz w:val="20"/>
                <w:szCs w:val="20"/>
              </w:rPr>
              <w:tab/>
            </w:r>
            <w:r w:rsidRPr="0029195A">
              <w:rPr>
                <w:rFonts w:ascii="Arial Narrow" w:eastAsiaTheme="majorEastAsia" w:hAnsi="Arial Narrow" w:cstheme="majorBidi"/>
                <w:b/>
                <w:sz w:val="20"/>
                <w:szCs w:val="20"/>
              </w:rPr>
              <w:tab/>
            </w:r>
            <w:r w:rsidRPr="0029195A">
              <w:rPr>
                <w:rFonts w:ascii="Arial Narrow" w:eastAsiaTheme="majorEastAsia" w:hAnsi="Arial Narrow" w:cstheme="majorBidi"/>
                <w:b/>
                <w:sz w:val="20"/>
                <w:szCs w:val="20"/>
              </w:rPr>
              <w:tab/>
            </w:r>
            <w:r w:rsidRPr="0029195A">
              <w:rPr>
                <w:rFonts w:ascii="Arial Narrow" w:eastAsiaTheme="majorEastAsia" w:hAnsi="Arial Narrow" w:cstheme="majorBidi"/>
                <w:b/>
                <w:sz w:val="20"/>
                <w:szCs w:val="20"/>
              </w:rPr>
              <w:tab/>
            </w:r>
            <w:r w:rsidRPr="0029195A">
              <w:rPr>
                <w:rFonts w:ascii="Arial Narrow" w:eastAsiaTheme="majorEastAsia" w:hAnsi="Arial Narrow" w:cstheme="majorBidi"/>
                <w:b/>
                <w:sz w:val="20"/>
                <w:szCs w:val="20"/>
              </w:rPr>
              <w:tab/>
            </w:r>
          </w:p>
        </w:tc>
        <w:tc>
          <w:tcPr>
            <w:tcW w:w="600" w:type="dxa"/>
            <w:tcBorders>
              <w:top w:val="single" w:sz="6" w:space="0" w:color="auto"/>
              <w:left w:val="single" w:sz="6" w:space="0" w:color="auto"/>
              <w:bottom w:val="single" w:sz="6" w:space="0" w:color="auto"/>
              <w:right w:val="single" w:sz="6" w:space="0" w:color="auto"/>
            </w:tcBorders>
            <w:vAlign w:val="center"/>
          </w:tcPr>
          <w:p w14:paraId="0D34B7AB" w14:textId="77777777" w:rsidR="006E20F4" w:rsidRPr="0029195A" w:rsidRDefault="006E20F4" w:rsidP="001F0D7A">
            <w:pPr>
              <w:widowControl w:val="0"/>
              <w:jc w:val="left"/>
              <w:rPr>
                <w:rFonts w:ascii="Arial Narrow" w:eastAsiaTheme="majorEastAsia" w:hAnsi="Arial Narrow" w:cstheme="majorBidi"/>
                <w:bCs/>
                <w:sz w:val="20"/>
                <w:szCs w:val="20"/>
              </w:rPr>
            </w:pPr>
          </w:p>
        </w:tc>
      </w:tr>
      <w:tr w:rsidR="006E20F4" w:rsidRPr="0029195A" w14:paraId="591082B5" w14:textId="77777777" w:rsidTr="002034AF">
        <w:trPr>
          <w:trHeight w:val="300"/>
        </w:trPr>
        <w:tc>
          <w:tcPr>
            <w:tcW w:w="1072" w:type="dxa"/>
            <w:tcBorders>
              <w:top w:val="single" w:sz="6" w:space="0" w:color="auto"/>
              <w:left w:val="single" w:sz="6" w:space="0" w:color="auto"/>
              <w:bottom w:val="single" w:sz="6" w:space="0" w:color="auto"/>
              <w:right w:val="single" w:sz="6" w:space="0" w:color="auto"/>
            </w:tcBorders>
            <w:shd w:val="clear" w:color="auto" w:fill="auto"/>
            <w:vAlign w:val="center"/>
          </w:tcPr>
          <w:p w14:paraId="791789D0" w14:textId="3A207CF5" w:rsidR="006E20F4" w:rsidRPr="0029195A" w:rsidRDefault="006E20F4" w:rsidP="001F0D7A">
            <w:pPr>
              <w:widowControl w:val="0"/>
              <w:jc w:val="left"/>
              <w:rPr>
                <w:rFonts w:ascii="Arial Narrow" w:eastAsiaTheme="majorEastAsia" w:hAnsi="Arial Narrow" w:cstheme="majorBidi"/>
                <w:bCs/>
                <w:sz w:val="20"/>
                <w:szCs w:val="20"/>
              </w:rPr>
            </w:pPr>
            <w:r w:rsidRPr="0029195A">
              <w:rPr>
                <w:rFonts w:ascii="Arial Narrow" w:eastAsiaTheme="majorEastAsia" w:hAnsi="Arial Narrow" w:cstheme="majorBidi"/>
                <w:bCs/>
                <w:sz w:val="20"/>
                <w:szCs w:val="20"/>
              </w:rPr>
              <w:t>Net cost to PBS/RBS </w:t>
            </w:r>
            <w:r w:rsidR="00575922">
              <w:rPr>
                <w:rFonts w:ascii="Arial Narrow" w:eastAsiaTheme="majorEastAsia" w:hAnsi="Arial Narrow" w:cstheme="majorBidi"/>
                <w:bCs/>
                <w:sz w:val="20"/>
                <w:szCs w:val="20"/>
              </w:rPr>
              <w:t>($)</w:t>
            </w:r>
          </w:p>
        </w:tc>
        <w:tc>
          <w:tcPr>
            <w:tcW w:w="1027" w:type="dxa"/>
            <w:tcBorders>
              <w:top w:val="single" w:sz="6" w:space="0" w:color="auto"/>
              <w:left w:val="single" w:sz="6" w:space="0" w:color="auto"/>
              <w:bottom w:val="single" w:sz="6" w:space="0" w:color="auto"/>
              <w:right w:val="single" w:sz="6" w:space="0" w:color="auto"/>
            </w:tcBorders>
            <w:shd w:val="clear" w:color="auto" w:fill="auto"/>
            <w:vAlign w:val="center"/>
          </w:tcPr>
          <w:p w14:paraId="170EF364" w14:textId="28EED60A" w:rsidR="006E20F4" w:rsidRPr="00575922" w:rsidRDefault="00A26F4F" w:rsidP="001F0D7A">
            <w:pPr>
              <w:widowControl w:val="0"/>
              <w:jc w:val="center"/>
              <w:rPr>
                <w:rFonts w:ascii="Arial Narrow" w:eastAsiaTheme="majorEastAsia" w:hAnsi="Arial Narrow" w:cstheme="majorBidi"/>
                <w:bCs/>
                <w:sz w:val="20"/>
                <w:szCs w:val="20"/>
                <w:highlight w:val="darkGray"/>
              </w:rPr>
            </w:pPr>
            <w:r w:rsidRPr="00A26F4F">
              <w:rPr>
                <w:rFonts w:ascii="Arial Narrow" w:eastAsiaTheme="majorEastAsia" w:hAnsi="Arial Narrow" w:cstheme="majorBidi" w:hint="eastAsia"/>
                <w:bCs/>
                <w:color w:val="000000"/>
                <w:w w:val="16"/>
                <w:sz w:val="20"/>
                <w:shd w:val="solid" w:color="000000" w:fill="000000"/>
                <w:fitText w:val="75" w:id="-1168989428"/>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6"/>
                <w:sz w:val="20"/>
                <w:shd w:val="solid" w:color="000000" w:fill="000000"/>
                <w:fitText w:val="75" w:id="-1168989428"/>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5"/>
                <w:w w:val="16"/>
                <w:sz w:val="20"/>
                <w:shd w:val="solid" w:color="000000" w:fill="000000"/>
                <w:fitText w:val="75" w:id="-1168989428"/>
                <w14:textFill>
                  <w14:solidFill>
                    <w14:srgbClr w14:val="000000">
                      <w14:alpha w14:val="100000"/>
                    </w14:srgbClr>
                  </w14:solidFill>
                </w14:textFill>
              </w:rPr>
              <w:t xml:space="preserve">　</w:t>
            </w:r>
            <w:r w:rsidR="00941272">
              <w:rPr>
                <w:rFonts w:ascii="Arial Narrow" w:eastAsiaTheme="majorEastAsia" w:hAnsi="Arial Narrow" w:cstheme="majorBidi"/>
                <w:bCs/>
                <w:sz w:val="20"/>
                <w:szCs w:val="20"/>
                <w:vertAlign w:val="superscript"/>
              </w:rPr>
              <w:t>1</w:t>
            </w:r>
          </w:p>
        </w:tc>
        <w:tc>
          <w:tcPr>
            <w:tcW w:w="1133" w:type="dxa"/>
            <w:tcBorders>
              <w:top w:val="single" w:sz="6" w:space="0" w:color="auto"/>
              <w:left w:val="single" w:sz="6" w:space="0" w:color="auto"/>
              <w:bottom w:val="single" w:sz="6" w:space="0" w:color="auto"/>
              <w:right w:val="single" w:sz="6" w:space="0" w:color="auto"/>
            </w:tcBorders>
            <w:shd w:val="clear" w:color="auto" w:fill="auto"/>
            <w:vAlign w:val="center"/>
          </w:tcPr>
          <w:p w14:paraId="339BFC80" w14:textId="4C76E621" w:rsidR="006E20F4" w:rsidRPr="00575922" w:rsidRDefault="00A26F4F" w:rsidP="001F0D7A">
            <w:pPr>
              <w:widowControl w:val="0"/>
              <w:jc w:val="center"/>
              <w:rPr>
                <w:rFonts w:ascii="Arial Narrow" w:eastAsiaTheme="majorEastAsia" w:hAnsi="Arial Narrow" w:cstheme="majorBidi"/>
                <w:bCs/>
                <w:sz w:val="20"/>
                <w:szCs w:val="20"/>
                <w:highlight w:val="darkGray"/>
              </w:rPr>
            </w:pPr>
            <w:r w:rsidRPr="00B10578">
              <w:rPr>
                <w:rFonts w:ascii="Arial Narrow" w:eastAsiaTheme="majorEastAsia" w:hAnsi="Arial Narrow" w:cstheme="majorBidi" w:hint="eastAsia"/>
                <w:bCs/>
                <w:color w:val="000000"/>
                <w:w w:val="15"/>
                <w:sz w:val="20"/>
                <w:shd w:val="solid" w:color="000000" w:fill="000000"/>
                <w:fitText w:val="15" w:id="-1168989427"/>
                <w14:textFill>
                  <w14:solidFill>
                    <w14:srgbClr w14:val="000000">
                      <w14:alpha w14:val="100000"/>
                    </w14:srgbClr>
                  </w14:solidFill>
                </w14:textFill>
              </w:rPr>
              <w:t xml:space="preserve">　</w:t>
            </w:r>
            <w:r w:rsidRPr="00B10578">
              <w:rPr>
                <w:rFonts w:ascii="Arial Narrow" w:eastAsiaTheme="majorEastAsia" w:hAnsi="Arial Narrow" w:cstheme="majorBidi"/>
                <w:bCs/>
                <w:color w:val="000000"/>
                <w:w w:val="15"/>
                <w:sz w:val="20"/>
                <w:shd w:val="solid" w:color="000000" w:fill="000000"/>
                <w:fitText w:val="15" w:id="-1168989427"/>
                <w14:textFill>
                  <w14:solidFill>
                    <w14:srgbClr w14:val="000000">
                      <w14:alpha w14:val="100000"/>
                    </w14:srgbClr>
                  </w14:solidFill>
                </w14:textFill>
              </w:rPr>
              <w:t>|</w:t>
            </w:r>
            <w:r w:rsidRPr="00B10578">
              <w:rPr>
                <w:rFonts w:ascii="Arial Narrow" w:eastAsiaTheme="majorEastAsia" w:hAnsi="Arial Narrow" w:cstheme="majorBidi" w:hint="eastAsia"/>
                <w:bCs/>
                <w:color w:val="000000"/>
                <w:spacing w:val="-50"/>
                <w:w w:val="15"/>
                <w:sz w:val="20"/>
                <w:shd w:val="solid" w:color="000000" w:fill="000000"/>
                <w:fitText w:val="15" w:id="-1168989427"/>
                <w14:textFill>
                  <w14:solidFill>
                    <w14:srgbClr w14:val="000000">
                      <w14:alpha w14:val="100000"/>
                    </w14:srgbClr>
                  </w14:solidFill>
                </w14:textFill>
              </w:rPr>
              <w:t xml:space="preserve">　</w:t>
            </w:r>
            <w:r w:rsidR="00941272">
              <w:rPr>
                <w:rFonts w:ascii="Arial Narrow" w:eastAsiaTheme="majorEastAsia" w:hAnsi="Arial Narrow" w:cstheme="majorBidi"/>
                <w:bCs/>
                <w:sz w:val="20"/>
                <w:szCs w:val="20"/>
                <w:vertAlign w:val="superscript"/>
              </w:rPr>
              <w:t>1</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023284AF" w14:textId="418DE494" w:rsidR="006E20F4" w:rsidRPr="00575922" w:rsidRDefault="00A26F4F" w:rsidP="001F0D7A">
            <w:pPr>
              <w:widowControl w:val="0"/>
              <w:jc w:val="center"/>
              <w:rPr>
                <w:rFonts w:ascii="Arial Narrow" w:eastAsiaTheme="majorEastAsia" w:hAnsi="Arial Narrow" w:cstheme="majorBidi"/>
                <w:bCs/>
                <w:sz w:val="20"/>
                <w:szCs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426"/>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426"/>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426"/>
                <w14:textFill>
                  <w14:solidFill>
                    <w14:srgbClr w14:val="000000">
                      <w14:alpha w14:val="100000"/>
                    </w14:srgbClr>
                  </w14:solidFill>
                </w14:textFill>
              </w:rPr>
              <w:t xml:space="preserve">　</w:t>
            </w:r>
            <w:r w:rsidR="00941272">
              <w:rPr>
                <w:rFonts w:ascii="Arial Narrow" w:eastAsiaTheme="majorEastAsia" w:hAnsi="Arial Narrow" w:cstheme="majorBidi"/>
                <w:bCs/>
                <w:sz w:val="20"/>
                <w:szCs w:val="20"/>
                <w:vertAlign w:val="superscript"/>
              </w:rPr>
              <w:t>1</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6718DA4E" w14:textId="5635C669" w:rsidR="006E20F4" w:rsidRPr="00575922" w:rsidRDefault="00A26F4F" w:rsidP="001F0D7A">
            <w:pPr>
              <w:widowControl w:val="0"/>
              <w:jc w:val="center"/>
              <w:rPr>
                <w:rFonts w:ascii="Arial Narrow" w:eastAsiaTheme="majorEastAsia" w:hAnsi="Arial Narrow" w:cstheme="majorBidi"/>
                <w:bCs/>
                <w:sz w:val="20"/>
                <w:szCs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425"/>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425"/>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425"/>
                <w14:textFill>
                  <w14:solidFill>
                    <w14:srgbClr w14:val="000000">
                      <w14:alpha w14:val="100000"/>
                    </w14:srgbClr>
                  </w14:solidFill>
                </w14:textFill>
              </w:rPr>
              <w:t xml:space="preserve">　</w:t>
            </w:r>
            <w:r w:rsidR="00941272">
              <w:rPr>
                <w:rFonts w:ascii="Arial Narrow" w:eastAsiaTheme="majorEastAsia" w:hAnsi="Arial Narrow" w:cstheme="majorBidi"/>
                <w:bCs/>
                <w:sz w:val="20"/>
                <w:szCs w:val="20"/>
                <w:vertAlign w:val="superscript"/>
              </w:rPr>
              <w:t>1</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3F7BCD09" w14:textId="48DB678A" w:rsidR="006E20F4" w:rsidRPr="00575922" w:rsidRDefault="00A26F4F" w:rsidP="001F0D7A">
            <w:pPr>
              <w:widowControl w:val="0"/>
              <w:jc w:val="center"/>
              <w:rPr>
                <w:rFonts w:ascii="Arial Narrow" w:eastAsiaTheme="majorEastAsia" w:hAnsi="Arial Narrow" w:cstheme="majorBidi"/>
                <w:bCs/>
                <w:sz w:val="20"/>
                <w:szCs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424"/>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424"/>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424"/>
                <w14:textFill>
                  <w14:solidFill>
                    <w14:srgbClr w14:val="000000">
                      <w14:alpha w14:val="100000"/>
                    </w14:srgbClr>
                  </w14:solidFill>
                </w14:textFill>
              </w:rPr>
              <w:t xml:space="preserve">　</w:t>
            </w:r>
            <w:r w:rsidR="00941272">
              <w:rPr>
                <w:rFonts w:ascii="Arial Narrow" w:eastAsiaTheme="majorEastAsia" w:hAnsi="Arial Narrow" w:cstheme="majorBidi"/>
                <w:bCs/>
                <w:sz w:val="20"/>
                <w:szCs w:val="20"/>
                <w:vertAlign w:val="superscript"/>
              </w:rPr>
              <w:t>1</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0B75B5ED" w14:textId="5152856F" w:rsidR="006E20F4" w:rsidRPr="00575922" w:rsidRDefault="00A26F4F" w:rsidP="001F0D7A">
            <w:pPr>
              <w:widowControl w:val="0"/>
              <w:jc w:val="center"/>
              <w:rPr>
                <w:rFonts w:ascii="Arial Narrow" w:eastAsiaTheme="majorEastAsia" w:hAnsi="Arial Narrow" w:cstheme="majorBidi"/>
                <w:bCs/>
                <w:sz w:val="20"/>
                <w:szCs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440"/>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440"/>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440"/>
                <w14:textFill>
                  <w14:solidFill>
                    <w14:srgbClr w14:val="000000">
                      <w14:alpha w14:val="100000"/>
                    </w14:srgbClr>
                  </w14:solidFill>
                </w14:textFill>
              </w:rPr>
              <w:t xml:space="preserve">　</w:t>
            </w:r>
            <w:r w:rsidR="00941272">
              <w:rPr>
                <w:rFonts w:ascii="Arial Narrow" w:eastAsiaTheme="majorEastAsia" w:hAnsi="Arial Narrow" w:cstheme="majorBidi"/>
                <w:bCs/>
                <w:sz w:val="20"/>
                <w:szCs w:val="20"/>
                <w:vertAlign w:val="superscript"/>
              </w:rPr>
              <w:t>1</w:t>
            </w:r>
          </w:p>
        </w:tc>
        <w:tc>
          <w:tcPr>
            <w:tcW w:w="1080" w:type="dxa"/>
            <w:tcBorders>
              <w:top w:val="single" w:sz="6" w:space="0" w:color="auto"/>
              <w:left w:val="single" w:sz="6" w:space="0" w:color="auto"/>
              <w:bottom w:val="single" w:sz="6" w:space="0" w:color="auto"/>
              <w:right w:val="single" w:sz="6" w:space="0" w:color="auto"/>
            </w:tcBorders>
            <w:vAlign w:val="center"/>
          </w:tcPr>
          <w:p w14:paraId="3DD10EE7" w14:textId="3A90C116" w:rsidR="006E20F4" w:rsidRPr="00575922" w:rsidRDefault="00A26F4F" w:rsidP="001F0D7A">
            <w:pPr>
              <w:widowControl w:val="0"/>
              <w:jc w:val="center"/>
              <w:rPr>
                <w:rFonts w:ascii="Arial Narrow" w:eastAsiaTheme="majorEastAsia" w:hAnsi="Arial Narrow" w:cstheme="majorBidi"/>
                <w:bCs/>
                <w:sz w:val="20"/>
                <w:szCs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439"/>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439"/>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439"/>
                <w14:textFill>
                  <w14:solidFill>
                    <w14:srgbClr w14:val="000000">
                      <w14:alpha w14:val="100000"/>
                    </w14:srgbClr>
                  </w14:solidFill>
                </w14:textFill>
              </w:rPr>
              <w:t xml:space="preserve">　</w:t>
            </w:r>
            <w:r w:rsidR="00941272" w:rsidRPr="00941272">
              <w:rPr>
                <w:rFonts w:ascii="Arial Narrow" w:hAnsi="Arial Narrow"/>
                <w:iCs/>
                <w:sz w:val="18"/>
                <w:szCs w:val="18"/>
                <w:vertAlign w:val="superscript"/>
              </w:rPr>
              <w:t>9</w:t>
            </w:r>
          </w:p>
        </w:tc>
        <w:tc>
          <w:tcPr>
            <w:tcW w:w="600" w:type="dxa"/>
            <w:tcBorders>
              <w:top w:val="single" w:sz="6" w:space="0" w:color="auto"/>
              <w:left w:val="single" w:sz="6" w:space="0" w:color="auto"/>
              <w:bottom w:val="single" w:sz="6" w:space="0" w:color="auto"/>
              <w:right w:val="single" w:sz="6" w:space="0" w:color="auto"/>
            </w:tcBorders>
            <w:vAlign w:val="center"/>
          </w:tcPr>
          <w:p w14:paraId="18358A8A" w14:textId="77777777" w:rsidR="006E20F4" w:rsidRPr="0029195A" w:rsidRDefault="006E20F4" w:rsidP="001F0D7A">
            <w:pPr>
              <w:widowControl w:val="0"/>
              <w:jc w:val="center"/>
              <w:rPr>
                <w:rFonts w:ascii="Arial Narrow" w:eastAsiaTheme="majorEastAsia" w:hAnsi="Arial Narrow" w:cstheme="majorBidi"/>
                <w:bCs/>
                <w:sz w:val="20"/>
                <w:szCs w:val="20"/>
              </w:rPr>
            </w:pPr>
            <w:r w:rsidRPr="0029195A">
              <w:rPr>
                <w:rFonts w:ascii="Arial Narrow" w:eastAsiaTheme="majorEastAsia" w:hAnsi="Arial Narrow" w:cstheme="majorBidi"/>
                <w:bCs/>
                <w:sz w:val="20"/>
              </w:rPr>
              <w:t>-29%</w:t>
            </w:r>
          </w:p>
        </w:tc>
      </w:tr>
      <w:tr w:rsidR="006E20F4" w:rsidRPr="0029195A" w14:paraId="1C51EB37" w14:textId="77777777" w:rsidTr="002034AF">
        <w:trPr>
          <w:trHeight w:val="300"/>
        </w:trPr>
        <w:tc>
          <w:tcPr>
            <w:tcW w:w="8632" w:type="dxa"/>
            <w:gridSpan w:val="8"/>
            <w:tcBorders>
              <w:top w:val="single" w:sz="6" w:space="0" w:color="auto"/>
              <w:left w:val="single" w:sz="6" w:space="0" w:color="auto"/>
              <w:bottom w:val="single" w:sz="6" w:space="0" w:color="auto"/>
              <w:right w:val="single" w:sz="6" w:space="0" w:color="auto"/>
            </w:tcBorders>
            <w:shd w:val="clear" w:color="auto" w:fill="auto"/>
            <w:vAlign w:val="center"/>
          </w:tcPr>
          <w:p w14:paraId="69734AE5" w14:textId="77777777" w:rsidR="006E20F4" w:rsidRPr="0029195A" w:rsidRDefault="006E20F4" w:rsidP="001F0D7A">
            <w:pPr>
              <w:widowControl w:val="0"/>
              <w:jc w:val="left"/>
              <w:rPr>
                <w:b/>
                <w:bCs/>
                <w:szCs w:val="20"/>
              </w:rPr>
            </w:pPr>
            <w:r w:rsidRPr="0029195A">
              <w:rPr>
                <w:rFonts w:ascii="Arial Narrow" w:hAnsi="Arial Narrow" w:cs="Calibri"/>
                <w:b/>
                <w:bCs/>
                <w:color w:val="000000"/>
                <w:sz w:val="20"/>
                <w:szCs w:val="20"/>
              </w:rPr>
              <w:t>Excluding grandfathered patients</w:t>
            </w:r>
          </w:p>
        </w:tc>
        <w:tc>
          <w:tcPr>
            <w:tcW w:w="600" w:type="dxa"/>
            <w:tcBorders>
              <w:top w:val="single" w:sz="6" w:space="0" w:color="auto"/>
              <w:left w:val="single" w:sz="6" w:space="0" w:color="auto"/>
              <w:bottom w:val="single" w:sz="6" w:space="0" w:color="auto"/>
              <w:right w:val="single" w:sz="6" w:space="0" w:color="auto"/>
            </w:tcBorders>
            <w:vAlign w:val="center"/>
          </w:tcPr>
          <w:p w14:paraId="070D17AD" w14:textId="77777777" w:rsidR="006E20F4" w:rsidRPr="0029195A" w:rsidRDefault="006E20F4" w:rsidP="001F0D7A">
            <w:pPr>
              <w:widowControl w:val="0"/>
              <w:jc w:val="left"/>
              <w:rPr>
                <w:rFonts w:ascii="Arial Narrow" w:eastAsiaTheme="majorEastAsia" w:hAnsi="Arial Narrow" w:cstheme="majorBidi"/>
                <w:bCs/>
                <w:sz w:val="20"/>
                <w:szCs w:val="20"/>
              </w:rPr>
            </w:pPr>
          </w:p>
        </w:tc>
      </w:tr>
      <w:tr w:rsidR="006E20F4" w:rsidRPr="0029195A" w14:paraId="6DFB688E" w14:textId="77777777" w:rsidTr="002034AF">
        <w:trPr>
          <w:trHeight w:val="300"/>
        </w:trPr>
        <w:tc>
          <w:tcPr>
            <w:tcW w:w="1072" w:type="dxa"/>
            <w:tcBorders>
              <w:top w:val="single" w:sz="6" w:space="0" w:color="auto"/>
              <w:left w:val="single" w:sz="6" w:space="0" w:color="auto"/>
              <w:bottom w:val="single" w:sz="6" w:space="0" w:color="auto"/>
              <w:right w:val="single" w:sz="6" w:space="0" w:color="auto"/>
            </w:tcBorders>
            <w:shd w:val="clear" w:color="auto" w:fill="auto"/>
            <w:vAlign w:val="center"/>
          </w:tcPr>
          <w:p w14:paraId="0DB96CA2" w14:textId="13A19BF7" w:rsidR="006E20F4" w:rsidRPr="0029195A" w:rsidRDefault="006E20F4" w:rsidP="001F0D7A">
            <w:pPr>
              <w:widowControl w:val="0"/>
              <w:jc w:val="left"/>
              <w:rPr>
                <w:rFonts w:ascii="Arial Narrow" w:eastAsiaTheme="majorEastAsia" w:hAnsi="Arial Narrow" w:cstheme="majorBidi"/>
                <w:bCs/>
                <w:sz w:val="20"/>
                <w:szCs w:val="20"/>
              </w:rPr>
            </w:pPr>
            <w:r w:rsidRPr="0029195A">
              <w:rPr>
                <w:rFonts w:ascii="Arial Narrow" w:eastAsiaTheme="majorEastAsia" w:hAnsi="Arial Narrow" w:cstheme="majorBidi"/>
                <w:bCs/>
                <w:sz w:val="20"/>
                <w:szCs w:val="20"/>
              </w:rPr>
              <w:t>Net cost to PBS/RBS </w:t>
            </w:r>
            <w:r w:rsidR="00575922">
              <w:rPr>
                <w:rFonts w:ascii="Arial Narrow" w:eastAsiaTheme="majorEastAsia" w:hAnsi="Arial Narrow" w:cstheme="majorBidi"/>
                <w:bCs/>
                <w:sz w:val="20"/>
                <w:szCs w:val="20"/>
              </w:rPr>
              <w:t>($)</w:t>
            </w:r>
          </w:p>
        </w:tc>
        <w:tc>
          <w:tcPr>
            <w:tcW w:w="1027" w:type="dxa"/>
            <w:tcBorders>
              <w:top w:val="single" w:sz="6" w:space="0" w:color="auto"/>
              <w:left w:val="single" w:sz="6" w:space="0" w:color="auto"/>
              <w:bottom w:val="single" w:sz="6" w:space="0" w:color="auto"/>
              <w:right w:val="single" w:sz="6" w:space="0" w:color="auto"/>
            </w:tcBorders>
            <w:shd w:val="clear" w:color="auto" w:fill="auto"/>
            <w:vAlign w:val="center"/>
          </w:tcPr>
          <w:p w14:paraId="1D89398D" w14:textId="58EDF2A5" w:rsidR="006E20F4" w:rsidRPr="00575922" w:rsidRDefault="00A26F4F" w:rsidP="001F0D7A">
            <w:pPr>
              <w:widowControl w:val="0"/>
              <w:jc w:val="center"/>
              <w:rPr>
                <w:rFonts w:ascii="Arial Narrow" w:eastAsiaTheme="majorEastAsia" w:hAnsi="Arial Narrow" w:cstheme="majorBidi"/>
                <w:bCs/>
                <w:sz w:val="20"/>
                <w:szCs w:val="20"/>
                <w:highlight w:val="darkGray"/>
              </w:rPr>
            </w:pPr>
            <w:r w:rsidRPr="00A26F4F">
              <w:rPr>
                <w:rFonts w:ascii="Arial Narrow" w:eastAsiaTheme="majorEastAsia" w:hAnsi="Arial Narrow" w:cstheme="majorBidi" w:hint="eastAsia"/>
                <w:bCs/>
                <w:color w:val="000000"/>
                <w:w w:val="16"/>
                <w:sz w:val="20"/>
                <w:shd w:val="solid" w:color="000000" w:fill="000000"/>
                <w:fitText w:val="75" w:id="-1168989438"/>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6"/>
                <w:sz w:val="20"/>
                <w:shd w:val="solid" w:color="000000" w:fill="000000"/>
                <w:fitText w:val="75" w:id="-1168989438"/>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5"/>
                <w:w w:val="16"/>
                <w:sz w:val="20"/>
                <w:shd w:val="solid" w:color="000000" w:fill="000000"/>
                <w:fitText w:val="75" w:id="-1168989438"/>
                <w14:textFill>
                  <w14:solidFill>
                    <w14:srgbClr w14:val="000000">
                      <w14:alpha w14:val="100000"/>
                    </w14:srgbClr>
                  </w14:solidFill>
                </w14:textFill>
              </w:rPr>
              <w:t xml:space="preserve">　</w:t>
            </w:r>
            <w:r w:rsidR="00941272">
              <w:rPr>
                <w:rFonts w:ascii="Arial Narrow" w:eastAsiaTheme="majorEastAsia" w:hAnsi="Arial Narrow" w:cstheme="majorBidi"/>
                <w:bCs/>
                <w:sz w:val="20"/>
                <w:szCs w:val="20"/>
                <w:vertAlign w:val="superscript"/>
              </w:rPr>
              <w:t>1</w:t>
            </w:r>
          </w:p>
        </w:tc>
        <w:tc>
          <w:tcPr>
            <w:tcW w:w="1133" w:type="dxa"/>
            <w:tcBorders>
              <w:top w:val="single" w:sz="6" w:space="0" w:color="auto"/>
              <w:left w:val="single" w:sz="6" w:space="0" w:color="auto"/>
              <w:bottom w:val="single" w:sz="6" w:space="0" w:color="auto"/>
              <w:right w:val="single" w:sz="6" w:space="0" w:color="auto"/>
            </w:tcBorders>
            <w:shd w:val="clear" w:color="auto" w:fill="auto"/>
            <w:vAlign w:val="center"/>
          </w:tcPr>
          <w:p w14:paraId="3471A0A1" w14:textId="319A27F6" w:rsidR="006E20F4" w:rsidRPr="00575922" w:rsidRDefault="00A26F4F" w:rsidP="001F0D7A">
            <w:pPr>
              <w:widowControl w:val="0"/>
              <w:jc w:val="center"/>
              <w:rPr>
                <w:rFonts w:ascii="Arial Narrow" w:eastAsiaTheme="majorEastAsia" w:hAnsi="Arial Narrow" w:cstheme="majorBidi"/>
                <w:bCs/>
                <w:sz w:val="20"/>
                <w:szCs w:val="20"/>
                <w:highlight w:val="darkGray"/>
              </w:rPr>
            </w:pPr>
            <w:r w:rsidRPr="00B10578">
              <w:rPr>
                <w:rFonts w:ascii="Arial Narrow" w:eastAsiaTheme="majorEastAsia" w:hAnsi="Arial Narrow" w:cstheme="majorBidi" w:hint="eastAsia"/>
                <w:bCs/>
                <w:color w:val="000000"/>
                <w:w w:val="15"/>
                <w:sz w:val="20"/>
                <w:shd w:val="solid" w:color="000000" w:fill="000000"/>
                <w:fitText w:val="15" w:id="-1168989437"/>
                <w14:textFill>
                  <w14:solidFill>
                    <w14:srgbClr w14:val="000000">
                      <w14:alpha w14:val="100000"/>
                    </w14:srgbClr>
                  </w14:solidFill>
                </w14:textFill>
              </w:rPr>
              <w:t xml:space="preserve">　</w:t>
            </w:r>
            <w:r w:rsidRPr="00B10578">
              <w:rPr>
                <w:rFonts w:ascii="Arial Narrow" w:eastAsiaTheme="majorEastAsia" w:hAnsi="Arial Narrow" w:cstheme="majorBidi"/>
                <w:bCs/>
                <w:color w:val="000000"/>
                <w:w w:val="15"/>
                <w:sz w:val="20"/>
                <w:shd w:val="solid" w:color="000000" w:fill="000000"/>
                <w:fitText w:val="15" w:id="-1168989437"/>
                <w14:textFill>
                  <w14:solidFill>
                    <w14:srgbClr w14:val="000000">
                      <w14:alpha w14:val="100000"/>
                    </w14:srgbClr>
                  </w14:solidFill>
                </w14:textFill>
              </w:rPr>
              <w:t>|</w:t>
            </w:r>
            <w:r w:rsidRPr="00B10578">
              <w:rPr>
                <w:rFonts w:ascii="Arial Narrow" w:eastAsiaTheme="majorEastAsia" w:hAnsi="Arial Narrow" w:cstheme="majorBidi" w:hint="eastAsia"/>
                <w:bCs/>
                <w:color w:val="000000"/>
                <w:spacing w:val="-50"/>
                <w:w w:val="15"/>
                <w:sz w:val="20"/>
                <w:shd w:val="solid" w:color="000000" w:fill="000000"/>
                <w:fitText w:val="15" w:id="-1168989437"/>
                <w14:textFill>
                  <w14:solidFill>
                    <w14:srgbClr w14:val="000000">
                      <w14:alpha w14:val="100000"/>
                    </w14:srgbClr>
                  </w14:solidFill>
                </w14:textFill>
              </w:rPr>
              <w:t xml:space="preserve">　</w:t>
            </w:r>
            <w:r w:rsidR="00941272">
              <w:rPr>
                <w:rFonts w:ascii="Arial Narrow" w:eastAsiaTheme="majorEastAsia" w:hAnsi="Arial Narrow" w:cstheme="majorBidi"/>
                <w:bCs/>
                <w:sz w:val="20"/>
                <w:szCs w:val="20"/>
                <w:vertAlign w:val="superscript"/>
              </w:rPr>
              <w:t>1</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062C0221" w14:textId="0B286A94" w:rsidR="006E20F4" w:rsidRPr="00575922" w:rsidRDefault="00A26F4F" w:rsidP="001F0D7A">
            <w:pPr>
              <w:widowControl w:val="0"/>
              <w:jc w:val="center"/>
              <w:rPr>
                <w:rFonts w:ascii="Arial Narrow" w:eastAsiaTheme="majorEastAsia" w:hAnsi="Arial Narrow" w:cstheme="majorBidi"/>
                <w:bCs/>
                <w:sz w:val="20"/>
                <w:szCs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436"/>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436"/>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436"/>
                <w14:textFill>
                  <w14:solidFill>
                    <w14:srgbClr w14:val="000000">
                      <w14:alpha w14:val="100000"/>
                    </w14:srgbClr>
                  </w14:solidFill>
                </w14:textFill>
              </w:rPr>
              <w:t xml:space="preserve">　</w:t>
            </w:r>
            <w:r w:rsidR="00941272">
              <w:rPr>
                <w:rFonts w:ascii="Arial Narrow" w:eastAsiaTheme="majorEastAsia" w:hAnsi="Arial Narrow" w:cstheme="majorBidi"/>
                <w:bCs/>
                <w:sz w:val="20"/>
                <w:szCs w:val="20"/>
                <w:vertAlign w:val="superscript"/>
              </w:rPr>
              <w:t>2</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615A63F5" w14:textId="0F8F78E7" w:rsidR="006E20F4" w:rsidRPr="00575922" w:rsidRDefault="00A26F4F" w:rsidP="001F0D7A">
            <w:pPr>
              <w:widowControl w:val="0"/>
              <w:jc w:val="center"/>
              <w:rPr>
                <w:rFonts w:ascii="Arial Narrow" w:eastAsiaTheme="majorEastAsia" w:hAnsi="Arial Narrow" w:cstheme="majorBidi"/>
                <w:bCs/>
                <w:sz w:val="20"/>
                <w:szCs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435"/>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435"/>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435"/>
                <w14:textFill>
                  <w14:solidFill>
                    <w14:srgbClr w14:val="000000">
                      <w14:alpha w14:val="100000"/>
                    </w14:srgbClr>
                  </w14:solidFill>
                </w14:textFill>
              </w:rPr>
              <w:t xml:space="preserve">　</w:t>
            </w:r>
            <w:r w:rsidR="00941272">
              <w:rPr>
                <w:rFonts w:ascii="Arial Narrow" w:eastAsiaTheme="majorEastAsia" w:hAnsi="Arial Narrow" w:cstheme="majorBidi"/>
                <w:bCs/>
                <w:sz w:val="20"/>
                <w:szCs w:val="20"/>
                <w:vertAlign w:val="superscript"/>
              </w:rPr>
              <w:t>2</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63B9A224" w14:textId="3CBCD306" w:rsidR="006E20F4" w:rsidRPr="00575922" w:rsidRDefault="00A26F4F" w:rsidP="001F0D7A">
            <w:pPr>
              <w:widowControl w:val="0"/>
              <w:jc w:val="center"/>
              <w:rPr>
                <w:rFonts w:ascii="Arial Narrow" w:eastAsiaTheme="majorEastAsia" w:hAnsi="Arial Narrow" w:cstheme="majorBidi"/>
                <w:bCs/>
                <w:sz w:val="20"/>
                <w:szCs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434"/>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434"/>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434"/>
                <w14:textFill>
                  <w14:solidFill>
                    <w14:srgbClr w14:val="000000">
                      <w14:alpha w14:val="100000"/>
                    </w14:srgbClr>
                  </w14:solidFill>
                </w14:textFill>
              </w:rPr>
              <w:t xml:space="preserve">　</w:t>
            </w:r>
            <w:r w:rsidR="00941272">
              <w:rPr>
                <w:rFonts w:ascii="Arial Narrow" w:eastAsiaTheme="majorEastAsia" w:hAnsi="Arial Narrow" w:cstheme="majorBidi"/>
                <w:bCs/>
                <w:sz w:val="20"/>
                <w:szCs w:val="20"/>
                <w:vertAlign w:val="superscript"/>
              </w:rPr>
              <w:t>2</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638E2DBF" w14:textId="605B2A91" w:rsidR="006E20F4" w:rsidRPr="00575922" w:rsidRDefault="00A26F4F" w:rsidP="001F0D7A">
            <w:pPr>
              <w:widowControl w:val="0"/>
              <w:jc w:val="center"/>
              <w:rPr>
                <w:rFonts w:ascii="Arial Narrow" w:eastAsiaTheme="majorEastAsia" w:hAnsi="Arial Narrow" w:cstheme="majorBidi"/>
                <w:bCs/>
                <w:sz w:val="20"/>
                <w:szCs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433"/>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433"/>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433"/>
                <w14:textFill>
                  <w14:solidFill>
                    <w14:srgbClr w14:val="000000">
                      <w14:alpha w14:val="100000"/>
                    </w14:srgbClr>
                  </w14:solidFill>
                </w14:textFill>
              </w:rPr>
              <w:t xml:space="preserve">　</w:t>
            </w:r>
            <w:r w:rsidR="00941272">
              <w:rPr>
                <w:rFonts w:ascii="Arial Narrow" w:eastAsiaTheme="majorEastAsia" w:hAnsi="Arial Narrow" w:cstheme="majorBidi"/>
                <w:bCs/>
                <w:sz w:val="20"/>
                <w:szCs w:val="20"/>
                <w:vertAlign w:val="superscript"/>
              </w:rPr>
              <w:t>2</w:t>
            </w:r>
          </w:p>
        </w:tc>
        <w:tc>
          <w:tcPr>
            <w:tcW w:w="1080" w:type="dxa"/>
            <w:tcBorders>
              <w:top w:val="single" w:sz="6" w:space="0" w:color="auto"/>
              <w:left w:val="single" w:sz="6" w:space="0" w:color="auto"/>
              <w:bottom w:val="single" w:sz="6" w:space="0" w:color="auto"/>
              <w:right w:val="single" w:sz="6" w:space="0" w:color="auto"/>
            </w:tcBorders>
            <w:vAlign w:val="center"/>
          </w:tcPr>
          <w:p w14:paraId="607DDD17" w14:textId="3094ECB3" w:rsidR="006E20F4" w:rsidRPr="00575922" w:rsidRDefault="00A26F4F" w:rsidP="001F0D7A">
            <w:pPr>
              <w:widowControl w:val="0"/>
              <w:jc w:val="center"/>
              <w:rPr>
                <w:rFonts w:ascii="Arial Narrow" w:eastAsiaTheme="majorEastAsia" w:hAnsi="Arial Narrow" w:cstheme="majorBidi"/>
                <w:bCs/>
                <w:sz w:val="20"/>
                <w:szCs w:val="20"/>
                <w:highlight w:val="darkGray"/>
              </w:rPr>
            </w:pPr>
            <w:r w:rsidRPr="00A26F4F">
              <w:rPr>
                <w:rFonts w:ascii="Arial Narrow" w:eastAsiaTheme="majorEastAsia" w:hAnsi="Arial Narrow" w:cstheme="majorBidi" w:hint="eastAsia"/>
                <w:bCs/>
                <w:color w:val="000000"/>
                <w:w w:val="15"/>
                <w:sz w:val="20"/>
                <w:shd w:val="solid" w:color="000000" w:fill="000000"/>
                <w:fitText w:val="45" w:id="-1168989432"/>
                <w14:textFill>
                  <w14:solidFill>
                    <w14:srgbClr w14:val="000000">
                      <w14:alpha w14:val="100000"/>
                    </w14:srgbClr>
                  </w14:solidFill>
                </w14:textFill>
              </w:rPr>
              <w:t xml:space="preserve">　</w:t>
            </w:r>
            <w:r w:rsidRPr="00A26F4F">
              <w:rPr>
                <w:rFonts w:ascii="Arial Narrow" w:eastAsiaTheme="majorEastAsia" w:hAnsi="Arial Narrow" w:cstheme="majorBidi"/>
                <w:bCs/>
                <w:color w:val="000000"/>
                <w:w w:val="15"/>
                <w:sz w:val="20"/>
                <w:shd w:val="solid" w:color="000000" w:fill="000000"/>
                <w:fitText w:val="45" w:id="-1168989432"/>
                <w14:textFill>
                  <w14:solidFill>
                    <w14:srgbClr w14:val="000000">
                      <w14:alpha w14:val="100000"/>
                    </w14:srgbClr>
                  </w14:solidFill>
                </w14:textFill>
              </w:rPr>
              <w:t>|</w:t>
            </w:r>
            <w:r w:rsidRPr="00A26F4F">
              <w:rPr>
                <w:rFonts w:ascii="Arial Narrow" w:eastAsiaTheme="majorEastAsia" w:hAnsi="Arial Narrow" w:cstheme="majorBidi" w:hint="eastAsia"/>
                <w:bCs/>
                <w:color w:val="000000"/>
                <w:spacing w:val="-20"/>
                <w:w w:val="15"/>
                <w:sz w:val="20"/>
                <w:shd w:val="solid" w:color="000000" w:fill="000000"/>
                <w:fitText w:val="45" w:id="-1168989432"/>
                <w14:textFill>
                  <w14:solidFill>
                    <w14:srgbClr w14:val="000000">
                      <w14:alpha w14:val="100000"/>
                    </w14:srgbClr>
                  </w14:solidFill>
                </w14:textFill>
              </w:rPr>
              <w:t xml:space="preserve">　</w:t>
            </w:r>
            <w:r w:rsidR="00941272">
              <w:rPr>
                <w:rFonts w:ascii="Arial Narrow" w:eastAsiaTheme="majorEastAsia" w:hAnsi="Arial Narrow" w:cstheme="majorBidi"/>
                <w:bCs/>
                <w:sz w:val="20"/>
                <w:szCs w:val="20"/>
                <w:vertAlign w:val="superscript"/>
              </w:rPr>
              <w:t>3</w:t>
            </w:r>
          </w:p>
        </w:tc>
        <w:tc>
          <w:tcPr>
            <w:tcW w:w="600" w:type="dxa"/>
            <w:tcBorders>
              <w:top w:val="single" w:sz="6" w:space="0" w:color="auto"/>
              <w:left w:val="single" w:sz="6" w:space="0" w:color="auto"/>
              <w:bottom w:val="single" w:sz="6" w:space="0" w:color="auto"/>
              <w:right w:val="single" w:sz="6" w:space="0" w:color="auto"/>
            </w:tcBorders>
            <w:vAlign w:val="center"/>
          </w:tcPr>
          <w:p w14:paraId="579799FD" w14:textId="77777777" w:rsidR="006E20F4" w:rsidRPr="0029195A" w:rsidRDefault="006E20F4" w:rsidP="001F0D7A">
            <w:pPr>
              <w:widowControl w:val="0"/>
              <w:jc w:val="center"/>
              <w:rPr>
                <w:rFonts w:ascii="Arial Narrow" w:eastAsiaTheme="majorEastAsia" w:hAnsi="Arial Narrow" w:cstheme="majorBidi"/>
                <w:bCs/>
                <w:sz w:val="20"/>
                <w:szCs w:val="20"/>
              </w:rPr>
            </w:pPr>
            <w:r w:rsidRPr="0029195A">
              <w:rPr>
                <w:rFonts w:ascii="Arial Narrow" w:eastAsiaTheme="majorEastAsia" w:hAnsi="Arial Narrow" w:cstheme="majorBidi"/>
                <w:bCs/>
                <w:sz w:val="20"/>
              </w:rPr>
              <w:t>-1%</w:t>
            </w:r>
          </w:p>
        </w:tc>
      </w:tr>
    </w:tbl>
    <w:p w14:paraId="25BA72D2" w14:textId="351D455E" w:rsidR="0052778A" w:rsidRPr="0029195A" w:rsidRDefault="0052778A" w:rsidP="0052778A">
      <w:pPr>
        <w:spacing w:after="120"/>
        <w:contextualSpacing/>
        <w:rPr>
          <w:rFonts w:ascii="Arial Narrow" w:hAnsi="Arial Narrow"/>
          <w:snapToGrid w:val="0"/>
          <w:sz w:val="18"/>
          <w:szCs w:val="22"/>
        </w:rPr>
      </w:pPr>
      <w:r w:rsidRPr="0029195A">
        <w:rPr>
          <w:rFonts w:ascii="Arial Narrow" w:hAnsi="Arial Narrow"/>
          <w:snapToGrid w:val="0"/>
          <w:sz w:val="18"/>
          <w:szCs w:val="22"/>
        </w:rPr>
        <w:t xml:space="preserve">Source: </w:t>
      </w:r>
      <w:r w:rsidR="006E20F4" w:rsidRPr="0029195A">
        <w:rPr>
          <w:rFonts w:ascii="Arial Narrow" w:hAnsi="Arial Narrow"/>
          <w:snapToGrid w:val="0"/>
          <w:sz w:val="18"/>
          <w:szCs w:val="22"/>
        </w:rPr>
        <w:t>Conducted</w:t>
      </w:r>
      <w:r w:rsidRPr="0029195A">
        <w:rPr>
          <w:rFonts w:ascii="Arial Narrow" w:hAnsi="Arial Narrow"/>
          <w:snapToGrid w:val="0"/>
          <w:sz w:val="18"/>
          <w:szCs w:val="22"/>
        </w:rPr>
        <w:t xml:space="preserve"> during the evaluation</w:t>
      </w:r>
    </w:p>
    <w:p w14:paraId="0E177813" w14:textId="037958B9" w:rsidR="0052778A" w:rsidRDefault="0052778A" w:rsidP="0052778A">
      <w:pPr>
        <w:spacing w:after="120"/>
        <w:contextualSpacing/>
        <w:rPr>
          <w:rFonts w:ascii="Arial Narrow" w:hAnsi="Arial Narrow"/>
          <w:snapToGrid w:val="0"/>
          <w:sz w:val="18"/>
          <w:szCs w:val="22"/>
        </w:rPr>
      </w:pPr>
      <w:r w:rsidRPr="0029195A">
        <w:rPr>
          <w:rFonts w:ascii="Arial Narrow" w:hAnsi="Arial Narrow"/>
          <w:snapToGrid w:val="0"/>
          <w:sz w:val="18"/>
          <w:szCs w:val="22"/>
        </w:rPr>
        <w:t>Abbreviations: CI, confidence interval; PBS, Pharmaceutical Benefits Scheme; RPBS, Repatriation Schedule of Pharmaceutical Benefits</w:t>
      </w:r>
    </w:p>
    <w:p w14:paraId="37DFA398" w14:textId="77777777" w:rsidR="00575922" w:rsidRPr="009A6D58" w:rsidRDefault="00575922" w:rsidP="00575922">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1993E240" w14:textId="64D08894" w:rsidR="00575922" w:rsidRPr="002034AF" w:rsidRDefault="00575922" w:rsidP="00575922">
      <w:pPr>
        <w:rPr>
          <w:rFonts w:ascii="Arial Narrow" w:hAnsi="Arial Narrow"/>
          <w:i/>
          <w:sz w:val="18"/>
          <w:szCs w:val="18"/>
        </w:rPr>
      </w:pPr>
      <w:r w:rsidRPr="002034AF">
        <w:rPr>
          <w:rFonts w:ascii="Arial Narrow" w:hAnsi="Arial Narrow"/>
          <w:i/>
          <w:sz w:val="18"/>
          <w:szCs w:val="18"/>
          <w:vertAlign w:val="superscript"/>
        </w:rPr>
        <w:lastRenderedPageBreak/>
        <w:t>1</w:t>
      </w:r>
      <w:r w:rsidRPr="002034AF">
        <w:rPr>
          <w:rFonts w:ascii="Arial Narrow" w:hAnsi="Arial Narrow"/>
          <w:i/>
          <w:sz w:val="18"/>
          <w:szCs w:val="18"/>
        </w:rPr>
        <w:t xml:space="preserve"> </w:t>
      </w:r>
      <w:r w:rsidR="00B4537C" w:rsidRPr="002034AF">
        <w:rPr>
          <w:rFonts w:ascii="Arial Narrow" w:hAnsi="Arial Narrow"/>
          <w:i/>
          <w:sz w:val="18"/>
          <w:szCs w:val="18"/>
        </w:rPr>
        <w:t>$10 million to &lt; $20 million</w:t>
      </w:r>
    </w:p>
    <w:p w14:paraId="595B7788" w14:textId="31835593" w:rsidR="00575922" w:rsidRPr="002034AF" w:rsidRDefault="00575922" w:rsidP="00575922">
      <w:pPr>
        <w:rPr>
          <w:rFonts w:ascii="Arial Narrow" w:hAnsi="Arial Narrow"/>
          <w:i/>
          <w:sz w:val="18"/>
          <w:szCs w:val="18"/>
        </w:rPr>
      </w:pPr>
      <w:r w:rsidRPr="002034AF">
        <w:rPr>
          <w:rFonts w:ascii="Arial Narrow" w:hAnsi="Arial Narrow"/>
          <w:i/>
          <w:sz w:val="18"/>
          <w:szCs w:val="18"/>
          <w:vertAlign w:val="superscript"/>
        </w:rPr>
        <w:t>2</w:t>
      </w:r>
      <w:r w:rsidRPr="002034AF">
        <w:rPr>
          <w:rFonts w:ascii="Arial Narrow" w:hAnsi="Arial Narrow"/>
          <w:i/>
          <w:sz w:val="18"/>
          <w:szCs w:val="18"/>
        </w:rPr>
        <w:t xml:space="preserve"> </w:t>
      </w:r>
      <w:r w:rsidR="00B4537C" w:rsidRPr="002034AF">
        <w:rPr>
          <w:rFonts w:ascii="Arial Narrow" w:hAnsi="Arial Narrow"/>
          <w:i/>
          <w:sz w:val="18"/>
          <w:szCs w:val="18"/>
        </w:rPr>
        <w:t>$20 million to &lt; $30 million</w:t>
      </w:r>
    </w:p>
    <w:p w14:paraId="250584C9" w14:textId="61462CEF" w:rsidR="00575922" w:rsidRPr="002034AF" w:rsidRDefault="00575922" w:rsidP="00575922">
      <w:pPr>
        <w:rPr>
          <w:rFonts w:ascii="Arial Narrow" w:hAnsi="Arial Narrow"/>
          <w:i/>
          <w:sz w:val="18"/>
          <w:szCs w:val="18"/>
        </w:rPr>
      </w:pPr>
      <w:r w:rsidRPr="002034AF">
        <w:rPr>
          <w:rFonts w:ascii="Arial Narrow" w:hAnsi="Arial Narrow"/>
          <w:i/>
          <w:sz w:val="18"/>
          <w:szCs w:val="18"/>
          <w:vertAlign w:val="superscript"/>
        </w:rPr>
        <w:t>3</w:t>
      </w:r>
      <w:r w:rsidRPr="002034AF">
        <w:rPr>
          <w:rFonts w:ascii="Arial Narrow" w:hAnsi="Arial Narrow"/>
          <w:i/>
          <w:sz w:val="18"/>
          <w:szCs w:val="18"/>
        </w:rPr>
        <w:t xml:space="preserve"> </w:t>
      </w:r>
      <w:r w:rsidR="005F6E54" w:rsidRPr="002034AF">
        <w:rPr>
          <w:rFonts w:ascii="Arial Narrow" w:hAnsi="Arial Narrow"/>
          <w:i/>
          <w:sz w:val="18"/>
          <w:szCs w:val="18"/>
        </w:rPr>
        <w:t>$100 million to &lt; $200 million</w:t>
      </w:r>
    </w:p>
    <w:p w14:paraId="5FC3C778" w14:textId="4FEA69D0" w:rsidR="00575922" w:rsidRPr="002034AF" w:rsidRDefault="00575922" w:rsidP="00575922">
      <w:pPr>
        <w:rPr>
          <w:rFonts w:ascii="Arial Narrow" w:hAnsi="Arial Narrow"/>
          <w:i/>
          <w:sz w:val="18"/>
          <w:szCs w:val="18"/>
        </w:rPr>
      </w:pPr>
      <w:r w:rsidRPr="002034AF">
        <w:rPr>
          <w:rFonts w:ascii="Arial Narrow" w:hAnsi="Arial Narrow"/>
          <w:i/>
          <w:sz w:val="18"/>
          <w:szCs w:val="18"/>
          <w:vertAlign w:val="superscript"/>
        </w:rPr>
        <w:t>4</w:t>
      </w:r>
      <w:r w:rsidRPr="002034AF">
        <w:rPr>
          <w:rFonts w:ascii="Arial Narrow" w:hAnsi="Arial Narrow"/>
          <w:i/>
          <w:sz w:val="18"/>
          <w:szCs w:val="18"/>
        </w:rPr>
        <w:t xml:space="preserve"> </w:t>
      </w:r>
      <w:r w:rsidR="005F6E54" w:rsidRPr="002034AF">
        <w:rPr>
          <w:rFonts w:ascii="Arial Narrow" w:hAnsi="Arial Narrow"/>
          <w:i/>
          <w:sz w:val="18"/>
          <w:szCs w:val="18"/>
        </w:rPr>
        <w:t>$0 to &lt; $10 million</w:t>
      </w:r>
    </w:p>
    <w:p w14:paraId="74C82620" w14:textId="059C8633" w:rsidR="00575922" w:rsidRPr="002034AF" w:rsidRDefault="00575922" w:rsidP="00575922">
      <w:pPr>
        <w:rPr>
          <w:rFonts w:ascii="Arial Narrow" w:hAnsi="Arial Narrow"/>
          <w:i/>
          <w:sz w:val="18"/>
          <w:szCs w:val="18"/>
        </w:rPr>
      </w:pPr>
      <w:r w:rsidRPr="002034AF">
        <w:rPr>
          <w:rFonts w:ascii="Arial Narrow" w:hAnsi="Arial Narrow"/>
          <w:i/>
          <w:sz w:val="18"/>
          <w:szCs w:val="18"/>
          <w:vertAlign w:val="superscript"/>
        </w:rPr>
        <w:t>5</w:t>
      </w:r>
      <w:r w:rsidRPr="002034AF">
        <w:rPr>
          <w:rFonts w:ascii="Arial Narrow" w:hAnsi="Arial Narrow"/>
          <w:i/>
          <w:sz w:val="18"/>
          <w:szCs w:val="18"/>
        </w:rPr>
        <w:t xml:space="preserve"> </w:t>
      </w:r>
      <w:r w:rsidR="005F6E54" w:rsidRPr="002034AF">
        <w:rPr>
          <w:rFonts w:ascii="Arial Narrow" w:hAnsi="Arial Narrow"/>
          <w:i/>
          <w:sz w:val="18"/>
          <w:szCs w:val="18"/>
        </w:rPr>
        <w:t>$80 million to &lt; $90 million</w:t>
      </w:r>
    </w:p>
    <w:p w14:paraId="3D6B8A2B" w14:textId="1551D0FF" w:rsidR="00575922" w:rsidRPr="002034AF" w:rsidRDefault="00575922" w:rsidP="00575922">
      <w:pPr>
        <w:rPr>
          <w:rFonts w:ascii="Arial Narrow" w:hAnsi="Arial Narrow"/>
          <w:i/>
          <w:sz w:val="18"/>
          <w:szCs w:val="18"/>
        </w:rPr>
      </w:pPr>
      <w:r w:rsidRPr="002034AF">
        <w:rPr>
          <w:rFonts w:ascii="Arial Narrow" w:hAnsi="Arial Narrow"/>
          <w:i/>
          <w:sz w:val="18"/>
          <w:szCs w:val="18"/>
          <w:vertAlign w:val="superscript"/>
        </w:rPr>
        <w:t>6</w:t>
      </w:r>
      <w:r w:rsidRPr="002034AF">
        <w:rPr>
          <w:rFonts w:ascii="Arial Narrow" w:hAnsi="Arial Narrow"/>
          <w:i/>
          <w:sz w:val="18"/>
          <w:szCs w:val="18"/>
        </w:rPr>
        <w:t xml:space="preserve"> </w:t>
      </w:r>
      <w:r w:rsidR="002034AF" w:rsidRPr="002034AF">
        <w:rPr>
          <w:rFonts w:ascii="Arial Narrow" w:hAnsi="Arial Narrow"/>
          <w:i/>
          <w:sz w:val="18"/>
          <w:szCs w:val="18"/>
        </w:rPr>
        <w:t>$40 million to &lt; $50 million</w:t>
      </w:r>
    </w:p>
    <w:p w14:paraId="61A066DD" w14:textId="2EEE337C" w:rsidR="00575922" w:rsidRPr="002034AF" w:rsidRDefault="00575922" w:rsidP="00575922">
      <w:pPr>
        <w:rPr>
          <w:rFonts w:ascii="Arial Narrow" w:hAnsi="Arial Narrow"/>
          <w:i/>
          <w:sz w:val="18"/>
          <w:szCs w:val="18"/>
        </w:rPr>
      </w:pPr>
      <w:r w:rsidRPr="002034AF">
        <w:rPr>
          <w:rFonts w:ascii="Arial Narrow" w:hAnsi="Arial Narrow"/>
          <w:i/>
          <w:sz w:val="18"/>
          <w:szCs w:val="18"/>
          <w:vertAlign w:val="superscript"/>
        </w:rPr>
        <w:t>7</w:t>
      </w:r>
      <w:r w:rsidRPr="002034AF">
        <w:rPr>
          <w:rFonts w:ascii="Arial Narrow" w:hAnsi="Arial Narrow"/>
          <w:i/>
          <w:sz w:val="18"/>
          <w:szCs w:val="18"/>
        </w:rPr>
        <w:t xml:space="preserve"> </w:t>
      </w:r>
      <w:r w:rsidR="002034AF" w:rsidRPr="002034AF">
        <w:rPr>
          <w:rFonts w:ascii="Arial Narrow" w:hAnsi="Arial Narrow"/>
          <w:i/>
          <w:sz w:val="18"/>
          <w:szCs w:val="18"/>
        </w:rPr>
        <w:t>$200 million to &lt; $300 million</w:t>
      </w:r>
    </w:p>
    <w:p w14:paraId="619724EB" w14:textId="31D86ABD" w:rsidR="00575922" w:rsidRDefault="00575922" w:rsidP="00575922">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002034AF">
        <w:rPr>
          <w:rFonts w:ascii="Arial Narrow" w:hAnsi="Arial Narrow"/>
          <w:i/>
          <w:sz w:val="18"/>
          <w:szCs w:val="18"/>
        </w:rPr>
        <w:t>$30 million to &lt; $40 million</w:t>
      </w:r>
    </w:p>
    <w:p w14:paraId="568396E5" w14:textId="78DF584E" w:rsidR="00941272" w:rsidRPr="00941272" w:rsidRDefault="00941272" w:rsidP="00575922">
      <w:pPr>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$90 million to &lt; $100 million</w:t>
      </w:r>
    </w:p>
    <w:p w14:paraId="614D534C" w14:textId="77777777" w:rsidR="00575922" w:rsidRPr="0029195A" w:rsidRDefault="00575922" w:rsidP="0052778A">
      <w:pPr>
        <w:spacing w:after="120"/>
        <w:contextualSpacing/>
        <w:rPr>
          <w:rFonts w:ascii="Arial Narrow" w:hAnsi="Arial Narrow"/>
          <w:snapToGrid w:val="0"/>
          <w:sz w:val="18"/>
          <w:szCs w:val="22"/>
        </w:rPr>
      </w:pPr>
    </w:p>
    <w:p w14:paraId="5C700E83" w14:textId="77777777" w:rsidR="0052778A" w:rsidRPr="0029195A" w:rsidRDefault="0052778A" w:rsidP="0052778A">
      <w:pPr>
        <w:pStyle w:val="4-SubsectionHeading"/>
      </w:pPr>
      <w:bookmarkStart w:id="75" w:name="_Toc135230138"/>
      <w:r w:rsidRPr="0029195A">
        <w:t>Quality Use of Medicines</w:t>
      </w:r>
      <w:bookmarkEnd w:id="75"/>
    </w:p>
    <w:p w14:paraId="51E998EC" w14:textId="6C462851" w:rsidR="0052778A" w:rsidRPr="0029195A" w:rsidRDefault="00AF2E40" w:rsidP="007A6355">
      <w:pPr>
        <w:pStyle w:val="3-BodyText"/>
        <w:rPr>
          <w:color w:val="0066FF"/>
        </w:rPr>
      </w:pPr>
      <w:bookmarkStart w:id="76" w:name="_Toc22897649"/>
      <w:r w:rsidRPr="0029195A">
        <w:t xml:space="preserve">DUSC noted that the submission did not present any </w:t>
      </w:r>
      <w:r w:rsidR="0052778A" w:rsidRPr="0029195A">
        <w:t>quality use of medicines (QUM) in</w:t>
      </w:r>
      <w:r w:rsidRPr="0029195A">
        <w:t>itiatives</w:t>
      </w:r>
      <w:r w:rsidR="0052778A" w:rsidRPr="0029195A">
        <w:t>.</w:t>
      </w:r>
      <w:r w:rsidRPr="0029195A">
        <w:t xml:space="preserve"> DUSC considered that, while these patients would have follow up from specialist physicians for their disease and exposure to other immunosuppression, it was inappropriate for a medication with a novel mechanism of action and limited long-term safety data to be provided without any planned training of health practitioners and patients or adverse event surveillance programs</w:t>
      </w:r>
      <w:r w:rsidR="0029195A">
        <w:t xml:space="preserve">. </w:t>
      </w:r>
    </w:p>
    <w:p w14:paraId="099C6DB4" w14:textId="77777777" w:rsidR="0052778A" w:rsidRPr="0029195A" w:rsidRDefault="0052778A" w:rsidP="0052778A">
      <w:pPr>
        <w:pStyle w:val="4-SubsectionHeading"/>
        <w:rPr>
          <w:color w:val="365F91" w:themeColor="accent1" w:themeShade="BF"/>
        </w:rPr>
      </w:pPr>
      <w:bookmarkStart w:id="77" w:name="_Toc135230139"/>
      <w:r w:rsidRPr="0029195A">
        <w:t>Financial Management – Risk Sharing Arrangements</w:t>
      </w:r>
      <w:bookmarkEnd w:id="76"/>
      <w:bookmarkEnd w:id="77"/>
    </w:p>
    <w:p w14:paraId="51294F4E" w14:textId="5B8E34F2" w:rsidR="0052778A" w:rsidRPr="0029195A" w:rsidRDefault="0052778A" w:rsidP="007A6355">
      <w:pPr>
        <w:pStyle w:val="3-BodyText"/>
      </w:pPr>
      <w:r w:rsidRPr="0029195A">
        <w:t>No risk sharing arrangements were proposed in the submission.</w:t>
      </w:r>
    </w:p>
    <w:p w14:paraId="799216A8" w14:textId="136B42A0" w:rsidR="0052778A" w:rsidRPr="008515B4" w:rsidRDefault="0052778A" w:rsidP="007A6355">
      <w:pPr>
        <w:pStyle w:val="3-BodyText"/>
        <w:numPr>
          <w:ilvl w:val="0"/>
          <w:numId w:val="0"/>
        </w:numPr>
        <w:ind w:left="720"/>
        <w:rPr>
          <w:i/>
          <w:iCs/>
          <w:color w:val="0066FF"/>
        </w:rPr>
      </w:pPr>
      <w:r w:rsidRPr="008515B4">
        <w:rPr>
          <w:i/>
          <w:iCs/>
        </w:rPr>
        <w:t xml:space="preserve">For more detail on PBAC’s view, see section 7 PBAC </w:t>
      </w:r>
      <w:r w:rsidR="008515B4" w:rsidRPr="008515B4">
        <w:rPr>
          <w:i/>
          <w:iCs/>
        </w:rPr>
        <w:t>O</w:t>
      </w:r>
      <w:r w:rsidRPr="008515B4">
        <w:rPr>
          <w:i/>
          <w:iCs/>
        </w:rPr>
        <w:t>utcome.</w:t>
      </w:r>
    </w:p>
    <w:p w14:paraId="4E0A642F" w14:textId="77777777" w:rsidR="0052778A" w:rsidRPr="007A6355" w:rsidRDefault="0052778A" w:rsidP="007A6355">
      <w:pPr>
        <w:pStyle w:val="2-SectionHeading"/>
        <w:numPr>
          <w:ilvl w:val="0"/>
          <w:numId w:val="1"/>
        </w:numPr>
      </w:pPr>
      <w:bookmarkStart w:id="78" w:name="_Hlk76381249"/>
      <w:bookmarkStart w:id="79" w:name="_Hlk76377955"/>
      <w:r w:rsidRPr="0029195A">
        <w:t>PBAC Outcome</w:t>
      </w:r>
    </w:p>
    <w:p w14:paraId="19F11FF5" w14:textId="051BC9B7" w:rsidR="006339C4" w:rsidRPr="0029195A" w:rsidRDefault="006339C4" w:rsidP="006339C4">
      <w:pPr>
        <w:widowControl w:val="0"/>
        <w:numPr>
          <w:ilvl w:val="1"/>
          <w:numId w:val="1"/>
        </w:numPr>
        <w:spacing w:after="120"/>
        <w:ind w:left="720"/>
        <w:rPr>
          <w:rFonts w:asciiTheme="minorHAnsi" w:hAnsiTheme="minorHAnsi"/>
          <w:snapToGrid w:val="0"/>
          <w:lang w:eastAsia="en-US"/>
        </w:rPr>
      </w:pPr>
      <w:bookmarkStart w:id="80" w:name="_Hlk141787569"/>
      <w:r w:rsidRPr="0029195A">
        <w:t xml:space="preserve">The PBAC did not recommend the listing for avacopan for the treatment of severe active granulomatosis with polyangiitis (GPA) </w:t>
      </w:r>
      <w:r w:rsidR="003E489F">
        <w:t>or</w:t>
      </w:r>
      <w:r w:rsidRPr="0029195A">
        <w:t xml:space="preserve"> severe active microscopic polyangiitis (MPA) in combination with rituximab or cyclophosphamide/azathioprine. </w:t>
      </w:r>
      <w:r w:rsidR="00D74814" w:rsidRPr="0029195A">
        <w:t xml:space="preserve">The PBAC acknowledged there was a clinical need for </w:t>
      </w:r>
      <w:r w:rsidR="002249BD" w:rsidRPr="0029195A">
        <w:t xml:space="preserve">treatments that </w:t>
      </w:r>
      <w:r w:rsidR="00433D40" w:rsidRPr="0029195A">
        <w:t xml:space="preserve">can be used to reduce exposure to glucocorticoids (GCs) in this condition. </w:t>
      </w:r>
      <w:r w:rsidR="00031841" w:rsidRPr="0029195A">
        <w:t xml:space="preserve">The PBAC considered the </w:t>
      </w:r>
      <w:r w:rsidR="00A20A6F" w:rsidRPr="0029195A">
        <w:t xml:space="preserve">key clinical data </w:t>
      </w:r>
      <w:r w:rsidR="00A20A6F" w:rsidRPr="0029195A">
        <w:rPr>
          <w:rFonts w:asciiTheme="minorHAnsi" w:hAnsiTheme="minorHAnsi"/>
          <w:snapToGrid w:val="0"/>
          <w:lang w:eastAsia="en-US"/>
        </w:rPr>
        <w:t>from the ADVOCATE trial</w:t>
      </w:r>
      <w:r w:rsidR="00A20A6F" w:rsidRPr="0029195A">
        <w:t xml:space="preserve"> suggested the </w:t>
      </w:r>
      <w:r w:rsidR="00031841" w:rsidRPr="0029195A">
        <w:t xml:space="preserve">magnitude of benefit that avacopan + standard of care (SOC) may provide in induction therapy compared to prednisolone + SOC was </w:t>
      </w:r>
      <w:r w:rsidR="00D94CD6" w:rsidRPr="0029195A">
        <w:t xml:space="preserve">limited to a potential reduction in GC use with no significant benefit in remission at </w:t>
      </w:r>
      <w:r w:rsidR="000A36DF" w:rsidRPr="0029195A">
        <w:t>26 weeks</w:t>
      </w:r>
      <w:r w:rsidR="00031841" w:rsidRPr="0029195A">
        <w:t>.</w:t>
      </w:r>
      <w:r w:rsidR="00FB4E99" w:rsidRPr="0029195A">
        <w:t xml:space="preserve"> In addition, the Committee considered the clinical evidence provided </w:t>
      </w:r>
      <w:r w:rsidR="00A20A6F" w:rsidRPr="0029195A">
        <w:t xml:space="preserve">was inadequate to assess remission at </w:t>
      </w:r>
      <w:r w:rsidR="000A36DF" w:rsidRPr="0029195A">
        <w:t>52 weeks</w:t>
      </w:r>
      <w:r w:rsidR="00A20A6F" w:rsidRPr="0029195A">
        <w:t xml:space="preserve"> and </w:t>
      </w:r>
      <w:r w:rsidR="00FB4E99" w:rsidRPr="0029195A">
        <w:t xml:space="preserve">did not support </w:t>
      </w:r>
      <w:r w:rsidR="005F0513" w:rsidRPr="0029195A">
        <w:t xml:space="preserve">comparative assessment of </w:t>
      </w:r>
      <w:r w:rsidR="00FB4E99" w:rsidRPr="0029195A">
        <w:t xml:space="preserve">use as maintenance therapy. </w:t>
      </w:r>
      <w:r w:rsidR="00AE6448" w:rsidRPr="0029195A">
        <w:rPr>
          <w:rFonts w:asciiTheme="minorHAnsi" w:hAnsiTheme="minorHAnsi"/>
          <w:snapToGrid w:val="0"/>
          <w:lang w:eastAsia="en-US"/>
        </w:rPr>
        <w:t xml:space="preserve">The PBAC considered the economic model was unreliable due to the uncertainties underpinning clinical data. </w:t>
      </w:r>
      <w:r w:rsidR="00FB4E99" w:rsidRPr="0029195A">
        <w:t>A</w:t>
      </w:r>
      <w:r w:rsidR="00AE6448" w:rsidRPr="0029195A">
        <w:t xml:space="preserve">dditional optimistic assumptions and inputs meant the </w:t>
      </w:r>
      <w:r w:rsidR="009A3DDE" w:rsidRPr="0029195A">
        <w:t xml:space="preserve">PBAC considered the </w:t>
      </w:r>
      <w:r w:rsidR="00FB4E99" w:rsidRPr="0029195A">
        <w:t xml:space="preserve">resulting incremental cost effectiveness ratio (ICER) was </w:t>
      </w:r>
      <w:r w:rsidR="005F0513" w:rsidRPr="0029195A">
        <w:t xml:space="preserve">likely </w:t>
      </w:r>
      <w:r w:rsidR="00FB4E99" w:rsidRPr="0029195A">
        <w:t>underestimated and highly uncertain.</w:t>
      </w:r>
      <w:r w:rsidR="00031841" w:rsidRPr="0029195A">
        <w:t xml:space="preserve"> </w:t>
      </w:r>
    </w:p>
    <w:bookmarkEnd w:id="80"/>
    <w:p w14:paraId="3735572E" w14:textId="6C4F2663" w:rsidR="006339C4" w:rsidRPr="0029195A" w:rsidRDefault="006339C4" w:rsidP="006339C4">
      <w:pPr>
        <w:widowControl w:val="0"/>
        <w:numPr>
          <w:ilvl w:val="1"/>
          <w:numId w:val="1"/>
        </w:numPr>
        <w:spacing w:after="120"/>
        <w:ind w:left="720"/>
        <w:rPr>
          <w:rFonts w:asciiTheme="minorHAnsi" w:hAnsiTheme="minorHAnsi"/>
          <w:snapToGrid w:val="0"/>
          <w:lang w:eastAsia="en-US"/>
        </w:rPr>
      </w:pPr>
      <w:r w:rsidRPr="0029195A">
        <w:rPr>
          <w:rFonts w:asciiTheme="minorHAnsi" w:hAnsiTheme="minorHAnsi"/>
          <w:snapToGrid w:val="0"/>
          <w:lang w:eastAsia="en-US"/>
        </w:rPr>
        <w:t>The PBAC considered the primary reason for this outcome was due to the comparative clinical evidence provided.</w:t>
      </w:r>
    </w:p>
    <w:p w14:paraId="4785BCB7" w14:textId="3B88D664" w:rsidR="00524991" w:rsidRPr="0029195A" w:rsidRDefault="006339C4" w:rsidP="00D66084">
      <w:pPr>
        <w:widowControl w:val="0"/>
        <w:numPr>
          <w:ilvl w:val="1"/>
          <w:numId w:val="1"/>
        </w:numPr>
        <w:spacing w:after="120"/>
        <w:ind w:left="720"/>
        <w:rPr>
          <w:rFonts w:asciiTheme="minorHAnsi" w:hAnsiTheme="minorHAnsi"/>
          <w:snapToGrid w:val="0"/>
          <w:lang w:eastAsia="en-US"/>
        </w:rPr>
      </w:pPr>
      <w:r w:rsidRPr="0029195A">
        <w:rPr>
          <w:rFonts w:asciiTheme="minorHAnsi" w:hAnsiTheme="minorHAnsi"/>
          <w:snapToGrid w:val="0"/>
          <w:lang w:eastAsia="en-US"/>
        </w:rPr>
        <w:t xml:space="preserve">The PBAC noted the comments from a health care professional and organisations </w:t>
      </w:r>
      <w:r w:rsidR="00D66084" w:rsidRPr="0029195A">
        <w:rPr>
          <w:rFonts w:asciiTheme="minorHAnsi" w:hAnsiTheme="minorHAnsi"/>
          <w:snapToGrid w:val="0"/>
          <w:lang w:eastAsia="en-US"/>
        </w:rPr>
        <w:t xml:space="preserve">that </w:t>
      </w:r>
      <w:r w:rsidR="00D66084" w:rsidRPr="0029195A">
        <w:rPr>
          <w:rFonts w:cs="Calibri"/>
        </w:rPr>
        <w:t xml:space="preserve">described the benefits of using avacopan combined with rituximab or cyclophosphamide in terms of a reduction in </w:t>
      </w:r>
      <w:r w:rsidR="00AE2E2C" w:rsidRPr="0029195A">
        <w:rPr>
          <w:rFonts w:cs="Calibri"/>
        </w:rPr>
        <w:t xml:space="preserve">GC </w:t>
      </w:r>
      <w:r w:rsidR="00D66084" w:rsidRPr="0029195A">
        <w:rPr>
          <w:rFonts w:cs="Calibri"/>
        </w:rPr>
        <w:t>adverse effects</w:t>
      </w:r>
      <w:r w:rsidR="0029195A">
        <w:rPr>
          <w:rFonts w:cs="Calibri"/>
        </w:rPr>
        <w:t xml:space="preserve">. </w:t>
      </w:r>
      <w:r w:rsidR="00D66084" w:rsidRPr="0029195A">
        <w:rPr>
          <w:rFonts w:cs="Calibri"/>
        </w:rPr>
        <w:t xml:space="preserve">The PBAC noted the </w:t>
      </w:r>
      <w:r w:rsidR="00D66084" w:rsidRPr="0029195A">
        <w:rPr>
          <w:rFonts w:cs="Calibri"/>
        </w:rPr>
        <w:lastRenderedPageBreak/>
        <w:t xml:space="preserve">comments from the Australian Rheumatology Association (ARA) that much of the treatment related morbidity in induction therapy can be attributed to </w:t>
      </w:r>
      <w:r w:rsidR="007D3BCE" w:rsidRPr="0029195A">
        <w:rPr>
          <w:rFonts w:cs="Calibri"/>
        </w:rPr>
        <w:t>GCs</w:t>
      </w:r>
      <w:r w:rsidR="00D66084" w:rsidRPr="0029195A">
        <w:rPr>
          <w:rFonts w:cs="Calibri"/>
        </w:rPr>
        <w:t xml:space="preserve">. The PBAC </w:t>
      </w:r>
      <w:r w:rsidR="00D74814" w:rsidRPr="0029195A">
        <w:rPr>
          <w:rFonts w:cs="Calibri"/>
        </w:rPr>
        <w:t>agreed with the comments from the Australian and New Zealand Vasculitis Society (ANZVASC) that there wa</w:t>
      </w:r>
      <w:r w:rsidR="00D66084" w:rsidRPr="0029195A">
        <w:rPr>
          <w:rFonts w:cs="Calibri"/>
        </w:rPr>
        <w:t xml:space="preserve">s a clinical need for treatments that </w:t>
      </w:r>
      <w:r w:rsidR="00D74814" w:rsidRPr="0029195A">
        <w:rPr>
          <w:rFonts w:cs="Calibri"/>
        </w:rPr>
        <w:t xml:space="preserve">allow avoidance of high, cumulative </w:t>
      </w:r>
      <w:r w:rsidR="00AE2E2C" w:rsidRPr="0029195A">
        <w:rPr>
          <w:rFonts w:cs="Calibri"/>
        </w:rPr>
        <w:t>GC</w:t>
      </w:r>
      <w:r w:rsidR="00D66084" w:rsidRPr="0029195A">
        <w:rPr>
          <w:rFonts w:cs="Calibri"/>
        </w:rPr>
        <w:t xml:space="preserve"> use in this condition. </w:t>
      </w:r>
    </w:p>
    <w:p w14:paraId="70FF777A" w14:textId="0B957C6B" w:rsidR="000E77DC" w:rsidRPr="0029195A" w:rsidRDefault="00780149" w:rsidP="00D66084">
      <w:pPr>
        <w:widowControl w:val="0"/>
        <w:numPr>
          <w:ilvl w:val="1"/>
          <w:numId w:val="1"/>
        </w:numPr>
        <w:spacing w:after="120"/>
        <w:ind w:left="720"/>
        <w:rPr>
          <w:rFonts w:asciiTheme="minorHAnsi" w:hAnsiTheme="minorHAnsi"/>
          <w:snapToGrid w:val="0"/>
          <w:lang w:eastAsia="en-US"/>
        </w:rPr>
      </w:pPr>
      <w:r w:rsidRPr="0029195A">
        <w:rPr>
          <w:rFonts w:cs="Calibri"/>
        </w:rPr>
        <w:t>The PBAC noted b</w:t>
      </w:r>
      <w:r w:rsidR="00F40A00" w:rsidRPr="0029195A">
        <w:rPr>
          <w:rFonts w:cs="Calibri"/>
        </w:rPr>
        <w:t>o</w:t>
      </w:r>
      <w:r w:rsidRPr="0029195A">
        <w:rPr>
          <w:rFonts w:cs="Calibri"/>
        </w:rPr>
        <w:t>t</w:t>
      </w:r>
      <w:r w:rsidR="00F40A00" w:rsidRPr="0029195A">
        <w:rPr>
          <w:rFonts w:cs="Calibri"/>
        </w:rPr>
        <w:t>h</w:t>
      </w:r>
      <w:r w:rsidRPr="0029195A">
        <w:rPr>
          <w:rFonts w:cs="Calibri"/>
        </w:rPr>
        <w:t xml:space="preserve"> the sponsor hearing and ANZVASC commented </w:t>
      </w:r>
      <w:r w:rsidR="00524991" w:rsidRPr="0029195A">
        <w:rPr>
          <w:rFonts w:cs="Calibri"/>
        </w:rPr>
        <w:t>that</w:t>
      </w:r>
      <w:r w:rsidRPr="0029195A">
        <w:rPr>
          <w:rFonts w:cs="Calibri"/>
        </w:rPr>
        <w:t xml:space="preserve"> the </w:t>
      </w:r>
      <w:r w:rsidR="00F40A00" w:rsidRPr="0029195A">
        <w:rPr>
          <w:rFonts w:cs="Calibri"/>
        </w:rPr>
        <w:t>rapid weaning off GC between weeks 20</w:t>
      </w:r>
      <w:r w:rsidR="00F40A00" w:rsidRPr="0029195A">
        <w:rPr>
          <w:rFonts w:cs="Calibri"/>
        </w:rPr>
        <w:sym w:font="Symbol" w:char="F02D"/>
      </w:r>
      <w:r w:rsidR="00F40A00" w:rsidRPr="0029195A">
        <w:rPr>
          <w:rFonts w:cs="Calibri"/>
        </w:rPr>
        <w:t xml:space="preserve">21 </w:t>
      </w:r>
      <w:r w:rsidR="00524991" w:rsidRPr="0029195A">
        <w:rPr>
          <w:rFonts w:cs="Calibri"/>
        </w:rPr>
        <w:t xml:space="preserve">in the ADVOCATE trial </w:t>
      </w:r>
      <w:r w:rsidR="00F40A00" w:rsidRPr="0029195A">
        <w:rPr>
          <w:rFonts w:cs="Calibri"/>
        </w:rPr>
        <w:t>was not</w:t>
      </w:r>
      <w:r w:rsidRPr="0029195A">
        <w:rPr>
          <w:rFonts w:cs="Calibri"/>
        </w:rPr>
        <w:t xml:space="preserve"> reflective of clinical practice, which </w:t>
      </w:r>
      <w:r w:rsidR="00524991" w:rsidRPr="0029195A">
        <w:rPr>
          <w:rFonts w:cs="Calibri"/>
        </w:rPr>
        <w:t xml:space="preserve">PBAC considered </w:t>
      </w:r>
      <w:r w:rsidRPr="0029195A">
        <w:rPr>
          <w:rFonts w:cs="Calibri"/>
        </w:rPr>
        <w:t xml:space="preserve">may have </w:t>
      </w:r>
      <w:r w:rsidR="00524991" w:rsidRPr="0029195A">
        <w:rPr>
          <w:rFonts w:cs="Calibri"/>
        </w:rPr>
        <w:t>led</w:t>
      </w:r>
      <w:r w:rsidRPr="0029195A">
        <w:rPr>
          <w:rFonts w:cs="Calibri"/>
        </w:rPr>
        <w:t xml:space="preserve"> to an overestimation of treatment benefit with avacopan</w:t>
      </w:r>
      <w:r w:rsidR="00F40A00" w:rsidRPr="0029195A">
        <w:rPr>
          <w:rFonts w:cs="Calibri"/>
        </w:rPr>
        <w:t xml:space="preserve"> monotherapy compared to no therapy</w:t>
      </w:r>
      <w:r w:rsidR="00524991" w:rsidRPr="0029195A">
        <w:rPr>
          <w:rFonts w:cs="Calibri"/>
        </w:rPr>
        <w:t xml:space="preserve"> at 52 weeks</w:t>
      </w:r>
      <w:r w:rsidRPr="0029195A">
        <w:rPr>
          <w:rFonts w:cs="Calibri"/>
        </w:rPr>
        <w:t>. The PBAC also confirmed during the sponsor hearing that rituximab is widely used in the maintenance setting</w:t>
      </w:r>
      <w:r w:rsidR="008049D6" w:rsidRPr="0029195A">
        <w:rPr>
          <w:rFonts w:cs="Calibri"/>
        </w:rPr>
        <w:t>,</w:t>
      </w:r>
      <w:r w:rsidRPr="0029195A">
        <w:rPr>
          <w:rFonts w:cs="Calibri"/>
        </w:rPr>
        <w:t xml:space="preserve"> if tolerated</w:t>
      </w:r>
      <w:r w:rsidR="00524991" w:rsidRPr="0029195A">
        <w:rPr>
          <w:rFonts w:cs="Calibri"/>
        </w:rPr>
        <w:t>.</w:t>
      </w:r>
      <w:r w:rsidRPr="0029195A">
        <w:rPr>
          <w:rFonts w:cs="Calibri"/>
        </w:rPr>
        <w:t xml:space="preserve"> </w:t>
      </w:r>
      <w:r w:rsidR="00524991" w:rsidRPr="0029195A">
        <w:rPr>
          <w:rFonts w:cs="Calibri"/>
        </w:rPr>
        <w:t>T</w:t>
      </w:r>
      <w:r w:rsidRPr="0029195A">
        <w:rPr>
          <w:rFonts w:cs="Calibri"/>
        </w:rPr>
        <w:t xml:space="preserve">he PBAC </w:t>
      </w:r>
      <w:r w:rsidR="00524991" w:rsidRPr="0029195A">
        <w:rPr>
          <w:rFonts w:cs="Calibri"/>
        </w:rPr>
        <w:t>not</w:t>
      </w:r>
      <w:r w:rsidRPr="0029195A">
        <w:rPr>
          <w:rFonts w:cs="Calibri"/>
        </w:rPr>
        <w:t xml:space="preserve">ed the ADVOCATE trial was not designed to study the </w:t>
      </w:r>
      <w:r w:rsidR="00524991" w:rsidRPr="0029195A">
        <w:rPr>
          <w:rFonts w:cs="Calibri"/>
        </w:rPr>
        <w:t xml:space="preserve">most clinically relevant </w:t>
      </w:r>
      <w:r w:rsidRPr="0029195A">
        <w:rPr>
          <w:rFonts w:cs="Calibri"/>
        </w:rPr>
        <w:t xml:space="preserve">comparison </w:t>
      </w:r>
      <w:r w:rsidR="00524991" w:rsidRPr="0029195A">
        <w:rPr>
          <w:rFonts w:cs="Calibri"/>
        </w:rPr>
        <w:t xml:space="preserve">in the maintenance setting </w:t>
      </w:r>
      <w:r w:rsidRPr="0029195A">
        <w:rPr>
          <w:rFonts w:cs="Calibri"/>
        </w:rPr>
        <w:t>of avacopan</w:t>
      </w:r>
      <w:r w:rsidR="00524991" w:rsidRPr="0029195A">
        <w:rPr>
          <w:rFonts w:cs="Calibri"/>
        </w:rPr>
        <w:t xml:space="preserve"> </w:t>
      </w:r>
      <w:r w:rsidRPr="0029195A">
        <w:rPr>
          <w:rFonts w:cs="Calibri"/>
        </w:rPr>
        <w:t>+</w:t>
      </w:r>
      <w:r w:rsidR="00524991" w:rsidRPr="0029195A">
        <w:rPr>
          <w:rFonts w:cs="Calibri"/>
        </w:rPr>
        <w:t xml:space="preserve"> </w:t>
      </w:r>
      <w:r w:rsidR="005F0513" w:rsidRPr="0029195A">
        <w:t>SOC</w:t>
      </w:r>
      <w:r w:rsidRPr="0029195A">
        <w:rPr>
          <w:rFonts w:cs="Calibri"/>
        </w:rPr>
        <w:t xml:space="preserve"> with rituximab</w:t>
      </w:r>
      <w:r w:rsidR="00524991" w:rsidRPr="0029195A">
        <w:rPr>
          <w:rFonts w:cs="Calibri"/>
        </w:rPr>
        <w:t xml:space="preserve"> </w:t>
      </w:r>
      <w:r w:rsidRPr="0029195A">
        <w:rPr>
          <w:rFonts w:cs="Calibri"/>
        </w:rPr>
        <w:t>+</w:t>
      </w:r>
      <w:r w:rsidR="00524991" w:rsidRPr="0029195A">
        <w:rPr>
          <w:rFonts w:cs="Calibri"/>
        </w:rPr>
        <w:t xml:space="preserve"> </w:t>
      </w:r>
      <w:r w:rsidR="005F0513" w:rsidRPr="0029195A">
        <w:rPr>
          <w:rFonts w:cs="Calibri"/>
        </w:rPr>
        <w:t>SOC</w:t>
      </w:r>
      <w:r w:rsidRPr="0029195A">
        <w:rPr>
          <w:rFonts w:cs="Calibri"/>
        </w:rPr>
        <w:t>. The PBA</w:t>
      </w:r>
      <w:r w:rsidR="00F40A00" w:rsidRPr="0029195A">
        <w:rPr>
          <w:rFonts w:cs="Calibri"/>
        </w:rPr>
        <w:t>C</w:t>
      </w:r>
      <w:r w:rsidRPr="0029195A">
        <w:rPr>
          <w:rFonts w:cs="Calibri"/>
        </w:rPr>
        <w:t xml:space="preserve"> </w:t>
      </w:r>
      <w:r w:rsidR="00524991" w:rsidRPr="0029195A">
        <w:rPr>
          <w:rFonts w:cs="Calibri"/>
        </w:rPr>
        <w:t xml:space="preserve">also </w:t>
      </w:r>
      <w:r w:rsidRPr="0029195A">
        <w:rPr>
          <w:rFonts w:cs="Calibri"/>
        </w:rPr>
        <w:t>n</w:t>
      </w:r>
      <w:r w:rsidR="00524991" w:rsidRPr="0029195A">
        <w:rPr>
          <w:rFonts w:cs="Calibri"/>
        </w:rPr>
        <w:t>ot</w:t>
      </w:r>
      <w:r w:rsidRPr="0029195A">
        <w:rPr>
          <w:rFonts w:cs="Calibri"/>
        </w:rPr>
        <w:t xml:space="preserve">ed the consumer comments did not support avacopan monotherapy in </w:t>
      </w:r>
      <w:r w:rsidR="00524991" w:rsidRPr="0029195A">
        <w:rPr>
          <w:rFonts w:cs="Calibri"/>
        </w:rPr>
        <w:t xml:space="preserve">the </w:t>
      </w:r>
      <w:r w:rsidRPr="0029195A">
        <w:rPr>
          <w:rFonts w:cs="Calibri"/>
        </w:rPr>
        <w:t>maintenance</w:t>
      </w:r>
      <w:r w:rsidR="008049D6" w:rsidRPr="0029195A">
        <w:rPr>
          <w:rFonts w:cs="Calibri"/>
        </w:rPr>
        <w:t xml:space="preserve"> setting</w:t>
      </w:r>
      <w:r w:rsidR="00524991" w:rsidRPr="0029195A">
        <w:rPr>
          <w:rFonts w:cs="Calibri"/>
        </w:rPr>
        <w:t xml:space="preserve">, although this option was suggested in the submission and </w:t>
      </w:r>
      <w:r w:rsidR="006E471F">
        <w:rPr>
          <w:rFonts w:cs="Calibri"/>
        </w:rPr>
        <w:t>allowed with</w:t>
      </w:r>
      <w:r w:rsidR="00524991" w:rsidRPr="0029195A">
        <w:rPr>
          <w:rFonts w:cs="Calibri"/>
        </w:rPr>
        <w:t xml:space="preserve"> the proposed PBS restriction</w:t>
      </w:r>
      <w:r w:rsidRPr="0029195A">
        <w:rPr>
          <w:rFonts w:cs="Calibri"/>
        </w:rPr>
        <w:t>.</w:t>
      </w:r>
    </w:p>
    <w:p w14:paraId="1A30F2F2" w14:textId="77777777" w:rsidR="00D61579" w:rsidRPr="0029195A" w:rsidRDefault="00D61579" w:rsidP="00D66084">
      <w:pPr>
        <w:widowControl w:val="0"/>
        <w:numPr>
          <w:ilvl w:val="1"/>
          <w:numId w:val="1"/>
        </w:numPr>
        <w:spacing w:after="120"/>
        <w:ind w:left="720"/>
        <w:rPr>
          <w:rFonts w:asciiTheme="minorHAnsi" w:hAnsiTheme="minorHAnsi"/>
          <w:snapToGrid w:val="0"/>
          <w:lang w:eastAsia="en-US"/>
        </w:rPr>
      </w:pPr>
      <w:r w:rsidRPr="0029195A">
        <w:rPr>
          <w:rFonts w:cs="Calibri"/>
        </w:rPr>
        <w:t>With respect to the proposed restriction the PBAC advised:</w:t>
      </w:r>
    </w:p>
    <w:p w14:paraId="58F12C17" w14:textId="4BED15B8" w:rsidR="006339C4" w:rsidRPr="007A6355" w:rsidRDefault="00D61579" w:rsidP="007A6355">
      <w:pPr>
        <w:pStyle w:val="ListParagraph"/>
      </w:pPr>
      <w:r w:rsidRPr="007A6355">
        <w:t xml:space="preserve">Avacopan would be suitable for re-induction therapy based on its mechanism of action (see paragraph </w:t>
      </w:r>
      <w:r w:rsidRPr="007A6355">
        <w:fldChar w:fldCharType="begin" w:fldLock="1"/>
      </w:r>
      <w:r w:rsidRPr="007A6355">
        <w:instrText xml:space="preserve"> REF _Ref141700424 \r \h </w:instrText>
      </w:r>
      <w:r w:rsidR="007A6355">
        <w:instrText xml:space="preserve"> \* MERGEFORMAT </w:instrText>
      </w:r>
      <w:r w:rsidRPr="007A6355">
        <w:fldChar w:fldCharType="separate"/>
      </w:r>
      <w:r w:rsidR="00740D9D" w:rsidRPr="007A6355">
        <w:t>3.2</w:t>
      </w:r>
      <w:r w:rsidRPr="007A6355">
        <w:fldChar w:fldCharType="end"/>
      </w:r>
      <w:r w:rsidRPr="007A6355">
        <w:t>).</w:t>
      </w:r>
    </w:p>
    <w:p w14:paraId="73462C2E" w14:textId="616723B6" w:rsidR="00D61579" w:rsidRPr="0029195A" w:rsidRDefault="00D61579" w:rsidP="007A6355">
      <w:pPr>
        <w:pStyle w:val="ListParagraph"/>
        <w:rPr>
          <w:rFonts w:asciiTheme="minorHAnsi" w:hAnsiTheme="minorHAnsi"/>
          <w:snapToGrid w:val="0"/>
          <w:lang w:eastAsia="en-US"/>
        </w:rPr>
      </w:pPr>
      <w:r w:rsidRPr="0029195A">
        <w:t xml:space="preserve">A listing for maintenance therapy was not adequately supported by the clinical evidence provided in the submission (see paragraph </w:t>
      </w:r>
      <w:r w:rsidRPr="0029195A">
        <w:fldChar w:fldCharType="begin" w:fldLock="1"/>
      </w:r>
      <w:r w:rsidRPr="0029195A">
        <w:instrText xml:space="preserve"> REF _Ref137749939 \r \h </w:instrText>
      </w:r>
      <w:r w:rsidR="007A6355">
        <w:instrText xml:space="preserve"> \* MERGEFORMAT </w:instrText>
      </w:r>
      <w:r w:rsidRPr="0029195A">
        <w:fldChar w:fldCharType="separate"/>
      </w:r>
      <w:r w:rsidR="00740D9D">
        <w:t>6.37</w:t>
      </w:r>
      <w:r w:rsidRPr="0029195A">
        <w:fldChar w:fldCharType="end"/>
      </w:r>
      <w:r w:rsidRPr="0029195A">
        <w:t xml:space="preserve">). </w:t>
      </w:r>
    </w:p>
    <w:p w14:paraId="5F26B4F7" w14:textId="6ED98A97" w:rsidR="00D61579" w:rsidRPr="0029195A" w:rsidRDefault="00D61579" w:rsidP="007A6355">
      <w:pPr>
        <w:pStyle w:val="ListParagraph"/>
        <w:rPr>
          <w:rFonts w:asciiTheme="minorHAnsi" w:hAnsiTheme="minorHAnsi"/>
          <w:snapToGrid w:val="0"/>
          <w:lang w:eastAsia="en-US"/>
        </w:rPr>
      </w:pPr>
      <w:r w:rsidRPr="0029195A">
        <w:rPr>
          <w:rFonts w:asciiTheme="minorHAnsi" w:hAnsiTheme="minorHAnsi"/>
          <w:snapToGrid w:val="0"/>
          <w:lang w:eastAsia="en-US"/>
        </w:rPr>
        <w:t>The use of avacopan as monotherapy was not consistent with the TGA approval nor the evidence provided in the submission and hence</w:t>
      </w:r>
      <w:r w:rsidR="00331129" w:rsidRPr="0029195A">
        <w:rPr>
          <w:rFonts w:asciiTheme="minorHAnsi" w:hAnsiTheme="minorHAnsi"/>
          <w:snapToGrid w:val="0"/>
          <w:lang w:eastAsia="en-US"/>
        </w:rPr>
        <w:t xml:space="preserve"> the restriction should specify ‘Patient must be undergoing concomitant therapy with at least another drug therapy as part of a regimen specified in this drug</w:t>
      </w:r>
      <w:r w:rsidR="00F630BE">
        <w:rPr>
          <w:rFonts w:asciiTheme="minorHAnsi" w:hAnsiTheme="minorHAnsi"/>
          <w:snapToGrid w:val="0"/>
          <w:lang w:eastAsia="en-US"/>
        </w:rPr>
        <w:t>’</w:t>
      </w:r>
      <w:r w:rsidR="00331129" w:rsidRPr="0029195A">
        <w:rPr>
          <w:rFonts w:asciiTheme="minorHAnsi" w:hAnsiTheme="minorHAnsi"/>
          <w:snapToGrid w:val="0"/>
          <w:lang w:eastAsia="en-US"/>
        </w:rPr>
        <w:t>s approved Product Information including either: i) cyclophosphamide; ii) rituximab.’</w:t>
      </w:r>
    </w:p>
    <w:p w14:paraId="551CA6C5" w14:textId="063B1899" w:rsidR="00D74814" w:rsidRPr="0029195A" w:rsidRDefault="00510230" w:rsidP="00D66084">
      <w:pPr>
        <w:widowControl w:val="0"/>
        <w:numPr>
          <w:ilvl w:val="1"/>
          <w:numId w:val="1"/>
        </w:numPr>
        <w:spacing w:after="120"/>
        <w:ind w:left="720"/>
        <w:rPr>
          <w:rFonts w:asciiTheme="minorHAnsi" w:hAnsiTheme="minorHAnsi"/>
          <w:snapToGrid w:val="0"/>
          <w:lang w:eastAsia="en-US"/>
        </w:rPr>
      </w:pPr>
      <w:bookmarkStart w:id="81" w:name="_Ref141726876"/>
      <w:r w:rsidRPr="0029195A">
        <w:rPr>
          <w:rFonts w:asciiTheme="minorHAnsi" w:hAnsiTheme="minorHAnsi"/>
          <w:snapToGrid w:val="0"/>
          <w:lang w:eastAsia="en-US"/>
        </w:rPr>
        <w:t xml:space="preserve">The PBAC considered that the nominated comparator </w:t>
      </w:r>
      <w:r w:rsidR="00AF089F" w:rsidRPr="0029195A">
        <w:rPr>
          <w:rFonts w:asciiTheme="minorHAnsi" w:hAnsiTheme="minorHAnsi"/>
          <w:snapToGrid w:val="0"/>
          <w:lang w:eastAsia="en-US"/>
        </w:rPr>
        <w:t>GC</w:t>
      </w:r>
      <w:r w:rsidRPr="0029195A">
        <w:rPr>
          <w:rFonts w:asciiTheme="minorHAnsi" w:hAnsiTheme="minorHAnsi"/>
          <w:snapToGrid w:val="0"/>
          <w:lang w:eastAsia="en-US"/>
        </w:rPr>
        <w:t xml:space="preserve">s was appropriate in the induction phase. The PBAC agreed with the ESC that the </w:t>
      </w:r>
      <w:r w:rsidRPr="0029195A">
        <w:rPr>
          <w:rFonts w:cs="Calibri"/>
        </w:rPr>
        <w:t>comparison with ‘no treatment’ in the maintenance setting was not consistent with clinical practice nor international guidelines (EULAR 2022), and hence was not appropriate.</w:t>
      </w:r>
      <w:bookmarkEnd w:id="81"/>
      <w:r w:rsidRPr="0029195A">
        <w:rPr>
          <w:rFonts w:cs="Calibri"/>
        </w:rPr>
        <w:t xml:space="preserve"> </w:t>
      </w:r>
      <w:r w:rsidR="002E0E5B" w:rsidRPr="0029195A">
        <w:rPr>
          <w:rFonts w:cs="Calibri"/>
        </w:rPr>
        <w:t xml:space="preserve">The PBAC suggested a resubmission requesting treatment in the maintenance of remission should consider </w:t>
      </w:r>
      <w:r w:rsidR="005F0513" w:rsidRPr="0029195A">
        <w:rPr>
          <w:rFonts w:cs="Calibri"/>
        </w:rPr>
        <w:t xml:space="preserve">comparison </w:t>
      </w:r>
      <w:r w:rsidR="00396C36">
        <w:rPr>
          <w:rFonts w:cs="Calibri"/>
        </w:rPr>
        <w:t xml:space="preserve">of </w:t>
      </w:r>
      <w:r w:rsidR="0049481F">
        <w:rPr>
          <w:rFonts w:cs="Calibri"/>
        </w:rPr>
        <w:t>avacopan</w:t>
      </w:r>
      <w:r w:rsidR="00396C36">
        <w:rPr>
          <w:rFonts w:cs="Calibri"/>
        </w:rPr>
        <w:t xml:space="preserve"> </w:t>
      </w:r>
      <w:r w:rsidR="005F0513" w:rsidRPr="0029195A">
        <w:rPr>
          <w:rFonts w:cs="Calibri"/>
        </w:rPr>
        <w:t xml:space="preserve">with </w:t>
      </w:r>
      <w:r w:rsidR="002E0E5B" w:rsidRPr="0029195A">
        <w:rPr>
          <w:rFonts w:cs="Calibri"/>
        </w:rPr>
        <w:t>rituximab</w:t>
      </w:r>
      <w:r w:rsidR="00DD09E7">
        <w:rPr>
          <w:rFonts w:cs="Calibri"/>
        </w:rPr>
        <w:t xml:space="preserve"> versus rituximab</w:t>
      </w:r>
      <w:r w:rsidR="002E0E5B" w:rsidRPr="0029195A">
        <w:rPr>
          <w:rFonts w:cs="Calibri"/>
        </w:rPr>
        <w:t>,</w:t>
      </w:r>
      <w:r w:rsidR="00DD09E7">
        <w:rPr>
          <w:rFonts w:cs="Calibri"/>
        </w:rPr>
        <w:t xml:space="preserve"> noting that rituximab maintenance is</w:t>
      </w:r>
      <w:r w:rsidR="002E0E5B" w:rsidRPr="0029195A">
        <w:rPr>
          <w:rFonts w:cs="Calibri"/>
        </w:rPr>
        <w:t xml:space="preserve"> recommended in the EULAR 2022 guidelines and used in current clinical practice. </w:t>
      </w:r>
      <w:r w:rsidR="005F0513" w:rsidRPr="0029195A">
        <w:rPr>
          <w:rFonts w:cs="Calibri"/>
        </w:rPr>
        <w:t xml:space="preserve">As </w:t>
      </w:r>
      <w:r w:rsidR="004A0F66" w:rsidRPr="0029195A">
        <w:rPr>
          <w:rFonts w:cs="Calibri"/>
        </w:rPr>
        <w:t>raised</w:t>
      </w:r>
      <w:r w:rsidR="005F0513" w:rsidRPr="0029195A">
        <w:rPr>
          <w:rFonts w:cs="Calibri"/>
        </w:rPr>
        <w:t xml:space="preserve"> by ANZVASC, it was noted that </w:t>
      </w:r>
      <w:r w:rsidR="005F0513" w:rsidRPr="0029195A">
        <w:rPr>
          <w:rFonts w:asciiTheme="minorHAnsi" w:hAnsiTheme="minorHAnsi"/>
          <w:bCs/>
          <w:snapToGrid w:val="0"/>
        </w:rPr>
        <w:t xml:space="preserve">the safety and clinical effects of avacopan beyond 52 weeks were not addressed in the trial and therefore its role in maintenance therapy remains unclear. </w:t>
      </w:r>
      <w:r w:rsidR="002E0E5B" w:rsidRPr="0029195A">
        <w:rPr>
          <w:rFonts w:cs="Calibri"/>
        </w:rPr>
        <w:t>The PBAC also noted monotherapy avacopan was not supported by the TGA indication nor international treatment guidelines.</w:t>
      </w:r>
    </w:p>
    <w:p w14:paraId="5D47E47F" w14:textId="07B87244" w:rsidR="00DF4D80" w:rsidRPr="0029195A" w:rsidRDefault="005F32B7" w:rsidP="00D66084">
      <w:pPr>
        <w:widowControl w:val="0"/>
        <w:numPr>
          <w:ilvl w:val="1"/>
          <w:numId w:val="1"/>
        </w:numPr>
        <w:spacing w:after="120"/>
        <w:ind w:left="720"/>
      </w:pPr>
      <w:bookmarkStart w:id="82" w:name="_Ref141714449"/>
      <w:r w:rsidRPr="0029195A">
        <w:t xml:space="preserve">The key trial evidence (ADVOCATE) was a head-to-head trial comparing avacopan + SOC to prednisone + SOC in patients with severe active GPA or MPA (N=331). </w:t>
      </w:r>
      <w:r w:rsidR="00651962" w:rsidRPr="0029195A">
        <w:t xml:space="preserve">All </w:t>
      </w:r>
      <w:r w:rsidR="00651962" w:rsidRPr="0029195A">
        <w:lastRenderedPageBreak/>
        <w:t>patients received one of three SOC regimens including IV or oral cyclophosphamide followed by azathioprine or mycophenolate mofetil from Week 15 onwards or weekly IV rituximab for the first 4 weeks followed by no treatment. The PBAC agreed with the ESC and the Pre-Sub-Committee response (PSCR) that the ADVOCATE trial included both induction and maintenance therapy</w:t>
      </w:r>
      <w:r w:rsidR="00815207" w:rsidRPr="0029195A">
        <w:t xml:space="preserve"> up to 52 weeks</w:t>
      </w:r>
      <w:r w:rsidR="00651962" w:rsidRPr="0029195A">
        <w:t xml:space="preserve">. However, the PBAC noted the maintenance phase included a comparison with patients who were on a background of either azathioprine or mycophenolate mofetil (following cyclophosphamide) or no further treatment (following rituximab induction). The </w:t>
      </w:r>
      <w:r w:rsidR="008929AB" w:rsidRPr="0029195A">
        <w:t xml:space="preserve">PBAC agreed with the </w:t>
      </w:r>
      <w:r w:rsidR="00651962" w:rsidRPr="0029195A">
        <w:t xml:space="preserve">ESC </w:t>
      </w:r>
      <w:r w:rsidR="008929AB" w:rsidRPr="0029195A">
        <w:t>that</w:t>
      </w:r>
      <w:r w:rsidR="00651962" w:rsidRPr="0029195A">
        <w:t xml:space="preserve"> the latter was not consistent with </w:t>
      </w:r>
      <w:r w:rsidR="008929AB" w:rsidRPr="0029195A">
        <w:t xml:space="preserve">current </w:t>
      </w:r>
      <w:r w:rsidR="00651962" w:rsidRPr="0029195A">
        <w:t>clinical practice, nor international guidelines (EULAR 2022) and, therefore, had no relevance to the current submission.</w:t>
      </w:r>
      <w:bookmarkEnd w:id="82"/>
      <w:r w:rsidR="00CD4219" w:rsidRPr="0029195A">
        <w:t xml:space="preserve"> </w:t>
      </w:r>
    </w:p>
    <w:p w14:paraId="7ACCC308" w14:textId="14756D11" w:rsidR="00510230" w:rsidRPr="0029195A" w:rsidRDefault="00CD4219" w:rsidP="00D66084">
      <w:pPr>
        <w:widowControl w:val="0"/>
        <w:numPr>
          <w:ilvl w:val="1"/>
          <w:numId w:val="1"/>
        </w:numPr>
        <w:spacing w:after="120"/>
        <w:ind w:left="720"/>
      </w:pPr>
      <w:r w:rsidRPr="0029195A">
        <w:t xml:space="preserve">The PBAC </w:t>
      </w:r>
      <w:r w:rsidR="00DF4D80" w:rsidRPr="0029195A">
        <w:t>acknowledged the concerns raised by the ESC regarding</w:t>
      </w:r>
      <w:r w:rsidRPr="0029195A">
        <w:t xml:space="preserve"> </w:t>
      </w:r>
      <w:r w:rsidR="00DF4D80" w:rsidRPr="0029195A">
        <w:t xml:space="preserve">differences across treatment arms in GC use during the pre-screening period (see paragraph </w:t>
      </w:r>
      <w:r w:rsidR="00DF4D80" w:rsidRPr="0029195A">
        <w:fldChar w:fldCharType="begin" w:fldLock="1"/>
      </w:r>
      <w:r w:rsidR="00DF4D80" w:rsidRPr="0029195A">
        <w:instrText xml:space="preserve"> REF _Ref141712003 \r \h </w:instrText>
      </w:r>
      <w:r w:rsidR="00DF4D80" w:rsidRPr="0029195A">
        <w:fldChar w:fldCharType="separate"/>
      </w:r>
      <w:r w:rsidR="000D1095">
        <w:t>6.14</w:t>
      </w:r>
      <w:r w:rsidR="00DF4D80" w:rsidRPr="0029195A">
        <w:fldChar w:fldCharType="end"/>
      </w:r>
      <w:r w:rsidR="00DF4D80" w:rsidRPr="0029195A">
        <w:t>)</w:t>
      </w:r>
      <w:r w:rsidR="00572D03">
        <w:t xml:space="preserve"> but </w:t>
      </w:r>
      <w:r w:rsidR="00DF4D80" w:rsidRPr="0029195A">
        <w:t xml:space="preserve">considered </w:t>
      </w:r>
      <w:r w:rsidR="00572D03">
        <w:t>the impact of these differences (</w:t>
      </w:r>
      <w:r w:rsidR="00DF4D80" w:rsidRPr="0029195A">
        <w:t>in the context of the total GC use during the 52 week treatment period</w:t>
      </w:r>
      <w:r w:rsidR="00572D03">
        <w:t>)</w:t>
      </w:r>
      <w:r w:rsidR="00DF4D80" w:rsidRPr="0029195A">
        <w:t xml:space="preserve"> </w:t>
      </w:r>
      <w:r w:rsidR="00572D03">
        <w:t>may be minimal</w:t>
      </w:r>
      <w:r w:rsidR="00DF4D80" w:rsidRPr="0029195A">
        <w:t xml:space="preserve">. </w:t>
      </w:r>
    </w:p>
    <w:p w14:paraId="5B999677" w14:textId="00D2D04B" w:rsidR="005F32B7" w:rsidRPr="0029195A" w:rsidRDefault="008929AB" w:rsidP="008929AB">
      <w:pPr>
        <w:widowControl w:val="0"/>
        <w:numPr>
          <w:ilvl w:val="1"/>
          <w:numId w:val="1"/>
        </w:numPr>
        <w:spacing w:after="120"/>
        <w:ind w:left="720"/>
        <w:rPr>
          <w:rFonts w:asciiTheme="minorHAnsi" w:hAnsiTheme="minorHAnsi"/>
          <w:snapToGrid w:val="0"/>
          <w:lang w:eastAsia="en-US"/>
        </w:rPr>
      </w:pPr>
      <w:bookmarkStart w:id="83" w:name="_Ref141714399"/>
      <w:r w:rsidRPr="0029195A">
        <w:rPr>
          <w:rFonts w:asciiTheme="minorHAnsi" w:hAnsiTheme="minorHAnsi"/>
          <w:snapToGrid w:val="0"/>
          <w:lang w:eastAsia="en-US"/>
        </w:rPr>
        <w:t xml:space="preserve">The primary efficacy outcomes of the ADVOCATE trial were disease remission (Week 26) and sustained remission (Week 52). The PBAC agreed with the ESC that the week 26 and 52 results were relevant to induction therapy and maintenance therapy respectively. </w:t>
      </w:r>
      <w:r w:rsidR="00142CBA" w:rsidRPr="0029195A">
        <w:t>At Week 26, avacopan + SOC was non-inferior to prednisone + SOC in achieving disease remission, however superiority was not demonstrated.</w:t>
      </w:r>
      <w:r w:rsidR="00AE2E2C" w:rsidRPr="0029195A">
        <w:t xml:space="preserve"> Despite this, the PBAC noted that </w:t>
      </w:r>
      <w:r w:rsidR="00AE2E2C" w:rsidRPr="0029195A">
        <w:rPr>
          <w:rFonts w:eastAsia="Calibri"/>
        </w:rPr>
        <w:t>the total study and non-study supplied GC dosage required during the induction period was lower in avacopan + SOC group (1373.7 mg) relative to prednisone + SOC group (3364.0 mg).</w:t>
      </w:r>
      <w:r w:rsidR="00AF089F" w:rsidRPr="0029195A">
        <w:rPr>
          <w:rFonts w:eastAsia="Calibri"/>
        </w:rPr>
        <w:t xml:space="preserve"> The PBAC considered that</w:t>
      </w:r>
      <w:r w:rsidR="009E1512" w:rsidRPr="0029195A">
        <w:rPr>
          <w:rFonts w:eastAsia="Calibri"/>
        </w:rPr>
        <w:t xml:space="preserve"> the evidence provided indicated</w:t>
      </w:r>
      <w:r w:rsidR="00AF089F" w:rsidRPr="0029195A">
        <w:rPr>
          <w:rFonts w:eastAsia="Calibri"/>
        </w:rPr>
        <w:t xml:space="preserve"> avacopan may provide </w:t>
      </w:r>
      <w:r w:rsidR="00F933E9" w:rsidRPr="0029195A">
        <w:rPr>
          <w:rFonts w:eastAsia="Calibri"/>
        </w:rPr>
        <w:t>a</w:t>
      </w:r>
      <w:r w:rsidR="00AF089F" w:rsidRPr="0029195A">
        <w:rPr>
          <w:rFonts w:eastAsia="Calibri"/>
        </w:rPr>
        <w:t xml:space="preserve"> benefit in terms </w:t>
      </w:r>
      <w:r w:rsidR="00F933E9" w:rsidRPr="0029195A">
        <w:rPr>
          <w:rFonts w:eastAsia="Calibri"/>
        </w:rPr>
        <w:t>of a strategy to reduce exposure to GCs</w:t>
      </w:r>
      <w:r w:rsidR="00CD4219" w:rsidRPr="0029195A">
        <w:rPr>
          <w:rFonts w:eastAsia="Calibri"/>
        </w:rPr>
        <w:t xml:space="preserve"> over the induction period</w:t>
      </w:r>
      <w:bookmarkEnd w:id="83"/>
      <w:r w:rsidR="0029195A">
        <w:rPr>
          <w:rFonts w:eastAsia="Calibri"/>
        </w:rPr>
        <w:t xml:space="preserve">. </w:t>
      </w:r>
    </w:p>
    <w:p w14:paraId="3D69D2DE" w14:textId="4E34718D" w:rsidR="005F32B7" w:rsidRPr="0029195A" w:rsidRDefault="00F76980" w:rsidP="00755283">
      <w:pPr>
        <w:widowControl w:val="0"/>
        <w:numPr>
          <w:ilvl w:val="1"/>
          <w:numId w:val="1"/>
        </w:numPr>
        <w:spacing w:after="120"/>
        <w:ind w:left="720"/>
        <w:rPr>
          <w:rFonts w:asciiTheme="minorHAnsi" w:hAnsiTheme="minorHAnsi"/>
          <w:snapToGrid w:val="0"/>
          <w:lang w:eastAsia="en-US"/>
        </w:rPr>
      </w:pPr>
      <w:r w:rsidRPr="0029195A">
        <w:t xml:space="preserve">In contrast to the disease remission results at Week 26, </w:t>
      </w:r>
      <w:r w:rsidR="00DF4D80" w:rsidRPr="0029195A">
        <w:t xml:space="preserve"> </w:t>
      </w:r>
      <w:r w:rsidRPr="0029195A">
        <w:t xml:space="preserve">the submission reported that </w:t>
      </w:r>
      <w:r w:rsidR="00DF4D80" w:rsidRPr="0029195A">
        <w:t xml:space="preserve">avacopan + SOC </w:t>
      </w:r>
      <w:r w:rsidRPr="0029195A">
        <w:t>was superior</w:t>
      </w:r>
      <w:r w:rsidR="00DF4D80" w:rsidRPr="0029195A">
        <w:t xml:space="preserve"> to prednisone + SOC in achieving sustained remission</w:t>
      </w:r>
      <w:r w:rsidRPr="0029195A">
        <w:t xml:space="preserve"> at Week 52 (</w:t>
      </w:r>
      <w:r w:rsidR="00DF4D80" w:rsidRPr="0029195A">
        <w:t>12.5% estimate of common difference</w:t>
      </w:r>
      <w:r w:rsidRPr="0029195A">
        <w:t xml:space="preserve">, </w:t>
      </w:r>
      <w:r w:rsidR="00DF4D80" w:rsidRPr="0029195A">
        <w:rPr>
          <w:rFonts w:eastAsia="Calibri"/>
        </w:rPr>
        <w:t xml:space="preserve">95% CI: 2.6% to 22.3%; p=0.0066 for superiority). </w:t>
      </w:r>
      <w:r w:rsidRPr="0029195A">
        <w:rPr>
          <w:rFonts w:eastAsia="Calibri"/>
        </w:rPr>
        <w:t>However, the PBAC noted that neither arm had study allocated prednisolone beyond 20 weeks and</w:t>
      </w:r>
      <w:r w:rsidR="00981F91" w:rsidRPr="0029195A">
        <w:rPr>
          <w:rFonts w:eastAsia="Calibri"/>
        </w:rPr>
        <w:t>,</w:t>
      </w:r>
      <w:r w:rsidRPr="0029195A">
        <w:rPr>
          <w:rFonts w:eastAsia="Calibri"/>
        </w:rPr>
        <w:t xml:space="preserve"> </w:t>
      </w:r>
      <w:r w:rsidR="00981F91" w:rsidRPr="0029195A">
        <w:rPr>
          <w:rFonts w:eastAsia="Calibri"/>
        </w:rPr>
        <w:t xml:space="preserve">as outlined in paragraph </w:t>
      </w:r>
      <w:r w:rsidR="00981F91" w:rsidRPr="0029195A">
        <w:rPr>
          <w:rFonts w:eastAsia="Calibri"/>
        </w:rPr>
        <w:fldChar w:fldCharType="begin" w:fldLock="1"/>
      </w:r>
      <w:r w:rsidR="00981F91" w:rsidRPr="0029195A">
        <w:rPr>
          <w:rFonts w:eastAsia="Calibri"/>
        </w:rPr>
        <w:instrText xml:space="preserve"> REF _Ref141714449 \r \h </w:instrText>
      </w:r>
      <w:r w:rsidR="00981F91" w:rsidRPr="0029195A">
        <w:rPr>
          <w:rFonts w:eastAsia="Calibri"/>
        </w:rPr>
      </w:r>
      <w:r w:rsidR="00981F91" w:rsidRPr="0029195A">
        <w:rPr>
          <w:rFonts w:eastAsia="Calibri"/>
        </w:rPr>
        <w:fldChar w:fldCharType="separate"/>
      </w:r>
      <w:r w:rsidR="000D1095">
        <w:rPr>
          <w:rFonts w:eastAsia="Calibri"/>
        </w:rPr>
        <w:t>7.7</w:t>
      </w:r>
      <w:r w:rsidR="00981F91" w:rsidRPr="0029195A">
        <w:rPr>
          <w:rFonts w:eastAsia="Calibri"/>
        </w:rPr>
        <w:fldChar w:fldCharType="end"/>
      </w:r>
      <w:r w:rsidR="00981F91" w:rsidRPr="0029195A">
        <w:rPr>
          <w:rFonts w:eastAsia="Calibri"/>
        </w:rPr>
        <w:t xml:space="preserve">, considered a comparison with no further treatment (following rituximab induction) was not consistent with current practice. </w:t>
      </w:r>
      <w:r w:rsidR="00981F91" w:rsidRPr="0029195A">
        <w:rPr>
          <w:rFonts w:asciiTheme="minorHAnsi" w:hAnsiTheme="minorHAnsi"/>
          <w:snapToGrid w:val="0"/>
          <w:lang w:eastAsia="en-US"/>
        </w:rPr>
        <w:t xml:space="preserve">The PBAC noted that the subgroup analysis for those </w:t>
      </w:r>
      <w:r w:rsidR="00CD4219" w:rsidRPr="0029195A">
        <w:rPr>
          <w:rFonts w:asciiTheme="minorHAnsi" w:hAnsiTheme="minorHAnsi"/>
          <w:snapToGrid w:val="0"/>
          <w:lang w:eastAsia="en-US"/>
        </w:rPr>
        <w:t>receiving azathioprine or mycophenolate mofetil as maintenance</w:t>
      </w:r>
      <w:r w:rsidR="00981F91" w:rsidRPr="0029195A">
        <w:rPr>
          <w:rFonts w:asciiTheme="minorHAnsi" w:hAnsiTheme="minorHAnsi"/>
          <w:snapToGrid w:val="0"/>
          <w:lang w:eastAsia="en-US"/>
        </w:rPr>
        <w:t xml:space="preserve"> (</w:t>
      </w:r>
      <w:r w:rsidR="00981F91" w:rsidRPr="0029195A">
        <w:t>following cyclophosphamide)</w:t>
      </w:r>
      <w:r w:rsidR="00CD4219" w:rsidRPr="0029195A">
        <w:rPr>
          <w:rFonts w:asciiTheme="minorHAnsi" w:hAnsiTheme="minorHAnsi"/>
          <w:snapToGrid w:val="0"/>
          <w:lang w:eastAsia="en-US"/>
        </w:rPr>
        <w:t xml:space="preserve"> indicated there may be no benefit in sustained remission at 52 </w:t>
      </w:r>
      <w:r w:rsidR="00950D69" w:rsidRPr="0029195A">
        <w:rPr>
          <w:rFonts w:asciiTheme="minorHAnsi" w:hAnsiTheme="minorHAnsi"/>
          <w:snapToGrid w:val="0"/>
          <w:lang w:eastAsia="en-US"/>
        </w:rPr>
        <w:t>weeks</w:t>
      </w:r>
      <w:r w:rsidR="00CD4219" w:rsidRPr="0029195A">
        <w:rPr>
          <w:rFonts w:asciiTheme="minorHAnsi" w:hAnsiTheme="minorHAnsi"/>
          <w:snapToGrid w:val="0"/>
          <w:lang w:eastAsia="en-US"/>
        </w:rPr>
        <w:t xml:space="preserve"> with the addition of avacopan (see paragraph </w:t>
      </w:r>
      <w:r w:rsidR="00981F91" w:rsidRPr="0029195A">
        <w:rPr>
          <w:rFonts w:asciiTheme="minorHAnsi" w:hAnsiTheme="minorHAnsi"/>
          <w:snapToGrid w:val="0"/>
          <w:lang w:eastAsia="en-US"/>
        </w:rPr>
        <w:fldChar w:fldCharType="begin" w:fldLock="1"/>
      </w:r>
      <w:r w:rsidR="00981F91" w:rsidRPr="0029195A">
        <w:rPr>
          <w:rFonts w:asciiTheme="minorHAnsi" w:hAnsiTheme="minorHAnsi"/>
          <w:snapToGrid w:val="0"/>
          <w:lang w:eastAsia="en-US"/>
        </w:rPr>
        <w:instrText xml:space="preserve"> REF _Ref137721507 \r \h </w:instrText>
      </w:r>
      <w:r w:rsidR="00981F91" w:rsidRPr="0029195A">
        <w:rPr>
          <w:rFonts w:asciiTheme="minorHAnsi" w:hAnsiTheme="minorHAnsi"/>
          <w:snapToGrid w:val="0"/>
          <w:lang w:eastAsia="en-US"/>
        </w:rPr>
      </w:r>
      <w:r w:rsidR="00981F91" w:rsidRPr="0029195A">
        <w:rPr>
          <w:rFonts w:asciiTheme="minorHAnsi" w:hAnsiTheme="minorHAnsi"/>
          <w:snapToGrid w:val="0"/>
          <w:lang w:eastAsia="en-US"/>
        </w:rPr>
        <w:fldChar w:fldCharType="separate"/>
      </w:r>
      <w:r w:rsidR="000D1095">
        <w:rPr>
          <w:rFonts w:asciiTheme="minorHAnsi" w:hAnsiTheme="minorHAnsi"/>
          <w:snapToGrid w:val="0"/>
          <w:lang w:eastAsia="en-US"/>
        </w:rPr>
        <w:t>6.26</w:t>
      </w:r>
      <w:r w:rsidR="00981F91" w:rsidRPr="0029195A">
        <w:rPr>
          <w:rFonts w:asciiTheme="minorHAnsi" w:hAnsiTheme="minorHAnsi"/>
          <w:snapToGrid w:val="0"/>
          <w:lang w:eastAsia="en-US"/>
        </w:rPr>
        <w:fldChar w:fldCharType="end"/>
      </w:r>
      <w:r w:rsidR="00CD4219" w:rsidRPr="0029195A">
        <w:rPr>
          <w:rFonts w:asciiTheme="minorHAnsi" w:hAnsiTheme="minorHAnsi"/>
          <w:snapToGrid w:val="0"/>
          <w:lang w:eastAsia="en-US"/>
        </w:rPr>
        <w:t xml:space="preserve">). The </w:t>
      </w:r>
      <w:r w:rsidR="00981F91" w:rsidRPr="0029195A">
        <w:rPr>
          <w:rFonts w:asciiTheme="minorHAnsi" w:hAnsiTheme="minorHAnsi"/>
          <w:snapToGrid w:val="0"/>
          <w:lang w:eastAsia="en-US"/>
        </w:rPr>
        <w:t xml:space="preserve">PBAC agreed with the </w:t>
      </w:r>
      <w:r w:rsidR="00CD4219" w:rsidRPr="0029195A">
        <w:rPr>
          <w:rFonts w:asciiTheme="minorHAnsi" w:hAnsiTheme="minorHAnsi"/>
          <w:snapToGrid w:val="0"/>
          <w:lang w:eastAsia="en-US"/>
        </w:rPr>
        <w:t xml:space="preserve">ESC </w:t>
      </w:r>
      <w:r w:rsidR="00981F91" w:rsidRPr="0029195A">
        <w:rPr>
          <w:rFonts w:asciiTheme="minorHAnsi" w:hAnsiTheme="minorHAnsi"/>
          <w:snapToGrid w:val="0"/>
          <w:lang w:eastAsia="en-US"/>
        </w:rPr>
        <w:t>that</w:t>
      </w:r>
      <w:r w:rsidR="00CD4219" w:rsidRPr="0029195A">
        <w:rPr>
          <w:rFonts w:asciiTheme="minorHAnsi" w:hAnsiTheme="minorHAnsi"/>
          <w:snapToGrid w:val="0"/>
          <w:lang w:eastAsia="en-US"/>
        </w:rPr>
        <w:t xml:space="preserve"> the modest 12.5% difference in the proportion of patients achieving sustained remission between the two treatment arms was likely driven by those who were not on any maintenance therapy after rituximab.</w:t>
      </w:r>
      <w:r w:rsidR="00981F91" w:rsidRPr="0029195A">
        <w:rPr>
          <w:rFonts w:asciiTheme="minorHAnsi" w:hAnsiTheme="minorHAnsi"/>
          <w:snapToGrid w:val="0"/>
          <w:lang w:eastAsia="en-US"/>
        </w:rPr>
        <w:t xml:space="preserve"> </w:t>
      </w:r>
      <w:r w:rsidR="00FD12C7" w:rsidRPr="0029195A">
        <w:rPr>
          <w:rFonts w:asciiTheme="minorHAnsi" w:hAnsiTheme="minorHAnsi"/>
          <w:snapToGrid w:val="0"/>
          <w:lang w:eastAsia="en-US"/>
        </w:rPr>
        <w:t xml:space="preserve">The PBAC noted the pre-PBAC response and sponsor hearing argued that </w:t>
      </w:r>
      <w:r w:rsidR="00572D03">
        <w:rPr>
          <w:rFonts w:asciiTheme="minorHAnsi" w:hAnsiTheme="minorHAnsi"/>
          <w:snapToGrid w:val="0"/>
          <w:lang w:eastAsia="en-US"/>
        </w:rPr>
        <w:t xml:space="preserve">the </w:t>
      </w:r>
      <w:r w:rsidR="00FD12C7" w:rsidRPr="0029195A">
        <w:rPr>
          <w:rFonts w:asciiTheme="minorHAnsi" w:hAnsiTheme="minorHAnsi"/>
          <w:snapToGrid w:val="0"/>
          <w:lang w:eastAsia="en-US"/>
        </w:rPr>
        <w:t>12.5% difference was not modest and would be clinically meaningful</w:t>
      </w:r>
      <w:r w:rsidR="009B4E7D" w:rsidRPr="0029195A">
        <w:rPr>
          <w:rFonts w:asciiTheme="minorHAnsi" w:hAnsiTheme="minorHAnsi"/>
          <w:snapToGrid w:val="0"/>
          <w:lang w:eastAsia="en-US"/>
        </w:rPr>
        <w:t>.</w:t>
      </w:r>
      <w:r w:rsidR="00FD12C7" w:rsidRPr="0029195A">
        <w:rPr>
          <w:rFonts w:asciiTheme="minorHAnsi" w:hAnsiTheme="minorHAnsi"/>
          <w:snapToGrid w:val="0"/>
          <w:lang w:eastAsia="en-US"/>
        </w:rPr>
        <w:t xml:space="preserve"> </w:t>
      </w:r>
      <w:r w:rsidR="009B4E7D" w:rsidRPr="0029195A">
        <w:rPr>
          <w:rFonts w:asciiTheme="minorHAnsi" w:hAnsiTheme="minorHAnsi"/>
          <w:snapToGrid w:val="0"/>
          <w:lang w:eastAsia="en-US"/>
        </w:rPr>
        <w:t>H</w:t>
      </w:r>
      <w:r w:rsidR="00FD12C7" w:rsidRPr="0029195A">
        <w:rPr>
          <w:rFonts w:asciiTheme="minorHAnsi" w:hAnsiTheme="minorHAnsi"/>
          <w:snapToGrid w:val="0"/>
          <w:lang w:eastAsia="en-US"/>
        </w:rPr>
        <w:t xml:space="preserve">owever, PBAC considered in the context of no benefit in remission at 26 weeks, </w:t>
      </w:r>
      <w:r w:rsidR="008B72BA" w:rsidRPr="0029195A">
        <w:rPr>
          <w:rFonts w:asciiTheme="minorHAnsi" w:hAnsiTheme="minorHAnsi"/>
          <w:snapToGrid w:val="0"/>
          <w:lang w:eastAsia="en-US"/>
        </w:rPr>
        <w:t>the value</w:t>
      </w:r>
      <w:r w:rsidR="00FD12C7" w:rsidRPr="0029195A">
        <w:rPr>
          <w:rFonts w:asciiTheme="minorHAnsi" w:hAnsiTheme="minorHAnsi"/>
          <w:snapToGrid w:val="0"/>
          <w:lang w:eastAsia="en-US"/>
        </w:rPr>
        <w:t xml:space="preserve"> of this </w:t>
      </w:r>
      <w:r w:rsidR="008B72BA" w:rsidRPr="0029195A">
        <w:rPr>
          <w:rFonts w:asciiTheme="minorHAnsi" w:hAnsiTheme="minorHAnsi"/>
          <w:snapToGrid w:val="0"/>
          <w:lang w:eastAsia="en-US"/>
        </w:rPr>
        <w:t>result</w:t>
      </w:r>
      <w:r w:rsidR="00FD12C7" w:rsidRPr="0029195A">
        <w:rPr>
          <w:rFonts w:asciiTheme="minorHAnsi" w:hAnsiTheme="minorHAnsi"/>
          <w:snapToGrid w:val="0"/>
          <w:lang w:eastAsia="en-US"/>
        </w:rPr>
        <w:t xml:space="preserve"> at 52 weeks</w:t>
      </w:r>
      <w:r w:rsidR="00CE123F">
        <w:rPr>
          <w:rFonts w:asciiTheme="minorHAnsi" w:hAnsiTheme="minorHAnsi"/>
          <w:snapToGrid w:val="0"/>
          <w:lang w:eastAsia="en-US"/>
        </w:rPr>
        <w:t xml:space="preserve"> </w:t>
      </w:r>
      <w:r w:rsidR="00CE123F" w:rsidRPr="0029195A">
        <w:rPr>
          <w:rFonts w:asciiTheme="minorHAnsi" w:hAnsiTheme="minorHAnsi"/>
          <w:snapToGrid w:val="0"/>
          <w:lang w:eastAsia="en-US"/>
        </w:rPr>
        <w:t>was difficult to ascertain</w:t>
      </w:r>
      <w:r w:rsidR="00CE123F">
        <w:rPr>
          <w:rFonts w:asciiTheme="minorHAnsi" w:hAnsiTheme="minorHAnsi"/>
          <w:snapToGrid w:val="0"/>
          <w:lang w:eastAsia="en-US"/>
        </w:rPr>
        <w:t>, given</w:t>
      </w:r>
      <w:r w:rsidR="00B45C23" w:rsidRPr="0029195A">
        <w:rPr>
          <w:rFonts w:asciiTheme="minorHAnsi" w:hAnsiTheme="minorHAnsi"/>
          <w:snapToGrid w:val="0"/>
          <w:lang w:eastAsia="en-US"/>
        </w:rPr>
        <w:t xml:space="preserve"> a comparator </w:t>
      </w:r>
      <w:r w:rsidR="009B4E7D" w:rsidRPr="0029195A">
        <w:rPr>
          <w:rFonts w:asciiTheme="minorHAnsi" w:hAnsiTheme="minorHAnsi"/>
          <w:snapToGrid w:val="0"/>
          <w:lang w:eastAsia="en-US"/>
        </w:rPr>
        <w:t xml:space="preserve">arm </w:t>
      </w:r>
      <w:r w:rsidR="00B45C23" w:rsidRPr="0029195A">
        <w:rPr>
          <w:rFonts w:asciiTheme="minorHAnsi" w:hAnsiTheme="minorHAnsi"/>
          <w:snapToGrid w:val="0"/>
          <w:lang w:eastAsia="en-US"/>
        </w:rPr>
        <w:t>that is not reflective of clinical practice</w:t>
      </w:r>
      <w:r w:rsidR="00FD12C7" w:rsidRPr="0029195A">
        <w:rPr>
          <w:rFonts w:asciiTheme="minorHAnsi" w:hAnsiTheme="minorHAnsi"/>
          <w:snapToGrid w:val="0"/>
          <w:lang w:eastAsia="en-US"/>
        </w:rPr>
        <w:t xml:space="preserve">. </w:t>
      </w:r>
      <w:r w:rsidR="0002467D" w:rsidRPr="0029195A">
        <w:rPr>
          <w:rFonts w:asciiTheme="minorHAnsi" w:hAnsiTheme="minorHAnsi"/>
          <w:snapToGrid w:val="0"/>
          <w:lang w:eastAsia="en-US"/>
        </w:rPr>
        <w:t xml:space="preserve">Overall, </w:t>
      </w:r>
      <w:r w:rsidR="0002467D" w:rsidRPr="0029195A">
        <w:t xml:space="preserve">the PBAC </w:t>
      </w:r>
      <w:r w:rsidR="0002467D" w:rsidRPr="0029195A">
        <w:lastRenderedPageBreak/>
        <w:t>considered the clinical evidence provided did not adequately support use as maintenance therapy.</w:t>
      </w:r>
    </w:p>
    <w:p w14:paraId="57215DC7" w14:textId="72177EE4" w:rsidR="00152857" w:rsidRPr="0029195A" w:rsidRDefault="00B52E59" w:rsidP="002249BD">
      <w:pPr>
        <w:widowControl w:val="0"/>
        <w:numPr>
          <w:ilvl w:val="1"/>
          <w:numId w:val="1"/>
        </w:numPr>
        <w:spacing w:after="120"/>
        <w:ind w:left="720"/>
        <w:rPr>
          <w:rFonts w:asciiTheme="minorHAnsi" w:hAnsiTheme="minorHAnsi"/>
          <w:snapToGrid w:val="0"/>
          <w:lang w:eastAsia="en-US"/>
        </w:rPr>
      </w:pPr>
      <w:bookmarkStart w:id="84" w:name="_Ref141774813"/>
      <w:r w:rsidRPr="0029195A">
        <w:rPr>
          <w:rFonts w:asciiTheme="minorHAnsi" w:hAnsiTheme="minorHAnsi"/>
          <w:snapToGrid w:val="0"/>
          <w:lang w:eastAsia="en-US"/>
        </w:rPr>
        <w:t xml:space="preserve">The PBAC noted the improvement in eGFR rates at both Week 26 and Week 52 evident for </w:t>
      </w:r>
      <w:r w:rsidR="00B7778E" w:rsidRPr="0029195A">
        <w:rPr>
          <w:rFonts w:asciiTheme="minorHAnsi" w:hAnsiTheme="minorHAnsi"/>
          <w:snapToGrid w:val="0"/>
          <w:lang w:eastAsia="en-US"/>
        </w:rPr>
        <w:t xml:space="preserve">the </w:t>
      </w:r>
      <w:r w:rsidRPr="0029195A">
        <w:rPr>
          <w:rFonts w:asciiTheme="minorHAnsi" w:hAnsiTheme="minorHAnsi"/>
          <w:snapToGrid w:val="0"/>
          <w:lang w:eastAsia="en-US"/>
        </w:rPr>
        <w:t xml:space="preserve">population </w:t>
      </w:r>
      <w:r w:rsidR="00B7778E" w:rsidRPr="0029195A">
        <w:rPr>
          <w:rFonts w:asciiTheme="minorHAnsi" w:hAnsiTheme="minorHAnsi"/>
          <w:snapToGrid w:val="0"/>
          <w:lang w:eastAsia="en-US"/>
        </w:rPr>
        <w:t xml:space="preserve">with renal disease </w:t>
      </w:r>
      <w:r w:rsidRPr="0029195A">
        <w:rPr>
          <w:rFonts w:asciiTheme="minorHAnsi" w:hAnsiTheme="minorHAnsi"/>
          <w:snapToGrid w:val="0"/>
          <w:lang w:eastAsia="en-US"/>
        </w:rPr>
        <w:t>included for this secondary outcome</w:t>
      </w:r>
      <w:r w:rsidR="00A00298" w:rsidRPr="0029195A">
        <w:rPr>
          <w:rFonts w:asciiTheme="minorHAnsi" w:hAnsiTheme="minorHAnsi"/>
          <w:snapToGrid w:val="0"/>
          <w:lang w:eastAsia="en-US"/>
        </w:rPr>
        <w:t xml:space="preserve"> (see</w:t>
      </w:r>
      <w:r w:rsidR="00313009" w:rsidRPr="0029195A">
        <w:rPr>
          <w:rFonts w:asciiTheme="minorHAnsi" w:hAnsiTheme="minorHAnsi"/>
          <w:snapToGrid w:val="0"/>
          <w:lang w:eastAsia="en-US"/>
        </w:rPr>
        <w:t xml:space="preserve"> </w:t>
      </w:r>
      <w:r w:rsidR="00313009" w:rsidRPr="0029195A">
        <w:rPr>
          <w:rFonts w:asciiTheme="minorHAnsi" w:hAnsiTheme="minorHAnsi"/>
          <w:snapToGrid w:val="0"/>
          <w:lang w:eastAsia="en-US"/>
        </w:rPr>
        <w:fldChar w:fldCharType="begin" w:fldLock="1"/>
      </w:r>
      <w:r w:rsidR="00313009" w:rsidRPr="0029195A">
        <w:rPr>
          <w:rFonts w:asciiTheme="minorHAnsi" w:hAnsiTheme="minorHAnsi"/>
          <w:snapToGrid w:val="0"/>
          <w:lang w:eastAsia="en-US"/>
        </w:rPr>
        <w:instrText xml:space="preserve"> REF _Ref132295259 \h </w:instrText>
      </w:r>
      <w:r w:rsidR="00313009" w:rsidRPr="0029195A">
        <w:rPr>
          <w:rFonts w:asciiTheme="minorHAnsi" w:hAnsiTheme="minorHAnsi"/>
          <w:snapToGrid w:val="0"/>
          <w:lang w:eastAsia="en-US"/>
        </w:rPr>
      </w:r>
      <w:r w:rsidR="00313009" w:rsidRPr="0029195A">
        <w:rPr>
          <w:rFonts w:asciiTheme="minorHAnsi" w:hAnsiTheme="minorHAnsi"/>
          <w:snapToGrid w:val="0"/>
          <w:lang w:eastAsia="en-US"/>
        </w:rPr>
        <w:fldChar w:fldCharType="separate"/>
      </w:r>
      <w:r w:rsidR="00843E0B" w:rsidRPr="0029195A">
        <w:t>Table 7</w:t>
      </w:r>
      <w:r w:rsidR="00313009" w:rsidRPr="0029195A">
        <w:rPr>
          <w:rFonts w:asciiTheme="minorHAnsi" w:hAnsiTheme="minorHAnsi"/>
          <w:snapToGrid w:val="0"/>
          <w:lang w:eastAsia="en-US"/>
        </w:rPr>
        <w:fldChar w:fldCharType="end"/>
      </w:r>
      <w:r w:rsidR="00A00298" w:rsidRPr="0029195A">
        <w:rPr>
          <w:rFonts w:asciiTheme="minorHAnsi" w:hAnsiTheme="minorHAnsi"/>
          <w:snapToGrid w:val="0"/>
          <w:lang w:eastAsia="en-US"/>
        </w:rPr>
        <w:t>).</w:t>
      </w:r>
      <w:r w:rsidRPr="0029195A">
        <w:rPr>
          <w:rFonts w:asciiTheme="minorHAnsi" w:hAnsiTheme="minorHAnsi"/>
          <w:snapToGrid w:val="0"/>
          <w:lang w:eastAsia="en-US"/>
        </w:rPr>
        <w:t xml:space="preserve"> However, the PBAC noted that </w:t>
      </w:r>
      <w:r w:rsidRPr="0029195A">
        <w:rPr>
          <w:rFonts w:eastAsia="Calibri"/>
        </w:rPr>
        <w:t xml:space="preserve">other parameters of renal disease such as </w:t>
      </w:r>
      <w:r w:rsidRPr="0029195A">
        <w:t>urinary albumin:creatinine ratio</w:t>
      </w:r>
      <w:r w:rsidRPr="0029195A">
        <w:rPr>
          <w:rFonts w:eastAsia="Calibri"/>
        </w:rPr>
        <w:t xml:space="preserve"> (UCAR) at Week 52 and urinary MCP-1 to creatinine ratio at Week 52 did not show any </w:t>
      </w:r>
      <w:r w:rsidR="00443D6E">
        <w:rPr>
          <w:rFonts w:eastAsia="Calibri"/>
        </w:rPr>
        <w:t>significant difference</w:t>
      </w:r>
      <w:r w:rsidRPr="0029195A">
        <w:rPr>
          <w:rFonts w:eastAsia="Calibri"/>
        </w:rPr>
        <w:t xml:space="preserve"> in patients with renal disease</w:t>
      </w:r>
      <w:r w:rsidR="00A00298" w:rsidRPr="0029195A">
        <w:rPr>
          <w:rFonts w:eastAsia="Calibri"/>
        </w:rPr>
        <w:t xml:space="preserve"> (see</w:t>
      </w:r>
      <w:r w:rsidR="00313009" w:rsidRPr="0029195A">
        <w:rPr>
          <w:rFonts w:eastAsia="Calibri"/>
        </w:rPr>
        <w:t xml:space="preserve"> </w:t>
      </w:r>
      <w:r w:rsidR="00313009" w:rsidRPr="0029195A">
        <w:rPr>
          <w:rFonts w:eastAsia="Calibri"/>
        </w:rPr>
        <w:fldChar w:fldCharType="begin" w:fldLock="1"/>
      </w:r>
      <w:r w:rsidR="00313009" w:rsidRPr="0029195A">
        <w:rPr>
          <w:rFonts w:eastAsia="Calibri"/>
        </w:rPr>
        <w:instrText xml:space="preserve"> REF _Ref132295259 \h </w:instrText>
      </w:r>
      <w:r w:rsidR="00313009" w:rsidRPr="0029195A">
        <w:rPr>
          <w:rFonts w:eastAsia="Calibri"/>
        </w:rPr>
      </w:r>
      <w:r w:rsidR="00313009" w:rsidRPr="0029195A">
        <w:rPr>
          <w:rFonts w:eastAsia="Calibri"/>
        </w:rPr>
        <w:fldChar w:fldCharType="separate"/>
      </w:r>
      <w:r w:rsidR="00843E0B" w:rsidRPr="0029195A">
        <w:t>Table 7</w:t>
      </w:r>
      <w:r w:rsidR="00313009" w:rsidRPr="0029195A">
        <w:rPr>
          <w:rFonts w:eastAsia="Calibri"/>
        </w:rPr>
        <w:fldChar w:fldCharType="end"/>
      </w:r>
      <w:r w:rsidR="00A00298" w:rsidRPr="0029195A">
        <w:rPr>
          <w:rFonts w:eastAsia="Calibri"/>
        </w:rPr>
        <w:t>)</w:t>
      </w:r>
      <w:r w:rsidRPr="0029195A">
        <w:rPr>
          <w:rFonts w:eastAsia="Calibri"/>
        </w:rPr>
        <w:t xml:space="preserve">. The PBAC agreed with the ESC that </w:t>
      </w:r>
      <w:r w:rsidR="002249BD" w:rsidRPr="0029195A">
        <w:rPr>
          <w:rFonts w:eastAsia="Calibri"/>
        </w:rPr>
        <w:t>the improvement in eGFR appeared to be driven by the eGFR &lt; 30 ml/min/1.73m</w:t>
      </w:r>
      <w:r w:rsidR="002249BD" w:rsidRPr="0029195A">
        <w:rPr>
          <w:rFonts w:eastAsia="Calibri"/>
          <w:vertAlign w:val="superscript"/>
        </w:rPr>
        <w:t>2</w:t>
      </w:r>
      <w:r w:rsidR="002249BD" w:rsidRPr="0029195A">
        <w:rPr>
          <w:rFonts w:eastAsia="Calibri"/>
        </w:rPr>
        <w:t xml:space="preserve"> subgroup</w:t>
      </w:r>
      <w:r w:rsidR="00A00298" w:rsidRPr="0029195A">
        <w:rPr>
          <w:rFonts w:eastAsia="Calibri"/>
        </w:rPr>
        <w:t xml:space="preserve"> </w:t>
      </w:r>
      <w:r w:rsidR="00A00298" w:rsidRPr="0029195A">
        <w:rPr>
          <w:rFonts w:asciiTheme="minorHAnsi" w:hAnsiTheme="minorHAnsi"/>
          <w:snapToGrid w:val="0"/>
          <w:lang w:eastAsia="en-US"/>
        </w:rPr>
        <w:t xml:space="preserve">(see </w:t>
      </w:r>
      <w:r w:rsidR="00A00298" w:rsidRPr="0029195A">
        <w:rPr>
          <w:rFonts w:asciiTheme="minorHAnsi" w:hAnsiTheme="minorHAnsi"/>
          <w:snapToGrid w:val="0"/>
          <w:lang w:eastAsia="en-US"/>
        </w:rPr>
        <w:fldChar w:fldCharType="begin" w:fldLock="1"/>
      </w:r>
      <w:r w:rsidR="00A00298" w:rsidRPr="0029195A">
        <w:rPr>
          <w:rFonts w:asciiTheme="minorHAnsi" w:hAnsiTheme="minorHAnsi"/>
          <w:snapToGrid w:val="0"/>
          <w:lang w:eastAsia="en-US"/>
        </w:rPr>
        <w:instrText xml:space="preserve"> REF _Ref137718094 \h  \* MERGEFORMAT </w:instrText>
      </w:r>
      <w:r w:rsidR="00A00298" w:rsidRPr="0029195A">
        <w:rPr>
          <w:rFonts w:asciiTheme="minorHAnsi" w:hAnsiTheme="minorHAnsi"/>
          <w:snapToGrid w:val="0"/>
          <w:lang w:eastAsia="en-US"/>
        </w:rPr>
      </w:r>
      <w:r w:rsidR="00A00298" w:rsidRPr="0029195A">
        <w:rPr>
          <w:rFonts w:asciiTheme="minorHAnsi" w:hAnsiTheme="minorHAnsi"/>
          <w:snapToGrid w:val="0"/>
          <w:lang w:eastAsia="en-US"/>
        </w:rPr>
        <w:fldChar w:fldCharType="separate"/>
      </w:r>
      <w:r w:rsidR="00740D9D" w:rsidRPr="00740D9D">
        <w:rPr>
          <w:rFonts w:asciiTheme="minorHAnsi" w:hAnsiTheme="minorHAnsi"/>
          <w:snapToGrid w:val="0"/>
          <w:lang w:eastAsia="en-US"/>
        </w:rPr>
        <w:t>Table 8</w:t>
      </w:r>
      <w:r w:rsidR="00A00298" w:rsidRPr="0029195A">
        <w:rPr>
          <w:rFonts w:asciiTheme="minorHAnsi" w:hAnsiTheme="minorHAnsi"/>
          <w:snapToGrid w:val="0"/>
          <w:lang w:eastAsia="en-US"/>
        </w:rPr>
        <w:fldChar w:fldCharType="end"/>
      </w:r>
      <w:r w:rsidR="00A00298" w:rsidRPr="0029195A">
        <w:rPr>
          <w:rFonts w:asciiTheme="minorHAnsi" w:hAnsiTheme="minorHAnsi"/>
          <w:snapToGrid w:val="0"/>
          <w:lang w:eastAsia="en-US"/>
        </w:rPr>
        <w:t>)</w:t>
      </w:r>
      <w:r w:rsidR="00A54800" w:rsidRPr="0029195A">
        <w:rPr>
          <w:rFonts w:asciiTheme="minorHAnsi" w:hAnsiTheme="minorHAnsi"/>
          <w:snapToGrid w:val="0"/>
          <w:lang w:eastAsia="en-US"/>
        </w:rPr>
        <w:t xml:space="preserve"> and that it was not clear how much of the benefit was attributable to the group which compared avacopan to no maintenance therapy (see paragraph </w:t>
      </w:r>
      <w:r w:rsidR="00A54800" w:rsidRPr="0029195A">
        <w:rPr>
          <w:rFonts w:asciiTheme="minorHAnsi" w:hAnsiTheme="minorHAnsi"/>
          <w:snapToGrid w:val="0"/>
          <w:lang w:eastAsia="en-US"/>
        </w:rPr>
        <w:fldChar w:fldCharType="begin" w:fldLock="1"/>
      </w:r>
      <w:r w:rsidR="00A54800" w:rsidRPr="0029195A">
        <w:rPr>
          <w:rFonts w:asciiTheme="minorHAnsi" w:hAnsiTheme="minorHAnsi"/>
          <w:snapToGrid w:val="0"/>
          <w:lang w:eastAsia="en-US"/>
        </w:rPr>
        <w:instrText xml:space="preserve"> REF _Ref141774707 \r \h </w:instrText>
      </w:r>
      <w:r w:rsidR="00A54800" w:rsidRPr="0029195A">
        <w:rPr>
          <w:rFonts w:asciiTheme="minorHAnsi" w:hAnsiTheme="minorHAnsi"/>
          <w:snapToGrid w:val="0"/>
          <w:lang w:eastAsia="en-US"/>
        </w:rPr>
      </w:r>
      <w:r w:rsidR="00A54800" w:rsidRPr="0029195A">
        <w:rPr>
          <w:rFonts w:asciiTheme="minorHAnsi" w:hAnsiTheme="minorHAnsi"/>
          <w:snapToGrid w:val="0"/>
          <w:lang w:eastAsia="en-US"/>
        </w:rPr>
        <w:fldChar w:fldCharType="separate"/>
      </w:r>
      <w:r w:rsidR="000D1095">
        <w:rPr>
          <w:rFonts w:asciiTheme="minorHAnsi" w:hAnsiTheme="minorHAnsi"/>
          <w:snapToGrid w:val="0"/>
          <w:lang w:eastAsia="en-US"/>
        </w:rPr>
        <w:t>6.30</w:t>
      </w:r>
      <w:r w:rsidR="00A54800" w:rsidRPr="0029195A">
        <w:rPr>
          <w:rFonts w:asciiTheme="minorHAnsi" w:hAnsiTheme="minorHAnsi"/>
          <w:snapToGrid w:val="0"/>
          <w:lang w:eastAsia="en-US"/>
        </w:rPr>
        <w:fldChar w:fldCharType="end"/>
      </w:r>
      <w:r w:rsidR="00A54800" w:rsidRPr="0029195A">
        <w:rPr>
          <w:rFonts w:asciiTheme="minorHAnsi" w:hAnsiTheme="minorHAnsi"/>
          <w:snapToGrid w:val="0"/>
          <w:lang w:eastAsia="en-US"/>
        </w:rPr>
        <w:t>)</w:t>
      </w:r>
      <w:r w:rsidR="002249BD" w:rsidRPr="0029195A">
        <w:rPr>
          <w:rFonts w:eastAsia="Calibri"/>
        </w:rPr>
        <w:t>.</w:t>
      </w:r>
      <w:bookmarkEnd w:id="84"/>
      <w:r w:rsidR="002249BD" w:rsidRPr="0029195A">
        <w:rPr>
          <w:rFonts w:eastAsia="Calibri"/>
        </w:rPr>
        <w:t xml:space="preserve"> </w:t>
      </w:r>
    </w:p>
    <w:p w14:paraId="1579B505" w14:textId="4EF272A6" w:rsidR="0074334E" w:rsidRPr="0029195A" w:rsidRDefault="0074334E" w:rsidP="0074334E">
      <w:pPr>
        <w:widowControl w:val="0"/>
        <w:numPr>
          <w:ilvl w:val="1"/>
          <w:numId w:val="1"/>
        </w:numPr>
        <w:spacing w:after="120"/>
        <w:ind w:left="720"/>
        <w:rPr>
          <w:rFonts w:asciiTheme="minorHAnsi" w:hAnsiTheme="minorHAnsi"/>
          <w:snapToGrid w:val="0"/>
          <w:lang w:eastAsia="en-US"/>
        </w:rPr>
      </w:pPr>
      <w:bookmarkStart w:id="85" w:name="_Ref141776111"/>
      <w:r w:rsidRPr="0029195A">
        <w:rPr>
          <w:rFonts w:asciiTheme="minorHAnsi" w:hAnsiTheme="minorHAnsi"/>
          <w:snapToGrid w:val="0"/>
          <w:lang w:eastAsia="en-US"/>
        </w:rPr>
        <w:t>Overall, t</w:t>
      </w:r>
      <w:r w:rsidRPr="0029195A">
        <w:t xml:space="preserve">he PBAC considered the claim of superior comparative </w:t>
      </w:r>
      <w:r w:rsidR="003E1A30" w:rsidRPr="0029195A">
        <w:t xml:space="preserve">effectiveness </w:t>
      </w:r>
      <w:r w:rsidRPr="0029195A">
        <w:t xml:space="preserve">for avacopan + SOC </w:t>
      </w:r>
      <w:r w:rsidR="00F00F6A" w:rsidRPr="0029195A">
        <w:t>compared to prednisolone + SOC was highly uncertain for induction therapy.</w:t>
      </w:r>
      <w:bookmarkEnd w:id="85"/>
    </w:p>
    <w:p w14:paraId="28B0FC7C" w14:textId="4BF07221" w:rsidR="00313009" w:rsidRPr="0029195A" w:rsidRDefault="00FE70CD" w:rsidP="002249BD">
      <w:pPr>
        <w:widowControl w:val="0"/>
        <w:numPr>
          <w:ilvl w:val="1"/>
          <w:numId w:val="1"/>
        </w:numPr>
        <w:spacing w:after="120"/>
        <w:ind w:left="720"/>
        <w:rPr>
          <w:rFonts w:asciiTheme="minorHAnsi" w:hAnsiTheme="minorHAnsi"/>
          <w:snapToGrid w:val="0"/>
          <w:lang w:eastAsia="en-US"/>
        </w:rPr>
      </w:pPr>
      <w:r w:rsidRPr="0029195A">
        <w:rPr>
          <w:rFonts w:asciiTheme="minorHAnsi" w:hAnsiTheme="minorHAnsi"/>
          <w:snapToGrid w:val="0"/>
          <w:lang w:eastAsia="en-US"/>
        </w:rPr>
        <w:t xml:space="preserve">The PBAC noted the </w:t>
      </w:r>
      <w:r w:rsidRPr="0029195A">
        <w:t xml:space="preserve">avacopan + SOC group had a higher incidence of moderate TEAE (49.4%) compared to the prednisone + SOC group (41.5%). In addition, patients in the avacopan + SOC group experienced higher incidences of several serious adverse events (see paragraph </w:t>
      </w:r>
      <w:r w:rsidRPr="0029195A">
        <w:fldChar w:fldCharType="begin" w:fldLock="1"/>
      </w:r>
      <w:r w:rsidRPr="0029195A">
        <w:instrText xml:space="preserve"> REF _Ref141727618 \r \h </w:instrText>
      </w:r>
      <w:r w:rsidRPr="0029195A">
        <w:fldChar w:fldCharType="separate"/>
      </w:r>
      <w:r w:rsidR="000D1095">
        <w:t>6.32</w:t>
      </w:r>
      <w:r w:rsidRPr="0029195A">
        <w:fldChar w:fldCharType="end"/>
      </w:r>
      <w:r w:rsidRPr="0029195A">
        <w:t xml:space="preserve">). However, the PBAC noted there were fewer treatment emergent infections and also </w:t>
      </w:r>
      <w:r w:rsidR="0079003D" w:rsidRPr="0029195A">
        <w:t xml:space="preserve">a </w:t>
      </w:r>
      <w:r w:rsidRPr="0029195A">
        <w:t>statistically significant reduction in potentially GC-related AE in favour of avacopan + SOC compared to prednisone + SOC</w:t>
      </w:r>
      <w:r w:rsidR="0002467D" w:rsidRPr="0029195A">
        <w:t xml:space="preserve"> (treatment difference of -14.2 percentage points; 95% CI -23.7 to -3.8; p&lt;0.05)</w:t>
      </w:r>
      <w:r w:rsidR="0079003D" w:rsidRPr="0029195A">
        <w:t xml:space="preserve"> (see paragraph </w:t>
      </w:r>
      <w:r w:rsidR="0079003D" w:rsidRPr="0029195A">
        <w:fldChar w:fldCharType="begin" w:fldLock="1"/>
      </w:r>
      <w:r w:rsidR="0079003D" w:rsidRPr="0029195A">
        <w:instrText xml:space="preserve"> REF _Ref141728073 \r \h </w:instrText>
      </w:r>
      <w:r w:rsidR="0079003D" w:rsidRPr="0029195A">
        <w:fldChar w:fldCharType="separate"/>
      </w:r>
      <w:r w:rsidR="000D1095">
        <w:t>6.33</w:t>
      </w:r>
      <w:r w:rsidR="0079003D" w:rsidRPr="0029195A">
        <w:fldChar w:fldCharType="end"/>
      </w:r>
      <w:r w:rsidR="0079003D" w:rsidRPr="0029195A">
        <w:t>). Overall, the PBAC considered the claim of superior comparative safety was reasonable</w:t>
      </w:r>
      <w:r w:rsidR="0002467D" w:rsidRPr="0029195A">
        <w:t xml:space="preserve"> for the induction phase, noting there was no safety evidence on the cumulative risk of reinduction or long-term safety data for maintenance treatment</w:t>
      </w:r>
      <w:r w:rsidR="0079003D" w:rsidRPr="0029195A">
        <w:t xml:space="preserve">. </w:t>
      </w:r>
    </w:p>
    <w:p w14:paraId="24DF549B" w14:textId="4995D6B6" w:rsidR="00AE6448" w:rsidRPr="0029195A" w:rsidRDefault="004952A0" w:rsidP="00AE6448">
      <w:pPr>
        <w:widowControl w:val="0"/>
        <w:numPr>
          <w:ilvl w:val="1"/>
          <w:numId w:val="1"/>
        </w:numPr>
        <w:spacing w:after="120"/>
        <w:ind w:left="720"/>
        <w:rPr>
          <w:rFonts w:asciiTheme="minorHAnsi" w:hAnsiTheme="minorHAnsi"/>
          <w:snapToGrid w:val="0"/>
          <w:lang w:eastAsia="en-US"/>
        </w:rPr>
      </w:pPr>
      <w:bookmarkStart w:id="86" w:name="_Ref141788556"/>
      <w:r w:rsidRPr="0029195A">
        <w:rPr>
          <w:rFonts w:asciiTheme="minorHAnsi" w:hAnsiTheme="minorHAnsi"/>
          <w:snapToGrid w:val="0"/>
          <w:lang w:eastAsia="en-US"/>
        </w:rPr>
        <w:t xml:space="preserve">The PBAC considered the economic model was unreliable due to the uncertainties in the clinical data from the ADVOCATE trial (see paragraph </w:t>
      </w:r>
      <w:r w:rsidRPr="0029195A">
        <w:rPr>
          <w:rFonts w:asciiTheme="minorHAnsi" w:hAnsiTheme="minorHAnsi"/>
          <w:snapToGrid w:val="0"/>
          <w:lang w:eastAsia="en-US"/>
        </w:rPr>
        <w:fldChar w:fldCharType="begin" w:fldLock="1"/>
      </w:r>
      <w:r w:rsidRPr="0029195A">
        <w:rPr>
          <w:rFonts w:asciiTheme="minorHAnsi" w:hAnsiTheme="minorHAnsi"/>
          <w:snapToGrid w:val="0"/>
          <w:lang w:eastAsia="en-US"/>
        </w:rPr>
        <w:instrText xml:space="preserve"> REF _Ref141776111 \r \h </w:instrText>
      </w:r>
      <w:r w:rsidRPr="0029195A">
        <w:rPr>
          <w:rFonts w:asciiTheme="minorHAnsi" w:hAnsiTheme="minorHAnsi"/>
          <w:snapToGrid w:val="0"/>
          <w:lang w:eastAsia="en-US"/>
        </w:rPr>
      </w:r>
      <w:r w:rsidRPr="0029195A">
        <w:rPr>
          <w:rFonts w:asciiTheme="minorHAnsi" w:hAnsiTheme="minorHAnsi"/>
          <w:snapToGrid w:val="0"/>
          <w:lang w:eastAsia="en-US"/>
        </w:rPr>
        <w:fldChar w:fldCharType="separate"/>
      </w:r>
      <w:r w:rsidR="000D1095">
        <w:rPr>
          <w:rFonts w:asciiTheme="minorHAnsi" w:hAnsiTheme="minorHAnsi"/>
          <w:snapToGrid w:val="0"/>
          <w:lang w:eastAsia="en-US"/>
        </w:rPr>
        <w:t>7.12</w:t>
      </w:r>
      <w:r w:rsidRPr="0029195A">
        <w:rPr>
          <w:rFonts w:asciiTheme="minorHAnsi" w:hAnsiTheme="minorHAnsi"/>
          <w:snapToGrid w:val="0"/>
          <w:lang w:eastAsia="en-US"/>
        </w:rPr>
        <w:fldChar w:fldCharType="end"/>
      </w:r>
      <w:r w:rsidRPr="0029195A">
        <w:rPr>
          <w:rFonts w:asciiTheme="minorHAnsi" w:hAnsiTheme="minorHAnsi"/>
          <w:snapToGrid w:val="0"/>
          <w:lang w:eastAsia="en-US"/>
        </w:rPr>
        <w:t xml:space="preserve">). </w:t>
      </w:r>
      <w:r w:rsidR="00812877" w:rsidRPr="0029195A">
        <w:rPr>
          <w:rFonts w:asciiTheme="minorHAnsi" w:hAnsiTheme="minorHAnsi"/>
          <w:snapToGrid w:val="0"/>
          <w:lang w:eastAsia="en-US"/>
        </w:rPr>
        <w:t xml:space="preserve">The PBAC noted the economic model assumed that patients would be treated with avacopan over 24 months (6 months of induction, followed by 18 months of maintenance). </w:t>
      </w:r>
      <w:r w:rsidRPr="0029195A">
        <w:rPr>
          <w:rFonts w:asciiTheme="minorHAnsi" w:hAnsiTheme="minorHAnsi"/>
          <w:snapToGrid w:val="0"/>
          <w:lang w:eastAsia="en-US"/>
        </w:rPr>
        <w:t>T</w:t>
      </w:r>
      <w:r w:rsidR="00812877" w:rsidRPr="0029195A">
        <w:rPr>
          <w:rFonts w:asciiTheme="minorHAnsi" w:hAnsiTheme="minorHAnsi"/>
          <w:snapToGrid w:val="0"/>
          <w:lang w:eastAsia="en-US"/>
        </w:rPr>
        <w:t xml:space="preserve">he PBAC considered the extrapolation of data from the 52 week ADVOCATE trial to </w:t>
      </w:r>
      <w:r w:rsidR="00D1062D" w:rsidRPr="0029195A">
        <w:t xml:space="preserve">impacts on renal disease progression and mortality over </w:t>
      </w:r>
      <w:r w:rsidR="00812877" w:rsidRPr="0029195A">
        <w:rPr>
          <w:rFonts w:asciiTheme="minorHAnsi" w:hAnsiTheme="minorHAnsi"/>
          <w:snapToGrid w:val="0"/>
          <w:lang w:eastAsia="en-US"/>
        </w:rPr>
        <w:t xml:space="preserve">30 years increased the uncertainty in the cost-effectiveness estimates. </w:t>
      </w:r>
      <w:r w:rsidR="004375F8" w:rsidRPr="0029195A">
        <w:rPr>
          <w:rFonts w:asciiTheme="minorHAnsi" w:hAnsiTheme="minorHAnsi"/>
          <w:snapToGrid w:val="0"/>
          <w:lang w:eastAsia="en-US"/>
        </w:rPr>
        <w:t xml:space="preserve">The PBAC </w:t>
      </w:r>
      <w:r w:rsidR="00CD1543">
        <w:rPr>
          <w:rFonts w:asciiTheme="minorHAnsi" w:hAnsiTheme="minorHAnsi"/>
          <w:snapToGrid w:val="0"/>
          <w:lang w:eastAsia="en-US"/>
        </w:rPr>
        <w:t>considered the benefits modelled</w:t>
      </w:r>
      <w:r w:rsidR="00FC6FA8" w:rsidRPr="0029195A">
        <w:rPr>
          <w:rFonts w:asciiTheme="minorHAnsi" w:hAnsiTheme="minorHAnsi"/>
          <w:snapToGrid w:val="0"/>
          <w:lang w:eastAsia="en-US"/>
        </w:rPr>
        <w:t xml:space="preserve"> </w:t>
      </w:r>
      <w:r w:rsidR="004A0F66" w:rsidRPr="0029195A">
        <w:rPr>
          <w:rFonts w:asciiTheme="minorHAnsi" w:hAnsiTheme="minorHAnsi"/>
          <w:snapToGrid w:val="0"/>
          <w:lang w:eastAsia="en-US"/>
        </w:rPr>
        <w:t>for induction</w:t>
      </w:r>
      <w:r w:rsidR="00CD1543">
        <w:rPr>
          <w:rFonts w:asciiTheme="minorHAnsi" w:hAnsiTheme="minorHAnsi"/>
          <w:snapToGrid w:val="0"/>
          <w:lang w:eastAsia="en-US"/>
        </w:rPr>
        <w:t xml:space="preserve"> should be limited to the</w:t>
      </w:r>
      <w:r w:rsidR="00FC6FA8" w:rsidRPr="0029195A">
        <w:rPr>
          <w:rFonts w:asciiTheme="minorHAnsi" w:hAnsiTheme="minorHAnsi"/>
          <w:snapToGrid w:val="0"/>
          <w:lang w:eastAsia="en-US"/>
        </w:rPr>
        <w:t xml:space="preserve"> differences in the adverse event profiles. </w:t>
      </w:r>
      <w:bookmarkEnd w:id="86"/>
    </w:p>
    <w:p w14:paraId="617AAECA" w14:textId="731E199F" w:rsidR="0014044A" w:rsidRPr="0029195A" w:rsidRDefault="00AF2E40" w:rsidP="002249BD">
      <w:pPr>
        <w:widowControl w:val="0"/>
        <w:numPr>
          <w:ilvl w:val="1"/>
          <w:numId w:val="1"/>
        </w:numPr>
        <w:spacing w:after="120"/>
        <w:ind w:left="720"/>
      </w:pPr>
      <w:bookmarkStart w:id="87" w:name="_Ref141788596"/>
      <w:r w:rsidRPr="0029195A">
        <w:t xml:space="preserve">The PBAC noted DUSC advice that the estimated use of avacopan was aligned with the previous use of rituximab for the same indications between 2016-2022 and that avacopan was unlikely to increase the patient population. The PBAC agreed with the DUSC that the remaining uncertainty </w:t>
      </w:r>
      <w:r w:rsidR="00673128" w:rsidRPr="0029195A">
        <w:t xml:space="preserve">with respect to the eligible population </w:t>
      </w:r>
      <w:r w:rsidRPr="0029195A">
        <w:t xml:space="preserve">could be reduced by removing Population 3 from the financial model. In addition, the PBAC </w:t>
      </w:r>
      <w:r w:rsidR="009A3DDE" w:rsidRPr="0029195A">
        <w:t>agreed with the</w:t>
      </w:r>
      <w:r w:rsidRPr="0029195A">
        <w:t xml:space="preserve"> </w:t>
      </w:r>
      <w:r w:rsidR="009A3DDE" w:rsidRPr="0029195A">
        <w:t xml:space="preserve">DUSC that grandfathered patients could be removed from the financial model as these patients would have been counted from the prevalent pool. </w:t>
      </w:r>
      <w:r w:rsidR="00673128" w:rsidRPr="0029195A">
        <w:t xml:space="preserve">The PBAC noted that the duration of treatment </w:t>
      </w:r>
      <w:r w:rsidR="00950D69" w:rsidRPr="0029195A">
        <w:t xml:space="preserve">included assumptions regarding maintenance therapy and reiterated that the clinical evidence provided did not </w:t>
      </w:r>
      <w:r w:rsidR="00950D69" w:rsidRPr="0029195A">
        <w:lastRenderedPageBreak/>
        <w:t>adequately support such use.</w:t>
      </w:r>
      <w:bookmarkEnd w:id="87"/>
    </w:p>
    <w:p w14:paraId="42D8EDBE" w14:textId="7A3C6187" w:rsidR="00293521" w:rsidRPr="0029195A" w:rsidRDefault="009A3DDE" w:rsidP="00396C36">
      <w:pPr>
        <w:widowControl w:val="0"/>
        <w:numPr>
          <w:ilvl w:val="1"/>
          <w:numId w:val="1"/>
        </w:numPr>
        <w:spacing w:after="120"/>
        <w:ind w:left="720"/>
      </w:pPr>
      <w:r w:rsidRPr="0029195A">
        <w:t xml:space="preserve">The PBAC considered a resubmission for avacopan should </w:t>
      </w:r>
      <w:r w:rsidR="00396C36">
        <w:t xml:space="preserve">be based on the benefits of reducing GC when used as induction therapy. Additional clinical evidence would be required to support broader benefits, including efficacy benefits, when used as induction therapy or to support use as maintenance therapy. The resubmission may be lodged at any future standard due date for PBAC submissions using the standard re-entry pathway. </w:t>
      </w:r>
    </w:p>
    <w:p w14:paraId="4E470D40" w14:textId="77777777" w:rsidR="00EA09CB" w:rsidRPr="0029195A" w:rsidRDefault="0052778A" w:rsidP="0052778A">
      <w:pPr>
        <w:widowControl w:val="0"/>
        <w:numPr>
          <w:ilvl w:val="1"/>
          <w:numId w:val="1"/>
        </w:numPr>
        <w:spacing w:after="120"/>
        <w:ind w:left="720"/>
        <w:jc w:val="left"/>
        <w:rPr>
          <w:rFonts w:asciiTheme="minorHAnsi" w:hAnsiTheme="minorHAnsi"/>
          <w:bCs/>
          <w:snapToGrid w:val="0"/>
          <w:lang w:eastAsia="en-US"/>
        </w:rPr>
      </w:pPr>
      <w:r w:rsidRPr="0029195A">
        <w:rPr>
          <w:rFonts w:asciiTheme="minorHAnsi" w:hAnsiTheme="minorHAnsi"/>
          <w:bCs/>
          <w:snapToGrid w:val="0"/>
          <w:lang w:eastAsia="en-US"/>
        </w:rPr>
        <w:t>The PBAC noted that this submission is</w:t>
      </w:r>
      <w:r w:rsidR="00EA09CB" w:rsidRPr="0029195A">
        <w:rPr>
          <w:rFonts w:asciiTheme="minorHAnsi" w:hAnsiTheme="minorHAnsi"/>
          <w:bCs/>
          <w:snapToGrid w:val="0"/>
          <w:lang w:eastAsia="en-US"/>
        </w:rPr>
        <w:t xml:space="preserve"> </w:t>
      </w:r>
      <w:r w:rsidRPr="0029195A">
        <w:rPr>
          <w:rFonts w:asciiTheme="minorHAnsi" w:hAnsiTheme="minorHAnsi"/>
          <w:bCs/>
          <w:snapToGrid w:val="0"/>
          <w:lang w:eastAsia="en-US"/>
        </w:rPr>
        <w:t xml:space="preserve">eligible for an Independent Review. </w:t>
      </w:r>
    </w:p>
    <w:p w14:paraId="344B6C77" w14:textId="0FC60043" w:rsidR="0052778A" w:rsidRPr="0029195A" w:rsidRDefault="0052778A" w:rsidP="0052778A">
      <w:pPr>
        <w:spacing w:before="240"/>
        <w:rPr>
          <w:rFonts w:asciiTheme="minorHAnsi" w:hAnsiTheme="minorHAnsi"/>
          <w:b/>
          <w:bCs/>
          <w:snapToGrid w:val="0"/>
          <w:lang w:eastAsia="en-US"/>
        </w:rPr>
      </w:pPr>
      <w:r w:rsidRPr="0029195A">
        <w:rPr>
          <w:rFonts w:asciiTheme="minorHAnsi" w:hAnsiTheme="minorHAnsi"/>
          <w:b/>
          <w:bCs/>
          <w:snapToGrid w:val="0"/>
          <w:lang w:eastAsia="en-US"/>
        </w:rPr>
        <w:t>Outcome:</w:t>
      </w:r>
    </w:p>
    <w:p w14:paraId="528DC0F4" w14:textId="54960B1E" w:rsidR="0052778A" w:rsidRDefault="0052778A" w:rsidP="00EA09CB">
      <w:pPr>
        <w:spacing w:after="120"/>
        <w:rPr>
          <w:rFonts w:asciiTheme="minorHAnsi" w:hAnsiTheme="minorHAnsi"/>
          <w:bCs/>
          <w:snapToGrid w:val="0"/>
          <w:lang w:eastAsia="en-US"/>
        </w:rPr>
      </w:pPr>
      <w:r w:rsidRPr="0029195A">
        <w:rPr>
          <w:rFonts w:asciiTheme="minorHAnsi" w:hAnsiTheme="minorHAnsi"/>
          <w:bCs/>
          <w:snapToGrid w:val="0"/>
          <w:lang w:eastAsia="en-US"/>
        </w:rPr>
        <w:t xml:space="preserve">Not recommended </w:t>
      </w:r>
    </w:p>
    <w:p w14:paraId="37C5378B" w14:textId="4874F391" w:rsidR="00950169" w:rsidRPr="00950169" w:rsidRDefault="00950169" w:rsidP="00950169">
      <w:pPr>
        <w:pStyle w:val="2-SectionHeading"/>
        <w:numPr>
          <w:ilvl w:val="0"/>
          <w:numId w:val="1"/>
        </w:numPr>
      </w:pPr>
      <w:r w:rsidRPr="00C07617">
        <w:t>Context for Decision</w:t>
      </w:r>
    </w:p>
    <w:p w14:paraId="23F0A631" w14:textId="77777777" w:rsidR="00950169" w:rsidRPr="007129F2" w:rsidRDefault="00950169" w:rsidP="00950169">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2245F58" w14:textId="6A4ED366" w:rsidR="00950169" w:rsidRPr="00950169" w:rsidRDefault="00950169" w:rsidP="00950169">
      <w:pPr>
        <w:pStyle w:val="2-SectionHeading"/>
        <w:numPr>
          <w:ilvl w:val="0"/>
          <w:numId w:val="1"/>
        </w:numPr>
      </w:pPr>
      <w:r>
        <w:t>Sponsor’s Comment</w:t>
      </w:r>
    </w:p>
    <w:p w14:paraId="1D8891C4" w14:textId="77777777" w:rsidR="00950169" w:rsidRPr="001179AC" w:rsidRDefault="00950169" w:rsidP="00950169">
      <w:pPr>
        <w:spacing w:after="120"/>
        <w:ind w:left="426" w:firstLine="294"/>
        <w:rPr>
          <w:rFonts w:asciiTheme="minorHAnsi" w:hAnsiTheme="minorHAnsi"/>
          <w:bCs/>
        </w:rPr>
      </w:pPr>
      <w:r w:rsidRPr="00C07617">
        <w:rPr>
          <w:rFonts w:asciiTheme="minorHAnsi" w:hAnsiTheme="minorHAnsi"/>
          <w:bCs/>
        </w:rPr>
        <w:t>The sponsor had no comment.</w:t>
      </w:r>
    </w:p>
    <w:p w14:paraId="6999051B" w14:textId="77777777" w:rsidR="00950169" w:rsidRPr="0029195A" w:rsidRDefault="00950169" w:rsidP="00EA09CB">
      <w:pPr>
        <w:spacing w:after="120"/>
        <w:rPr>
          <w:rFonts w:asciiTheme="minorHAnsi" w:hAnsiTheme="minorHAnsi"/>
          <w:bCs/>
          <w:snapToGrid w:val="0"/>
          <w:lang w:eastAsia="en-US"/>
        </w:rPr>
      </w:pPr>
    </w:p>
    <w:bookmarkEnd w:id="78"/>
    <w:bookmarkEnd w:id="79"/>
    <w:bookmarkEnd w:id="71"/>
    <w:sectPr w:rsidR="00950169" w:rsidRPr="0029195A" w:rsidSect="00251006">
      <w:headerReference w:type="default" r:id="rId8"/>
      <w:footerReference w:type="default" r:id="rId9"/>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624E5" w14:textId="77777777" w:rsidR="00E33D14" w:rsidRDefault="00E33D14" w:rsidP="00124A51">
      <w:r>
        <w:separator/>
      </w:r>
    </w:p>
    <w:p w14:paraId="77F22BEC" w14:textId="77777777" w:rsidR="00E33D14" w:rsidRDefault="00E33D14"/>
  </w:endnote>
  <w:endnote w:type="continuationSeparator" w:id="0">
    <w:p w14:paraId="3265781D" w14:textId="77777777" w:rsidR="00E33D14" w:rsidRDefault="00E33D14" w:rsidP="00124A51">
      <w:r>
        <w:continuationSeparator/>
      </w:r>
    </w:p>
    <w:p w14:paraId="79BDB2EB" w14:textId="77777777" w:rsidR="00E33D14" w:rsidRDefault="00E33D14"/>
  </w:endnote>
  <w:endnote w:type="continuationNotice" w:id="1">
    <w:p w14:paraId="13C9DA8D" w14:textId="77777777" w:rsidR="00E33D14" w:rsidRDefault="00E33D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77777777" w:rsidR="00D843F2" w:rsidRPr="004F2C8A" w:rsidRDefault="00D843F2" w:rsidP="00753B29">
    <w:pPr>
      <w:pStyle w:val="Footer"/>
      <w:jc w:val="center"/>
    </w:pPr>
  </w:p>
  <w:p w14:paraId="37484CD3" w14:textId="07AE5F13" w:rsidR="00D843F2" w:rsidRPr="0095760D" w:rsidRDefault="00B10578" w:rsidP="00753B29">
    <w:pPr>
      <w:pStyle w:val="Footer"/>
      <w:jc w:val="center"/>
      <w:rPr>
        <w:b/>
        <w:bCs/>
      </w:rPr>
    </w:pPr>
    <w:sdt>
      <w:sdtPr>
        <w:id w:val="1036156457"/>
        <w:docPartObj>
          <w:docPartGallery w:val="Page Numbers (Bottom of Page)"/>
          <w:docPartUnique/>
        </w:docPartObj>
      </w:sdtPr>
      <w:sdtEndPr>
        <w:rPr>
          <w:b/>
          <w:bCs/>
          <w:noProof/>
        </w:rPr>
      </w:sdtEndPr>
      <w:sdtContent>
        <w:r w:rsidR="00D843F2" w:rsidRPr="0095760D">
          <w:rPr>
            <w:b/>
            <w:bCs/>
          </w:rPr>
          <w:fldChar w:fldCharType="begin"/>
        </w:r>
        <w:r w:rsidR="00D843F2" w:rsidRPr="0095760D">
          <w:rPr>
            <w:b/>
            <w:bCs/>
          </w:rPr>
          <w:instrText xml:space="preserve"> PAGE   \* MERGEFORMAT </w:instrText>
        </w:r>
        <w:r w:rsidR="00D843F2" w:rsidRPr="0095760D">
          <w:rPr>
            <w:b/>
            <w:bCs/>
          </w:rPr>
          <w:fldChar w:fldCharType="separate"/>
        </w:r>
        <w:r w:rsidR="00D843F2" w:rsidRPr="0095760D">
          <w:rPr>
            <w:b/>
            <w:bCs/>
            <w:noProof/>
          </w:rPr>
          <w:t>2</w:t>
        </w:r>
        <w:r w:rsidR="00D843F2" w:rsidRPr="0095760D">
          <w:rPr>
            <w:b/>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CC44F" w14:textId="77777777" w:rsidR="00E33D14" w:rsidRDefault="00E33D14" w:rsidP="00124A51">
      <w:r>
        <w:separator/>
      </w:r>
    </w:p>
    <w:p w14:paraId="262404D6" w14:textId="77777777" w:rsidR="00E33D14" w:rsidRDefault="00E33D14"/>
  </w:footnote>
  <w:footnote w:type="continuationSeparator" w:id="0">
    <w:p w14:paraId="2544E5D8" w14:textId="77777777" w:rsidR="00E33D14" w:rsidRDefault="00E33D14" w:rsidP="00124A51">
      <w:r>
        <w:continuationSeparator/>
      </w:r>
    </w:p>
    <w:p w14:paraId="5F325D78" w14:textId="77777777" w:rsidR="00E33D14" w:rsidRDefault="00E33D14"/>
  </w:footnote>
  <w:footnote w:type="continuationNotice" w:id="1">
    <w:p w14:paraId="59A4342D" w14:textId="77777777" w:rsidR="00E33D14" w:rsidRDefault="00E33D14"/>
  </w:footnote>
  <w:footnote w:id="2">
    <w:p w14:paraId="4F4F9806" w14:textId="358C0E71" w:rsidR="1AB45532" w:rsidRDefault="1AB45532" w:rsidP="0062305B">
      <w:pPr>
        <w:pStyle w:val="FootnoteText"/>
      </w:pPr>
      <w:r w:rsidRPr="1AB45532">
        <w:rPr>
          <w:rStyle w:val="FootnoteReference"/>
        </w:rPr>
        <w:footnoteRef/>
      </w:r>
      <w:r w:rsidR="3A6DCC84">
        <w:t xml:space="preserve"> ”Avacopan for treating severe active granulomatosis with polyangiitis or microscopic polyangiitis – technology appraisal guidance”. Sep 2022. National Institute for Health and Care Excellence. Available at: www.nice.org.uk/guidance/ta825</w:t>
      </w:r>
    </w:p>
  </w:footnote>
  <w:footnote w:id="3">
    <w:p w14:paraId="5620115B" w14:textId="200E47CC" w:rsidR="3E1F767B" w:rsidRDefault="3E1F767B" w:rsidP="0062305B">
      <w:pPr>
        <w:pStyle w:val="FootnoteText"/>
        <w:rPr>
          <w:rFonts w:asciiTheme="minorHAnsi" w:hAnsiTheme="minorHAnsi" w:cstheme="minorBidi"/>
        </w:rPr>
      </w:pPr>
      <w:r w:rsidRPr="3E1F767B">
        <w:rPr>
          <w:rStyle w:val="FootnoteReference"/>
        </w:rPr>
        <w:footnoteRef/>
      </w:r>
      <w:r>
        <w:t xml:space="preserve"> </w:t>
      </w:r>
      <w:r w:rsidRPr="3E1F767B">
        <w:rPr>
          <w:rFonts w:asciiTheme="minorHAnsi" w:eastAsia="Tahoma" w:hAnsiTheme="minorHAnsi" w:cstheme="minorBidi"/>
          <w:lang w:val="fr"/>
        </w:rPr>
        <w:t>Grayson, P. C.</w:t>
      </w:r>
      <w:r w:rsidRPr="3E1F767B">
        <w:rPr>
          <w:rFonts w:asciiTheme="minorHAnsi" w:eastAsia="Tahoma" w:hAnsiTheme="minorHAnsi" w:cstheme="minorBidi"/>
          <w:i/>
          <w:iCs/>
          <w:lang w:val="fr"/>
        </w:rPr>
        <w:t>, et al.</w:t>
      </w:r>
      <w:r w:rsidRPr="3E1F767B">
        <w:rPr>
          <w:rFonts w:asciiTheme="minorHAnsi" w:eastAsia="Tahoma" w:hAnsiTheme="minorHAnsi" w:cstheme="minorBidi"/>
          <w:lang w:val="fr"/>
        </w:rPr>
        <w:t xml:space="preserve"> </w:t>
      </w:r>
      <w:r w:rsidRPr="3E1F767B">
        <w:rPr>
          <w:rFonts w:asciiTheme="minorHAnsi" w:eastAsia="Tahoma" w:hAnsiTheme="minorHAnsi" w:cstheme="minorBidi"/>
          <w:lang w:val="en-US"/>
        </w:rPr>
        <w:t xml:space="preserve">(2013). "New features of disease after diagnosis in 6 forms of systemic vasculitis." </w:t>
      </w:r>
      <w:r w:rsidRPr="3E1F767B">
        <w:rPr>
          <w:rFonts w:asciiTheme="minorHAnsi" w:eastAsia="Tahoma" w:hAnsiTheme="minorHAnsi" w:cstheme="minorBidi"/>
          <w:u w:val="single"/>
          <w:lang w:val="en-US"/>
        </w:rPr>
        <w:t>J Rheumatol</w:t>
      </w:r>
      <w:r w:rsidRPr="3E1F767B">
        <w:rPr>
          <w:rFonts w:asciiTheme="minorHAnsi" w:eastAsia="Tahoma" w:hAnsiTheme="minorHAnsi" w:cstheme="minorBidi"/>
          <w:lang w:val="en-US"/>
        </w:rPr>
        <w:t xml:space="preserve"> </w:t>
      </w:r>
      <w:r w:rsidRPr="3E1F767B">
        <w:rPr>
          <w:rFonts w:asciiTheme="minorHAnsi" w:eastAsia="Tahoma" w:hAnsiTheme="minorHAnsi" w:cstheme="minorBidi"/>
          <w:b/>
          <w:bCs/>
          <w:lang w:val="en-US"/>
        </w:rPr>
        <w:t>40</w:t>
      </w:r>
      <w:r w:rsidRPr="3E1F767B">
        <w:rPr>
          <w:rFonts w:asciiTheme="minorHAnsi" w:eastAsia="Tahoma" w:hAnsiTheme="minorHAnsi" w:cstheme="minorBidi"/>
          <w:lang w:val="en-US"/>
        </w:rPr>
        <w:t>(11): 1905-1912.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E204" w14:textId="61405182" w:rsidR="00D843F2" w:rsidRPr="00195452" w:rsidRDefault="00950169" w:rsidP="00D822E2">
    <w:pPr>
      <w:pStyle w:val="Header"/>
      <w:rPr>
        <w:rFonts w:asciiTheme="minorHAnsi" w:hAnsiTheme="minorHAnsi"/>
        <w:i/>
        <w:color w:val="808080"/>
      </w:rPr>
    </w:pPr>
    <w:r>
      <w:rPr>
        <w:rFonts w:asciiTheme="minorHAnsi" w:hAnsiTheme="minorHAnsi"/>
        <w:i/>
        <w:color w:val="808080"/>
      </w:rPr>
      <w:t>Public Summary Document</w:t>
    </w:r>
    <w:r w:rsidR="0095760D">
      <w:rPr>
        <w:rFonts w:asciiTheme="minorHAnsi" w:hAnsiTheme="minorHAnsi"/>
        <w:i/>
        <w:color w:val="808080"/>
      </w:rPr>
      <w:t xml:space="preserve"> - </w:t>
    </w:r>
    <w:r w:rsidR="00CC263C">
      <w:rPr>
        <w:rFonts w:asciiTheme="minorHAnsi" w:hAnsiTheme="minorHAnsi"/>
        <w:i/>
        <w:color w:val="808080"/>
      </w:rPr>
      <w:t xml:space="preserve">July </w:t>
    </w:r>
    <w:r w:rsidR="00D843F2">
      <w:rPr>
        <w:rFonts w:asciiTheme="minorHAnsi" w:hAnsiTheme="minorHAnsi"/>
        <w:i/>
        <w:color w:val="808080"/>
      </w:rPr>
      <w:t>202</w:t>
    </w:r>
    <w:r w:rsidR="007522FC">
      <w:rPr>
        <w:rFonts w:asciiTheme="minorHAnsi" w:hAnsiTheme="minorHAnsi"/>
        <w:i/>
        <w:color w:val="808080"/>
      </w:rPr>
      <w:t>3</w:t>
    </w:r>
    <w:r w:rsidR="00D843F2">
      <w:rPr>
        <w:rFonts w:asciiTheme="minorHAnsi" w:hAnsiTheme="minorHAnsi"/>
        <w:i/>
        <w:color w:val="808080"/>
      </w:rPr>
      <w:t xml:space="preserve"> </w:t>
    </w:r>
    <w:r w:rsidR="00D843F2" w:rsidRPr="00195452">
      <w:rPr>
        <w:rFonts w:asciiTheme="minorHAnsi" w:hAnsiTheme="minorHAnsi"/>
        <w:i/>
        <w:color w:val="808080"/>
      </w:rPr>
      <w:t>PBAC Meeting</w:t>
    </w:r>
  </w:p>
  <w:p w14:paraId="03AF943B" w14:textId="77777777" w:rsidR="00D843F2" w:rsidRPr="008C7ECB" w:rsidRDefault="00D84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E8460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2F0602"/>
    <w:multiLevelType w:val="hybridMultilevel"/>
    <w:tmpl w:val="42E0108E"/>
    <w:lvl w:ilvl="0" w:tplc="08090001">
      <w:start w:val="1"/>
      <w:numFmt w:val="bullet"/>
      <w:lvlText w:val=""/>
      <w:lvlJc w:val="left"/>
      <w:pPr>
        <w:ind w:left="1363" w:hanging="360"/>
      </w:pPr>
      <w:rPr>
        <w:rFonts w:ascii="Symbol" w:hAnsi="Symbol" w:hint="default"/>
      </w:rPr>
    </w:lvl>
    <w:lvl w:ilvl="1" w:tplc="08090003">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2" w15:restartNumberingAfterBreak="0">
    <w:nsid w:val="22D160FE"/>
    <w:multiLevelType w:val="hybridMultilevel"/>
    <w:tmpl w:val="2F7AD0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DD11E3"/>
    <w:multiLevelType w:val="hybridMultilevel"/>
    <w:tmpl w:val="CC22AED4"/>
    <w:lvl w:ilvl="0" w:tplc="8E90AB30">
      <w:start w:val="1"/>
      <w:numFmt w:val="decimal"/>
      <w:pStyle w:val="ListNos0"/>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A9F4AD9"/>
    <w:multiLevelType w:val="multilevel"/>
    <w:tmpl w:val="631822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8D67A6"/>
    <w:multiLevelType w:val="hybridMultilevel"/>
    <w:tmpl w:val="4B126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7B7A7E"/>
    <w:multiLevelType w:val="hybridMultilevel"/>
    <w:tmpl w:val="EB44275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AA8506A"/>
    <w:multiLevelType w:val="hybridMultilevel"/>
    <w:tmpl w:val="60225DE2"/>
    <w:lvl w:ilvl="0" w:tplc="0C090001">
      <w:start w:val="1"/>
      <w:numFmt w:val="bullet"/>
      <w:lvlText w:val=""/>
      <w:lvlJc w:val="left"/>
      <w:pPr>
        <w:ind w:left="1490" w:hanging="360"/>
      </w:pPr>
      <w:rPr>
        <w:rFonts w:ascii="Symbol" w:hAnsi="Symbol" w:hint="default"/>
      </w:rPr>
    </w:lvl>
    <w:lvl w:ilvl="1" w:tplc="0C090003" w:tentative="1">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tentative="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abstractNum w:abstractNumId="9" w15:restartNumberingAfterBreak="0">
    <w:nsid w:val="54B84E20"/>
    <w:multiLevelType w:val="hybridMultilevel"/>
    <w:tmpl w:val="F32683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6588543B"/>
    <w:multiLevelType w:val="hybridMultilevel"/>
    <w:tmpl w:val="765C3262"/>
    <w:lvl w:ilvl="0" w:tplc="2A7070C2">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59E35D0"/>
    <w:multiLevelType w:val="hybridMultilevel"/>
    <w:tmpl w:val="56F67D1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71AA96D7"/>
    <w:multiLevelType w:val="hybridMultilevel"/>
    <w:tmpl w:val="FFFFFFFF"/>
    <w:lvl w:ilvl="0" w:tplc="522E1C42">
      <w:start w:val="1"/>
      <w:numFmt w:val="bullet"/>
      <w:lvlText w:val=""/>
      <w:lvlJc w:val="left"/>
      <w:pPr>
        <w:ind w:left="720" w:hanging="360"/>
      </w:pPr>
      <w:rPr>
        <w:rFonts w:ascii="Symbol" w:hAnsi="Symbol" w:hint="default"/>
      </w:rPr>
    </w:lvl>
    <w:lvl w:ilvl="1" w:tplc="84DC737A">
      <w:start w:val="1"/>
      <w:numFmt w:val="bullet"/>
      <w:lvlText w:val="o"/>
      <w:lvlJc w:val="left"/>
      <w:pPr>
        <w:ind w:left="1440" w:hanging="360"/>
      </w:pPr>
      <w:rPr>
        <w:rFonts w:ascii="Courier New" w:hAnsi="Courier New" w:hint="default"/>
      </w:rPr>
    </w:lvl>
    <w:lvl w:ilvl="2" w:tplc="702851E6">
      <w:start w:val="1"/>
      <w:numFmt w:val="bullet"/>
      <w:lvlText w:val=""/>
      <w:lvlJc w:val="left"/>
      <w:pPr>
        <w:ind w:left="2160" w:hanging="360"/>
      </w:pPr>
      <w:rPr>
        <w:rFonts w:ascii="Wingdings" w:hAnsi="Wingdings" w:hint="default"/>
      </w:rPr>
    </w:lvl>
    <w:lvl w:ilvl="3" w:tplc="47920ECA">
      <w:start w:val="1"/>
      <w:numFmt w:val="bullet"/>
      <w:lvlText w:val=""/>
      <w:lvlJc w:val="left"/>
      <w:pPr>
        <w:ind w:left="2880" w:hanging="360"/>
      </w:pPr>
      <w:rPr>
        <w:rFonts w:ascii="Symbol" w:hAnsi="Symbol" w:hint="default"/>
      </w:rPr>
    </w:lvl>
    <w:lvl w:ilvl="4" w:tplc="A39E4BBA">
      <w:start w:val="1"/>
      <w:numFmt w:val="bullet"/>
      <w:lvlText w:val="o"/>
      <w:lvlJc w:val="left"/>
      <w:pPr>
        <w:ind w:left="3600" w:hanging="360"/>
      </w:pPr>
      <w:rPr>
        <w:rFonts w:ascii="Courier New" w:hAnsi="Courier New" w:hint="default"/>
      </w:rPr>
    </w:lvl>
    <w:lvl w:ilvl="5" w:tplc="8256BA12">
      <w:start w:val="1"/>
      <w:numFmt w:val="bullet"/>
      <w:lvlText w:val=""/>
      <w:lvlJc w:val="left"/>
      <w:pPr>
        <w:ind w:left="4320" w:hanging="360"/>
      </w:pPr>
      <w:rPr>
        <w:rFonts w:ascii="Wingdings" w:hAnsi="Wingdings" w:hint="default"/>
      </w:rPr>
    </w:lvl>
    <w:lvl w:ilvl="6" w:tplc="B2F868CE">
      <w:start w:val="1"/>
      <w:numFmt w:val="bullet"/>
      <w:lvlText w:val=""/>
      <w:lvlJc w:val="left"/>
      <w:pPr>
        <w:ind w:left="5040" w:hanging="360"/>
      </w:pPr>
      <w:rPr>
        <w:rFonts w:ascii="Symbol" w:hAnsi="Symbol" w:hint="default"/>
      </w:rPr>
    </w:lvl>
    <w:lvl w:ilvl="7" w:tplc="115C49B2">
      <w:start w:val="1"/>
      <w:numFmt w:val="bullet"/>
      <w:lvlText w:val="o"/>
      <w:lvlJc w:val="left"/>
      <w:pPr>
        <w:ind w:left="5760" w:hanging="360"/>
      </w:pPr>
      <w:rPr>
        <w:rFonts w:ascii="Courier New" w:hAnsi="Courier New" w:hint="default"/>
      </w:rPr>
    </w:lvl>
    <w:lvl w:ilvl="8" w:tplc="AD0AC382">
      <w:start w:val="1"/>
      <w:numFmt w:val="bullet"/>
      <w:lvlText w:val=""/>
      <w:lvlJc w:val="left"/>
      <w:pPr>
        <w:ind w:left="6480" w:hanging="360"/>
      </w:pPr>
      <w:rPr>
        <w:rFonts w:ascii="Wingdings" w:hAnsi="Wingdings" w:hint="default"/>
      </w:rPr>
    </w:lvl>
  </w:abstractNum>
  <w:abstractNum w:abstractNumId="14" w15:restartNumberingAfterBreak="0">
    <w:nsid w:val="77192524"/>
    <w:multiLevelType w:val="hybridMultilevel"/>
    <w:tmpl w:val="FFFFFFFF"/>
    <w:lvl w:ilvl="0" w:tplc="519A0FE8">
      <w:start w:val="1"/>
      <w:numFmt w:val="bullet"/>
      <w:lvlText w:val=""/>
      <w:lvlJc w:val="left"/>
      <w:pPr>
        <w:ind w:left="720" w:hanging="360"/>
      </w:pPr>
      <w:rPr>
        <w:rFonts w:ascii="Symbol" w:hAnsi="Symbol" w:hint="default"/>
      </w:rPr>
    </w:lvl>
    <w:lvl w:ilvl="1" w:tplc="8D0C82CA">
      <w:start w:val="1"/>
      <w:numFmt w:val="bullet"/>
      <w:lvlText w:val="o"/>
      <w:lvlJc w:val="left"/>
      <w:pPr>
        <w:ind w:left="1440" w:hanging="360"/>
      </w:pPr>
      <w:rPr>
        <w:rFonts w:ascii="Courier New" w:hAnsi="Courier New" w:hint="default"/>
      </w:rPr>
    </w:lvl>
    <w:lvl w:ilvl="2" w:tplc="E9340E7C">
      <w:start w:val="1"/>
      <w:numFmt w:val="bullet"/>
      <w:lvlText w:val=""/>
      <w:lvlJc w:val="left"/>
      <w:pPr>
        <w:ind w:left="2160" w:hanging="360"/>
      </w:pPr>
      <w:rPr>
        <w:rFonts w:ascii="Wingdings" w:hAnsi="Wingdings" w:hint="default"/>
      </w:rPr>
    </w:lvl>
    <w:lvl w:ilvl="3" w:tplc="3190C6BA">
      <w:start w:val="1"/>
      <w:numFmt w:val="bullet"/>
      <w:lvlText w:val=""/>
      <w:lvlJc w:val="left"/>
      <w:pPr>
        <w:ind w:left="2880" w:hanging="360"/>
      </w:pPr>
      <w:rPr>
        <w:rFonts w:ascii="Symbol" w:hAnsi="Symbol" w:hint="default"/>
      </w:rPr>
    </w:lvl>
    <w:lvl w:ilvl="4" w:tplc="6D70CFDC">
      <w:start w:val="1"/>
      <w:numFmt w:val="bullet"/>
      <w:lvlText w:val="o"/>
      <w:lvlJc w:val="left"/>
      <w:pPr>
        <w:ind w:left="3600" w:hanging="360"/>
      </w:pPr>
      <w:rPr>
        <w:rFonts w:ascii="Courier New" w:hAnsi="Courier New" w:hint="default"/>
      </w:rPr>
    </w:lvl>
    <w:lvl w:ilvl="5" w:tplc="B3A2DD06">
      <w:start w:val="1"/>
      <w:numFmt w:val="bullet"/>
      <w:lvlText w:val=""/>
      <w:lvlJc w:val="left"/>
      <w:pPr>
        <w:ind w:left="4320" w:hanging="360"/>
      </w:pPr>
      <w:rPr>
        <w:rFonts w:ascii="Wingdings" w:hAnsi="Wingdings" w:hint="default"/>
      </w:rPr>
    </w:lvl>
    <w:lvl w:ilvl="6" w:tplc="ACFAA002">
      <w:start w:val="1"/>
      <w:numFmt w:val="bullet"/>
      <w:lvlText w:val=""/>
      <w:lvlJc w:val="left"/>
      <w:pPr>
        <w:ind w:left="5040" w:hanging="360"/>
      </w:pPr>
      <w:rPr>
        <w:rFonts w:ascii="Symbol" w:hAnsi="Symbol" w:hint="default"/>
      </w:rPr>
    </w:lvl>
    <w:lvl w:ilvl="7" w:tplc="00D2CD36">
      <w:start w:val="1"/>
      <w:numFmt w:val="bullet"/>
      <w:lvlText w:val="o"/>
      <w:lvlJc w:val="left"/>
      <w:pPr>
        <w:ind w:left="5760" w:hanging="360"/>
      </w:pPr>
      <w:rPr>
        <w:rFonts w:ascii="Courier New" w:hAnsi="Courier New" w:hint="default"/>
      </w:rPr>
    </w:lvl>
    <w:lvl w:ilvl="8" w:tplc="2DE4CC5E">
      <w:start w:val="1"/>
      <w:numFmt w:val="bullet"/>
      <w:lvlText w:val=""/>
      <w:lvlJc w:val="left"/>
      <w:pPr>
        <w:ind w:left="6480" w:hanging="360"/>
      </w:pPr>
      <w:rPr>
        <w:rFonts w:ascii="Wingdings" w:hAnsi="Wingdings" w:hint="default"/>
      </w:rPr>
    </w:lvl>
  </w:abstractNum>
  <w:abstractNum w:abstractNumId="15" w15:restartNumberingAfterBreak="0">
    <w:nsid w:val="784D033C"/>
    <w:multiLevelType w:val="multilevel"/>
    <w:tmpl w:val="FF7AB02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1003" w:hanging="720"/>
      </w:pPr>
      <w:rPr>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7014914">
    <w:abstractNumId w:val="15"/>
  </w:num>
  <w:num w:numId="2" w16cid:durableId="1578175690">
    <w:abstractNumId w:val="5"/>
  </w:num>
  <w:num w:numId="3" w16cid:durableId="596787327">
    <w:abstractNumId w:val="6"/>
  </w:num>
  <w:num w:numId="4" w16cid:durableId="660740659">
    <w:abstractNumId w:val="0"/>
  </w:num>
  <w:num w:numId="5" w16cid:durableId="109712265">
    <w:abstractNumId w:val="15"/>
  </w:num>
  <w:num w:numId="6" w16cid:durableId="857080950">
    <w:abstractNumId w:val="2"/>
  </w:num>
  <w:num w:numId="7" w16cid:durableId="1465274422">
    <w:abstractNumId w:val="10"/>
  </w:num>
  <w:num w:numId="8" w16cid:durableId="1656952080">
    <w:abstractNumId w:val="14"/>
  </w:num>
  <w:num w:numId="9" w16cid:durableId="30348526">
    <w:abstractNumId w:val="13"/>
  </w:num>
  <w:num w:numId="10" w16cid:durableId="478151219">
    <w:abstractNumId w:val="7"/>
  </w:num>
  <w:num w:numId="11" w16cid:durableId="1288660259">
    <w:abstractNumId w:val="12"/>
  </w:num>
  <w:num w:numId="12" w16cid:durableId="1391269584">
    <w:abstractNumId w:val="9"/>
  </w:num>
  <w:num w:numId="13" w16cid:durableId="322321403">
    <w:abstractNumId w:val="1"/>
  </w:num>
  <w:num w:numId="14" w16cid:durableId="843670619">
    <w:abstractNumId w:val="3"/>
  </w:num>
  <w:num w:numId="15" w16cid:durableId="1042287900">
    <w:abstractNumId w:val="8"/>
  </w:num>
  <w:num w:numId="16" w16cid:durableId="1810398202">
    <w:abstractNumId w:val="11"/>
  </w:num>
  <w:num w:numId="17" w16cid:durableId="109667213">
    <w:abstractNumId w:val="4"/>
  </w:num>
  <w:num w:numId="18" w16cid:durableId="996614979">
    <w:abstractNumId w:val="15"/>
  </w:num>
  <w:num w:numId="19" w16cid:durableId="898635460">
    <w:abstractNumId w:val="15"/>
  </w:num>
  <w:num w:numId="20" w16cid:durableId="584412688">
    <w:abstractNumId w:val="15"/>
  </w:num>
  <w:num w:numId="21" w16cid:durableId="1290010829">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11B8"/>
    <w:rsid w:val="0000187B"/>
    <w:rsid w:val="00001C44"/>
    <w:rsid w:val="00001F05"/>
    <w:rsid w:val="00002E1F"/>
    <w:rsid w:val="0000323E"/>
    <w:rsid w:val="00003499"/>
    <w:rsid w:val="000039B7"/>
    <w:rsid w:val="00003ACE"/>
    <w:rsid w:val="00004050"/>
    <w:rsid w:val="000047FA"/>
    <w:rsid w:val="000056B9"/>
    <w:rsid w:val="000060F6"/>
    <w:rsid w:val="0000639A"/>
    <w:rsid w:val="000065ED"/>
    <w:rsid w:val="000066B0"/>
    <w:rsid w:val="000072DD"/>
    <w:rsid w:val="00007426"/>
    <w:rsid w:val="000079F1"/>
    <w:rsid w:val="00007FF8"/>
    <w:rsid w:val="00010E86"/>
    <w:rsid w:val="00010EC4"/>
    <w:rsid w:val="00010F85"/>
    <w:rsid w:val="000113C8"/>
    <w:rsid w:val="00011BC1"/>
    <w:rsid w:val="00011CC3"/>
    <w:rsid w:val="00011F12"/>
    <w:rsid w:val="000120E8"/>
    <w:rsid w:val="0001217B"/>
    <w:rsid w:val="00012BB2"/>
    <w:rsid w:val="00012DC8"/>
    <w:rsid w:val="00012EE1"/>
    <w:rsid w:val="00013247"/>
    <w:rsid w:val="000135D3"/>
    <w:rsid w:val="00013CC7"/>
    <w:rsid w:val="0001500B"/>
    <w:rsid w:val="00015886"/>
    <w:rsid w:val="000162EF"/>
    <w:rsid w:val="00016531"/>
    <w:rsid w:val="00016B83"/>
    <w:rsid w:val="00017A15"/>
    <w:rsid w:val="00020250"/>
    <w:rsid w:val="00020777"/>
    <w:rsid w:val="000207C9"/>
    <w:rsid w:val="00020878"/>
    <w:rsid w:val="00020C5C"/>
    <w:rsid w:val="00021B47"/>
    <w:rsid w:val="0002225F"/>
    <w:rsid w:val="000222AA"/>
    <w:rsid w:val="00022332"/>
    <w:rsid w:val="000223D9"/>
    <w:rsid w:val="000224E4"/>
    <w:rsid w:val="00022FCD"/>
    <w:rsid w:val="00023763"/>
    <w:rsid w:val="00023E89"/>
    <w:rsid w:val="0002467D"/>
    <w:rsid w:val="00024A64"/>
    <w:rsid w:val="00024DD7"/>
    <w:rsid w:val="00024E9F"/>
    <w:rsid w:val="00024EB5"/>
    <w:rsid w:val="000257E7"/>
    <w:rsid w:val="000258C0"/>
    <w:rsid w:val="00025D10"/>
    <w:rsid w:val="00026360"/>
    <w:rsid w:val="00026CA3"/>
    <w:rsid w:val="00026DE3"/>
    <w:rsid w:val="00026E4A"/>
    <w:rsid w:val="000274B8"/>
    <w:rsid w:val="00027BA4"/>
    <w:rsid w:val="00027DB7"/>
    <w:rsid w:val="00031074"/>
    <w:rsid w:val="000314DE"/>
    <w:rsid w:val="00031841"/>
    <w:rsid w:val="00031F33"/>
    <w:rsid w:val="000327EF"/>
    <w:rsid w:val="000328C0"/>
    <w:rsid w:val="00032A91"/>
    <w:rsid w:val="00032C20"/>
    <w:rsid w:val="000333D5"/>
    <w:rsid w:val="000335FF"/>
    <w:rsid w:val="00033863"/>
    <w:rsid w:val="00033E9E"/>
    <w:rsid w:val="00034277"/>
    <w:rsid w:val="00034C54"/>
    <w:rsid w:val="000356D0"/>
    <w:rsid w:val="00035765"/>
    <w:rsid w:val="00035909"/>
    <w:rsid w:val="00035DC0"/>
    <w:rsid w:val="00035FBA"/>
    <w:rsid w:val="0003640E"/>
    <w:rsid w:val="0003665E"/>
    <w:rsid w:val="00036829"/>
    <w:rsid w:val="00036DF2"/>
    <w:rsid w:val="000374D3"/>
    <w:rsid w:val="0004074B"/>
    <w:rsid w:val="00040895"/>
    <w:rsid w:val="000408CF"/>
    <w:rsid w:val="000410A0"/>
    <w:rsid w:val="000410E7"/>
    <w:rsid w:val="00041D80"/>
    <w:rsid w:val="00041EF9"/>
    <w:rsid w:val="0004246F"/>
    <w:rsid w:val="00042C7E"/>
    <w:rsid w:val="00042CE2"/>
    <w:rsid w:val="000430CF"/>
    <w:rsid w:val="000431AB"/>
    <w:rsid w:val="00043552"/>
    <w:rsid w:val="000435EE"/>
    <w:rsid w:val="00043728"/>
    <w:rsid w:val="00043C37"/>
    <w:rsid w:val="00043CB9"/>
    <w:rsid w:val="00044F6F"/>
    <w:rsid w:val="00045017"/>
    <w:rsid w:val="000452EB"/>
    <w:rsid w:val="00045A2B"/>
    <w:rsid w:val="00045B46"/>
    <w:rsid w:val="00045B85"/>
    <w:rsid w:val="00045D25"/>
    <w:rsid w:val="0004698F"/>
    <w:rsid w:val="00046D64"/>
    <w:rsid w:val="000508C2"/>
    <w:rsid w:val="00050DC4"/>
    <w:rsid w:val="000510F9"/>
    <w:rsid w:val="00051129"/>
    <w:rsid w:val="00051192"/>
    <w:rsid w:val="0005130C"/>
    <w:rsid w:val="0005218D"/>
    <w:rsid w:val="0005254B"/>
    <w:rsid w:val="0005274D"/>
    <w:rsid w:val="000529E4"/>
    <w:rsid w:val="00053667"/>
    <w:rsid w:val="000539AB"/>
    <w:rsid w:val="000539D0"/>
    <w:rsid w:val="00054621"/>
    <w:rsid w:val="000546D7"/>
    <w:rsid w:val="00054A8D"/>
    <w:rsid w:val="00054C4B"/>
    <w:rsid w:val="0005648C"/>
    <w:rsid w:val="00056B1B"/>
    <w:rsid w:val="00056ECF"/>
    <w:rsid w:val="000604DF"/>
    <w:rsid w:val="00060559"/>
    <w:rsid w:val="00061275"/>
    <w:rsid w:val="00061619"/>
    <w:rsid w:val="0006166E"/>
    <w:rsid w:val="000618E0"/>
    <w:rsid w:val="00061EAB"/>
    <w:rsid w:val="00062324"/>
    <w:rsid w:val="00062E28"/>
    <w:rsid w:val="00063660"/>
    <w:rsid w:val="00063B22"/>
    <w:rsid w:val="000641E2"/>
    <w:rsid w:val="000653B5"/>
    <w:rsid w:val="0006551A"/>
    <w:rsid w:val="00065534"/>
    <w:rsid w:val="00065E18"/>
    <w:rsid w:val="00066360"/>
    <w:rsid w:val="000667D3"/>
    <w:rsid w:val="00066AF8"/>
    <w:rsid w:val="00066EEB"/>
    <w:rsid w:val="00067407"/>
    <w:rsid w:val="000677D3"/>
    <w:rsid w:val="00070381"/>
    <w:rsid w:val="000706FE"/>
    <w:rsid w:val="00071129"/>
    <w:rsid w:val="00071248"/>
    <w:rsid w:val="000720B9"/>
    <w:rsid w:val="00072C77"/>
    <w:rsid w:val="000737F7"/>
    <w:rsid w:val="00073BF2"/>
    <w:rsid w:val="00073BFA"/>
    <w:rsid w:val="0007582A"/>
    <w:rsid w:val="000760AA"/>
    <w:rsid w:val="0007672F"/>
    <w:rsid w:val="000768AF"/>
    <w:rsid w:val="00076AA3"/>
    <w:rsid w:val="00076B54"/>
    <w:rsid w:val="00076E5C"/>
    <w:rsid w:val="000774AD"/>
    <w:rsid w:val="000774F0"/>
    <w:rsid w:val="000775AB"/>
    <w:rsid w:val="00080909"/>
    <w:rsid w:val="000812CA"/>
    <w:rsid w:val="00081E63"/>
    <w:rsid w:val="0008245B"/>
    <w:rsid w:val="0008258D"/>
    <w:rsid w:val="000825C8"/>
    <w:rsid w:val="000833CF"/>
    <w:rsid w:val="00083D82"/>
    <w:rsid w:val="00083E99"/>
    <w:rsid w:val="00083F33"/>
    <w:rsid w:val="00083F9C"/>
    <w:rsid w:val="00084FA8"/>
    <w:rsid w:val="000856C5"/>
    <w:rsid w:val="00085C31"/>
    <w:rsid w:val="000863C9"/>
    <w:rsid w:val="000865A8"/>
    <w:rsid w:val="00086DF3"/>
    <w:rsid w:val="000871D2"/>
    <w:rsid w:val="000902D9"/>
    <w:rsid w:val="00090C7E"/>
    <w:rsid w:val="000911AC"/>
    <w:rsid w:val="00091401"/>
    <w:rsid w:val="00091B67"/>
    <w:rsid w:val="00092600"/>
    <w:rsid w:val="0009262B"/>
    <w:rsid w:val="00093310"/>
    <w:rsid w:val="000938D3"/>
    <w:rsid w:val="00093C52"/>
    <w:rsid w:val="0009445C"/>
    <w:rsid w:val="00094637"/>
    <w:rsid w:val="000947DE"/>
    <w:rsid w:val="00095200"/>
    <w:rsid w:val="00095FE5"/>
    <w:rsid w:val="00096284"/>
    <w:rsid w:val="00096E08"/>
    <w:rsid w:val="00097AEF"/>
    <w:rsid w:val="00097CAE"/>
    <w:rsid w:val="00097D2D"/>
    <w:rsid w:val="00097F3B"/>
    <w:rsid w:val="000A0018"/>
    <w:rsid w:val="000A0439"/>
    <w:rsid w:val="000A1B36"/>
    <w:rsid w:val="000A1BC0"/>
    <w:rsid w:val="000A1C5F"/>
    <w:rsid w:val="000A224B"/>
    <w:rsid w:val="000A2F9E"/>
    <w:rsid w:val="000A36DF"/>
    <w:rsid w:val="000A38D5"/>
    <w:rsid w:val="000A3E47"/>
    <w:rsid w:val="000A4378"/>
    <w:rsid w:val="000A522B"/>
    <w:rsid w:val="000A5509"/>
    <w:rsid w:val="000A5864"/>
    <w:rsid w:val="000A6039"/>
    <w:rsid w:val="000A61D0"/>
    <w:rsid w:val="000A64CB"/>
    <w:rsid w:val="000A6D8D"/>
    <w:rsid w:val="000A6DEF"/>
    <w:rsid w:val="000A7453"/>
    <w:rsid w:val="000A771F"/>
    <w:rsid w:val="000A7D08"/>
    <w:rsid w:val="000B0121"/>
    <w:rsid w:val="000B0670"/>
    <w:rsid w:val="000B0DC9"/>
    <w:rsid w:val="000B0E75"/>
    <w:rsid w:val="000B164D"/>
    <w:rsid w:val="000B17BC"/>
    <w:rsid w:val="000B1C05"/>
    <w:rsid w:val="000B2ACE"/>
    <w:rsid w:val="000B2B1D"/>
    <w:rsid w:val="000B2D5A"/>
    <w:rsid w:val="000B2DCB"/>
    <w:rsid w:val="000B4034"/>
    <w:rsid w:val="000B43E5"/>
    <w:rsid w:val="000B4614"/>
    <w:rsid w:val="000B49ED"/>
    <w:rsid w:val="000B5CE0"/>
    <w:rsid w:val="000B65E9"/>
    <w:rsid w:val="000B6CAC"/>
    <w:rsid w:val="000B7358"/>
    <w:rsid w:val="000B75F3"/>
    <w:rsid w:val="000B7612"/>
    <w:rsid w:val="000B78AE"/>
    <w:rsid w:val="000B794C"/>
    <w:rsid w:val="000B7F32"/>
    <w:rsid w:val="000C024A"/>
    <w:rsid w:val="000C126B"/>
    <w:rsid w:val="000C193C"/>
    <w:rsid w:val="000C221D"/>
    <w:rsid w:val="000C2810"/>
    <w:rsid w:val="000C32F1"/>
    <w:rsid w:val="000C36A3"/>
    <w:rsid w:val="000C392B"/>
    <w:rsid w:val="000C3DF9"/>
    <w:rsid w:val="000C3FF4"/>
    <w:rsid w:val="000C4555"/>
    <w:rsid w:val="000C4CF2"/>
    <w:rsid w:val="000C5067"/>
    <w:rsid w:val="000C52CB"/>
    <w:rsid w:val="000C5382"/>
    <w:rsid w:val="000C6275"/>
    <w:rsid w:val="000C6713"/>
    <w:rsid w:val="000C6C32"/>
    <w:rsid w:val="000C6EE4"/>
    <w:rsid w:val="000D1095"/>
    <w:rsid w:val="000D1BFC"/>
    <w:rsid w:val="000D1D5D"/>
    <w:rsid w:val="000D1DF4"/>
    <w:rsid w:val="000D2097"/>
    <w:rsid w:val="000D281A"/>
    <w:rsid w:val="000D2848"/>
    <w:rsid w:val="000D2F27"/>
    <w:rsid w:val="000D2F91"/>
    <w:rsid w:val="000D326A"/>
    <w:rsid w:val="000D381C"/>
    <w:rsid w:val="000D3A88"/>
    <w:rsid w:val="000D3EEB"/>
    <w:rsid w:val="000D41EB"/>
    <w:rsid w:val="000D453D"/>
    <w:rsid w:val="000D4B16"/>
    <w:rsid w:val="000D4B1E"/>
    <w:rsid w:val="000D51FB"/>
    <w:rsid w:val="000D5975"/>
    <w:rsid w:val="000D5986"/>
    <w:rsid w:val="000D5D97"/>
    <w:rsid w:val="000D66EC"/>
    <w:rsid w:val="000D68DA"/>
    <w:rsid w:val="000D6B63"/>
    <w:rsid w:val="000D734C"/>
    <w:rsid w:val="000E05DB"/>
    <w:rsid w:val="000E0640"/>
    <w:rsid w:val="000E0745"/>
    <w:rsid w:val="000E135D"/>
    <w:rsid w:val="000E1BDE"/>
    <w:rsid w:val="000E265D"/>
    <w:rsid w:val="000E40E6"/>
    <w:rsid w:val="000E4A03"/>
    <w:rsid w:val="000E50E4"/>
    <w:rsid w:val="000E5328"/>
    <w:rsid w:val="000E5A88"/>
    <w:rsid w:val="000E70FD"/>
    <w:rsid w:val="000E727A"/>
    <w:rsid w:val="000E73A2"/>
    <w:rsid w:val="000E77DC"/>
    <w:rsid w:val="000F00BA"/>
    <w:rsid w:val="000F01F8"/>
    <w:rsid w:val="000F07B1"/>
    <w:rsid w:val="000F0B03"/>
    <w:rsid w:val="000F0DF3"/>
    <w:rsid w:val="000F248B"/>
    <w:rsid w:val="000F316A"/>
    <w:rsid w:val="000F3C74"/>
    <w:rsid w:val="000F41F2"/>
    <w:rsid w:val="000F4204"/>
    <w:rsid w:val="000F4BB8"/>
    <w:rsid w:val="000F4D4C"/>
    <w:rsid w:val="000F4FA9"/>
    <w:rsid w:val="000F52FA"/>
    <w:rsid w:val="000F53FB"/>
    <w:rsid w:val="000F568E"/>
    <w:rsid w:val="000F6B71"/>
    <w:rsid w:val="000F6C54"/>
    <w:rsid w:val="000F7127"/>
    <w:rsid w:val="000F7B54"/>
    <w:rsid w:val="001000B3"/>
    <w:rsid w:val="0010027D"/>
    <w:rsid w:val="00100649"/>
    <w:rsid w:val="00100F8A"/>
    <w:rsid w:val="00101022"/>
    <w:rsid w:val="001011A2"/>
    <w:rsid w:val="00101B24"/>
    <w:rsid w:val="00101C22"/>
    <w:rsid w:val="00102DAF"/>
    <w:rsid w:val="00102F89"/>
    <w:rsid w:val="001034D8"/>
    <w:rsid w:val="00104481"/>
    <w:rsid w:val="0010452E"/>
    <w:rsid w:val="00104676"/>
    <w:rsid w:val="00105AE2"/>
    <w:rsid w:val="0010604F"/>
    <w:rsid w:val="001060C6"/>
    <w:rsid w:val="0010635C"/>
    <w:rsid w:val="00106B80"/>
    <w:rsid w:val="00107C51"/>
    <w:rsid w:val="0011032E"/>
    <w:rsid w:val="0011048E"/>
    <w:rsid w:val="00110511"/>
    <w:rsid w:val="0011081A"/>
    <w:rsid w:val="001108E3"/>
    <w:rsid w:val="00112CAF"/>
    <w:rsid w:val="0011348B"/>
    <w:rsid w:val="00113A41"/>
    <w:rsid w:val="00113DAE"/>
    <w:rsid w:val="0011454C"/>
    <w:rsid w:val="00114B63"/>
    <w:rsid w:val="00115586"/>
    <w:rsid w:val="0011579F"/>
    <w:rsid w:val="00115982"/>
    <w:rsid w:val="00116169"/>
    <w:rsid w:val="00116235"/>
    <w:rsid w:val="001162C8"/>
    <w:rsid w:val="00116C53"/>
    <w:rsid w:val="00117990"/>
    <w:rsid w:val="00117C94"/>
    <w:rsid w:val="00117E21"/>
    <w:rsid w:val="00117FD3"/>
    <w:rsid w:val="00121799"/>
    <w:rsid w:val="00121FBB"/>
    <w:rsid w:val="001222FC"/>
    <w:rsid w:val="00122FE8"/>
    <w:rsid w:val="00123902"/>
    <w:rsid w:val="001248DA"/>
    <w:rsid w:val="00124A51"/>
    <w:rsid w:val="00125081"/>
    <w:rsid w:val="001255DA"/>
    <w:rsid w:val="00125F50"/>
    <w:rsid w:val="001261BA"/>
    <w:rsid w:val="00126621"/>
    <w:rsid w:val="00126B1D"/>
    <w:rsid w:val="00126F30"/>
    <w:rsid w:val="001272A6"/>
    <w:rsid w:val="001273B4"/>
    <w:rsid w:val="00127C86"/>
    <w:rsid w:val="001301E9"/>
    <w:rsid w:val="001304A3"/>
    <w:rsid w:val="00130E3D"/>
    <w:rsid w:val="00131381"/>
    <w:rsid w:val="00131415"/>
    <w:rsid w:val="001318E0"/>
    <w:rsid w:val="00131D82"/>
    <w:rsid w:val="00132398"/>
    <w:rsid w:val="0013291C"/>
    <w:rsid w:val="00132A84"/>
    <w:rsid w:val="00132B22"/>
    <w:rsid w:val="00133144"/>
    <w:rsid w:val="00133D36"/>
    <w:rsid w:val="00134219"/>
    <w:rsid w:val="00134F53"/>
    <w:rsid w:val="001356F5"/>
    <w:rsid w:val="00135C03"/>
    <w:rsid w:val="00136027"/>
    <w:rsid w:val="0013643F"/>
    <w:rsid w:val="0013699B"/>
    <w:rsid w:val="00137445"/>
    <w:rsid w:val="001375B7"/>
    <w:rsid w:val="00137645"/>
    <w:rsid w:val="0014015A"/>
    <w:rsid w:val="0014044A"/>
    <w:rsid w:val="00140E99"/>
    <w:rsid w:val="00141790"/>
    <w:rsid w:val="00142645"/>
    <w:rsid w:val="001429B4"/>
    <w:rsid w:val="00142A5E"/>
    <w:rsid w:val="00142CBA"/>
    <w:rsid w:val="00142D86"/>
    <w:rsid w:val="0014308F"/>
    <w:rsid w:val="00143626"/>
    <w:rsid w:val="00143822"/>
    <w:rsid w:val="001439EC"/>
    <w:rsid w:val="00143D5C"/>
    <w:rsid w:val="00143F67"/>
    <w:rsid w:val="00144A01"/>
    <w:rsid w:val="00145234"/>
    <w:rsid w:val="00145540"/>
    <w:rsid w:val="001456B0"/>
    <w:rsid w:val="001457C3"/>
    <w:rsid w:val="00145A16"/>
    <w:rsid w:val="001462FA"/>
    <w:rsid w:val="00146F1B"/>
    <w:rsid w:val="0014763C"/>
    <w:rsid w:val="00147C9A"/>
    <w:rsid w:val="00150875"/>
    <w:rsid w:val="001514F1"/>
    <w:rsid w:val="00151590"/>
    <w:rsid w:val="001517F0"/>
    <w:rsid w:val="00151FFE"/>
    <w:rsid w:val="00152356"/>
    <w:rsid w:val="00152857"/>
    <w:rsid w:val="001547AB"/>
    <w:rsid w:val="00154B85"/>
    <w:rsid w:val="001550B1"/>
    <w:rsid w:val="00155385"/>
    <w:rsid w:val="00155838"/>
    <w:rsid w:val="001563AC"/>
    <w:rsid w:val="0015667C"/>
    <w:rsid w:val="00156F8F"/>
    <w:rsid w:val="00156FF8"/>
    <w:rsid w:val="00157130"/>
    <w:rsid w:val="00157226"/>
    <w:rsid w:val="0015739F"/>
    <w:rsid w:val="001576B1"/>
    <w:rsid w:val="00157D88"/>
    <w:rsid w:val="00160370"/>
    <w:rsid w:val="0016047B"/>
    <w:rsid w:val="00160A4C"/>
    <w:rsid w:val="00161199"/>
    <w:rsid w:val="00162507"/>
    <w:rsid w:val="00162913"/>
    <w:rsid w:val="00163C6B"/>
    <w:rsid w:val="00163EFF"/>
    <w:rsid w:val="00163F66"/>
    <w:rsid w:val="001642DC"/>
    <w:rsid w:val="00164737"/>
    <w:rsid w:val="0016478E"/>
    <w:rsid w:val="00164ABC"/>
    <w:rsid w:val="00165234"/>
    <w:rsid w:val="00165423"/>
    <w:rsid w:val="00165699"/>
    <w:rsid w:val="00165788"/>
    <w:rsid w:val="00165EC4"/>
    <w:rsid w:val="001661FB"/>
    <w:rsid w:val="00166C7D"/>
    <w:rsid w:val="00167096"/>
    <w:rsid w:val="001671A0"/>
    <w:rsid w:val="001671DF"/>
    <w:rsid w:val="0016767F"/>
    <w:rsid w:val="00170C29"/>
    <w:rsid w:val="0017167D"/>
    <w:rsid w:val="001727A5"/>
    <w:rsid w:val="0017284B"/>
    <w:rsid w:val="00173565"/>
    <w:rsid w:val="0017391C"/>
    <w:rsid w:val="00173B07"/>
    <w:rsid w:val="00173BEA"/>
    <w:rsid w:val="001751FA"/>
    <w:rsid w:val="001753AC"/>
    <w:rsid w:val="00175C49"/>
    <w:rsid w:val="00175FDF"/>
    <w:rsid w:val="001769DE"/>
    <w:rsid w:val="001819BF"/>
    <w:rsid w:val="00181C10"/>
    <w:rsid w:val="00181D9C"/>
    <w:rsid w:val="0018239E"/>
    <w:rsid w:val="00182837"/>
    <w:rsid w:val="001828CD"/>
    <w:rsid w:val="001837FF"/>
    <w:rsid w:val="00184B0E"/>
    <w:rsid w:val="00184DAD"/>
    <w:rsid w:val="0018501F"/>
    <w:rsid w:val="0018533B"/>
    <w:rsid w:val="00185AC9"/>
    <w:rsid w:val="00186436"/>
    <w:rsid w:val="0018752F"/>
    <w:rsid w:val="001903C4"/>
    <w:rsid w:val="00191240"/>
    <w:rsid w:val="001914EB"/>
    <w:rsid w:val="001915ED"/>
    <w:rsid w:val="00191A03"/>
    <w:rsid w:val="00191D1E"/>
    <w:rsid w:val="001922BD"/>
    <w:rsid w:val="00192F4E"/>
    <w:rsid w:val="001937BF"/>
    <w:rsid w:val="00193838"/>
    <w:rsid w:val="001943BF"/>
    <w:rsid w:val="001948FA"/>
    <w:rsid w:val="00194AD8"/>
    <w:rsid w:val="00195222"/>
    <w:rsid w:val="00195452"/>
    <w:rsid w:val="00195A37"/>
    <w:rsid w:val="00196695"/>
    <w:rsid w:val="00197119"/>
    <w:rsid w:val="001975D8"/>
    <w:rsid w:val="00197FE9"/>
    <w:rsid w:val="0019EB46"/>
    <w:rsid w:val="001A178E"/>
    <w:rsid w:val="001A1BF1"/>
    <w:rsid w:val="001A1DF0"/>
    <w:rsid w:val="001A1E60"/>
    <w:rsid w:val="001A302B"/>
    <w:rsid w:val="001A347F"/>
    <w:rsid w:val="001A3804"/>
    <w:rsid w:val="001A43FA"/>
    <w:rsid w:val="001A47C5"/>
    <w:rsid w:val="001A579B"/>
    <w:rsid w:val="001A5991"/>
    <w:rsid w:val="001A59FB"/>
    <w:rsid w:val="001A5E9E"/>
    <w:rsid w:val="001A6354"/>
    <w:rsid w:val="001A6366"/>
    <w:rsid w:val="001A69BB"/>
    <w:rsid w:val="001A7148"/>
    <w:rsid w:val="001A7487"/>
    <w:rsid w:val="001A7764"/>
    <w:rsid w:val="001A7AE8"/>
    <w:rsid w:val="001A7C47"/>
    <w:rsid w:val="001B09DB"/>
    <w:rsid w:val="001B10D8"/>
    <w:rsid w:val="001B204E"/>
    <w:rsid w:val="001B2372"/>
    <w:rsid w:val="001B2E29"/>
    <w:rsid w:val="001B3443"/>
    <w:rsid w:val="001B4D20"/>
    <w:rsid w:val="001B5761"/>
    <w:rsid w:val="001B5A1C"/>
    <w:rsid w:val="001B60BC"/>
    <w:rsid w:val="001B65BF"/>
    <w:rsid w:val="001B6C93"/>
    <w:rsid w:val="001B7A95"/>
    <w:rsid w:val="001B7BB1"/>
    <w:rsid w:val="001B7C89"/>
    <w:rsid w:val="001B7F84"/>
    <w:rsid w:val="001C0DAE"/>
    <w:rsid w:val="001C1851"/>
    <w:rsid w:val="001C1E9C"/>
    <w:rsid w:val="001C239F"/>
    <w:rsid w:val="001C2A9B"/>
    <w:rsid w:val="001C2E0B"/>
    <w:rsid w:val="001C2F29"/>
    <w:rsid w:val="001C36AD"/>
    <w:rsid w:val="001C3BCB"/>
    <w:rsid w:val="001C3DD6"/>
    <w:rsid w:val="001C4299"/>
    <w:rsid w:val="001C4874"/>
    <w:rsid w:val="001C5387"/>
    <w:rsid w:val="001C5600"/>
    <w:rsid w:val="001C5DDD"/>
    <w:rsid w:val="001C5F94"/>
    <w:rsid w:val="001C6927"/>
    <w:rsid w:val="001C6E59"/>
    <w:rsid w:val="001C6E66"/>
    <w:rsid w:val="001C70DD"/>
    <w:rsid w:val="001C7488"/>
    <w:rsid w:val="001C7559"/>
    <w:rsid w:val="001C7757"/>
    <w:rsid w:val="001D1100"/>
    <w:rsid w:val="001D1246"/>
    <w:rsid w:val="001D1251"/>
    <w:rsid w:val="001D1391"/>
    <w:rsid w:val="001D2289"/>
    <w:rsid w:val="001D25D7"/>
    <w:rsid w:val="001D25E4"/>
    <w:rsid w:val="001D28DD"/>
    <w:rsid w:val="001D312E"/>
    <w:rsid w:val="001D38F3"/>
    <w:rsid w:val="001D4571"/>
    <w:rsid w:val="001D4986"/>
    <w:rsid w:val="001D50B2"/>
    <w:rsid w:val="001D5622"/>
    <w:rsid w:val="001D5A0B"/>
    <w:rsid w:val="001D5DAB"/>
    <w:rsid w:val="001D6050"/>
    <w:rsid w:val="001D643B"/>
    <w:rsid w:val="001D6C33"/>
    <w:rsid w:val="001D71F4"/>
    <w:rsid w:val="001D7645"/>
    <w:rsid w:val="001D7A13"/>
    <w:rsid w:val="001E0D6F"/>
    <w:rsid w:val="001E1E86"/>
    <w:rsid w:val="001E238E"/>
    <w:rsid w:val="001E2483"/>
    <w:rsid w:val="001E2B1E"/>
    <w:rsid w:val="001E2CFF"/>
    <w:rsid w:val="001E2E3C"/>
    <w:rsid w:val="001E2F24"/>
    <w:rsid w:val="001E30D4"/>
    <w:rsid w:val="001E310F"/>
    <w:rsid w:val="001E34DF"/>
    <w:rsid w:val="001E3D03"/>
    <w:rsid w:val="001E3E2C"/>
    <w:rsid w:val="001E518A"/>
    <w:rsid w:val="001E52EB"/>
    <w:rsid w:val="001E561E"/>
    <w:rsid w:val="001E589E"/>
    <w:rsid w:val="001E5E01"/>
    <w:rsid w:val="001E61D2"/>
    <w:rsid w:val="001E6368"/>
    <w:rsid w:val="001E6CB2"/>
    <w:rsid w:val="001E6E4C"/>
    <w:rsid w:val="001E740C"/>
    <w:rsid w:val="001E7713"/>
    <w:rsid w:val="001E77D3"/>
    <w:rsid w:val="001E7854"/>
    <w:rsid w:val="001F0B38"/>
    <w:rsid w:val="001F0EB2"/>
    <w:rsid w:val="001F1222"/>
    <w:rsid w:val="001F1235"/>
    <w:rsid w:val="001F1807"/>
    <w:rsid w:val="001F1CB3"/>
    <w:rsid w:val="001F320C"/>
    <w:rsid w:val="001F38B5"/>
    <w:rsid w:val="001F3B90"/>
    <w:rsid w:val="001F3CA3"/>
    <w:rsid w:val="001F4081"/>
    <w:rsid w:val="001F5BBF"/>
    <w:rsid w:val="001F5D3E"/>
    <w:rsid w:val="001F6664"/>
    <w:rsid w:val="001F7342"/>
    <w:rsid w:val="001F7361"/>
    <w:rsid w:val="001F74CF"/>
    <w:rsid w:val="001F7506"/>
    <w:rsid w:val="001F7EC6"/>
    <w:rsid w:val="00200184"/>
    <w:rsid w:val="00200324"/>
    <w:rsid w:val="002011B0"/>
    <w:rsid w:val="00201587"/>
    <w:rsid w:val="002028C9"/>
    <w:rsid w:val="00203181"/>
    <w:rsid w:val="0020332C"/>
    <w:rsid w:val="002034AF"/>
    <w:rsid w:val="00203783"/>
    <w:rsid w:val="0020385F"/>
    <w:rsid w:val="00203EFA"/>
    <w:rsid w:val="00205334"/>
    <w:rsid w:val="0020572A"/>
    <w:rsid w:val="00206038"/>
    <w:rsid w:val="002064DB"/>
    <w:rsid w:val="002068A0"/>
    <w:rsid w:val="00206B66"/>
    <w:rsid w:val="00206FC5"/>
    <w:rsid w:val="00207021"/>
    <w:rsid w:val="0020732F"/>
    <w:rsid w:val="00207498"/>
    <w:rsid w:val="00207D00"/>
    <w:rsid w:val="002101CE"/>
    <w:rsid w:val="002105C1"/>
    <w:rsid w:val="00210C41"/>
    <w:rsid w:val="002116FD"/>
    <w:rsid w:val="00211BA6"/>
    <w:rsid w:val="00213C8F"/>
    <w:rsid w:val="00213EF5"/>
    <w:rsid w:val="00215241"/>
    <w:rsid w:val="00215426"/>
    <w:rsid w:val="00216625"/>
    <w:rsid w:val="00216A1B"/>
    <w:rsid w:val="00216BF5"/>
    <w:rsid w:val="00216E9C"/>
    <w:rsid w:val="00217A03"/>
    <w:rsid w:val="00217EFF"/>
    <w:rsid w:val="0022061D"/>
    <w:rsid w:val="002206F4"/>
    <w:rsid w:val="00221BE7"/>
    <w:rsid w:val="00222BFF"/>
    <w:rsid w:val="00223341"/>
    <w:rsid w:val="0022398E"/>
    <w:rsid w:val="00223AA6"/>
    <w:rsid w:val="00223B49"/>
    <w:rsid w:val="00223D5A"/>
    <w:rsid w:val="00223E5D"/>
    <w:rsid w:val="002249BD"/>
    <w:rsid w:val="00224DD4"/>
    <w:rsid w:val="002251EE"/>
    <w:rsid w:val="00225345"/>
    <w:rsid w:val="00225A1D"/>
    <w:rsid w:val="00225C29"/>
    <w:rsid w:val="0022637D"/>
    <w:rsid w:val="002278A0"/>
    <w:rsid w:val="0023091B"/>
    <w:rsid w:val="002309CC"/>
    <w:rsid w:val="00231349"/>
    <w:rsid w:val="00231BA9"/>
    <w:rsid w:val="0023209F"/>
    <w:rsid w:val="002330AE"/>
    <w:rsid w:val="00233C01"/>
    <w:rsid w:val="00233ECB"/>
    <w:rsid w:val="0023413C"/>
    <w:rsid w:val="00234313"/>
    <w:rsid w:val="002346F0"/>
    <w:rsid w:val="0023528B"/>
    <w:rsid w:val="00235EBF"/>
    <w:rsid w:val="0023629D"/>
    <w:rsid w:val="0023720E"/>
    <w:rsid w:val="00237255"/>
    <w:rsid w:val="00237CCB"/>
    <w:rsid w:val="00240A67"/>
    <w:rsid w:val="0024179C"/>
    <w:rsid w:val="00241B03"/>
    <w:rsid w:val="002424AF"/>
    <w:rsid w:val="00242D9F"/>
    <w:rsid w:val="00242FEB"/>
    <w:rsid w:val="00243044"/>
    <w:rsid w:val="00243124"/>
    <w:rsid w:val="002439DC"/>
    <w:rsid w:val="002441D2"/>
    <w:rsid w:val="002442FA"/>
    <w:rsid w:val="002447F9"/>
    <w:rsid w:val="0024494E"/>
    <w:rsid w:val="00244A48"/>
    <w:rsid w:val="00244ACF"/>
    <w:rsid w:val="00244DC8"/>
    <w:rsid w:val="002458BA"/>
    <w:rsid w:val="00245AFF"/>
    <w:rsid w:val="00245CE9"/>
    <w:rsid w:val="002460F3"/>
    <w:rsid w:val="0024636C"/>
    <w:rsid w:val="00247841"/>
    <w:rsid w:val="00247925"/>
    <w:rsid w:val="00247B45"/>
    <w:rsid w:val="00251006"/>
    <w:rsid w:val="002524D5"/>
    <w:rsid w:val="00253737"/>
    <w:rsid w:val="00253A89"/>
    <w:rsid w:val="00253B1D"/>
    <w:rsid w:val="00253E10"/>
    <w:rsid w:val="002540CE"/>
    <w:rsid w:val="002548F7"/>
    <w:rsid w:val="00254B6F"/>
    <w:rsid w:val="00254DCF"/>
    <w:rsid w:val="00254F5C"/>
    <w:rsid w:val="0025534B"/>
    <w:rsid w:val="002554A0"/>
    <w:rsid w:val="00255A26"/>
    <w:rsid w:val="00255BB7"/>
    <w:rsid w:val="002564AD"/>
    <w:rsid w:val="002566E1"/>
    <w:rsid w:val="002572EB"/>
    <w:rsid w:val="00257541"/>
    <w:rsid w:val="0025761E"/>
    <w:rsid w:val="0025774A"/>
    <w:rsid w:val="00257A39"/>
    <w:rsid w:val="00257AC4"/>
    <w:rsid w:val="00257BBE"/>
    <w:rsid w:val="002605CA"/>
    <w:rsid w:val="0026063B"/>
    <w:rsid w:val="00261908"/>
    <w:rsid w:val="002619B1"/>
    <w:rsid w:val="00261BA2"/>
    <w:rsid w:val="00261EEF"/>
    <w:rsid w:val="00262A1A"/>
    <w:rsid w:val="00262A87"/>
    <w:rsid w:val="00264D26"/>
    <w:rsid w:val="002650D9"/>
    <w:rsid w:val="0026522E"/>
    <w:rsid w:val="0026537B"/>
    <w:rsid w:val="00266905"/>
    <w:rsid w:val="00267642"/>
    <w:rsid w:val="002676CD"/>
    <w:rsid w:val="00267981"/>
    <w:rsid w:val="00267AEA"/>
    <w:rsid w:val="00267DE1"/>
    <w:rsid w:val="00267DFA"/>
    <w:rsid w:val="002700E6"/>
    <w:rsid w:val="00270C95"/>
    <w:rsid w:val="00270E37"/>
    <w:rsid w:val="0027145D"/>
    <w:rsid w:val="002716D1"/>
    <w:rsid w:val="002717B4"/>
    <w:rsid w:val="00271B94"/>
    <w:rsid w:val="0027232E"/>
    <w:rsid w:val="0027294B"/>
    <w:rsid w:val="0027363D"/>
    <w:rsid w:val="0027371A"/>
    <w:rsid w:val="00273EB4"/>
    <w:rsid w:val="00273EFC"/>
    <w:rsid w:val="00274682"/>
    <w:rsid w:val="00274C12"/>
    <w:rsid w:val="00275158"/>
    <w:rsid w:val="00275C5A"/>
    <w:rsid w:val="00275D6E"/>
    <w:rsid w:val="00275E39"/>
    <w:rsid w:val="00276377"/>
    <w:rsid w:val="00276E4A"/>
    <w:rsid w:val="002771A6"/>
    <w:rsid w:val="00277AE8"/>
    <w:rsid w:val="00281014"/>
    <w:rsid w:val="002820DF"/>
    <w:rsid w:val="00283ECC"/>
    <w:rsid w:val="002853D2"/>
    <w:rsid w:val="002857C8"/>
    <w:rsid w:val="00285BCE"/>
    <w:rsid w:val="00285F19"/>
    <w:rsid w:val="002864CE"/>
    <w:rsid w:val="0028665D"/>
    <w:rsid w:val="002870AA"/>
    <w:rsid w:val="002902EB"/>
    <w:rsid w:val="00290547"/>
    <w:rsid w:val="002914C2"/>
    <w:rsid w:val="0029195A"/>
    <w:rsid w:val="002922F5"/>
    <w:rsid w:val="00293521"/>
    <w:rsid w:val="0029427C"/>
    <w:rsid w:val="002954A8"/>
    <w:rsid w:val="00297602"/>
    <w:rsid w:val="0029793D"/>
    <w:rsid w:val="002A14AB"/>
    <w:rsid w:val="002A2658"/>
    <w:rsid w:val="002A28A3"/>
    <w:rsid w:val="002A2ADE"/>
    <w:rsid w:val="002A2B6B"/>
    <w:rsid w:val="002A2F50"/>
    <w:rsid w:val="002A3F44"/>
    <w:rsid w:val="002A7943"/>
    <w:rsid w:val="002A8BD4"/>
    <w:rsid w:val="002B00B3"/>
    <w:rsid w:val="002B00C8"/>
    <w:rsid w:val="002B05A1"/>
    <w:rsid w:val="002B09A4"/>
    <w:rsid w:val="002B1207"/>
    <w:rsid w:val="002B1C1F"/>
    <w:rsid w:val="002B2891"/>
    <w:rsid w:val="002B339E"/>
    <w:rsid w:val="002B4139"/>
    <w:rsid w:val="002B432F"/>
    <w:rsid w:val="002B47BB"/>
    <w:rsid w:val="002B482A"/>
    <w:rsid w:val="002B4CDB"/>
    <w:rsid w:val="002B564D"/>
    <w:rsid w:val="002B62B3"/>
    <w:rsid w:val="002B6618"/>
    <w:rsid w:val="002B6754"/>
    <w:rsid w:val="002B6CCE"/>
    <w:rsid w:val="002C0654"/>
    <w:rsid w:val="002C1DEF"/>
    <w:rsid w:val="002C20C9"/>
    <w:rsid w:val="002C2510"/>
    <w:rsid w:val="002C26D0"/>
    <w:rsid w:val="002C2775"/>
    <w:rsid w:val="002C27C1"/>
    <w:rsid w:val="002C2B09"/>
    <w:rsid w:val="002C2DEF"/>
    <w:rsid w:val="002C36E3"/>
    <w:rsid w:val="002C3F84"/>
    <w:rsid w:val="002C5099"/>
    <w:rsid w:val="002C5417"/>
    <w:rsid w:val="002C5889"/>
    <w:rsid w:val="002C59B2"/>
    <w:rsid w:val="002C67DD"/>
    <w:rsid w:val="002C6CE3"/>
    <w:rsid w:val="002C71CE"/>
    <w:rsid w:val="002C71D0"/>
    <w:rsid w:val="002C7B55"/>
    <w:rsid w:val="002D08F8"/>
    <w:rsid w:val="002D0B69"/>
    <w:rsid w:val="002D1D39"/>
    <w:rsid w:val="002D3EF7"/>
    <w:rsid w:val="002D577C"/>
    <w:rsid w:val="002D5D7E"/>
    <w:rsid w:val="002D6E78"/>
    <w:rsid w:val="002D75FB"/>
    <w:rsid w:val="002D776D"/>
    <w:rsid w:val="002D7832"/>
    <w:rsid w:val="002E066E"/>
    <w:rsid w:val="002E0B2B"/>
    <w:rsid w:val="002E0E5B"/>
    <w:rsid w:val="002E0EC9"/>
    <w:rsid w:val="002E1071"/>
    <w:rsid w:val="002E1418"/>
    <w:rsid w:val="002E15B9"/>
    <w:rsid w:val="002E2158"/>
    <w:rsid w:val="002E368F"/>
    <w:rsid w:val="002E3D08"/>
    <w:rsid w:val="002E3E3B"/>
    <w:rsid w:val="002E4354"/>
    <w:rsid w:val="002E4A77"/>
    <w:rsid w:val="002E4F02"/>
    <w:rsid w:val="002E507C"/>
    <w:rsid w:val="002E5A9C"/>
    <w:rsid w:val="002E5AEF"/>
    <w:rsid w:val="002E673C"/>
    <w:rsid w:val="002E6E34"/>
    <w:rsid w:val="002E7722"/>
    <w:rsid w:val="002E7E3F"/>
    <w:rsid w:val="002EC790"/>
    <w:rsid w:val="002F00F4"/>
    <w:rsid w:val="002F07BA"/>
    <w:rsid w:val="002F0DA9"/>
    <w:rsid w:val="002F0E7D"/>
    <w:rsid w:val="002F1014"/>
    <w:rsid w:val="002F1681"/>
    <w:rsid w:val="002F1E3B"/>
    <w:rsid w:val="002F220B"/>
    <w:rsid w:val="002F2883"/>
    <w:rsid w:val="002F31FC"/>
    <w:rsid w:val="002F47E2"/>
    <w:rsid w:val="002F643C"/>
    <w:rsid w:val="002F679D"/>
    <w:rsid w:val="002F6D6D"/>
    <w:rsid w:val="002F71C0"/>
    <w:rsid w:val="002F74F1"/>
    <w:rsid w:val="002F7B12"/>
    <w:rsid w:val="003009E8"/>
    <w:rsid w:val="00301017"/>
    <w:rsid w:val="0030155F"/>
    <w:rsid w:val="00301F90"/>
    <w:rsid w:val="00302403"/>
    <w:rsid w:val="003025A6"/>
    <w:rsid w:val="0030587B"/>
    <w:rsid w:val="00305F0F"/>
    <w:rsid w:val="003069D8"/>
    <w:rsid w:val="00306CAD"/>
    <w:rsid w:val="00306D98"/>
    <w:rsid w:val="00306EF8"/>
    <w:rsid w:val="0030786C"/>
    <w:rsid w:val="0031031A"/>
    <w:rsid w:val="003107A9"/>
    <w:rsid w:val="00310981"/>
    <w:rsid w:val="003109C0"/>
    <w:rsid w:val="00310AF3"/>
    <w:rsid w:val="00310E1F"/>
    <w:rsid w:val="003113B7"/>
    <w:rsid w:val="00311D86"/>
    <w:rsid w:val="00311D9B"/>
    <w:rsid w:val="00311EA7"/>
    <w:rsid w:val="003120F6"/>
    <w:rsid w:val="003124D9"/>
    <w:rsid w:val="00312594"/>
    <w:rsid w:val="00313009"/>
    <w:rsid w:val="00314039"/>
    <w:rsid w:val="003147C9"/>
    <w:rsid w:val="00315498"/>
    <w:rsid w:val="003158E5"/>
    <w:rsid w:val="0031605B"/>
    <w:rsid w:val="003161C6"/>
    <w:rsid w:val="00316474"/>
    <w:rsid w:val="00316EC4"/>
    <w:rsid w:val="00316FE4"/>
    <w:rsid w:val="00317000"/>
    <w:rsid w:val="003171C6"/>
    <w:rsid w:val="0032025B"/>
    <w:rsid w:val="00321D0C"/>
    <w:rsid w:val="00322107"/>
    <w:rsid w:val="00322355"/>
    <w:rsid w:val="00322846"/>
    <w:rsid w:val="00322C01"/>
    <w:rsid w:val="00323167"/>
    <w:rsid w:val="00323DAE"/>
    <w:rsid w:val="0032480B"/>
    <w:rsid w:val="00325445"/>
    <w:rsid w:val="00326B7B"/>
    <w:rsid w:val="00326DA7"/>
    <w:rsid w:val="00326E4B"/>
    <w:rsid w:val="003270E4"/>
    <w:rsid w:val="003273E0"/>
    <w:rsid w:val="003279C6"/>
    <w:rsid w:val="0033084E"/>
    <w:rsid w:val="00330890"/>
    <w:rsid w:val="00330D73"/>
    <w:rsid w:val="00330DAA"/>
    <w:rsid w:val="00330F5C"/>
    <w:rsid w:val="00331129"/>
    <w:rsid w:val="00331246"/>
    <w:rsid w:val="0033175C"/>
    <w:rsid w:val="00332149"/>
    <w:rsid w:val="003323E9"/>
    <w:rsid w:val="00333873"/>
    <w:rsid w:val="0033389B"/>
    <w:rsid w:val="00334B18"/>
    <w:rsid w:val="00335DF6"/>
    <w:rsid w:val="00336096"/>
    <w:rsid w:val="003366C9"/>
    <w:rsid w:val="003371B0"/>
    <w:rsid w:val="00337DB5"/>
    <w:rsid w:val="00337F54"/>
    <w:rsid w:val="00340B08"/>
    <w:rsid w:val="00340DF1"/>
    <w:rsid w:val="00341122"/>
    <w:rsid w:val="0034175D"/>
    <w:rsid w:val="003420B3"/>
    <w:rsid w:val="00342E3A"/>
    <w:rsid w:val="00344A39"/>
    <w:rsid w:val="00344DAC"/>
    <w:rsid w:val="00344F05"/>
    <w:rsid w:val="0034673F"/>
    <w:rsid w:val="00346990"/>
    <w:rsid w:val="003469D2"/>
    <w:rsid w:val="0034746D"/>
    <w:rsid w:val="0034799C"/>
    <w:rsid w:val="00347B9D"/>
    <w:rsid w:val="00350101"/>
    <w:rsid w:val="003501CE"/>
    <w:rsid w:val="0035084C"/>
    <w:rsid w:val="003517F9"/>
    <w:rsid w:val="00351BA9"/>
    <w:rsid w:val="00352AE2"/>
    <w:rsid w:val="0035354B"/>
    <w:rsid w:val="00353AE3"/>
    <w:rsid w:val="00354F64"/>
    <w:rsid w:val="003555A2"/>
    <w:rsid w:val="0035615A"/>
    <w:rsid w:val="0035620E"/>
    <w:rsid w:val="003569A9"/>
    <w:rsid w:val="00356D9D"/>
    <w:rsid w:val="00356EAF"/>
    <w:rsid w:val="0035758A"/>
    <w:rsid w:val="003575BE"/>
    <w:rsid w:val="00357AF5"/>
    <w:rsid w:val="00360345"/>
    <w:rsid w:val="00360705"/>
    <w:rsid w:val="0036097D"/>
    <w:rsid w:val="00361623"/>
    <w:rsid w:val="00361A05"/>
    <w:rsid w:val="00362447"/>
    <w:rsid w:val="003624C4"/>
    <w:rsid w:val="00362A3E"/>
    <w:rsid w:val="00363B00"/>
    <w:rsid w:val="00363C2A"/>
    <w:rsid w:val="00364260"/>
    <w:rsid w:val="003654AC"/>
    <w:rsid w:val="00365716"/>
    <w:rsid w:val="00366724"/>
    <w:rsid w:val="00366BA1"/>
    <w:rsid w:val="00366CD5"/>
    <w:rsid w:val="00367055"/>
    <w:rsid w:val="00370E87"/>
    <w:rsid w:val="003710CF"/>
    <w:rsid w:val="003721D5"/>
    <w:rsid w:val="0037358A"/>
    <w:rsid w:val="003735B2"/>
    <w:rsid w:val="0037383D"/>
    <w:rsid w:val="00374159"/>
    <w:rsid w:val="00374CD0"/>
    <w:rsid w:val="003750F6"/>
    <w:rsid w:val="0037571D"/>
    <w:rsid w:val="00375A1D"/>
    <w:rsid w:val="00375FB2"/>
    <w:rsid w:val="003760FC"/>
    <w:rsid w:val="00377E7A"/>
    <w:rsid w:val="00377EBB"/>
    <w:rsid w:val="0038065A"/>
    <w:rsid w:val="00382EAE"/>
    <w:rsid w:val="003830DF"/>
    <w:rsid w:val="003831CF"/>
    <w:rsid w:val="003831DF"/>
    <w:rsid w:val="0038365C"/>
    <w:rsid w:val="0038369B"/>
    <w:rsid w:val="00383B78"/>
    <w:rsid w:val="0038492D"/>
    <w:rsid w:val="00385170"/>
    <w:rsid w:val="00385A9D"/>
    <w:rsid w:val="003860BF"/>
    <w:rsid w:val="00387121"/>
    <w:rsid w:val="003876EE"/>
    <w:rsid w:val="00387A48"/>
    <w:rsid w:val="00390242"/>
    <w:rsid w:val="003902B1"/>
    <w:rsid w:val="003908D8"/>
    <w:rsid w:val="00391101"/>
    <w:rsid w:val="0039179C"/>
    <w:rsid w:val="0039231B"/>
    <w:rsid w:val="00392A2B"/>
    <w:rsid w:val="00393B67"/>
    <w:rsid w:val="00394A65"/>
    <w:rsid w:val="00395092"/>
    <w:rsid w:val="00395B12"/>
    <w:rsid w:val="00395B56"/>
    <w:rsid w:val="00395F8C"/>
    <w:rsid w:val="003966B2"/>
    <w:rsid w:val="00396896"/>
    <w:rsid w:val="00396C36"/>
    <w:rsid w:val="00396DF9"/>
    <w:rsid w:val="00396FD0"/>
    <w:rsid w:val="003974B0"/>
    <w:rsid w:val="003979B2"/>
    <w:rsid w:val="003A0254"/>
    <w:rsid w:val="003A1A7A"/>
    <w:rsid w:val="003A1F74"/>
    <w:rsid w:val="003A1FF6"/>
    <w:rsid w:val="003A2392"/>
    <w:rsid w:val="003A2397"/>
    <w:rsid w:val="003A2831"/>
    <w:rsid w:val="003A2ABC"/>
    <w:rsid w:val="003A2CA3"/>
    <w:rsid w:val="003A34AD"/>
    <w:rsid w:val="003A34FC"/>
    <w:rsid w:val="003A3CB6"/>
    <w:rsid w:val="003A3ED1"/>
    <w:rsid w:val="003A41DB"/>
    <w:rsid w:val="003A44DB"/>
    <w:rsid w:val="003A4C14"/>
    <w:rsid w:val="003A4D3D"/>
    <w:rsid w:val="003A56D4"/>
    <w:rsid w:val="003A60E1"/>
    <w:rsid w:val="003A6309"/>
    <w:rsid w:val="003A64E1"/>
    <w:rsid w:val="003A68A9"/>
    <w:rsid w:val="003A6E26"/>
    <w:rsid w:val="003A79C1"/>
    <w:rsid w:val="003A7AE3"/>
    <w:rsid w:val="003B00EB"/>
    <w:rsid w:val="003B042E"/>
    <w:rsid w:val="003B2419"/>
    <w:rsid w:val="003B3971"/>
    <w:rsid w:val="003B3E48"/>
    <w:rsid w:val="003B41A5"/>
    <w:rsid w:val="003B42DF"/>
    <w:rsid w:val="003B437B"/>
    <w:rsid w:val="003B52CA"/>
    <w:rsid w:val="003B5483"/>
    <w:rsid w:val="003B55D1"/>
    <w:rsid w:val="003B5B61"/>
    <w:rsid w:val="003B63D0"/>
    <w:rsid w:val="003B6640"/>
    <w:rsid w:val="003B697A"/>
    <w:rsid w:val="003B7FD5"/>
    <w:rsid w:val="003C0B0E"/>
    <w:rsid w:val="003C1654"/>
    <w:rsid w:val="003C1670"/>
    <w:rsid w:val="003C16D7"/>
    <w:rsid w:val="003C19B2"/>
    <w:rsid w:val="003C4CB5"/>
    <w:rsid w:val="003C5542"/>
    <w:rsid w:val="003C55A7"/>
    <w:rsid w:val="003C5F31"/>
    <w:rsid w:val="003C6089"/>
    <w:rsid w:val="003C657A"/>
    <w:rsid w:val="003C65D8"/>
    <w:rsid w:val="003C6B2A"/>
    <w:rsid w:val="003C6D34"/>
    <w:rsid w:val="003C7468"/>
    <w:rsid w:val="003C7696"/>
    <w:rsid w:val="003C7884"/>
    <w:rsid w:val="003C7C15"/>
    <w:rsid w:val="003C7D19"/>
    <w:rsid w:val="003C7D2F"/>
    <w:rsid w:val="003D0BB2"/>
    <w:rsid w:val="003D0C5A"/>
    <w:rsid w:val="003D15BE"/>
    <w:rsid w:val="003D1828"/>
    <w:rsid w:val="003D1DE4"/>
    <w:rsid w:val="003D1E9A"/>
    <w:rsid w:val="003D1F04"/>
    <w:rsid w:val="003D209F"/>
    <w:rsid w:val="003D2173"/>
    <w:rsid w:val="003D2422"/>
    <w:rsid w:val="003D2872"/>
    <w:rsid w:val="003D3390"/>
    <w:rsid w:val="003D3546"/>
    <w:rsid w:val="003D39A1"/>
    <w:rsid w:val="003D3FBF"/>
    <w:rsid w:val="003D4782"/>
    <w:rsid w:val="003D4A30"/>
    <w:rsid w:val="003D511B"/>
    <w:rsid w:val="003D541A"/>
    <w:rsid w:val="003D6261"/>
    <w:rsid w:val="003D69F2"/>
    <w:rsid w:val="003D6F84"/>
    <w:rsid w:val="003D7452"/>
    <w:rsid w:val="003D79BB"/>
    <w:rsid w:val="003D7C98"/>
    <w:rsid w:val="003D7D9D"/>
    <w:rsid w:val="003E02D4"/>
    <w:rsid w:val="003E0543"/>
    <w:rsid w:val="003E0D53"/>
    <w:rsid w:val="003E1A30"/>
    <w:rsid w:val="003E2AB5"/>
    <w:rsid w:val="003E2AE5"/>
    <w:rsid w:val="003E4179"/>
    <w:rsid w:val="003E489F"/>
    <w:rsid w:val="003E48F2"/>
    <w:rsid w:val="003E4A94"/>
    <w:rsid w:val="003E53CD"/>
    <w:rsid w:val="003E5603"/>
    <w:rsid w:val="003E57D3"/>
    <w:rsid w:val="003E593A"/>
    <w:rsid w:val="003E5D4F"/>
    <w:rsid w:val="003E6111"/>
    <w:rsid w:val="003E6830"/>
    <w:rsid w:val="003E706E"/>
    <w:rsid w:val="003E7144"/>
    <w:rsid w:val="003E749E"/>
    <w:rsid w:val="003F0967"/>
    <w:rsid w:val="003F0FEA"/>
    <w:rsid w:val="003F1CBA"/>
    <w:rsid w:val="003F4156"/>
    <w:rsid w:val="003F4AEE"/>
    <w:rsid w:val="003F4C58"/>
    <w:rsid w:val="003F5ADF"/>
    <w:rsid w:val="003F5C1C"/>
    <w:rsid w:val="003F6093"/>
    <w:rsid w:val="003F6102"/>
    <w:rsid w:val="003F76A2"/>
    <w:rsid w:val="004004A4"/>
    <w:rsid w:val="00400B29"/>
    <w:rsid w:val="00400C30"/>
    <w:rsid w:val="00400D2C"/>
    <w:rsid w:val="00402812"/>
    <w:rsid w:val="0040380D"/>
    <w:rsid w:val="00403883"/>
    <w:rsid w:val="00403EC9"/>
    <w:rsid w:val="0040464A"/>
    <w:rsid w:val="0040504B"/>
    <w:rsid w:val="004051ED"/>
    <w:rsid w:val="004053FB"/>
    <w:rsid w:val="00405422"/>
    <w:rsid w:val="004059F4"/>
    <w:rsid w:val="00406454"/>
    <w:rsid w:val="00406EC1"/>
    <w:rsid w:val="004078C4"/>
    <w:rsid w:val="00407FE5"/>
    <w:rsid w:val="00410148"/>
    <w:rsid w:val="004101B0"/>
    <w:rsid w:val="00410326"/>
    <w:rsid w:val="00410649"/>
    <w:rsid w:val="00410708"/>
    <w:rsid w:val="00410DB6"/>
    <w:rsid w:val="00410EC7"/>
    <w:rsid w:val="00411269"/>
    <w:rsid w:val="00411469"/>
    <w:rsid w:val="0041181B"/>
    <w:rsid w:val="00411B39"/>
    <w:rsid w:val="00411EDA"/>
    <w:rsid w:val="004127A7"/>
    <w:rsid w:val="004127A9"/>
    <w:rsid w:val="00413073"/>
    <w:rsid w:val="00413A1E"/>
    <w:rsid w:val="00413A8F"/>
    <w:rsid w:val="004142B3"/>
    <w:rsid w:val="0041430B"/>
    <w:rsid w:val="00414476"/>
    <w:rsid w:val="00414BCB"/>
    <w:rsid w:val="00414C2E"/>
    <w:rsid w:val="004151CF"/>
    <w:rsid w:val="004155B4"/>
    <w:rsid w:val="00416364"/>
    <w:rsid w:val="00416428"/>
    <w:rsid w:val="00416725"/>
    <w:rsid w:val="004200BE"/>
    <w:rsid w:val="0042047F"/>
    <w:rsid w:val="00420A78"/>
    <w:rsid w:val="00420AA6"/>
    <w:rsid w:val="00420B9F"/>
    <w:rsid w:val="00421500"/>
    <w:rsid w:val="0042192C"/>
    <w:rsid w:val="00422260"/>
    <w:rsid w:val="0042277C"/>
    <w:rsid w:val="00422D5D"/>
    <w:rsid w:val="00422DBB"/>
    <w:rsid w:val="00423CDF"/>
    <w:rsid w:val="00423FE2"/>
    <w:rsid w:val="00424130"/>
    <w:rsid w:val="0042413F"/>
    <w:rsid w:val="00424724"/>
    <w:rsid w:val="004247B5"/>
    <w:rsid w:val="00425289"/>
    <w:rsid w:val="00425E44"/>
    <w:rsid w:val="004266F3"/>
    <w:rsid w:val="00426708"/>
    <w:rsid w:val="0042695C"/>
    <w:rsid w:val="004271B6"/>
    <w:rsid w:val="004303FE"/>
    <w:rsid w:val="004308F8"/>
    <w:rsid w:val="00430D3C"/>
    <w:rsid w:val="00430D61"/>
    <w:rsid w:val="004316BD"/>
    <w:rsid w:val="004319F8"/>
    <w:rsid w:val="00431E55"/>
    <w:rsid w:val="004321F6"/>
    <w:rsid w:val="00432A89"/>
    <w:rsid w:val="00432AD6"/>
    <w:rsid w:val="00433044"/>
    <w:rsid w:val="00433D40"/>
    <w:rsid w:val="00434088"/>
    <w:rsid w:val="00434AF2"/>
    <w:rsid w:val="0043608D"/>
    <w:rsid w:val="00436A64"/>
    <w:rsid w:val="004370EC"/>
    <w:rsid w:val="004375B9"/>
    <w:rsid w:val="004375F8"/>
    <w:rsid w:val="00437BD4"/>
    <w:rsid w:val="00440555"/>
    <w:rsid w:val="004406E3"/>
    <w:rsid w:val="00440E6E"/>
    <w:rsid w:val="004411B8"/>
    <w:rsid w:val="004417D1"/>
    <w:rsid w:val="004417DB"/>
    <w:rsid w:val="0044200F"/>
    <w:rsid w:val="004427C3"/>
    <w:rsid w:val="004428D0"/>
    <w:rsid w:val="0044390C"/>
    <w:rsid w:val="00443D6E"/>
    <w:rsid w:val="00443E6A"/>
    <w:rsid w:val="004440F8"/>
    <w:rsid w:val="00444185"/>
    <w:rsid w:val="004443A7"/>
    <w:rsid w:val="0044442C"/>
    <w:rsid w:val="00444974"/>
    <w:rsid w:val="0044535A"/>
    <w:rsid w:val="00445941"/>
    <w:rsid w:val="00445A95"/>
    <w:rsid w:val="0044613B"/>
    <w:rsid w:val="004464EB"/>
    <w:rsid w:val="004477E1"/>
    <w:rsid w:val="00447D26"/>
    <w:rsid w:val="00447DFC"/>
    <w:rsid w:val="00447FD7"/>
    <w:rsid w:val="0045014D"/>
    <w:rsid w:val="00450D34"/>
    <w:rsid w:val="00450E89"/>
    <w:rsid w:val="00452FCD"/>
    <w:rsid w:val="00453032"/>
    <w:rsid w:val="004544AC"/>
    <w:rsid w:val="0045450B"/>
    <w:rsid w:val="0045567A"/>
    <w:rsid w:val="00455835"/>
    <w:rsid w:val="00455D45"/>
    <w:rsid w:val="00457160"/>
    <w:rsid w:val="00461582"/>
    <w:rsid w:val="00461DB1"/>
    <w:rsid w:val="00462814"/>
    <w:rsid w:val="00462859"/>
    <w:rsid w:val="00462F07"/>
    <w:rsid w:val="00463433"/>
    <w:rsid w:val="00464595"/>
    <w:rsid w:val="004658B5"/>
    <w:rsid w:val="00465DBB"/>
    <w:rsid w:val="00466472"/>
    <w:rsid w:val="00466B46"/>
    <w:rsid w:val="00466B8D"/>
    <w:rsid w:val="00466BCC"/>
    <w:rsid w:val="00466CD3"/>
    <w:rsid w:val="0046764C"/>
    <w:rsid w:val="004676EF"/>
    <w:rsid w:val="00467E20"/>
    <w:rsid w:val="00470A6C"/>
    <w:rsid w:val="00470B59"/>
    <w:rsid w:val="004715E4"/>
    <w:rsid w:val="00471EA5"/>
    <w:rsid w:val="00472A79"/>
    <w:rsid w:val="00473E6F"/>
    <w:rsid w:val="00473F19"/>
    <w:rsid w:val="004744C5"/>
    <w:rsid w:val="00474F88"/>
    <w:rsid w:val="00475E22"/>
    <w:rsid w:val="00476176"/>
    <w:rsid w:val="00476469"/>
    <w:rsid w:val="00476879"/>
    <w:rsid w:val="00476BB0"/>
    <w:rsid w:val="004775F1"/>
    <w:rsid w:val="0048070A"/>
    <w:rsid w:val="0048088E"/>
    <w:rsid w:val="00480CDD"/>
    <w:rsid w:val="00480F2B"/>
    <w:rsid w:val="004813DE"/>
    <w:rsid w:val="00481408"/>
    <w:rsid w:val="004819FE"/>
    <w:rsid w:val="00482143"/>
    <w:rsid w:val="00482720"/>
    <w:rsid w:val="004827E6"/>
    <w:rsid w:val="00482DBB"/>
    <w:rsid w:val="004835E7"/>
    <w:rsid w:val="00483F9F"/>
    <w:rsid w:val="0048462E"/>
    <w:rsid w:val="004847C9"/>
    <w:rsid w:val="00484E67"/>
    <w:rsid w:val="004853D2"/>
    <w:rsid w:val="004856D4"/>
    <w:rsid w:val="004859E1"/>
    <w:rsid w:val="00485C65"/>
    <w:rsid w:val="0048644A"/>
    <w:rsid w:val="004867E2"/>
    <w:rsid w:val="00486FB3"/>
    <w:rsid w:val="00487650"/>
    <w:rsid w:val="00490035"/>
    <w:rsid w:val="00490B17"/>
    <w:rsid w:val="004914DC"/>
    <w:rsid w:val="00491B3A"/>
    <w:rsid w:val="00491C42"/>
    <w:rsid w:val="00492CFD"/>
    <w:rsid w:val="00492DAD"/>
    <w:rsid w:val="00494044"/>
    <w:rsid w:val="00494207"/>
    <w:rsid w:val="004942F3"/>
    <w:rsid w:val="00494554"/>
    <w:rsid w:val="0049481F"/>
    <w:rsid w:val="00494DD5"/>
    <w:rsid w:val="004952A0"/>
    <w:rsid w:val="0049585F"/>
    <w:rsid w:val="004962D2"/>
    <w:rsid w:val="00497823"/>
    <w:rsid w:val="004978FD"/>
    <w:rsid w:val="004A0DA1"/>
    <w:rsid w:val="004A0F66"/>
    <w:rsid w:val="004A13D6"/>
    <w:rsid w:val="004A168A"/>
    <w:rsid w:val="004A1859"/>
    <w:rsid w:val="004A2FFC"/>
    <w:rsid w:val="004A3B4D"/>
    <w:rsid w:val="004A49AA"/>
    <w:rsid w:val="004A4BDA"/>
    <w:rsid w:val="004A52E9"/>
    <w:rsid w:val="004A538E"/>
    <w:rsid w:val="004A586C"/>
    <w:rsid w:val="004A5C81"/>
    <w:rsid w:val="004A6040"/>
    <w:rsid w:val="004A623A"/>
    <w:rsid w:val="004A6597"/>
    <w:rsid w:val="004A6AD5"/>
    <w:rsid w:val="004A6D4E"/>
    <w:rsid w:val="004A7848"/>
    <w:rsid w:val="004A793B"/>
    <w:rsid w:val="004A7FA3"/>
    <w:rsid w:val="004B03D3"/>
    <w:rsid w:val="004B04DA"/>
    <w:rsid w:val="004B06E1"/>
    <w:rsid w:val="004B0DE2"/>
    <w:rsid w:val="004B1CB4"/>
    <w:rsid w:val="004B201F"/>
    <w:rsid w:val="004B20FD"/>
    <w:rsid w:val="004B2F18"/>
    <w:rsid w:val="004B3053"/>
    <w:rsid w:val="004B336B"/>
    <w:rsid w:val="004B3DDB"/>
    <w:rsid w:val="004B423B"/>
    <w:rsid w:val="004B44FD"/>
    <w:rsid w:val="004B519C"/>
    <w:rsid w:val="004B5273"/>
    <w:rsid w:val="004B5425"/>
    <w:rsid w:val="004B5CFC"/>
    <w:rsid w:val="004B6F79"/>
    <w:rsid w:val="004B72CC"/>
    <w:rsid w:val="004B754A"/>
    <w:rsid w:val="004B7563"/>
    <w:rsid w:val="004B774D"/>
    <w:rsid w:val="004B7C38"/>
    <w:rsid w:val="004B7F45"/>
    <w:rsid w:val="004C0383"/>
    <w:rsid w:val="004C05C3"/>
    <w:rsid w:val="004C0AF6"/>
    <w:rsid w:val="004C171D"/>
    <w:rsid w:val="004C18D9"/>
    <w:rsid w:val="004C2452"/>
    <w:rsid w:val="004C2AC2"/>
    <w:rsid w:val="004C348C"/>
    <w:rsid w:val="004C4143"/>
    <w:rsid w:val="004C4946"/>
    <w:rsid w:val="004C4AED"/>
    <w:rsid w:val="004C4EDD"/>
    <w:rsid w:val="004C51AF"/>
    <w:rsid w:val="004C55BB"/>
    <w:rsid w:val="004C5668"/>
    <w:rsid w:val="004C59B4"/>
    <w:rsid w:val="004C5A80"/>
    <w:rsid w:val="004C63E0"/>
    <w:rsid w:val="004C64F9"/>
    <w:rsid w:val="004C7A7F"/>
    <w:rsid w:val="004D08EF"/>
    <w:rsid w:val="004D1684"/>
    <w:rsid w:val="004D1685"/>
    <w:rsid w:val="004D25B6"/>
    <w:rsid w:val="004D2C2D"/>
    <w:rsid w:val="004D2E80"/>
    <w:rsid w:val="004D3100"/>
    <w:rsid w:val="004D3B9C"/>
    <w:rsid w:val="004D43D9"/>
    <w:rsid w:val="004D4FEF"/>
    <w:rsid w:val="004D5A75"/>
    <w:rsid w:val="004D63E1"/>
    <w:rsid w:val="004D658C"/>
    <w:rsid w:val="004D69B5"/>
    <w:rsid w:val="004D7227"/>
    <w:rsid w:val="004D7B1B"/>
    <w:rsid w:val="004D7B5E"/>
    <w:rsid w:val="004D7D3A"/>
    <w:rsid w:val="004D7EF4"/>
    <w:rsid w:val="004E0047"/>
    <w:rsid w:val="004E07BD"/>
    <w:rsid w:val="004E0B99"/>
    <w:rsid w:val="004E0E7F"/>
    <w:rsid w:val="004E0EB8"/>
    <w:rsid w:val="004E16C5"/>
    <w:rsid w:val="004E18E9"/>
    <w:rsid w:val="004E2375"/>
    <w:rsid w:val="004E2A13"/>
    <w:rsid w:val="004E2ADC"/>
    <w:rsid w:val="004E2C6E"/>
    <w:rsid w:val="004E3379"/>
    <w:rsid w:val="004E3DA0"/>
    <w:rsid w:val="004E3EB0"/>
    <w:rsid w:val="004E43B2"/>
    <w:rsid w:val="004E59B1"/>
    <w:rsid w:val="004E69AE"/>
    <w:rsid w:val="004E6E9E"/>
    <w:rsid w:val="004F0000"/>
    <w:rsid w:val="004F13A6"/>
    <w:rsid w:val="004F1C20"/>
    <w:rsid w:val="004F1D02"/>
    <w:rsid w:val="004F2679"/>
    <w:rsid w:val="004F2A15"/>
    <w:rsid w:val="004F2BC5"/>
    <w:rsid w:val="004F2C8A"/>
    <w:rsid w:val="004F2D72"/>
    <w:rsid w:val="004F2F21"/>
    <w:rsid w:val="004F2FBA"/>
    <w:rsid w:val="004F3046"/>
    <w:rsid w:val="004F34FB"/>
    <w:rsid w:val="004F3DE5"/>
    <w:rsid w:val="004F42E9"/>
    <w:rsid w:val="004F4A67"/>
    <w:rsid w:val="004F58A8"/>
    <w:rsid w:val="004F5F81"/>
    <w:rsid w:val="004F612B"/>
    <w:rsid w:val="004F6913"/>
    <w:rsid w:val="004F74F1"/>
    <w:rsid w:val="004F7865"/>
    <w:rsid w:val="004F7890"/>
    <w:rsid w:val="004F79FE"/>
    <w:rsid w:val="004F7ADB"/>
    <w:rsid w:val="005002D7"/>
    <w:rsid w:val="00500550"/>
    <w:rsid w:val="0050174E"/>
    <w:rsid w:val="00501854"/>
    <w:rsid w:val="00501E1B"/>
    <w:rsid w:val="0050219B"/>
    <w:rsid w:val="005022BC"/>
    <w:rsid w:val="005025A9"/>
    <w:rsid w:val="00503AD3"/>
    <w:rsid w:val="00503C0E"/>
    <w:rsid w:val="00503F17"/>
    <w:rsid w:val="00503F3A"/>
    <w:rsid w:val="00505BE2"/>
    <w:rsid w:val="005061C5"/>
    <w:rsid w:val="0050667F"/>
    <w:rsid w:val="00506928"/>
    <w:rsid w:val="005077EF"/>
    <w:rsid w:val="00507B75"/>
    <w:rsid w:val="00507CCE"/>
    <w:rsid w:val="00510019"/>
    <w:rsid w:val="00510230"/>
    <w:rsid w:val="005104B0"/>
    <w:rsid w:val="00510ED5"/>
    <w:rsid w:val="00511AD5"/>
    <w:rsid w:val="00511DC7"/>
    <w:rsid w:val="00512102"/>
    <w:rsid w:val="00512488"/>
    <w:rsid w:val="00512892"/>
    <w:rsid w:val="00513B12"/>
    <w:rsid w:val="00514160"/>
    <w:rsid w:val="005142C5"/>
    <w:rsid w:val="0051501B"/>
    <w:rsid w:val="005152B5"/>
    <w:rsid w:val="00515886"/>
    <w:rsid w:val="00516CF9"/>
    <w:rsid w:val="00517654"/>
    <w:rsid w:val="0051784F"/>
    <w:rsid w:val="00520413"/>
    <w:rsid w:val="00520DE1"/>
    <w:rsid w:val="0052123C"/>
    <w:rsid w:val="00521319"/>
    <w:rsid w:val="00521BB5"/>
    <w:rsid w:val="00521E67"/>
    <w:rsid w:val="005227A1"/>
    <w:rsid w:val="0052294B"/>
    <w:rsid w:val="00522BC8"/>
    <w:rsid w:val="00523C28"/>
    <w:rsid w:val="005244DB"/>
    <w:rsid w:val="005247F1"/>
    <w:rsid w:val="00524991"/>
    <w:rsid w:val="0052581B"/>
    <w:rsid w:val="00525913"/>
    <w:rsid w:val="00525B09"/>
    <w:rsid w:val="00526239"/>
    <w:rsid w:val="0052670E"/>
    <w:rsid w:val="00526CF9"/>
    <w:rsid w:val="0052778A"/>
    <w:rsid w:val="0053176B"/>
    <w:rsid w:val="005324BB"/>
    <w:rsid w:val="00532789"/>
    <w:rsid w:val="005329F2"/>
    <w:rsid w:val="00533453"/>
    <w:rsid w:val="005339AE"/>
    <w:rsid w:val="00533CF6"/>
    <w:rsid w:val="005341B3"/>
    <w:rsid w:val="005341CC"/>
    <w:rsid w:val="00536DB1"/>
    <w:rsid w:val="00536F26"/>
    <w:rsid w:val="00536F42"/>
    <w:rsid w:val="00537182"/>
    <w:rsid w:val="00537930"/>
    <w:rsid w:val="00537C30"/>
    <w:rsid w:val="00539984"/>
    <w:rsid w:val="0054032A"/>
    <w:rsid w:val="00541237"/>
    <w:rsid w:val="005417DF"/>
    <w:rsid w:val="00541985"/>
    <w:rsid w:val="00541A70"/>
    <w:rsid w:val="00541EDD"/>
    <w:rsid w:val="00542743"/>
    <w:rsid w:val="00542C2D"/>
    <w:rsid w:val="005434C3"/>
    <w:rsid w:val="0054452B"/>
    <w:rsid w:val="005457C3"/>
    <w:rsid w:val="00546459"/>
    <w:rsid w:val="005464EB"/>
    <w:rsid w:val="00546BB2"/>
    <w:rsid w:val="00547175"/>
    <w:rsid w:val="005478BD"/>
    <w:rsid w:val="005479E3"/>
    <w:rsid w:val="005509CB"/>
    <w:rsid w:val="005511AF"/>
    <w:rsid w:val="0055157D"/>
    <w:rsid w:val="00551985"/>
    <w:rsid w:val="005529D8"/>
    <w:rsid w:val="00552BD3"/>
    <w:rsid w:val="005532A0"/>
    <w:rsid w:val="0055463A"/>
    <w:rsid w:val="00555109"/>
    <w:rsid w:val="00555489"/>
    <w:rsid w:val="005554B1"/>
    <w:rsid w:val="00555571"/>
    <w:rsid w:val="00556B35"/>
    <w:rsid w:val="00556B55"/>
    <w:rsid w:val="0055741A"/>
    <w:rsid w:val="00557423"/>
    <w:rsid w:val="00557E04"/>
    <w:rsid w:val="0056043D"/>
    <w:rsid w:val="0056073D"/>
    <w:rsid w:val="005611B7"/>
    <w:rsid w:val="00561842"/>
    <w:rsid w:val="005618D4"/>
    <w:rsid w:val="00561C97"/>
    <w:rsid w:val="00561FF0"/>
    <w:rsid w:val="005624EA"/>
    <w:rsid w:val="00562805"/>
    <w:rsid w:val="005629FD"/>
    <w:rsid w:val="0056360E"/>
    <w:rsid w:val="0056425E"/>
    <w:rsid w:val="00564867"/>
    <w:rsid w:val="00564EA9"/>
    <w:rsid w:val="00565C79"/>
    <w:rsid w:val="00565DF0"/>
    <w:rsid w:val="00565E5A"/>
    <w:rsid w:val="00565ECF"/>
    <w:rsid w:val="00566118"/>
    <w:rsid w:val="00566839"/>
    <w:rsid w:val="0056696F"/>
    <w:rsid w:val="00566F67"/>
    <w:rsid w:val="0057043E"/>
    <w:rsid w:val="00570B82"/>
    <w:rsid w:val="0057106B"/>
    <w:rsid w:val="0057154C"/>
    <w:rsid w:val="0057167A"/>
    <w:rsid w:val="00571FC3"/>
    <w:rsid w:val="0057204C"/>
    <w:rsid w:val="00572269"/>
    <w:rsid w:val="0057244A"/>
    <w:rsid w:val="005729F9"/>
    <w:rsid w:val="005729FA"/>
    <w:rsid w:val="00572D03"/>
    <w:rsid w:val="00572F26"/>
    <w:rsid w:val="00573D22"/>
    <w:rsid w:val="00573F32"/>
    <w:rsid w:val="00574666"/>
    <w:rsid w:val="005750C5"/>
    <w:rsid w:val="005752DE"/>
    <w:rsid w:val="00575922"/>
    <w:rsid w:val="00575BDE"/>
    <w:rsid w:val="00575D60"/>
    <w:rsid w:val="00575D8D"/>
    <w:rsid w:val="005765A9"/>
    <w:rsid w:val="00576972"/>
    <w:rsid w:val="005769B7"/>
    <w:rsid w:val="00577248"/>
    <w:rsid w:val="00577297"/>
    <w:rsid w:val="005801D5"/>
    <w:rsid w:val="00581705"/>
    <w:rsid w:val="005833C7"/>
    <w:rsid w:val="005834C5"/>
    <w:rsid w:val="00583699"/>
    <w:rsid w:val="0058375C"/>
    <w:rsid w:val="00583824"/>
    <w:rsid w:val="005839C0"/>
    <w:rsid w:val="005844ED"/>
    <w:rsid w:val="0058579A"/>
    <w:rsid w:val="00585CDD"/>
    <w:rsid w:val="00585D66"/>
    <w:rsid w:val="005868D2"/>
    <w:rsid w:val="00587058"/>
    <w:rsid w:val="0058721C"/>
    <w:rsid w:val="00587973"/>
    <w:rsid w:val="00587A4B"/>
    <w:rsid w:val="005905D1"/>
    <w:rsid w:val="00590787"/>
    <w:rsid w:val="00590EF1"/>
    <w:rsid w:val="00590F1F"/>
    <w:rsid w:val="00591021"/>
    <w:rsid w:val="0059183B"/>
    <w:rsid w:val="00591957"/>
    <w:rsid w:val="005923CA"/>
    <w:rsid w:val="0059243A"/>
    <w:rsid w:val="0059286A"/>
    <w:rsid w:val="00592A28"/>
    <w:rsid w:val="00592D7F"/>
    <w:rsid w:val="00592F5D"/>
    <w:rsid w:val="00593DA7"/>
    <w:rsid w:val="00594244"/>
    <w:rsid w:val="00594410"/>
    <w:rsid w:val="005944A2"/>
    <w:rsid w:val="00594930"/>
    <w:rsid w:val="00594956"/>
    <w:rsid w:val="005953C2"/>
    <w:rsid w:val="00595AE7"/>
    <w:rsid w:val="00596423"/>
    <w:rsid w:val="00596FCE"/>
    <w:rsid w:val="0059728E"/>
    <w:rsid w:val="0059775C"/>
    <w:rsid w:val="005977A1"/>
    <w:rsid w:val="00597BF9"/>
    <w:rsid w:val="00597C93"/>
    <w:rsid w:val="005A02B8"/>
    <w:rsid w:val="005A0C11"/>
    <w:rsid w:val="005A13E6"/>
    <w:rsid w:val="005A15BA"/>
    <w:rsid w:val="005A15F7"/>
    <w:rsid w:val="005A1B52"/>
    <w:rsid w:val="005A1EB5"/>
    <w:rsid w:val="005A20F5"/>
    <w:rsid w:val="005A27F1"/>
    <w:rsid w:val="005A2AFA"/>
    <w:rsid w:val="005A309A"/>
    <w:rsid w:val="005A373D"/>
    <w:rsid w:val="005A39B5"/>
    <w:rsid w:val="005A3C88"/>
    <w:rsid w:val="005A3ED5"/>
    <w:rsid w:val="005A4C71"/>
    <w:rsid w:val="005A5783"/>
    <w:rsid w:val="005A5FA9"/>
    <w:rsid w:val="005A70F2"/>
    <w:rsid w:val="005A7882"/>
    <w:rsid w:val="005A7CE6"/>
    <w:rsid w:val="005B02B8"/>
    <w:rsid w:val="005B0B58"/>
    <w:rsid w:val="005B0F31"/>
    <w:rsid w:val="005B2366"/>
    <w:rsid w:val="005B2818"/>
    <w:rsid w:val="005B3B92"/>
    <w:rsid w:val="005B3D24"/>
    <w:rsid w:val="005B4466"/>
    <w:rsid w:val="005B4773"/>
    <w:rsid w:val="005B4E53"/>
    <w:rsid w:val="005B513F"/>
    <w:rsid w:val="005B5857"/>
    <w:rsid w:val="005B5AFA"/>
    <w:rsid w:val="005B5D75"/>
    <w:rsid w:val="005B5F85"/>
    <w:rsid w:val="005B5F9A"/>
    <w:rsid w:val="005B7BAF"/>
    <w:rsid w:val="005C00CE"/>
    <w:rsid w:val="005C08E6"/>
    <w:rsid w:val="005C10E5"/>
    <w:rsid w:val="005C19C4"/>
    <w:rsid w:val="005C1B83"/>
    <w:rsid w:val="005C25FF"/>
    <w:rsid w:val="005C2D55"/>
    <w:rsid w:val="005C2D9B"/>
    <w:rsid w:val="005C2EB8"/>
    <w:rsid w:val="005C346B"/>
    <w:rsid w:val="005C3D97"/>
    <w:rsid w:val="005C40CB"/>
    <w:rsid w:val="005C542D"/>
    <w:rsid w:val="005C5ABC"/>
    <w:rsid w:val="005C5B5E"/>
    <w:rsid w:val="005C67AD"/>
    <w:rsid w:val="005C7317"/>
    <w:rsid w:val="005C7FEA"/>
    <w:rsid w:val="005D044D"/>
    <w:rsid w:val="005D0ABD"/>
    <w:rsid w:val="005D0DAE"/>
    <w:rsid w:val="005D18AD"/>
    <w:rsid w:val="005D1D10"/>
    <w:rsid w:val="005D26B4"/>
    <w:rsid w:val="005D4A86"/>
    <w:rsid w:val="005D4FFB"/>
    <w:rsid w:val="005D515F"/>
    <w:rsid w:val="005D72E3"/>
    <w:rsid w:val="005D75F8"/>
    <w:rsid w:val="005E06DB"/>
    <w:rsid w:val="005E0E5E"/>
    <w:rsid w:val="005E13AE"/>
    <w:rsid w:val="005E1995"/>
    <w:rsid w:val="005E261A"/>
    <w:rsid w:val="005E3666"/>
    <w:rsid w:val="005E38A0"/>
    <w:rsid w:val="005E49C3"/>
    <w:rsid w:val="005E4CBB"/>
    <w:rsid w:val="005E6CBC"/>
    <w:rsid w:val="005E72FF"/>
    <w:rsid w:val="005E73C0"/>
    <w:rsid w:val="005E73D8"/>
    <w:rsid w:val="005E76D8"/>
    <w:rsid w:val="005F04B8"/>
    <w:rsid w:val="005F0513"/>
    <w:rsid w:val="005F07ED"/>
    <w:rsid w:val="005F13E0"/>
    <w:rsid w:val="005F1570"/>
    <w:rsid w:val="005F17C4"/>
    <w:rsid w:val="005F26D9"/>
    <w:rsid w:val="005F2706"/>
    <w:rsid w:val="005F2857"/>
    <w:rsid w:val="005F32B7"/>
    <w:rsid w:val="005F3502"/>
    <w:rsid w:val="005F3D36"/>
    <w:rsid w:val="005F5622"/>
    <w:rsid w:val="005F5AD1"/>
    <w:rsid w:val="005F5E45"/>
    <w:rsid w:val="005F618B"/>
    <w:rsid w:val="005F6A8F"/>
    <w:rsid w:val="005F6BB7"/>
    <w:rsid w:val="005F6E54"/>
    <w:rsid w:val="005F6F27"/>
    <w:rsid w:val="005F7267"/>
    <w:rsid w:val="005F74EF"/>
    <w:rsid w:val="005F7588"/>
    <w:rsid w:val="00600358"/>
    <w:rsid w:val="00601547"/>
    <w:rsid w:val="00601604"/>
    <w:rsid w:val="006016B7"/>
    <w:rsid w:val="006018C6"/>
    <w:rsid w:val="0060197A"/>
    <w:rsid w:val="00601D2F"/>
    <w:rsid w:val="006022CE"/>
    <w:rsid w:val="0060374B"/>
    <w:rsid w:val="00603944"/>
    <w:rsid w:val="006039D7"/>
    <w:rsid w:val="00603B45"/>
    <w:rsid w:val="00603DB9"/>
    <w:rsid w:val="0060423B"/>
    <w:rsid w:val="0060509F"/>
    <w:rsid w:val="006055E3"/>
    <w:rsid w:val="00605A0E"/>
    <w:rsid w:val="006066F2"/>
    <w:rsid w:val="00606FBA"/>
    <w:rsid w:val="00607669"/>
    <w:rsid w:val="006076F4"/>
    <w:rsid w:val="00607AFD"/>
    <w:rsid w:val="00610530"/>
    <w:rsid w:val="00610541"/>
    <w:rsid w:val="0061076B"/>
    <w:rsid w:val="00610CB8"/>
    <w:rsid w:val="00610FD9"/>
    <w:rsid w:val="006117B0"/>
    <w:rsid w:val="00611A33"/>
    <w:rsid w:val="00611B12"/>
    <w:rsid w:val="006120DA"/>
    <w:rsid w:val="00612129"/>
    <w:rsid w:val="00612F97"/>
    <w:rsid w:val="00613143"/>
    <w:rsid w:val="0061340C"/>
    <w:rsid w:val="0061345D"/>
    <w:rsid w:val="006143EF"/>
    <w:rsid w:val="006148D4"/>
    <w:rsid w:val="0061549B"/>
    <w:rsid w:val="006154C0"/>
    <w:rsid w:val="006159DF"/>
    <w:rsid w:val="00615A7F"/>
    <w:rsid w:val="00615F9E"/>
    <w:rsid w:val="006161C4"/>
    <w:rsid w:val="0061653E"/>
    <w:rsid w:val="00616802"/>
    <w:rsid w:val="00617401"/>
    <w:rsid w:val="00617D13"/>
    <w:rsid w:val="00617E12"/>
    <w:rsid w:val="0061C31B"/>
    <w:rsid w:val="00620402"/>
    <w:rsid w:val="0062040E"/>
    <w:rsid w:val="00620BF8"/>
    <w:rsid w:val="00620C25"/>
    <w:rsid w:val="00620CB8"/>
    <w:rsid w:val="00621477"/>
    <w:rsid w:val="00621764"/>
    <w:rsid w:val="00621ADA"/>
    <w:rsid w:val="00621B7C"/>
    <w:rsid w:val="00621D17"/>
    <w:rsid w:val="00622CEB"/>
    <w:rsid w:val="0062305B"/>
    <w:rsid w:val="00623F7B"/>
    <w:rsid w:val="00624188"/>
    <w:rsid w:val="0062493B"/>
    <w:rsid w:val="00624B49"/>
    <w:rsid w:val="00624BD4"/>
    <w:rsid w:val="006254B5"/>
    <w:rsid w:val="00625AE6"/>
    <w:rsid w:val="00625B4C"/>
    <w:rsid w:val="00625F67"/>
    <w:rsid w:val="00627519"/>
    <w:rsid w:val="00631406"/>
    <w:rsid w:val="0063158F"/>
    <w:rsid w:val="00631D6B"/>
    <w:rsid w:val="00631D89"/>
    <w:rsid w:val="00631E2D"/>
    <w:rsid w:val="0063208A"/>
    <w:rsid w:val="00632183"/>
    <w:rsid w:val="00632541"/>
    <w:rsid w:val="006330A1"/>
    <w:rsid w:val="00633149"/>
    <w:rsid w:val="006334D9"/>
    <w:rsid w:val="00633891"/>
    <w:rsid w:val="006339C4"/>
    <w:rsid w:val="00633CFF"/>
    <w:rsid w:val="00633D7C"/>
    <w:rsid w:val="00634576"/>
    <w:rsid w:val="0063479F"/>
    <w:rsid w:val="006353F0"/>
    <w:rsid w:val="00635598"/>
    <w:rsid w:val="006357B5"/>
    <w:rsid w:val="00635BFD"/>
    <w:rsid w:val="0063642E"/>
    <w:rsid w:val="006364A1"/>
    <w:rsid w:val="0063678E"/>
    <w:rsid w:val="00636ADE"/>
    <w:rsid w:val="00637385"/>
    <w:rsid w:val="006374B0"/>
    <w:rsid w:val="006377BC"/>
    <w:rsid w:val="00637BFD"/>
    <w:rsid w:val="00637C5C"/>
    <w:rsid w:val="006407BA"/>
    <w:rsid w:val="006408C8"/>
    <w:rsid w:val="00641449"/>
    <w:rsid w:val="00641C4E"/>
    <w:rsid w:val="00641EE5"/>
    <w:rsid w:val="00641FB3"/>
    <w:rsid w:val="006421EF"/>
    <w:rsid w:val="0064324F"/>
    <w:rsid w:val="006432FD"/>
    <w:rsid w:val="00643B80"/>
    <w:rsid w:val="00643E7A"/>
    <w:rsid w:val="0064434C"/>
    <w:rsid w:val="0064505C"/>
    <w:rsid w:val="006457ED"/>
    <w:rsid w:val="00645C2E"/>
    <w:rsid w:val="00645F7B"/>
    <w:rsid w:val="00646B69"/>
    <w:rsid w:val="00646FC9"/>
    <w:rsid w:val="006471CC"/>
    <w:rsid w:val="006472FE"/>
    <w:rsid w:val="006473D3"/>
    <w:rsid w:val="00647489"/>
    <w:rsid w:val="00647A29"/>
    <w:rsid w:val="006503CD"/>
    <w:rsid w:val="00650638"/>
    <w:rsid w:val="0065079F"/>
    <w:rsid w:val="00650C6E"/>
    <w:rsid w:val="00650F7E"/>
    <w:rsid w:val="00651962"/>
    <w:rsid w:val="0065284E"/>
    <w:rsid w:val="00652A28"/>
    <w:rsid w:val="00652B67"/>
    <w:rsid w:val="006533AC"/>
    <w:rsid w:val="006534ED"/>
    <w:rsid w:val="0065379F"/>
    <w:rsid w:val="00653CFE"/>
    <w:rsid w:val="006541B9"/>
    <w:rsid w:val="00654B10"/>
    <w:rsid w:val="00654F65"/>
    <w:rsid w:val="00655135"/>
    <w:rsid w:val="00655E6F"/>
    <w:rsid w:val="00656188"/>
    <w:rsid w:val="0065715A"/>
    <w:rsid w:val="006572E2"/>
    <w:rsid w:val="00660661"/>
    <w:rsid w:val="00660BAB"/>
    <w:rsid w:val="00660BC4"/>
    <w:rsid w:val="006610F1"/>
    <w:rsid w:val="0066164E"/>
    <w:rsid w:val="00661C6B"/>
    <w:rsid w:val="00661EA3"/>
    <w:rsid w:val="00662394"/>
    <w:rsid w:val="0066248B"/>
    <w:rsid w:val="00662D3E"/>
    <w:rsid w:val="00663258"/>
    <w:rsid w:val="00663983"/>
    <w:rsid w:val="00663B67"/>
    <w:rsid w:val="0066515C"/>
    <w:rsid w:val="00666738"/>
    <w:rsid w:val="00667379"/>
    <w:rsid w:val="0066792A"/>
    <w:rsid w:val="00667BE3"/>
    <w:rsid w:val="00667FB4"/>
    <w:rsid w:val="006702A5"/>
    <w:rsid w:val="00671004"/>
    <w:rsid w:val="00671935"/>
    <w:rsid w:val="00671A31"/>
    <w:rsid w:val="00672646"/>
    <w:rsid w:val="00672B2B"/>
    <w:rsid w:val="00672FC7"/>
    <w:rsid w:val="00673128"/>
    <w:rsid w:val="0067383F"/>
    <w:rsid w:val="00674E42"/>
    <w:rsid w:val="00676563"/>
    <w:rsid w:val="00676891"/>
    <w:rsid w:val="00676F6D"/>
    <w:rsid w:val="00677875"/>
    <w:rsid w:val="00677F8B"/>
    <w:rsid w:val="00680613"/>
    <w:rsid w:val="006813F8"/>
    <w:rsid w:val="00681587"/>
    <w:rsid w:val="00681AAA"/>
    <w:rsid w:val="00682112"/>
    <w:rsid w:val="00682AEF"/>
    <w:rsid w:val="00682BA6"/>
    <w:rsid w:val="0068342E"/>
    <w:rsid w:val="00683B8A"/>
    <w:rsid w:val="006840E0"/>
    <w:rsid w:val="006846C9"/>
    <w:rsid w:val="00685985"/>
    <w:rsid w:val="00686957"/>
    <w:rsid w:val="00686B55"/>
    <w:rsid w:val="00687196"/>
    <w:rsid w:val="006872BA"/>
    <w:rsid w:val="00687E93"/>
    <w:rsid w:val="00687F64"/>
    <w:rsid w:val="0069007C"/>
    <w:rsid w:val="00690795"/>
    <w:rsid w:val="00690922"/>
    <w:rsid w:val="00691648"/>
    <w:rsid w:val="0069171E"/>
    <w:rsid w:val="006917D7"/>
    <w:rsid w:val="00692093"/>
    <w:rsid w:val="0069220A"/>
    <w:rsid w:val="006923DE"/>
    <w:rsid w:val="00693B16"/>
    <w:rsid w:val="006940C7"/>
    <w:rsid w:val="0069434C"/>
    <w:rsid w:val="006946CC"/>
    <w:rsid w:val="00694F44"/>
    <w:rsid w:val="006964B5"/>
    <w:rsid w:val="0069669C"/>
    <w:rsid w:val="00696947"/>
    <w:rsid w:val="00696EF9"/>
    <w:rsid w:val="00696F51"/>
    <w:rsid w:val="006974FB"/>
    <w:rsid w:val="0069758D"/>
    <w:rsid w:val="00697740"/>
    <w:rsid w:val="006977BB"/>
    <w:rsid w:val="00697940"/>
    <w:rsid w:val="006979A5"/>
    <w:rsid w:val="006A00D2"/>
    <w:rsid w:val="006A016F"/>
    <w:rsid w:val="006A0DF7"/>
    <w:rsid w:val="006A106A"/>
    <w:rsid w:val="006A26BD"/>
    <w:rsid w:val="006A2B17"/>
    <w:rsid w:val="006A2C15"/>
    <w:rsid w:val="006A4321"/>
    <w:rsid w:val="006A43D9"/>
    <w:rsid w:val="006A482B"/>
    <w:rsid w:val="006A49BD"/>
    <w:rsid w:val="006A568B"/>
    <w:rsid w:val="006A5DD2"/>
    <w:rsid w:val="006A6A9A"/>
    <w:rsid w:val="006A6B99"/>
    <w:rsid w:val="006A7E5F"/>
    <w:rsid w:val="006A9D72"/>
    <w:rsid w:val="006B00A8"/>
    <w:rsid w:val="006B0D30"/>
    <w:rsid w:val="006B18AB"/>
    <w:rsid w:val="006B261B"/>
    <w:rsid w:val="006B2C90"/>
    <w:rsid w:val="006B312F"/>
    <w:rsid w:val="006B35E6"/>
    <w:rsid w:val="006B42E7"/>
    <w:rsid w:val="006B465A"/>
    <w:rsid w:val="006B479C"/>
    <w:rsid w:val="006B50BF"/>
    <w:rsid w:val="006B545B"/>
    <w:rsid w:val="006B59B3"/>
    <w:rsid w:val="006B5A57"/>
    <w:rsid w:val="006B5D6C"/>
    <w:rsid w:val="006B6DD0"/>
    <w:rsid w:val="006B701E"/>
    <w:rsid w:val="006B782F"/>
    <w:rsid w:val="006B7DCA"/>
    <w:rsid w:val="006C0399"/>
    <w:rsid w:val="006C24E1"/>
    <w:rsid w:val="006C2A77"/>
    <w:rsid w:val="006C2A8E"/>
    <w:rsid w:val="006C2F41"/>
    <w:rsid w:val="006C3059"/>
    <w:rsid w:val="006C3255"/>
    <w:rsid w:val="006C3A61"/>
    <w:rsid w:val="006C3EFA"/>
    <w:rsid w:val="006C3F26"/>
    <w:rsid w:val="006C48ED"/>
    <w:rsid w:val="006C4BD8"/>
    <w:rsid w:val="006C573C"/>
    <w:rsid w:val="006C58EE"/>
    <w:rsid w:val="006C5FD2"/>
    <w:rsid w:val="006C6E15"/>
    <w:rsid w:val="006C780B"/>
    <w:rsid w:val="006C7ACF"/>
    <w:rsid w:val="006D0423"/>
    <w:rsid w:val="006D096A"/>
    <w:rsid w:val="006D0D17"/>
    <w:rsid w:val="006D1A51"/>
    <w:rsid w:val="006D1F01"/>
    <w:rsid w:val="006D20B3"/>
    <w:rsid w:val="006D2417"/>
    <w:rsid w:val="006D2D9A"/>
    <w:rsid w:val="006D30AC"/>
    <w:rsid w:val="006D3405"/>
    <w:rsid w:val="006D36AC"/>
    <w:rsid w:val="006D3BD3"/>
    <w:rsid w:val="006D3C7D"/>
    <w:rsid w:val="006D3DA5"/>
    <w:rsid w:val="006D3EBC"/>
    <w:rsid w:val="006D45A3"/>
    <w:rsid w:val="006D4659"/>
    <w:rsid w:val="006D4943"/>
    <w:rsid w:val="006D51ED"/>
    <w:rsid w:val="006D5D5F"/>
    <w:rsid w:val="006D5E00"/>
    <w:rsid w:val="006D60F7"/>
    <w:rsid w:val="006D6262"/>
    <w:rsid w:val="006D68FB"/>
    <w:rsid w:val="006D768B"/>
    <w:rsid w:val="006D7BA2"/>
    <w:rsid w:val="006D7D25"/>
    <w:rsid w:val="006DCFFC"/>
    <w:rsid w:val="006E0893"/>
    <w:rsid w:val="006E0BE0"/>
    <w:rsid w:val="006E1AE4"/>
    <w:rsid w:val="006E1F0A"/>
    <w:rsid w:val="006E20F4"/>
    <w:rsid w:val="006E2868"/>
    <w:rsid w:val="006E2B3F"/>
    <w:rsid w:val="006E471F"/>
    <w:rsid w:val="006E482B"/>
    <w:rsid w:val="006E4B1E"/>
    <w:rsid w:val="006E5B1A"/>
    <w:rsid w:val="006E5EAC"/>
    <w:rsid w:val="006E6110"/>
    <w:rsid w:val="006E7249"/>
    <w:rsid w:val="006E7BAA"/>
    <w:rsid w:val="006F03CC"/>
    <w:rsid w:val="006F073B"/>
    <w:rsid w:val="006F0D23"/>
    <w:rsid w:val="006F0DD5"/>
    <w:rsid w:val="006F1680"/>
    <w:rsid w:val="006F2427"/>
    <w:rsid w:val="006F2788"/>
    <w:rsid w:val="006F28ED"/>
    <w:rsid w:val="006F29BB"/>
    <w:rsid w:val="006F306C"/>
    <w:rsid w:val="006F35C2"/>
    <w:rsid w:val="006F37EA"/>
    <w:rsid w:val="006F3C1D"/>
    <w:rsid w:val="006F63A5"/>
    <w:rsid w:val="006F6643"/>
    <w:rsid w:val="00700EC6"/>
    <w:rsid w:val="007012E9"/>
    <w:rsid w:val="0070142B"/>
    <w:rsid w:val="007015A6"/>
    <w:rsid w:val="00701658"/>
    <w:rsid w:val="00701BA0"/>
    <w:rsid w:val="00702310"/>
    <w:rsid w:val="00702768"/>
    <w:rsid w:val="0070276E"/>
    <w:rsid w:val="00702A69"/>
    <w:rsid w:val="00702F8F"/>
    <w:rsid w:val="007033CF"/>
    <w:rsid w:val="0070361D"/>
    <w:rsid w:val="00704EAB"/>
    <w:rsid w:val="00705982"/>
    <w:rsid w:val="00705FE4"/>
    <w:rsid w:val="00706A1F"/>
    <w:rsid w:val="007079FC"/>
    <w:rsid w:val="00707E12"/>
    <w:rsid w:val="00707E61"/>
    <w:rsid w:val="00707FB2"/>
    <w:rsid w:val="007100B4"/>
    <w:rsid w:val="00711A36"/>
    <w:rsid w:val="00711EA8"/>
    <w:rsid w:val="0071244B"/>
    <w:rsid w:val="007125D3"/>
    <w:rsid w:val="007128E6"/>
    <w:rsid w:val="00712CBA"/>
    <w:rsid w:val="00712CC7"/>
    <w:rsid w:val="0071330B"/>
    <w:rsid w:val="00714C26"/>
    <w:rsid w:val="0071529C"/>
    <w:rsid w:val="00715563"/>
    <w:rsid w:val="00715643"/>
    <w:rsid w:val="00715A13"/>
    <w:rsid w:val="00715C07"/>
    <w:rsid w:val="00715CD4"/>
    <w:rsid w:val="007170DA"/>
    <w:rsid w:val="007172AD"/>
    <w:rsid w:val="00717546"/>
    <w:rsid w:val="00720801"/>
    <w:rsid w:val="00720EDE"/>
    <w:rsid w:val="007224E6"/>
    <w:rsid w:val="00722B1B"/>
    <w:rsid w:val="0072375D"/>
    <w:rsid w:val="0072416F"/>
    <w:rsid w:val="00724898"/>
    <w:rsid w:val="00726079"/>
    <w:rsid w:val="00726E19"/>
    <w:rsid w:val="007270E6"/>
    <w:rsid w:val="0072772D"/>
    <w:rsid w:val="0072776F"/>
    <w:rsid w:val="00727C94"/>
    <w:rsid w:val="00727CBE"/>
    <w:rsid w:val="00730267"/>
    <w:rsid w:val="00730D43"/>
    <w:rsid w:val="00731336"/>
    <w:rsid w:val="007317D3"/>
    <w:rsid w:val="00731B0A"/>
    <w:rsid w:val="00731D5F"/>
    <w:rsid w:val="00731EAE"/>
    <w:rsid w:val="00732704"/>
    <w:rsid w:val="00732976"/>
    <w:rsid w:val="00733073"/>
    <w:rsid w:val="00733993"/>
    <w:rsid w:val="00733FF3"/>
    <w:rsid w:val="00734BB1"/>
    <w:rsid w:val="00735033"/>
    <w:rsid w:val="00735328"/>
    <w:rsid w:val="00736010"/>
    <w:rsid w:val="00736071"/>
    <w:rsid w:val="00736595"/>
    <w:rsid w:val="0073685B"/>
    <w:rsid w:val="00736DBD"/>
    <w:rsid w:val="00737252"/>
    <w:rsid w:val="00737BAC"/>
    <w:rsid w:val="00740CBC"/>
    <w:rsid w:val="00740D9D"/>
    <w:rsid w:val="00741D0F"/>
    <w:rsid w:val="00742BA6"/>
    <w:rsid w:val="00742E15"/>
    <w:rsid w:val="0074334E"/>
    <w:rsid w:val="0074487B"/>
    <w:rsid w:val="007448A8"/>
    <w:rsid w:val="007449BF"/>
    <w:rsid w:val="00744C49"/>
    <w:rsid w:val="00744C73"/>
    <w:rsid w:val="00745469"/>
    <w:rsid w:val="00745E8C"/>
    <w:rsid w:val="007463FE"/>
    <w:rsid w:val="007468A0"/>
    <w:rsid w:val="00746BC0"/>
    <w:rsid w:val="007474F5"/>
    <w:rsid w:val="00747605"/>
    <w:rsid w:val="00747D17"/>
    <w:rsid w:val="00747E28"/>
    <w:rsid w:val="007508D2"/>
    <w:rsid w:val="00750966"/>
    <w:rsid w:val="00750FAA"/>
    <w:rsid w:val="007510B4"/>
    <w:rsid w:val="00752142"/>
    <w:rsid w:val="007522FC"/>
    <w:rsid w:val="007523F9"/>
    <w:rsid w:val="0075357E"/>
    <w:rsid w:val="00753800"/>
    <w:rsid w:val="00753A01"/>
    <w:rsid w:val="00753B29"/>
    <w:rsid w:val="00753DAF"/>
    <w:rsid w:val="007540B7"/>
    <w:rsid w:val="0075429B"/>
    <w:rsid w:val="007543BF"/>
    <w:rsid w:val="00754452"/>
    <w:rsid w:val="0075450E"/>
    <w:rsid w:val="00754514"/>
    <w:rsid w:val="00754596"/>
    <w:rsid w:val="00755A28"/>
    <w:rsid w:val="00755B67"/>
    <w:rsid w:val="007562AE"/>
    <w:rsid w:val="007573E8"/>
    <w:rsid w:val="007601CB"/>
    <w:rsid w:val="00760C4E"/>
    <w:rsid w:val="00760F9E"/>
    <w:rsid w:val="00761397"/>
    <w:rsid w:val="007616E6"/>
    <w:rsid w:val="007627A0"/>
    <w:rsid w:val="007627BE"/>
    <w:rsid w:val="00762ADC"/>
    <w:rsid w:val="00763418"/>
    <w:rsid w:val="007639FE"/>
    <w:rsid w:val="00763EE2"/>
    <w:rsid w:val="00763FDB"/>
    <w:rsid w:val="007642EF"/>
    <w:rsid w:val="007644D5"/>
    <w:rsid w:val="00764F03"/>
    <w:rsid w:val="007650BC"/>
    <w:rsid w:val="00765B1A"/>
    <w:rsid w:val="00765DC1"/>
    <w:rsid w:val="00766D64"/>
    <w:rsid w:val="00767620"/>
    <w:rsid w:val="00767772"/>
    <w:rsid w:val="00770957"/>
    <w:rsid w:val="00770D96"/>
    <w:rsid w:val="00770EA6"/>
    <w:rsid w:val="007711A0"/>
    <w:rsid w:val="00772454"/>
    <w:rsid w:val="00773122"/>
    <w:rsid w:val="0077527F"/>
    <w:rsid w:val="00775920"/>
    <w:rsid w:val="00776D04"/>
    <w:rsid w:val="00776D51"/>
    <w:rsid w:val="00777335"/>
    <w:rsid w:val="00777FE3"/>
    <w:rsid w:val="00780003"/>
    <w:rsid w:val="00780149"/>
    <w:rsid w:val="00780D54"/>
    <w:rsid w:val="00781403"/>
    <w:rsid w:val="00781E05"/>
    <w:rsid w:val="00782A56"/>
    <w:rsid w:val="00782B41"/>
    <w:rsid w:val="00783F74"/>
    <w:rsid w:val="007843F2"/>
    <w:rsid w:val="00784480"/>
    <w:rsid w:val="007846FA"/>
    <w:rsid w:val="00785385"/>
    <w:rsid w:val="00785A9F"/>
    <w:rsid w:val="00785E95"/>
    <w:rsid w:val="00786ABC"/>
    <w:rsid w:val="00786BF7"/>
    <w:rsid w:val="007872D7"/>
    <w:rsid w:val="0079003D"/>
    <w:rsid w:val="007904AF"/>
    <w:rsid w:val="00790ACF"/>
    <w:rsid w:val="0079145C"/>
    <w:rsid w:val="007914D7"/>
    <w:rsid w:val="007923CC"/>
    <w:rsid w:val="007925DF"/>
    <w:rsid w:val="00793216"/>
    <w:rsid w:val="007933FF"/>
    <w:rsid w:val="007945A6"/>
    <w:rsid w:val="00794BA3"/>
    <w:rsid w:val="00795376"/>
    <w:rsid w:val="0079657E"/>
    <w:rsid w:val="00796645"/>
    <w:rsid w:val="00796BAC"/>
    <w:rsid w:val="007A0886"/>
    <w:rsid w:val="007A08AA"/>
    <w:rsid w:val="007A09AC"/>
    <w:rsid w:val="007A0A12"/>
    <w:rsid w:val="007A132D"/>
    <w:rsid w:val="007A1345"/>
    <w:rsid w:val="007A1A49"/>
    <w:rsid w:val="007A23AF"/>
    <w:rsid w:val="007A2DDB"/>
    <w:rsid w:val="007A2E18"/>
    <w:rsid w:val="007A2F89"/>
    <w:rsid w:val="007A3302"/>
    <w:rsid w:val="007A35CB"/>
    <w:rsid w:val="007A35D8"/>
    <w:rsid w:val="007A375B"/>
    <w:rsid w:val="007A3C5A"/>
    <w:rsid w:val="007A5874"/>
    <w:rsid w:val="007A6355"/>
    <w:rsid w:val="007A673B"/>
    <w:rsid w:val="007A685F"/>
    <w:rsid w:val="007A6905"/>
    <w:rsid w:val="007A6AB7"/>
    <w:rsid w:val="007A6F8C"/>
    <w:rsid w:val="007A6FD0"/>
    <w:rsid w:val="007A70BA"/>
    <w:rsid w:val="007A7D8F"/>
    <w:rsid w:val="007B0182"/>
    <w:rsid w:val="007B0D68"/>
    <w:rsid w:val="007B109B"/>
    <w:rsid w:val="007B1940"/>
    <w:rsid w:val="007B23B0"/>
    <w:rsid w:val="007B251D"/>
    <w:rsid w:val="007B32C9"/>
    <w:rsid w:val="007B3533"/>
    <w:rsid w:val="007B354F"/>
    <w:rsid w:val="007B3D6E"/>
    <w:rsid w:val="007B4F58"/>
    <w:rsid w:val="007B50B3"/>
    <w:rsid w:val="007B528D"/>
    <w:rsid w:val="007B5E74"/>
    <w:rsid w:val="007B5F5D"/>
    <w:rsid w:val="007B63CA"/>
    <w:rsid w:val="007B71DE"/>
    <w:rsid w:val="007B7698"/>
    <w:rsid w:val="007B77D1"/>
    <w:rsid w:val="007B7800"/>
    <w:rsid w:val="007C0616"/>
    <w:rsid w:val="007C07C7"/>
    <w:rsid w:val="007C0C68"/>
    <w:rsid w:val="007C0E71"/>
    <w:rsid w:val="007C1CD9"/>
    <w:rsid w:val="007C1D4C"/>
    <w:rsid w:val="007C20E1"/>
    <w:rsid w:val="007C25B1"/>
    <w:rsid w:val="007C32EF"/>
    <w:rsid w:val="007C33A9"/>
    <w:rsid w:val="007C361D"/>
    <w:rsid w:val="007C3675"/>
    <w:rsid w:val="007C37DD"/>
    <w:rsid w:val="007C40B4"/>
    <w:rsid w:val="007C4760"/>
    <w:rsid w:val="007C4843"/>
    <w:rsid w:val="007C4B84"/>
    <w:rsid w:val="007C5F35"/>
    <w:rsid w:val="007C6751"/>
    <w:rsid w:val="007C70FF"/>
    <w:rsid w:val="007C7C25"/>
    <w:rsid w:val="007C7EB2"/>
    <w:rsid w:val="007D004F"/>
    <w:rsid w:val="007D035F"/>
    <w:rsid w:val="007D06B2"/>
    <w:rsid w:val="007D0B38"/>
    <w:rsid w:val="007D17B3"/>
    <w:rsid w:val="007D1CCF"/>
    <w:rsid w:val="007D3745"/>
    <w:rsid w:val="007D37B0"/>
    <w:rsid w:val="007D3BCE"/>
    <w:rsid w:val="007D3D3D"/>
    <w:rsid w:val="007D3E64"/>
    <w:rsid w:val="007D4B67"/>
    <w:rsid w:val="007D4DCF"/>
    <w:rsid w:val="007D5440"/>
    <w:rsid w:val="007D5E61"/>
    <w:rsid w:val="007D5EFB"/>
    <w:rsid w:val="007D68AD"/>
    <w:rsid w:val="007D69EB"/>
    <w:rsid w:val="007D79CE"/>
    <w:rsid w:val="007D7E74"/>
    <w:rsid w:val="007E03BE"/>
    <w:rsid w:val="007E128F"/>
    <w:rsid w:val="007E151C"/>
    <w:rsid w:val="007E1563"/>
    <w:rsid w:val="007E1BCB"/>
    <w:rsid w:val="007E2494"/>
    <w:rsid w:val="007E2C4E"/>
    <w:rsid w:val="007E3AD9"/>
    <w:rsid w:val="007E488E"/>
    <w:rsid w:val="007E4969"/>
    <w:rsid w:val="007E76D9"/>
    <w:rsid w:val="007E7C98"/>
    <w:rsid w:val="007E7DD5"/>
    <w:rsid w:val="007F0B82"/>
    <w:rsid w:val="007F1017"/>
    <w:rsid w:val="007F173B"/>
    <w:rsid w:val="007F2026"/>
    <w:rsid w:val="007F2500"/>
    <w:rsid w:val="007F264E"/>
    <w:rsid w:val="007F321E"/>
    <w:rsid w:val="007F3955"/>
    <w:rsid w:val="007F3A75"/>
    <w:rsid w:val="007F3AF5"/>
    <w:rsid w:val="007F3DE6"/>
    <w:rsid w:val="007F4801"/>
    <w:rsid w:val="007F4A3F"/>
    <w:rsid w:val="007F4A61"/>
    <w:rsid w:val="007F4CF9"/>
    <w:rsid w:val="007F5255"/>
    <w:rsid w:val="007F56CC"/>
    <w:rsid w:val="007F5BDD"/>
    <w:rsid w:val="007F61C2"/>
    <w:rsid w:val="007F62EB"/>
    <w:rsid w:val="007F770E"/>
    <w:rsid w:val="007F7EDB"/>
    <w:rsid w:val="00800279"/>
    <w:rsid w:val="008020D8"/>
    <w:rsid w:val="008031DE"/>
    <w:rsid w:val="00803420"/>
    <w:rsid w:val="00803823"/>
    <w:rsid w:val="00803C92"/>
    <w:rsid w:val="008049D6"/>
    <w:rsid w:val="00805142"/>
    <w:rsid w:val="00805DB2"/>
    <w:rsid w:val="00805FCE"/>
    <w:rsid w:val="00806D94"/>
    <w:rsid w:val="0080730C"/>
    <w:rsid w:val="00807A8B"/>
    <w:rsid w:val="0080BF9D"/>
    <w:rsid w:val="0081056B"/>
    <w:rsid w:val="00810C19"/>
    <w:rsid w:val="00811383"/>
    <w:rsid w:val="0081147B"/>
    <w:rsid w:val="00811D4F"/>
    <w:rsid w:val="00811EBC"/>
    <w:rsid w:val="00812149"/>
    <w:rsid w:val="00812877"/>
    <w:rsid w:val="00812CAC"/>
    <w:rsid w:val="008133E3"/>
    <w:rsid w:val="008135E5"/>
    <w:rsid w:val="00813670"/>
    <w:rsid w:val="00814780"/>
    <w:rsid w:val="008151D4"/>
    <w:rsid w:val="00815207"/>
    <w:rsid w:val="0081520A"/>
    <w:rsid w:val="0081528A"/>
    <w:rsid w:val="0081568D"/>
    <w:rsid w:val="00816361"/>
    <w:rsid w:val="008166EF"/>
    <w:rsid w:val="00816BDA"/>
    <w:rsid w:val="00816FEF"/>
    <w:rsid w:val="00817A78"/>
    <w:rsid w:val="00820553"/>
    <w:rsid w:val="008209C0"/>
    <w:rsid w:val="00820A8C"/>
    <w:rsid w:val="00820B97"/>
    <w:rsid w:val="00820BF7"/>
    <w:rsid w:val="00821571"/>
    <w:rsid w:val="008215FB"/>
    <w:rsid w:val="00821956"/>
    <w:rsid w:val="008220CC"/>
    <w:rsid w:val="008221C5"/>
    <w:rsid w:val="008222B0"/>
    <w:rsid w:val="00822659"/>
    <w:rsid w:val="00822BDC"/>
    <w:rsid w:val="00822CA1"/>
    <w:rsid w:val="00823174"/>
    <w:rsid w:val="00824975"/>
    <w:rsid w:val="00825751"/>
    <w:rsid w:val="0082579C"/>
    <w:rsid w:val="00825E45"/>
    <w:rsid w:val="00825F20"/>
    <w:rsid w:val="008264EB"/>
    <w:rsid w:val="008268CE"/>
    <w:rsid w:val="00827C23"/>
    <w:rsid w:val="008304B2"/>
    <w:rsid w:val="008308A8"/>
    <w:rsid w:val="00830D0B"/>
    <w:rsid w:val="00832554"/>
    <w:rsid w:val="00833221"/>
    <w:rsid w:val="0083332B"/>
    <w:rsid w:val="008336E2"/>
    <w:rsid w:val="00833B05"/>
    <w:rsid w:val="00833F5E"/>
    <w:rsid w:val="00833F84"/>
    <w:rsid w:val="008340E2"/>
    <w:rsid w:val="0083447B"/>
    <w:rsid w:val="008344E2"/>
    <w:rsid w:val="00835457"/>
    <w:rsid w:val="008360C9"/>
    <w:rsid w:val="008362B4"/>
    <w:rsid w:val="0083636D"/>
    <w:rsid w:val="00836537"/>
    <w:rsid w:val="0083653C"/>
    <w:rsid w:val="00837034"/>
    <w:rsid w:val="00840382"/>
    <w:rsid w:val="00840CA2"/>
    <w:rsid w:val="0084148E"/>
    <w:rsid w:val="008430C7"/>
    <w:rsid w:val="00843670"/>
    <w:rsid w:val="0084374F"/>
    <w:rsid w:val="00843A68"/>
    <w:rsid w:val="00843E0B"/>
    <w:rsid w:val="0084451E"/>
    <w:rsid w:val="00844A22"/>
    <w:rsid w:val="00847703"/>
    <w:rsid w:val="00847861"/>
    <w:rsid w:val="00847DF5"/>
    <w:rsid w:val="00847EE2"/>
    <w:rsid w:val="00850F5E"/>
    <w:rsid w:val="00851007"/>
    <w:rsid w:val="008515B4"/>
    <w:rsid w:val="008517A4"/>
    <w:rsid w:val="008518F7"/>
    <w:rsid w:val="00851E2C"/>
    <w:rsid w:val="0085309D"/>
    <w:rsid w:val="008531D2"/>
    <w:rsid w:val="00853DD6"/>
    <w:rsid w:val="00854E14"/>
    <w:rsid w:val="00855025"/>
    <w:rsid w:val="008553BC"/>
    <w:rsid w:val="00856897"/>
    <w:rsid w:val="0085694D"/>
    <w:rsid w:val="00856E9A"/>
    <w:rsid w:val="00857096"/>
    <w:rsid w:val="008571F6"/>
    <w:rsid w:val="0086075D"/>
    <w:rsid w:val="008607F3"/>
    <w:rsid w:val="00860D34"/>
    <w:rsid w:val="00861249"/>
    <w:rsid w:val="0086160E"/>
    <w:rsid w:val="00861C34"/>
    <w:rsid w:val="00861FE0"/>
    <w:rsid w:val="00862502"/>
    <w:rsid w:val="00862CC1"/>
    <w:rsid w:val="00863883"/>
    <w:rsid w:val="008642A7"/>
    <w:rsid w:val="00864A9C"/>
    <w:rsid w:val="0086588A"/>
    <w:rsid w:val="00865A93"/>
    <w:rsid w:val="008660D4"/>
    <w:rsid w:val="00866305"/>
    <w:rsid w:val="00867026"/>
    <w:rsid w:val="00867190"/>
    <w:rsid w:val="00867503"/>
    <w:rsid w:val="00867527"/>
    <w:rsid w:val="008677CB"/>
    <w:rsid w:val="00867D0D"/>
    <w:rsid w:val="00867E88"/>
    <w:rsid w:val="00870BA8"/>
    <w:rsid w:val="0087168B"/>
    <w:rsid w:val="00871D62"/>
    <w:rsid w:val="00871FA9"/>
    <w:rsid w:val="00872133"/>
    <w:rsid w:val="008727D7"/>
    <w:rsid w:val="008728E9"/>
    <w:rsid w:val="00873182"/>
    <w:rsid w:val="008734D1"/>
    <w:rsid w:val="00873DA9"/>
    <w:rsid w:val="008742E1"/>
    <w:rsid w:val="00874724"/>
    <w:rsid w:val="00874EA7"/>
    <w:rsid w:val="00875168"/>
    <w:rsid w:val="00875B4F"/>
    <w:rsid w:val="00875B59"/>
    <w:rsid w:val="00875E72"/>
    <w:rsid w:val="0087624C"/>
    <w:rsid w:val="00877195"/>
    <w:rsid w:val="00877963"/>
    <w:rsid w:val="00877D4B"/>
    <w:rsid w:val="00880068"/>
    <w:rsid w:val="00880470"/>
    <w:rsid w:val="008806D4"/>
    <w:rsid w:val="00881246"/>
    <w:rsid w:val="008817B3"/>
    <w:rsid w:val="00881E95"/>
    <w:rsid w:val="00882276"/>
    <w:rsid w:val="00882874"/>
    <w:rsid w:val="00882E3C"/>
    <w:rsid w:val="0088308A"/>
    <w:rsid w:val="00883787"/>
    <w:rsid w:val="00884064"/>
    <w:rsid w:val="0088434A"/>
    <w:rsid w:val="00884583"/>
    <w:rsid w:val="00884A24"/>
    <w:rsid w:val="00884C23"/>
    <w:rsid w:val="008855E4"/>
    <w:rsid w:val="00885712"/>
    <w:rsid w:val="008862BF"/>
    <w:rsid w:val="008862FA"/>
    <w:rsid w:val="00886CD2"/>
    <w:rsid w:val="008878D4"/>
    <w:rsid w:val="00887C76"/>
    <w:rsid w:val="00890B76"/>
    <w:rsid w:val="00891E6F"/>
    <w:rsid w:val="0089263D"/>
    <w:rsid w:val="0089275D"/>
    <w:rsid w:val="008929AB"/>
    <w:rsid w:val="00892A36"/>
    <w:rsid w:val="00892E86"/>
    <w:rsid w:val="00893239"/>
    <w:rsid w:val="00893C78"/>
    <w:rsid w:val="00893EFA"/>
    <w:rsid w:val="00894401"/>
    <w:rsid w:val="00894489"/>
    <w:rsid w:val="008948FC"/>
    <w:rsid w:val="00894AE2"/>
    <w:rsid w:val="00894CD6"/>
    <w:rsid w:val="00894D6A"/>
    <w:rsid w:val="00896060"/>
    <w:rsid w:val="0089610C"/>
    <w:rsid w:val="008963A5"/>
    <w:rsid w:val="00896D5D"/>
    <w:rsid w:val="00896EE8"/>
    <w:rsid w:val="00897229"/>
    <w:rsid w:val="008974FA"/>
    <w:rsid w:val="00897C84"/>
    <w:rsid w:val="008993F6"/>
    <w:rsid w:val="008A061B"/>
    <w:rsid w:val="008A0A61"/>
    <w:rsid w:val="008A0AC4"/>
    <w:rsid w:val="008A1586"/>
    <w:rsid w:val="008A2947"/>
    <w:rsid w:val="008A2BA2"/>
    <w:rsid w:val="008A3013"/>
    <w:rsid w:val="008A3158"/>
    <w:rsid w:val="008A3363"/>
    <w:rsid w:val="008A3371"/>
    <w:rsid w:val="008A3C3E"/>
    <w:rsid w:val="008A3EA9"/>
    <w:rsid w:val="008A3F22"/>
    <w:rsid w:val="008A43FB"/>
    <w:rsid w:val="008A4A68"/>
    <w:rsid w:val="008A5907"/>
    <w:rsid w:val="008A5A8C"/>
    <w:rsid w:val="008A6109"/>
    <w:rsid w:val="008A62E9"/>
    <w:rsid w:val="008A6DC3"/>
    <w:rsid w:val="008A7356"/>
    <w:rsid w:val="008A74A8"/>
    <w:rsid w:val="008A7623"/>
    <w:rsid w:val="008A76CB"/>
    <w:rsid w:val="008A79DE"/>
    <w:rsid w:val="008A7FD0"/>
    <w:rsid w:val="008B0E7C"/>
    <w:rsid w:val="008B11FF"/>
    <w:rsid w:val="008B1757"/>
    <w:rsid w:val="008B1AE0"/>
    <w:rsid w:val="008B1C33"/>
    <w:rsid w:val="008B2EAA"/>
    <w:rsid w:val="008B43E8"/>
    <w:rsid w:val="008B4B6F"/>
    <w:rsid w:val="008B580B"/>
    <w:rsid w:val="008B64A0"/>
    <w:rsid w:val="008B72BA"/>
    <w:rsid w:val="008B74AE"/>
    <w:rsid w:val="008B76F6"/>
    <w:rsid w:val="008B7992"/>
    <w:rsid w:val="008B7D7E"/>
    <w:rsid w:val="008B7E3A"/>
    <w:rsid w:val="008C17B8"/>
    <w:rsid w:val="008C1C78"/>
    <w:rsid w:val="008C24BD"/>
    <w:rsid w:val="008C2589"/>
    <w:rsid w:val="008C2A48"/>
    <w:rsid w:val="008C33D8"/>
    <w:rsid w:val="008C388C"/>
    <w:rsid w:val="008C3EF8"/>
    <w:rsid w:val="008C40F6"/>
    <w:rsid w:val="008C46D4"/>
    <w:rsid w:val="008C496F"/>
    <w:rsid w:val="008C50EE"/>
    <w:rsid w:val="008C5610"/>
    <w:rsid w:val="008C5739"/>
    <w:rsid w:val="008C6BAD"/>
    <w:rsid w:val="008C7282"/>
    <w:rsid w:val="008C77E0"/>
    <w:rsid w:val="008C791E"/>
    <w:rsid w:val="008C7ECB"/>
    <w:rsid w:val="008D00F9"/>
    <w:rsid w:val="008D0403"/>
    <w:rsid w:val="008D06D5"/>
    <w:rsid w:val="008D0821"/>
    <w:rsid w:val="008D0A77"/>
    <w:rsid w:val="008D0C80"/>
    <w:rsid w:val="008D1335"/>
    <w:rsid w:val="008D1387"/>
    <w:rsid w:val="008D1D1C"/>
    <w:rsid w:val="008D200D"/>
    <w:rsid w:val="008D2E6D"/>
    <w:rsid w:val="008D2F62"/>
    <w:rsid w:val="008D3B86"/>
    <w:rsid w:val="008D3BB6"/>
    <w:rsid w:val="008D43FD"/>
    <w:rsid w:val="008D4755"/>
    <w:rsid w:val="008D4C3D"/>
    <w:rsid w:val="008D4C6F"/>
    <w:rsid w:val="008D6199"/>
    <w:rsid w:val="008D6BCA"/>
    <w:rsid w:val="008D6D2A"/>
    <w:rsid w:val="008D6F1B"/>
    <w:rsid w:val="008D73D2"/>
    <w:rsid w:val="008D743C"/>
    <w:rsid w:val="008D7B2D"/>
    <w:rsid w:val="008D7D1F"/>
    <w:rsid w:val="008E0A68"/>
    <w:rsid w:val="008E0D3C"/>
    <w:rsid w:val="008E0D9A"/>
    <w:rsid w:val="008E0FF5"/>
    <w:rsid w:val="008E1A3B"/>
    <w:rsid w:val="008E1AAA"/>
    <w:rsid w:val="008E1B9E"/>
    <w:rsid w:val="008E2BEC"/>
    <w:rsid w:val="008E2EAC"/>
    <w:rsid w:val="008E55AB"/>
    <w:rsid w:val="008E5DB2"/>
    <w:rsid w:val="008E6101"/>
    <w:rsid w:val="008E6759"/>
    <w:rsid w:val="008E72D2"/>
    <w:rsid w:val="008E7301"/>
    <w:rsid w:val="008F0A08"/>
    <w:rsid w:val="008F10E4"/>
    <w:rsid w:val="008F120A"/>
    <w:rsid w:val="008F16A5"/>
    <w:rsid w:val="008F17D7"/>
    <w:rsid w:val="008F1C11"/>
    <w:rsid w:val="008F1F36"/>
    <w:rsid w:val="008F1FB3"/>
    <w:rsid w:val="008F2091"/>
    <w:rsid w:val="008F2275"/>
    <w:rsid w:val="008F27E0"/>
    <w:rsid w:val="008F29A1"/>
    <w:rsid w:val="008F2CC1"/>
    <w:rsid w:val="008F30B9"/>
    <w:rsid w:val="008F48EB"/>
    <w:rsid w:val="008F4EB0"/>
    <w:rsid w:val="008F4F0B"/>
    <w:rsid w:val="008F5581"/>
    <w:rsid w:val="008F5BBC"/>
    <w:rsid w:val="008F60B3"/>
    <w:rsid w:val="008F6C78"/>
    <w:rsid w:val="008F6E51"/>
    <w:rsid w:val="008F7085"/>
    <w:rsid w:val="0090020B"/>
    <w:rsid w:val="00900451"/>
    <w:rsid w:val="00900579"/>
    <w:rsid w:val="00900A31"/>
    <w:rsid w:val="00900A95"/>
    <w:rsid w:val="009024EC"/>
    <w:rsid w:val="00903025"/>
    <w:rsid w:val="009033A7"/>
    <w:rsid w:val="00904628"/>
    <w:rsid w:val="009046C4"/>
    <w:rsid w:val="00905843"/>
    <w:rsid w:val="009060D1"/>
    <w:rsid w:val="009061E7"/>
    <w:rsid w:val="009062A5"/>
    <w:rsid w:val="00906503"/>
    <w:rsid w:val="00907546"/>
    <w:rsid w:val="00907699"/>
    <w:rsid w:val="00910474"/>
    <w:rsid w:val="00910B4B"/>
    <w:rsid w:val="00910B9F"/>
    <w:rsid w:val="00910D3F"/>
    <w:rsid w:val="00910FA7"/>
    <w:rsid w:val="00911272"/>
    <w:rsid w:val="00911339"/>
    <w:rsid w:val="00911E5D"/>
    <w:rsid w:val="00912C62"/>
    <w:rsid w:val="00912C71"/>
    <w:rsid w:val="0091309B"/>
    <w:rsid w:val="009132E1"/>
    <w:rsid w:val="009135D6"/>
    <w:rsid w:val="00913B2E"/>
    <w:rsid w:val="009140F5"/>
    <w:rsid w:val="009145F5"/>
    <w:rsid w:val="00914668"/>
    <w:rsid w:val="00914C77"/>
    <w:rsid w:val="00914E1F"/>
    <w:rsid w:val="0091505C"/>
    <w:rsid w:val="0091671B"/>
    <w:rsid w:val="0091676F"/>
    <w:rsid w:val="009171B8"/>
    <w:rsid w:val="00917BA4"/>
    <w:rsid w:val="00920398"/>
    <w:rsid w:val="0092054F"/>
    <w:rsid w:val="0092153E"/>
    <w:rsid w:val="00921AC8"/>
    <w:rsid w:val="00921ACB"/>
    <w:rsid w:val="009227C2"/>
    <w:rsid w:val="00922E94"/>
    <w:rsid w:val="00922F8B"/>
    <w:rsid w:val="00923084"/>
    <w:rsid w:val="009235C6"/>
    <w:rsid w:val="0092369B"/>
    <w:rsid w:val="0092495D"/>
    <w:rsid w:val="00925EAF"/>
    <w:rsid w:val="00926402"/>
    <w:rsid w:val="00927222"/>
    <w:rsid w:val="00927517"/>
    <w:rsid w:val="009306CF"/>
    <w:rsid w:val="0093079D"/>
    <w:rsid w:val="00930F85"/>
    <w:rsid w:val="0093137B"/>
    <w:rsid w:val="009333F2"/>
    <w:rsid w:val="00933706"/>
    <w:rsid w:val="00934988"/>
    <w:rsid w:val="00934C4B"/>
    <w:rsid w:val="00934D98"/>
    <w:rsid w:val="00935C0C"/>
    <w:rsid w:val="00936130"/>
    <w:rsid w:val="009361DD"/>
    <w:rsid w:val="00937089"/>
    <w:rsid w:val="0093708E"/>
    <w:rsid w:val="009370DF"/>
    <w:rsid w:val="00937847"/>
    <w:rsid w:val="00937C27"/>
    <w:rsid w:val="00937D0F"/>
    <w:rsid w:val="00940395"/>
    <w:rsid w:val="00941272"/>
    <w:rsid w:val="009418EB"/>
    <w:rsid w:val="009427E6"/>
    <w:rsid w:val="00944F8A"/>
    <w:rsid w:val="009451D8"/>
    <w:rsid w:val="0094565E"/>
    <w:rsid w:val="00946106"/>
    <w:rsid w:val="00947D8A"/>
    <w:rsid w:val="00947ECE"/>
    <w:rsid w:val="00950169"/>
    <w:rsid w:val="009502D5"/>
    <w:rsid w:val="0095080B"/>
    <w:rsid w:val="00950D69"/>
    <w:rsid w:val="009510A2"/>
    <w:rsid w:val="0095123B"/>
    <w:rsid w:val="00951BCC"/>
    <w:rsid w:val="00951BEC"/>
    <w:rsid w:val="00952F2A"/>
    <w:rsid w:val="00953257"/>
    <w:rsid w:val="009538A2"/>
    <w:rsid w:val="0095474C"/>
    <w:rsid w:val="0095519C"/>
    <w:rsid w:val="00955E98"/>
    <w:rsid w:val="009569E9"/>
    <w:rsid w:val="0095760D"/>
    <w:rsid w:val="00957B10"/>
    <w:rsid w:val="00957D92"/>
    <w:rsid w:val="00957F6E"/>
    <w:rsid w:val="00962A47"/>
    <w:rsid w:val="00962CB9"/>
    <w:rsid w:val="00963A4D"/>
    <w:rsid w:val="00964056"/>
    <w:rsid w:val="00964312"/>
    <w:rsid w:val="00964CC8"/>
    <w:rsid w:val="00965B8A"/>
    <w:rsid w:val="00965C27"/>
    <w:rsid w:val="00965DC2"/>
    <w:rsid w:val="00966271"/>
    <w:rsid w:val="00966581"/>
    <w:rsid w:val="00966BC3"/>
    <w:rsid w:val="00966F22"/>
    <w:rsid w:val="0096762E"/>
    <w:rsid w:val="00970077"/>
    <w:rsid w:val="0097071F"/>
    <w:rsid w:val="00971079"/>
    <w:rsid w:val="00971616"/>
    <w:rsid w:val="009717AC"/>
    <w:rsid w:val="0097264C"/>
    <w:rsid w:val="00972743"/>
    <w:rsid w:val="00972B4E"/>
    <w:rsid w:val="00974139"/>
    <w:rsid w:val="009741F2"/>
    <w:rsid w:val="009746EC"/>
    <w:rsid w:val="00974E7B"/>
    <w:rsid w:val="009751C1"/>
    <w:rsid w:val="0097582C"/>
    <w:rsid w:val="00975A79"/>
    <w:rsid w:val="00975C8D"/>
    <w:rsid w:val="0097601D"/>
    <w:rsid w:val="00976386"/>
    <w:rsid w:val="00976C4B"/>
    <w:rsid w:val="00977157"/>
    <w:rsid w:val="00977330"/>
    <w:rsid w:val="00977493"/>
    <w:rsid w:val="00977F22"/>
    <w:rsid w:val="009811F1"/>
    <w:rsid w:val="00981F91"/>
    <w:rsid w:val="009828C5"/>
    <w:rsid w:val="009832C8"/>
    <w:rsid w:val="00983E57"/>
    <w:rsid w:val="009849CC"/>
    <w:rsid w:val="00985037"/>
    <w:rsid w:val="00985862"/>
    <w:rsid w:val="00985A10"/>
    <w:rsid w:val="00985CF7"/>
    <w:rsid w:val="00985DE2"/>
    <w:rsid w:val="00985FA0"/>
    <w:rsid w:val="00986439"/>
    <w:rsid w:val="0098675D"/>
    <w:rsid w:val="00986BD8"/>
    <w:rsid w:val="00987BA4"/>
    <w:rsid w:val="00990A7D"/>
    <w:rsid w:val="00990BC7"/>
    <w:rsid w:val="00990D6C"/>
    <w:rsid w:val="00991327"/>
    <w:rsid w:val="009925E9"/>
    <w:rsid w:val="009926E0"/>
    <w:rsid w:val="00993F37"/>
    <w:rsid w:val="0099404B"/>
    <w:rsid w:val="009940BC"/>
    <w:rsid w:val="0099451E"/>
    <w:rsid w:val="009950E9"/>
    <w:rsid w:val="009955A3"/>
    <w:rsid w:val="00995E09"/>
    <w:rsid w:val="0099648C"/>
    <w:rsid w:val="0099683C"/>
    <w:rsid w:val="00996B1A"/>
    <w:rsid w:val="00996BE5"/>
    <w:rsid w:val="0099738B"/>
    <w:rsid w:val="009A02CD"/>
    <w:rsid w:val="009A046C"/>
    <w:rsid w:val="009A057E"/>
    <w:rsid w:val="009A0611"/>
    <w:rsid w:val="009A100E"/>
    <w:rsid w:val="009A18F6"/>
    <w:rsid w:val="009A1BA1"/>
    <w:rsid w:val="009A20E9"/>
    <w:rsid w:val="009A2DCC"/>
    <w:rsid w:val="009A31A0"/>
    <w:rsid w:val="009A3DDE"/>
    <w:rsid w:val="009A4923"/>
    <w:rsid w:val="009A4B51"/>
    <w:rsid w:val="009A5ABC"/>
    <w:rsid w:val="009A60AC"/>
    <w:rsid w:val="009A6533"/>
    <w:rsid w:val="009A676B"/>
    <w:rsid w:val="009A6936"/>
    <w:rsid w:val="009A6A1C"/>
    <w:rsid w:val="009A6E25"/>
    <w:rsid w:val="009A71E4"/>
    <w:rsid w:val="009A744F"/>
    <w:rsid w:val="009A75EE"/>
    <w:rsid w:val="009A7B72"/>
    <w:rsid w:val="009A7F10"/>
    <w:rsid w:val="009A7FE1"/>
    <w:rsid w:val="009B0D10"/>
    <w:rsid w:val="009B15A3"/>
    <w:rsid w:val="009B1A32"/>
    <w:rsid w:val="009B2665"/>
    <w:rsid w:val="009B30A3"/>
    <w:rsid w:val="009B3598"/>
    <w:rsid w:val="009B3BE9"/>
    <w:rsid w:val="009B3E26"/>
    <w:rsid w:val="009B412A"/>
    <w:rsid w:val="009B4E7D"/>
    <w:rsid w:val="009B55CA"/>
    <w:rsid w:val="009B56B5"/>
    <w:rsid w:val="009B62F4"/>
    <w:rsid w:val="009B6363"/>
    <w:rsid w:val="009B648A"/>
    <w:rsid w:val="009B6A7D"/>
    <w:rsid w:val="009C00A3"/>
    <w:rsid w:val="009C0B2A"/>
    <w:rsid w:val="009C1271"/>
    <w:rsid w:val="009C201F"/>
    <w:rsid w:val="009C2C8A"/>
    <w:rsid w:val="009C337D"/>
    <w:rsid w:val="009C36FF"/>
    <w:rsid w:val="009C3706"/>
    <w:rsid w:val="009C3A3A"/>
    <w:rsid w:val="009C40E4"/>
    <w:rsid w:val="009C6CEA"/>
    <w:rsid w:val="009C72E4"/>
    <w:rsid w:val="009C78D8"/>
    <w:rsid w:val="009C7B85"/>
    <w:rsid w:val="009D014B"/>
    <w:rsid w:val="009D0254"/>
    <w:rsid w:val="009D02F5"/>
    <w:rsid w:val="009D1050"/>
    <w:rsid w:val="009D1A64"/>
    <w:rsid w:val="009D2167"/>
    <w:rsid w:val="009D3C39"/>
    <w:rsid w:val="009D4EC8"/>
    <w:rsid w:val="009D5796"/>
    <w:rsid w:val="009D5B91"/>
    <w:rsid w:val="009D5F18"/>
    <w:rsid w:val="009D62F1"/>
    <w:rsid w:val="009D65DD"/>
    <w:rsid w:val="009D792E"/>
    <w:rsid w:val="009D7A68"/>
    <w:rsid w:val="009D7C81"/>
    <w:rsid w:val="009E0041"/>
    <w:rsid w:val="009E0A57"/>
    <w:rsid w:val="009E0DFE"/>
    <w:rsid w:val="009E1169"/>
    <w:rsid w:val="009E1234"/>
    <w:rsid w:val="009E1375"/>
    <w:rsid w:val="009E1512"/>
    <w:rsid w:val="009E1C5E"/>
    <w:rsid w:val="009E262B"/>
    <w:rsid w:val="009E2F2F"/>
    <w:rsid w:val="009E30AC"/>
    <w:rsid w:val="009E31F6"/>
    <w:rsid w:val="009E3373"/>
    <w:rsid w:val="009E4C07"/>
    <w:rsid w:val="009E5E79"/>
    <w:rsid w:val="009E6A85"/>
    <w:rsid w:val="009E6EC4"/>
    <w:rsid w:val="009E7461"/>
    <w:rsid w:val="009E777F"/>
    <w:rsid w:val="009E7844"/>
    <w:rsid w:val="009E78C3"/>
    <w:rsid w:val="009E79C1"/>
    <w:rsid w:val="009F021C"/>
    <w:rsid w:val="009F1E0E"/>
    <w:rsid w:val="009F37C6"/>
    <w:rsid w:val="009F5D0C"/>
    <w:rsid w:val="009F6120"/>
    <w:rsid w:val="009F6354"/>
    <w:rsid w:val="009F6441"/>
    <w:rsid w:val="009F689F"/>
    <w:rsid w:val="009F782A"/>
    <w:rsid w:val="00A00298"/>
    <w:rsid w:val="00A00D76"/>
    <w:rsid w:val="00A01184"/>
    <w:rsid w:val="00A011CC"/>
    <w:rsid w:val="00A01449"/>
    <w:rsid w:val="00A01873"/>
    <w:rsid w:val="00A01923"/>
    <w:rsid w:val="00A028D4"/>
    <w:rsid w:val="00A0322F"/>
    <w:rsid w:val="00A037C2"/>
    <w:rsid w:val="00A03A49"/>
    <w:rsid w:val="00A03D43"/>
    <w:rsid w:val="00A03F78"/>
    <w:rsid w:val="00A04380"/>
    <w:rsid w:val="00A04786"/>
    <w:rsid w:val="00A0495F"/>
    <w:rsid w:val="00A0497F"/>
    <w:rsid w:val="00A04CA7"/>
    <w:rsid w:val="00A05472"/>
    <w:rsid w:val="00A05A72"/>
    <w:rsid w:val="00A05C32"/>
    <w:rsid w:val="00A05DEE"/>
    <w:rsid w:val="00A06342"/>
    <w:rsid w:val="00A0653F"/>
    <w:rsid w:val="00A06EA3"/>
    <w:rsid w:val="00A07639"/>
    <w:rsid w:val="00A076D2"/>
    <w:rsid w:val="00A100E7"/>
    <w:rsid w:val="00A105F0"/>
    <w:rsid w:val="00A110C8"/>
    <w:rsid w:val="00A11BF6"/>
    <w:rsid w:val="00A11CD0"/>
    <w:rsid w:val="00A1275A"/>
    <w:rsid w:val="00A12E52"/>
    <w:rsid w:val="00A13686"/>
    <w:rsid w:val="00A13948"/>
    <w:rsid w:val="00A147E0"/>
    <w:rsid w:val="00A1536C"/>
    <w:rsid w:val="00A1555B"/>
    <w:rsid w:val="00A155C5"/>
    <w:rsid w:val="00A15DD1"/>
    <w:rsid w:val="00A1640A"/>
    <w:rsid w:val="00A1696A"/>
    <w:rsid w:val="00A16AD8"/>
    <w:rsid w:val="00A17416"/>
    <w:rsid w:val="00A175B8"/>
    <w:rsid w:val="00A2021E"/>
    <w:rsid w:val="00A20829"/>
    <w:rsid w:val="00A20A6F"/>
    <w:rsid w:val="00A21232"/>
    <w:rsid w:val="00A21C4B"/>
    <w:rsid w:val="00A21C95"/>
    <w:rsid w:val="00A21CF3"/>
    <w:rsid w:val="00A22D5C"/>
    <w:rsid w:val="00A23E5D"/>
    <w:rsid w:val="00A244EA"/>
    <w:rsid w:val="00A24813"/>
    <w:rsid w:val="00A2498B"/>
    <w:rsid w:val="00A24AA5"/>
    <w:rsid w:val="00A24BAA"/>
    <w:rsid w:val="00A253C6"/>
    <w:rsid w:val="00A25508"/>
    <w:rsid w:val="00A25886"/>
    <w:rsid w:val="00A26ABA"/>
    <w:rsid w:val="00A26C26"/>
    <w:rsid w:val="00A26F4F"/>
    <w:rsid w:val="00A27AEC"/>
    <w:rsid w:val="00A27C0B"/>
    <w:rsid w:val="00A27F93"/>
    <w:rsid w:val="00A3059E"/>
    <w:rsid w:val="00A30DFB"/>
    <w:rsid w:val="00A31C72"/>
    <w:rsid w:val="00A31FD0"/>
    <w:rsid w:val="00A320DB"/>
    <w:rsid w:val="00A323C8"/>
    <w:rsid w:val="00A3438A"/>
    <w:rsid w:val="00A35D16"/>
    <w:rsid w:val="00A37870"/>
    <w:rsid w:val="00A37913"/>
    <w:rsid w:val="00A37BCD"/>
    <w:rsid w:val="00A37F86"/>
    <w:rsid w:val="00A401B6"/>
    <w:rsid w:val="00A4072F"/>
    <w:rsid w:val="00A40F02"/>
    <w:rsid w:val="00A40F5D"/>
    <w:rsid w:val="00A4138A"/>
    <w:rsid w:val="00A41689"/>
    <w:rsid w:val="00A41F8C"/>
    <w:rsid w:val="00A42592"/>
    <w:rsid w:val="00A4274A"/>
    <w:rsid w:val="00A42CCA"/>
    <w:rsid w:val="00A42F0C"/>
    <w:rsid w:val="00A43365"/>
    <w:rsid w:val="00A4391B"/>
    <w:rsid w:val="00A439FC"/>
    <w:rsid w:val="00A43C59"/>
    <w:rsid w:val="00A452A8"/>
    <w:rsid w:val="00A45A06"/>
    <w:rsid w:val="00A46214"/>
    <w:rsid w:val="00A469A8"/>
    <w:rsid w:val="00A47C45"/>
    <w:rsid w:val="00A50CE5"/>
    <w:rsid w:val="00A50ECD"/>
    <w:rsid w:val="00A518F3"/>
    <w:rsid w:val="00A51C73"/>
    <w:rsid w:val="00A51E13"/>
    <w:rsid w:val="00A520AF"/>
    <w:rsid w:val="00A52729"/>
    <w:rsid w:val="00A53675"/>
    <w:rsid w:val="00A5384F"/>
    <w:rsid w:val="00A54800"/>
    <w:rsid w:val="00A54ACC"/>
    <w:rsid w:val="00A5501F"/>
    <w:rsid w:val="00A550DD"/>
    <w:rsid w:val="00A564D7"/>
    <w:rsid w:val="00A56750"/>
    <w:rsid w:val="00A56857"/>
    <w:rsid w:val="00A56B6A"/>
    <w:rsid w:val="00A577EE"/>
    <w:rsid w:val="00A578DC"/>
    <w:rsid w:val="00A57ABA"/>
    <w:rsid w:val="00A6103E"/>
    <w:rsid w:val="00A61DF8"/>
    <w:rsid w:val="00A62F3C"/>
    <w:rsid w:val="00A63964"/>
    <w:rsid w:val="00A640E2"/>
    <w:rsid w:val="00A644F3"/>
    <w:rsid w:val="00A64B8D"/>
    <w:rsid w:val="00A64D65"/>
    <w:rsid w:val="00A64FE5"/>
    <w:rsid w:val="00A65357"/>
    <w:rsid w:val="00A657CB"/>
    <w:rsid w:val="00A65EC4"/>
    <w:rsid w:val="00A6669C"/>
    <w:rsid w:val="00A66B61"/>
    <w:rsid w:val="00A6725B"/>
    <w:rsid w:val="00A70149"/>
    <w:rsid w:val="00A702ED"/>
    <w:rsid w:val="00A70535"/>
    <w:rsid w:val="00A70605"/>
    <w:rsid w:val="00A7155D"/>
    <w:rsid w:val="00A71B7A"/>
    <w:rsid w:val="00A7258E"/>
    <w:rsid w:val="00A728FF"/>
    <w:rsid w:val="00A7300A"/>
    <w:rsid w:val="00A73134"/>
    <w:rsid w:val="00A7365A"/>
    <w:rsid w:val="00A743A8"/>
    <w:rsid w:val="00A75E4F"/>
    <w:rsid w:val="00A76001"/>
    <w:rsid w:val="00A77103"/>
    <w:rsid w:val="00A7717F"/>
    <w:rsid w:val="00A77199"/>
    <w:rsid w:val="00A7754A"/>
    <w:rsid w:val="00A777B2"/>
    <w:rsid w:val="00A77A9C"/>
    <w:rsid w:val="00A80A5D"/>
    <w:rsid w:val="00A816CA"/>
    <w:rsid w:val="00A81A6F"/>
    <w:rsid w:val="00A81CE9"/>
    <w:rsid w:val="00A8245F"/>
    <w:rsid w:val="00A825D4"/>
    <w:rsid w:val="00A828DC"/>
    <w:rsid w:val="00A828F6"/>
    <w:rsid w:val="00A82B73"/>
    <w:rsid w:val="00A843A0"/>
    <w:rsid w:val="00A84DF1"/>
    <w:rsid w:val="00A8515F"/>
    <w:rsid w:val="00A85A38"/>
    <w:rsid w:val="00A85A9D"/>
    <w:rsid w:val="00A8603D"/>
    <w:rsid w:val="00A8673E"/>
    <w:rsid w:val="00A8683A"/>
    <w:rsid w:val="00A86A77"/>
    <w:rsid w:val="00A86B25"/>
    <w:rsid w:val="00A86E8B"/>
    <w:rsid w:val="00A87164"/>
    <w:rsid w:val="00A871A9"/>
    <w:rsid w:val="00A87281"/>
    <w:rsid w:val="00A87BD5"/>
    <w:rsid w:val="00A902CF"/>
    <w:rsid w:val="00A9124B"/>
    <w:rsid w:val="00A928EB"/>
    <w:rsid w:val="00A92B08"/>
    <w:rsid w:val="00A93072"/>
    <w:rsid w:val="00A9308A"/>
    <w:rsid w:val="00A938BD"/>
    <w:rsid w:val="00A93953"/>
    <w:rsid w:val="00A93BC6"/>
    <w:rsid w:val="00A9588A"/>
    <w:rsid w:val="00A959D8"/>
    <w:rsid w:val="00A971D2"/>
    <w:rsid w:val="00A9757D"/>
    <w:rsid w:val="00A979E3"/>
    <w:rsid w:val="00A97AFD"/>
    <w:rsid w:val="00A97D59"/>
    <w:rsid w:val="00A97EAE"/>
    <w:rsid w:val="00AA106F"/>
    <w:rsid w:val="00AA113D"/>
    <w:rsid w:val="00AA1498"/>
    <w:rsid w:val="00AA20A4"/>
    <w:rsid w:val="00AA2BB7"/>
    <w:rsid w:val="00AA2DB1"/>
    <w:rsid w:val="00AA2FE9"/>
    <w:rsid w:val="00AA308B"/>
    <w:rsid w:val="00AA45E8"/>
    <w:rsid w:val="00AA5A4D"/>
    <w:rsid w:val="00AA5A51"/>
    <w:rsid w:val="00AA5B66"/>
    <w:rsid w:val="00AA6BD5"/>
    <w:rsid w:val="00AA6BD8"/>
    <w:rsid w:val="00AA6C7D"/>
    <w:rsid w:val="00AA75BA"/>
    <w:rsid w:val="00AA7FD6"/>
    <w:rsid w:val="00AB01F7"/>
    <w:rsid w:val="00AB042A"/>
    <w:rsid w:val="00AB0F50"/>
    <w:rsid w:val="00AB11AD"/>
    <w:rsid w:val="00AB196D"/>
    <w:rsid w:val="00AB19EF"/>
    <w:rsid w:val="00AB1D70"/>
    <w:rsid w:val="00AB2495"/>
    <w:rsid w:val="00AB2681"/>
    <w:rsid w:val="00AB2D34"/>
    <w:rsid w:val="00AB3180"/>
    <w:rsid w:val="00AB3430"/>
    <w:rsid w:val="00AB37B9"/>
    <w:rsid w:val="00AB3D1A"/>
    <w:rsid w:val="00AB42AE"/>
    <w:rsid w:val="00AB488E"/>
    <w:rsid w:val="00AB49F8"/>
    <w:rsid w:val="00AB4AD1"/>
    <w:rsid w:val="00AB56CC"/>
    <w:rsid w:val="00AB5E07"/>
    <w:rsid w:val="00AB63A6"/>
    <w:rsid w:val="00AB6887"/>
    <w:rsid w:val="00AB776F"/>
    <w:rsid w:val="00AB7CFA"/>
    <w:rsid w:val="00AC0114"/>
    <w:rsid w:val="00AC112F"/>
    <w:rsid w:val="00AC288A"/>
    <w:rsid w:val="00AC302C"/>
    <w:rsid w:val="00AC3403"/>
    <w:rsid w:val="00AC3785"/>
    <w:rsid w:val="00AC444C"/>
    <w:rsid w:val="00AC4C58"/>
    <w:rsid w:val="00AC4CCB"/>
    <w:rsid w:val="00AC5B42"/>
    <w:rsid w:val="00AC5B48"/>
    <w:rsid w:val="00AC67E2"/>
    <w:rsid w:val="00AC68A9"/>
    <w:rsid w:val="00AC7139"/>
    <w:rsid w:val="00AC7F0F"/>
    <w:rsid w:val="00AD00F3"/>
    <w:rsid w:val="00AD05C5"/>
    <w:rsid w:val="00AD103C"/>
    <w:rsid w:val="00AD1450"/>
    <w:rsid w:val="00AD15E8"/>
    <w:rsid w:val="00AD18BB"/>
    <w:rsid w:val="00AD309E"/>
    <w:rsid w:val="00AD356D"/>
    <w:rsid w:val="00AD3EBB"/>
    <w:rsid w:val="00AD420D"/>
    <w:rsid w:val="00AD4784"/>
    <w:rsid w:val="00AD59C9"/>
    <w:rsid w:val="00AD6031"/>
    <w:rsid w:val="00AD6502"/>
    <w:rsid w:val="00AD699F"/>
    <w:rsid w:val="00AD7578"/>
    <w:rsid w:val="00AE0695"/>
    <w:rsid w:val="00AE0EA8"/>
    <w:rsid w:val="00AE2E2C"/>
    <w:rsid w:val="00AE3E7E"/>
    <w:rsid w:val="00AE4662"/>
    <w:rsid w:val="00AE4C87"/>
    <w:rsid w:val="00AE4DA1"/>
    <w:rsid w:val="00AE51E8"/>
    <w:rsid w:val="00AE6448"/>
    <w:rsid w:val="00AE68BB"/>
    <w:rsid w:val="00AE6963"/>
    <w:rsid w:val="00AE75C6"/>
    <w:rsid w:val="00AE7E53"/>
    <w:rsid w:val="00AF03B5"/>
    <w:rsid w:val="00AF0665"/>
    <w:rsid w:val="00AF089F"/>
    <w:rsid w:val="00AF0A41"/>
    <w:rsid w:val="00AF0AF3"/>
    <w:rsid w:val="00AF0B4C"/>
    <w:rsid w:val="00AF1315"/>
    <w:rsid w:val="00AF157D"/>
    <w:rsid w:val="00AF1684"/>
    <w:rsid w:val="00AF19BF"/>
    <w:rsid w:val="00AF1E42"/>
    <w:rsid w:val="00AF24B0"/>
    <w:rsid w:val="00AF2916"/>
    <w:rsid w:val="00AF2AB0"/>
    <w:rsid w:val="00AF2DC3"/>
    <w:rsid w:val="00AF2E40"/>
    <w:rsid w:val="00AF3AE5"/>
    <w:rsid w:val="00AF46DA"/>
    <w:rsid w:val="00AF4A08"/>
    <w:rsid w:val="00AF4D3D"/>
    <w:rsid w:val="00AF50B0"/>
    <w:rsid w:val="00AF5DB5"/>
    <w:rsid w:val="00AF6449"/>
    <w:rsid w:val="00AF6573"/>
    <w:rsid w:val="00AF6C7B"/>
    <w:rsid w:val="00AF6EFE"/>
    <w:rsid w:val="00AF6FF7"/>
    <w:rsid w:val="00AF76BA"/>
    <w:rsid w:val="00AF7855"/>
    <w:rsid w:val="00B01E25"/>
    <w:rsid w:val="00B02046"/>
    <w:rsid w:val="00B02305"/>
    <w:rsid w:val="00B023FA"/>
    <w:rsid w:val="00B033E5"/>
    <w:rsid w:val="00B03414"/>
    <w:rsid w:val="00B03A63"/>
    <w:rsid w:val="00B05696"/>
    <w:rsid w:val="00B07239"/>
    <w:rsid w:val="00B07E66"/>
    <w:rsid w:val="00B0BC3B"/>
    <w:rsid w:val="00B100D7"/>
    <w:rsid w:val="00B10578"/>
    <w:rsid w:val="00B10E47"/>
    <w:rsid w:val="00B11C8F"/>
    <w:rsid w:val="00B11F57"/>
    <w:rsid w:val="00B129A4"/>
    <w:rsid w:val="00B13720"/>
    <w:rsid w:val="00B13F4A"/>
    <w:rsid w:val="00B1504F"/>
    <w:rsid w:val="00B16009"/>
    <w:rsid w:val="00B165E7"/>
    <w:rsid w:val="00B201A4"/>
    <w:rsid w:val="00B201D1"/>
    <w:rsid w:val="00B205A4"/>
    <w:rsid w:val="00B206D2"/>
    <w:rsid w:val="00B20F64"/>
    <w:rsid w:val="00B212A0"/>
    <w:rsid w:val="00B213A6"/>
    <w:rsid w:val="00B21430"/>
    <w:rsid w:val="00B22B20"/>
    <w:rsid w:val="00B232A3"/>
    <w:rsid w:val="00B235B0"/>
    <w:rsid w:val="00B23751"/>
    <w:rsid w:val="00B23E1D"/>
    <w:rsid w:val="00B23FEB"/>
    <w:rsid w:val="00B240B5"/>
    <w:rsid w:val="00B240C3"/>
    <w:rsid w:val="00B241AD"/>
    <w:rsid w:val="00B24816"/>
    <w:rsid w:val="00B24DF6"/>
    <w:rsid w:val="00B25859"/>
    <w:rsid w:val="00B25BDA"/>
    <w:rsid w:val="00B25DA5"/>
    <w:rsid w:val="00B2624D"/>
    <w:rsid w:val="00B27076"/>
    <w:rsid w:val="00B2734C"/>
    <w:rsid w:val="00B27665"/>
    <w:rsid w:val="00B27918"/>
    <w:rsid w:val="00B27A61"/>
    <w:rsid w:val="00B27E5F"/>
    <w:rsid w:val="00B314A7"/>
    <w:rsid w:val="00B31FA3"/>
    <w:rsid w:val="00B32005"/>
    <w:rsid w:val="00B321D6"/>
    <w:rsid w:val="00B32B93"/>
    <w:rsid w:val="00B332B8"/>
    <w:rsid w:val="00B33A35"/>
    <w:rsid w:val="00B34463"/>
    <w:rsid w:val="00B34FE2"/>
    <w:rsid w:val="00B35094"/>
    <w:rsid w:val="00B35166"/>
    <w:rsid w:val="00B357D8"/>
    <w:rsid w:val="00B360F4"/>
    <w:rsid w:val="00B3678B"/>
    <w:rsid w:val="00B36A00"/>
    <w:rsid w:val="00B36DA0"/>
    <w:rsid w:val="00B3792B"/>
    <w:rsid w:val="00B37BFC"/>
    <w:rsid w:val="00B4017A"/>
    <w:rsid w:val="00B40358"/>
    <w:rsid w:val="00B40470"/>
    <w:rsid w:val="00B40D6B"/>
    <w:rsid w:val="00B4114B"/>
    <w:rsid w:val="00B41614"/>
    <w:rsid w:val="00B41D86"/>
    <w:rsid w:val="00B4207F"/>
    <w:rsid w:val="00B4216B"/>
    <w:rsid w:val="00B42851"/>
    <w:rsid w:val="00B42852"/>
    <w:rsid w:val="00B42F80"/>
    <w:rsid w:val="00B435CB"/>
    <w:rsid w:val="00B44660"/>
    <w:rsid w:val="00B4537C"/>
    <w:rsid w:val="00B45821"/>
    <w:rsid w:val="00B45C23"/>
    <w:rsid w:val="00B462C3"/>
    <w:rsid w:val="00B465EC"/>
    <w:rsid w:val="00B47E47"/>
    <w:rsid w:val="00B5007A"/>
    <w:rsid w:val="00B505C8"/>
    <w:rsid w:val="00B50DA5"/>
    <w:rsid w:val="00B50DB8"/>
    <w:rsid w:val="00B513AB"/>
    <w:rsid w:val="00B520B5"/>
    <w:rsid w:val="00B52E59"/>
    <w:rsid w:val="00B53654"/>
    <w:rsid w:val="00B53905"/>
    <w:rsid w:val="00B53CF5"/>
    <w:rsid w:val="00B546DB"/>
    <w:rsid w:val="00B54B5B"/>
    <w:rsid w:val="00B5562E"/>
    <w:rsid w:val="00B55862"/>
    <w:rsid w:val="00B55D65"/>
    <w:rsid w:val="00B56097"/>
    <w:rsid w:val="00B56305"/>
    <w:rsid w:val="00B5678B"/>
    <w:rsid w:val="00B569D8"/>
    <w:rsid w:val="00B56D04"/>
    <w:rsid w:val="00B57000"/>
    <w:rsid w:val="00B570FE"/>
    <w:rsid w:val="00B57170"/>
    <w:rsid w:val="00B57312"/>
    <w:rsid w:val="00B57635"/>
    <w:rsid w:val="00B57B20"/>
    <w:rsid w:val="00B60939"/>
    <w:rsid w:val="00B60AFD"/>
    <w:rsid w:val="00B62715"/>
    <w:rsid w:val="00B63978"/>
    <w:rsid w:val="00B64FF6"/>
    <w:rsid w:val="00B65335"/>
    <w:rsid w:val="00B65611"/>
    <w:rsid w:val="00B6591A"/>
    <w:rsid w:val="00B660B2"/>
    <w:rsid w:val="00B6719A"/>
    <w:rsid w:val="00B67501"/>
    <w:rsid w:val="00B67E75"/>
    <w:rsid w:val="00B70709"/>
    <w:rsid w:val="00B70E8E"/>
    <w:rsid w:val="00B71774"/>
    <w:rsid w:val="00B738F0"/>
    <w:rsid w:val="00B749B5"/>
    <w:rsid w:val="00B75F85"/>
    <w:rsid w:val="00B76C92"/>
    <w:rsid w:val="00B773C6"/>
    <w:rsid w:val="00B7778E"/>
    <w:rsid w:val="00B779F2"/>
    <w:rsid w:val="00B80183"/>
    <w:rsid w:val="00B8098B"/>
    <w:rsid w:val="00B80EFD"/>
    <w:rsid w:val="00B81077"/>
    <w:rsid w:val="00B812B0"/>
    <w:rsid w:val="00B818A4"/>
    <w:rsid w:val="00B82921"/>
    <w:rsid w:val="00B82E6D"/>
    <w:rsid w:val="00B8304E"/>
    <w:rsid w:val="00B83739"/>
    <w:rsid w:val="00B83D0A"/>
    <w:rsid w:val="00B84117"/>
    <w:rsid w:val="00B843DB"/>
    <w:rsid w:val="00B84414"/>
    <w:rsid w:val="00B858F0"/>
    <w:rsid w:val="00B85AA2"/>
    <w:rsid w:val="00B85B62"/>
    <w:rsid w:val="00B8649C"/>
    <w:rsid w:val="00B8695D"/>
    <w:rsid w:val="00B86C17"/>
    <w:rsid w:val="00B86DCA"/>
    <w:rsid w:val="00B87253"/>
    <w:rsid w:val="00B87F0A"/>
    <w:rsid w:val="00B91245"/>
    <w:rsid w:val="00B912E1"/>
    <w:rsid w:val="00B9167A"/>
    <w:rsid w:val="00B92146"/>
    <w:rsid w:val="00B92D0B"/>
    <w:rsid w:val="00B92E09"/>
    <w:rsid w:val="00B92EB8"/>
    <w:rsid w:val="00B93032"/>
    <w:rsid w:val="00B937EF"/>
    <w:rsid w:val="00B9475E"/>
    <w:rsid w:val="00B94945"/>
    <w:rsid w:val="00B94DD6"/>
    <w:rsid w:val="00B94DEB"/>
    <w:rsid w:val="00B9521E"/>
    <w:rsid w:val="00B96ACA"/>
    <w:rsid w:val="00B96D0F"/>
    <w:rsid w:val="00B97A62"/>
    <w:rsid w:val="00B97D8F"/>
    <w:rsid w:val="00BA05D0"/>
    <w:rsid w:val="00BA178B"/>
    <w:rsid w:val="00BA297C"/>
    <w:rsid w:val="00BA322D"/>
    <w:rsid w:val="00BA42F3"/>
    <w:rsid w:val="00BA59CA"/>
    <w:rsid w:val="00BA63FA"/>
    <w:rsid w:val="00BA750D"/>
    <w:rsid w:val="00BB00B3"/>
    <w:rsid w:val="00BB03A9"/>
    <w:rsid w:val="00BB0BDD"/>
    <w:rsid w:val="00BB0D13"/>
    <w:rsid w:val="00BB0FD8"/>
    <w:rsid w:val="00BB176C"/>
    <w:rsid w:val="00BB1E40"/>
    <w:rsid w:val="00BB1EED"/>
    <w:rsid w:val="00BB2044"/>
    <w:rsid w:val="00BB2A73"/>
    <w:rsid w:val="00BB2EAC"/>
    <w:rsid w:val="00BB326C"/>
    <w:rsid w:val="00BB3484"/>
    <w:rsid w:val="00BB3A45"/>
    <w:rsid w:val="00BB3D6D"/>
    <w:rsid w:val="00BB4ACC"/>
    <w:rsid w:val="00BB4D81"/>
    <w:rsid w:val="00BB4DBB"/>
    <w:rsid w:val="00BB5099"/>
    <w:rsid w:val="00BB59A9"/>
    <w:rsid w:val="00BB5BEE"/>
    <w:rsid w:val="00BB5E16"/>
    <w:rsid w:val="00BB6B1F"/>
    <w:rsid w:val="00BB6CF8"/>
    <w:rsid w:val="00BB6EF0"/>
    <w:rsid w:val="00BB7024"/>
    <w:rsid w:val="00BB703E"/>
    <w:rsid w:val="00BB7190"/>
    <w:rsid w:val="00BB732D"/>
    <w:rsid w:val="00BB739C"/>
    <w:rsid w:val="00BB7405"/>
    <w:rsid w:val="00BB7432"/>
    <w:rsid w:val="00BB7CDF"/>
    <w:rsid w:val="00BC2AD9"/>
    <w:rsid w:val="00BC2EA9"/>
    <w:rsid w:val="00BC3631"/>
    <w:rsid w:val="00BC36D1"/>
    <w:rsid w:val="00BC3813"/>
    <w:rsid w:val="00BC3C25"/>
    <w:rsid w:val="00BC3EB7"/>
    <w:rsid w:val="00BC42FD"/>
    <w:rsid w:val="00BC4AC0"/>
    <w:rsid w:val="00BC4EFB"/>
    <w:rsid w:val="00BC58BA"/>
    <w:rsid w:val="00BC591F"/>
    <w:rsid w:val="00BC71D5"/>
    <w:rsid w:val="00BC73BD"/>
    <w:rsid w:val="00BC7884"/>
    <w:rsid w:val="00BC7D6D"/>
    <w:rsid w:val="00BC7F8B"/>
    <w:rsid w:val="00BCCEE9"/>
    <w:rsid w:val="00BD01F6"/>
    <w:rsid w:val="00BD040A"/>
    <w:rsid w:val="00BD0DE3"/>
    <w:rsid w:val="00BD2108"/>
    <w:rsid w:val="00BD22F0"/>
    <w:rsid w:val="00BD236B"/>
    <w:rsid w:val="00BD2399"/>
    <w:rsid w:val="00BD40C8"/>
    <w:rsid w:val="00BD417B"/>
    <w:rsid w:val="00BD478E"/>
    <w:rsid w:val="00BD4883"/>
    <w:rsid w:val="00BD4929"/>
    <w:rsid w:val="00BD4D58"/>
    <w:rsid w:val="00BD68A3"/>
    <w:rsid w:val="00BD6938"/>
    <w:rsid w:val="00BD6CF3"/>
    <w:rsid w:val="00BD7530"/>
    <w:rsid w:val="00BD7718"/>
    <w:rsid w:val="00BD7F72"/>
    <w:rsid w:val="00BE0762"/>
    <w:rsid w:val="00BE09EC"/>
    <w:rsid w:val="00BE0ECA"/>
    <w:rsid w:val="00BE109E"/>
    <w:rsid w:val="00BE133E"/>
    <w:rsid w:val="00BE19D1"/>
    <w:rsid w:val="00BE1F03"/>
    <w:rsid w:val="00BE2180"/>
    <w:rsid w:val="00BE21F2"/>
    <w:rsid w:val="00BE2630"/>
    <w:rsid w:val="00BE2E4E"/>
    <w:rsid w:val="00BE2F3A"/>
    <w:rsid w:val="00BE38D9"/>
    <w:rsid w:val="00BE4275"/>
    <w:rsid w:val="00BF06AE"/>
    <w:rsid w:val="00BF0F95"/>
    <w:rsid w:val="00BF2433"/>
    <w:rsid w:val="00BF2677"/>
    <w:rsid w:val="00BF2E6E"/>
    <w:rsid w:val="00BF368E"/>
    <w:rsid w:val="00BF41B4"/>
    <w:rsid w:val="00BF49FD"/>
    <w:rsid w:val="00BF4B7C"/>
    <w:rsid w:val="00BF5059"/>
    <w:rsid w:val="00BF61C9"/>
    <w:rsid w:val="00BF6C94"/>
    <w:rsid w:val="00C00009"/>
    <w:rsid w:val="00C00424"/>
    <w:rsid w:val="00C0076B"/>
    <w:rsid w:val="00C00AA3"/>
    <w:rsid w:val="00C00BB0"/>
    <w:rsid w:val="00C00D2F"/>
    <w:rsid w:val="00C00FB4"/>
    <w:rsid w:val="00C01724"/>
    <w:rsid w:val="00C017C7"/>
    <w:rsid w:val="00C01E5F"/>
    <w:rsid w:val="00C02028"/>
    <w:rsid w:val="00C02667"/>
    <w:rsid w:val="00C0266A"/>
    <w:rsid w:val="00C033D4"/>
    <w:rsid w:val="00C044C6"/>
    <w:rsid w:val="00C04E2A"/>
    <w:rsid w:val="00C06725"/>
    <w:rsid w:val="00C071FC"/>
    <w:rsid w:val="00C07EB2"/>
    <w:rsid w:val="00C10737"/>
    <w:rsid w:val="00C10D94"/>
    <w:rsid w:val="00C10DC5"/>
    <w:rsid w:val="00C11212"/>
    <w:rsid w:val="00C1179F"/>
    <w:rsid w:val="00C1231A"/>
    <w:rsid w:val="00C1248B"/>
    <w:rsid w:val="00C127B9"/>
    <w:rsid w:val="00C127FE"/>
    <w:rsid w:val="00C128FA"/>
    <w:rsid w:val="00C12C14"/>
    <w:rsid w:val="00C13099"/>
    <w:rsid w:val="00C13434"/>
    <w:rsid w:val="00C13452"/>
    <w:rsid w:val="00C13B6C"/>
    <w:rsid w:val="00C13F79"/>
    <w:rsid w:val="00C145BE"/>
    <w:rsid w:val="00C14D08"/>
    <w:rsid w:val="00C15A28"/>
    <w:rsid w:val="00C15F04"/>
    <w:rsid w:val="00C16333"/>
    <w:rsid w:val="00C179B3"/>
    <w:rsid w:val="00C17DAE"/>
    <w:rsid w:val="00C17E23"/>
    <w:rsid w:val="00C17E3F"/>
    <w:rsid w:val="00C17FEE"/>
    <w:rsid w:val="00C200AA"/>
    <w:rsid w:val="00C211AC"/>
    <w:rsid w:val="00C21246"/>
    <w:rsid w:val="00C212FB"/>
    <w:rsid w:val="00C21AD5"/>
    <w:rsid w:val="00C21E33"/>
    <w:rsid w:val="00C22350"/>
    <w:rsid w:val="00C22432"/>
    <w:rsid w:val="00C23026"/>
    <w:rsid w:val="00C237ED"/>
    <w:rsid w:val="00C2394E"/>
    <w:rsid w:val="00C24632"/>
    <w:rsid w:val="00C24E1A"/>
    <w:rsid w:val="00C2530F"/>
    <w:rsid w:val="00C25418"/>
    <w:rsid w:val="00C254F3"/>
    <w:rsid w:val="00C25C36"/>
    <w:rsid w:val="00C25D9C"/>
    <w:rsid w:val="00C266F4"/>
    <w:rsid w:val="00C26885"/>
    <w:rsid w:val="00C272F7"/>
    <w:rsid w:val="00C27674"/>
    <w:rsid w:val="00C2778B"/>
    <w:rsid w:val="00C30013"/>
    <w:rsid w:val="00C310F3"/>
    <w:rsid w:val="00C31649"/>
    <w:rsid w:val="00C32053"/>
    <w:rsid w:val="00C320B6"/>
    <w:rsid w:val="00C323EB"/>
    <w:rsid w:val="00C32BAD"/>
    <w:rsid w:val="00C3434C"/>
    <w:rsid w:val="00C3468B"/>
    <w:rsid w:val="00C365B0"/>
    <w:rsid w:val="00C37860"/>
    <w:rsid w:val="00C37D1F"/>
    <w:rsid w:val="00C40385"/>
    <w:rsid w:val="00C41768"/>
    <w:rsid w:val="00C4270B"/>
    <w:rsid w:val="00C4288D"/>
    <w:rsid w:val="00C43B6E"/>
    <w:rsid w:val="00C44CAF"/>
    <w:rsid w:val="00C464C9"/>
    <w:rsid w:val="00C46CB3"/>
    <w:rsid w:val="00C475AA"/>
    <w:rsid w:val="00C47629"/>
    <w:rsid w:val="00C504E0"/>
    <w:rsid w:val="00C511F3"/>
    <w:rsid w:val="00C516B2"/>
    <w:rsid w:val="00C51873"/>
    <w:rsid w:val="00C52649"/>
    <w:rsid w:val="00C527C7"/>
    <w:rsid w:val="00C52C15"/>
    <w:rsid w:val="00C52F16"/>
    <w:rsid w:val="00C53C98"/>
    <w:rsid w:val="00C53F27"/>
    <w:rsid w:val="00C566A0"/>
    <w:rsid w:val="00C56FCF"/>
    <w:rsid w:val="00C572A5"/>
    <w:rsid w:val="00C575C5"/>
    <w:rsid w:val="00C5762A"/>
    <w:rsid w:val="00C57B6C"/>
    <w:rsid w:val="00C5C55E"/>
    <w:rsid w:val="00C6022E"/>
    <w:rsid w:val="00C60908"/>
    <w:rsid w:val="00C6116D"/>
    <w:rsid w:val="00C61A59"/>
    <w:rsid w:val="00C61B6E"/>
    <w:rsid w:val="00C61C87"/>
    <w:rsid w:val="00C628A6"/>
    <w:rsid w:val="00C62FF0"/>
    <w:rsid w:val="00C63009"/>
    <w:rsid w:val="00C633EF"/>
    <w:rsid w:val="00C64344"/>
    <w:rsid w:val="00C64BE2"/>
    <w:rsid w:val="00C64C14"/>
    <w:rsid w:val="00C65108"/>
    <w:rsid w:val="00C65576"/>
    <w:rsid w:val="00C66165"/>
    <w:rsid w:val="00C66A0B"/>
    <w:rsid w:val="00C6789A"/>
    <w:rsid w:val="00C678BA"/>
    <w:rsid w:val="00C67E51"/>
    <w:rsid w:val="00C7047C"/>
    <w:rsid w:val="00C7060A"/>
    <w:rsid w:val="00C7151A"/>
    <w:rsid w:val="00C717E3"/>
    <w:rsid w:val="00C71F60"/>
    <w:rsid w:val="00C72241"/>
    <w:rsid w:val="00C72350"/>
    <w:rsid w:val="00C728D2"/>
    <w:rsid w:val="00C72A3F"/>
    <w:rsid w:val="00C72EF4"/>
    <w:rsid w:val="00C7354C"/>
    <w:rsid w:val="00C73B4F"/>
    <w:rsid w:val="00C742EB"/>
    <w:rsid w:val="00C750C8"/>
    <w:rsid w:val="00C7520A"/>
    <w:rsid w:val="00C7560F"/>
    <w:rsid w:val="00C76F9A"/>
    <w:rsid w:val="00C772D9"/>
    <w:rsid w:val="00C7731C"/>
    <w:rsid w:val="00C779AF"/>
    <w:rsid w:val="00C7F47D"/>
    <w:rsid w:val="00C8086D"/>
    <w:rsid w:val="00C80A0E"/>
    <w:rsid w:val="00C80FB8"/>
    <w:rsid w:val="00C81551"/>
    <w:rsid w:val="00C8181A"/>
    <w:rsid w:val="00C81C5D"/>
    <w:rsid w:val="00C820FC"/>
    <w:rsid w:val="00C8213F"/>
    <w:rsid w:val="00C82EEA"/>
    <w:rsid w:val="00C8303F"/>
    <w:rsid w:val="00C8360B"/>
    <w:rsid w:val="00C839B5"/>
    <w:rsid w:val="00C84290"/>
    <w:rsid w:val="00C85154"/>
    <w:rsid w:val="00C85532"/>
    <w:rsid w:val="00C85A70"/>
    <w:rsid w:val="00C85B50"/>
    <w:rsid w:val="00C8635D"/>
    <w:rsid w:val="00C87482"/>
    <w:rsid w:val="00C8797A"/>
    <w:rsid w:val="00C87A82"/>
    <w:rsid w:val="00C87FF5"/>
    <w:rsid w:val="00C900B8"/>
    <w:rsid w:val="00C90197"/>
    <w:rsid w:val="00C90C71"/>
    <w:rsid w:val="00C91BCC"/>
    <w:rsid w:val="00C91EFA"/>
    <w:rsid w:val="00C91FD1"/>
    <w:rsid w:val="00C92E01"/>
    <w:rsid w:val="00C931CF"/>
    <w:rsid w:val="00C938CF"/>
    <w:rsid w:val="00C93BA0"/>
    <w:rsid w:val="00C94053"/>
    <w:rsid w:val="00C95DCC"/>
    <w:rsid w:val="00C9624D"/>
    <w:rsid w:val="00C96389"/>
    <w:rsid w:val="00C969DA"/>
    <w:rsid w:val="00C96CF8"/>
    <w:rsid w:val="00C96D45"/>
    <w:rsid w:val="00C96D71"/>
    <w:rsid w:val="00C9793D"/>
    <w:rsid w:val="00C97CC3"/>
    <w:rsid w:val="00CA04A2"/>
    <w:rsid w:val="00CA0B7E"/>
    <w:rsid w:val="00CA2A2A"/>
    <w:rsid w:val="00CA2C77"/>
    <w:rsid w:val="00CA40CF"/>
    <w:rsid w:val="00CA444F"/>
    <w:rsid w:val="00CA5245"/>
    <w:rsid w:val="00CA547E"/>
    <w:rsid w:val="00CA5707"/>
    <w:rsid w:val="00CA59CA"/>
    <w:rsid w:val="00CA5D9D"/>
    <w:rsid w:val="00CA63C2"/>
    <w:rsid w:val="00CA71F4"/>
    <w:rsid w:val="00CA729B"/>
    <w:rsid w:val="00CA7A56"/>
    <w:rsid w:val="00CA7B09"/>
    <w:rsid w:val="00CA7B2C"/>
    <w:rsid w:val="00CB01E9"/>
    <w:rsid w:val="00CB03A5"/>
    <w:rsid w:val="00CB0BC9"/>
    <w:rsid w:val="00CB0EBD"/>
    <w:rsid w:val="00CB12A5"/>
    <w:rsid w:val="00CB1BB4"/>
    <w:rsid w:val="00CB1CAC"/>
    <w:rsid w:val="00CB26D0"/>
    <w:rsid w:val="00CB2F2A"/>
    <w:rsid w:val="00CB3B34"/>
    <w:rsid w:val="00CB47B9"/>
    <w:rsid w:val="00CB4F75"/>
    <w:rsid w:val="00CB52AF"/>
    <w:rsid w:val="00CB5B1A"/>
    <w:rsid w:val="00CB5D0E"/>
    <w:rsid w:val="00CB6B22"/>
    <w:rsid w:val="00CB6DD0"/>
    <w:rsid w:val="00CB71DC"/>
    <w:rsid w:val="00CB74E9"/>
    <w:rsid w:val="00CB7F5F"/>
    <w:rsid w:val="00CC04CB"/>
    <w:rsid w:val="00CC0E46"/>
    <w:rsid w:val="00CC145F"/>
    <w:rsid w:val="00CC199B"/>
    <w:rsid w:val="00CC1A44"/>
    <w:rsid w:val="00CC1B39"/>
    <w:rsid w:val="00CC1BFA"/>
    <w:rsid w:val="00CC1C1E"/>
    <w:rsid w:val="00CC263C"/>
    <w:rsid w:val="00CC2A6A"/>
    <w:rsid w:val="00CC2E9F"/>
    <w:rsid w:val="00CC355B"/>
    <w:rsid w:val="00CC35EA"/>
    <w:rsid w:val="00CC37EE"/>
    <w:rsid w:val="00CC3848"/>
    <w:rsid w:val="00CC3938"/>
    <w:rsid w:val="00CC4445"/>
    <w:rsid w:val="00CC47D7"/>
    <w:rsid w:val="00CC4BDC"/>
    <w:rsid w:val="00CC6CC4"/>
    <w:rsid w:val="00CC6D3B"/>
    <w:rsid w:val="00CC6D5E"/>
    <w:rsid w:val="00CC7223"/>
    <w:rsid w:val="00CC7CEB"/>
    <w:rsid w:val="00CD0200"/>
    <w:rsid w:val="00CD0F07"/>
    <w:rsid w:val="00CD1543"/>
    <w:rsid w:val="00CD2A21"/>
    <w:rsid w:val="00CD30CD"/>
    <w:rsid w:val="00CD3710"/>
    <w:rsid w:val="00CD38ED"/>
    <w:rsid w:val="00CD3F77"/>
    <w:rsid w:val="00CD4219"/>
    <w:rsid w:val="00CD6ADC"/>
    <w:rsid w:val="00CD6B22"/>
    <w:rsid w:val="00CD7193"/>
    <w:rsid w:val="00CD74FF"/>
    <w:rsid w:val="00CD7784"/>
    <w:rsid w:val="00CD7F2C"/>
    <w:rsid w:val="00CD7F69"/>
    <w:rsid w:val="00CE0FF9"/>
    <w:rsid w:val="00CE123F"/>
    <w:rsid w:val="00CE1282"/>
    <w:rsid w:val="00CE146F"/>
    <w:rsid w:val="00CE2158"/>
    <w:rsid w:val="00CE2D42"/>
    <w:rsid w:val="00CE36F4"/>
    <w:rsid w:val="00CE387B"/>
    <w:rsid w:val="00CE38C8"/>
    <w:rsid w:val="00CE3B3A"/>
    <w:rsid w:val="00CE3EFB"/>
    <w:rsid w:val="00CE403F"/>
    <w:rsid w:val="00CE412E"/>
    <w:rsid w:val="00CE46CF"/>
    <w:rsid w:val="00CE4953"/>
    <w:rsid w:val="00CE4A09"/>
    <w:rsid w:val="00CE4C2E"/>
    <w:rsid w:val="00CE4D21"/>
    <w:rsid w:val="00CE5007"/>
    <w:rsid w:val="00CE524F"/>
    <w:rsid w:val="00CE5702"/>
    <w:rsid w:val="00CE58CC"/>
    <w:rsid w:val="00CE6054"/>
    <w:rsid w:val="00CE60BE"/>
    <w:rsid w:val="00CE6274"/>
    <w:rsid w:val="00CE6BE9"/>
    <w:rsid w:val="00CE6D2A"/>
    <w:rsid w:val="00CE703E"/>
    <w:rsid w:val="00CE7192"/>
    <w:rsid w:val="00CE77B6"/>
    <w:rsid w:val="00CF0355"/>
    <w:rsid w:val="00CF049D"/>
    <w:rsid w:val="00CF20E5"/>
    <w:rsid w:val="00CF2B8D"/>
    <w:rsid w:val="00CF2F68"/>
    <w:rsid w:val="00CF31EA"/>
    <w:rsid w:val="00CF3935"/>
    <w:rsid w:val="00CF3A1B"/>
    <w:rsid w:val="00CF3C1E"/>
    <w:rsid w:val="00CF3D3D"/>
    <w:rsid w:val="00CF456B"/>
    <w:rsid w:val="00CF5A22"/>
    <w:rsid w:val="00CF6574"/>
    <w:rsid w:val="00CF6FAD"/>
    <w:rsid w:val="00CF7435"/>
    <w:rsid w:val="00CF7696"/>
    <w:rsid w:val="00CF785B"/>
    <w:rsid w:val="00CF7B28"/>
    <w:rsid w:val="00CF7E96"/>
    <w:rsid w:val="00D00556"/>
    <w:rsid w:val="00D008AC"/>
    <w:rsid w:val="00D009D6"/>
    <w:rsid w:val="00D00B55"/>
    <w:rsid w:val="00D0197D"/>
    <w:rsid w:val="00D01AD5"/>
    <w:rsid w:val="00D01B79"/>
    <w:rsid w:val="00D024FD"/>
    <w:rsid w:val="00D0262E"/>
    <w:rsid w:val="00D03679"/>
    <w:rsid w:val="00D04010"/>
    <w:rsid w:val="00D056B1"/>
    <w:rsid w:val="00D05E3D"/>
    <w:rsid w:val="00D06139"/>
    <w:rsid w:val="00D066B2"/>
    <w:rsid w:val="00D06799"/>
    <w:rsid w:val="00D067D8"/>
    <w:rsid w:val="00D068A9"/>
    <w:rsid w:val="00D06C81"/>
    <w:rsid w:val="00D06EB0"/>
    <w:rsid w:val="00D06EB6"/>
    <w:rsid w:val="00D06F9B"/>
    <w:rsid w:val="00D1062D"/>
    <w:rsid w:val="00D1075F"/>
    <w:rsid w:val="00D10848"/>
    <w:rsid w:val="00D108D1"/>
    <w:rsid w:val="00D10951"/>
    <w:rsid w:val="00D110BD"/>
    <w:rsid w:val="00D1239C"/>
    <w:rsid w:val="00D1277E"/>
    <w:rsid w:val="00D12AE9"/>
    <w:rsid w:val="00D13675"/>
    <w:rsid w:val="00D141E1"/>
    <w:rsid w:val="00D14F6E"/>
    <w:rsid w:val="00D15314"/>
    <w:rsid w:val="00D15599"/>
    <w:rsid w:val="00D1589D"/>
    <w:rsid w:val="00D15B48"/>
    <w:rsid w:val="00D15CDA"/>
    <w:rsid w:val="00D16E9F"/>
    <w:rsid w:val="00D17D6C"/>
    <w:rsid w:val="00D20F54"/>
    <w:rsid w:val="00D2155B"/>
    <w:rsid w:val="00D2256A"/>
    <w:rsid w:val="00D228A6"/>
    <w:rsid w:val="00D232D1"/>
    <w:rsid w:val="00D23512"/>
    <w:rsid w:val="00D23946"/>
    <w:rsid w:val="00D23D11"/>
    <w:rsid w:val="00D244B6"/>
    <w:rsid w:val="00D24CD4"/>
    <w:rsid w:val="00D254D2"/>
    <w:rsid w:val="00D25F5E"/>
    <w:rsid w:val="00D26827"/>
    <w:rsid w:val="00D2754D"/>
    <w:rsid w:val="00D27B27"/>
    <w:rsid w:val="00D27B75"/>
    <w:rsid w:val="00D30D5B"/>
    <w:rsid w:val="00D31C29"/>
    <w:rsid w:val="00D3290A"/>
    <w:rsid w:val="00D32ED2"/>
    <w:rsid w:val="00D33BE9"/>
    <w:rsid w:val="00D33D2B"/>
    <w:rsid w:val="00D33F93"/>
    <w:rsid w:val="00D357FF"/>
    <w:rsid w:val="00D35AF4"/>
    <w:rsid w:val="00D35D74"/>
    <w:rsid w:val="00D36FB8"/>
    <w:rsid w:val="00D37262"/>
    <w:rsid w:val="00D37694"/>
    <w:rsid w:val="00D37AF3"/>
    <w:rsid w:val="00D41069"/>
    <w:rsid w:val="00D41E30"/>
    <w:rsid w:val="00D424C7"/>
    <w:rsid w:val="00D42EDC"/>
    <w:rsid w:val="00D43055"/>
    <w:rsid w:val="00D4345D"/>
    <w:rsid w:val="00D43B2A"/>
    <w:rsid w:val="00D43CF1"/>
    <w:rsid w:val="00D43D83"/>
    <w:rsid w:val="00D44374"/>
    <w:rsid w:val="00D45100"/>
    <w:rsid w:val="00D455A1"/>
    <w:rsid w:val="00D4658D"/>
    <w:rsid w:val="00D47575"/>
    <w:rsid w:val="00D50405"/>
    <w:rsid w:val="00D51867"/>
    <w:rsid w:val="00D5243B"/>
    <w:rsid w:val="00D52604"/>
    <w:rsid w:val="00D528D5"/>
    <w:rsid w:val="00D533EC"/>
    <w:rsid w:val="00D534D6"/>
    <w:rsid w:val="00D54FBC"/>
    <w:rsid w:val="00D55235"/>
    <w:rsid w:val="00D554E3"/>
    <w:rsid w:val="00D55C29"/>
    <w:rsid w:val="00D56681"/>
    <w:rsid w:val="00D567E5"/>
    <w:rsid w:val="00D56A95"/>
    <w:rsid w:val="00D57001"/>
    <w:rsid w:val="00D573A1"/>
    <w:rsid w:val="00D60482"/>
    <w:rsid w:val="00D6076E"/>
    <w:rsid w:val="00D6152F"/>
    <w:rsid w:val="00D61579"/>
    <w:rsid w:val="00D6172E"/>
    <w:rsid w:val="00D61828"/>
    <w:rsid w:val="00D626CF"/>
    <w:rsid w:val="00D627C4"/>
    <w:rsid w:val="00D62D7A"/>
    <w:rsid w:val="00D631D1"/>
    <w:rsid w:val="00D63A64"/>
    <w:rsid w:val="00D63FF0"/>
    <w:rsid w:val="00D64530"/>
    <w:rsid w:val="00D64CC5"/>
    <w:rsid w:val="00D65561"/>
    <w:rsid w:val="00D65BD6"/>
    <w:rsid w:val="00D65E78"/>
    <w:rsid w:val="00D66084"/>
    <w:rsid w:val="00D661F1"/>
    <w:rsid w:val="00D663F2"/>
    <w:rsid w:val="00D66406"/>
    <w:rsid w:val="00D66946"/>
    <w:rsid w:val="00D66D6D"/>
    <w:rsid w:val="00D67323"/>
    <w:rsid w:val="00D67F9B"/>
    <w:rsid w:val="00D70985"/>
    <w:rsid w:val="00D70A7E"/>
    <w:rsid w:val="00D70E58"/>
    <w:rsid w:val="00D70F16"/>
    <w:rsid w:val="00D71007"/>
    <w:rsid w:val="00D71851"/>
    <w:rsid w:val="00D72136"/>
    <w:rsid w:val="00D72617"/>
    <w:rsid w:val="00D72AFF"/>
    <w:rsid w:val="00D72F57"/>
    <w:rsid w:val="00D7355F"/>
    <w:rsid w:val="00D74814"/>
    <w:rsid w:val="00D75A66"/>
    <w:rsid w:val="00D760EE"/>
    <w:rsid w:val="00D761B0"/>
    <w:rsid w:val="00D7622B"/>
    <w:rsid w:val="00D76A44"/>
    <w:rsid w:val="00D76EBC"/>
    <w:rsid w:val="00D77426"/>
    <w:rsid w:val="00D77586"/>
    <w:rsid w:val="00D812A3"/>
    <w:rsid w:val="00D815EF"/>
    <w:rsid w:val="00D81949"/>
    <w:rsid w:val="00D81F26"/>
    <w:rsid w:val="00D81FE0"/>
    <w:rsid w:val="00D822E2"/>
    <w:rsid w:val="00D82B73"/>
    <w:rsid w:val="00D82D93"/>
    <w:rsid w:val="00D83243"/>
    <w:rsid w:val="00D83865"/>
    <w:rsid w:val="00D83BC0"/>
    <w:rsid w:val="00D842CE"/>
    <w:rsid w:val="00D843F2"/>
    <w:rsid w:val="00D84AD7"/>
    <w:rsid w:val="00D85D0A"/>
    <w:rsid w:val="00D85F80"/>
    <w:rsid w:val="00D86231"/>
    <w:rsid w:val="00D87816"/>
    <w:rsid w:val="00D87A1C"/>
    <w:rsid w:val="00D87A7F"/>
    <w:rsid w:val="00D87DDF"/>
    <w:rsid w:val="00D87F9C"/>
    <w:rsid w:val="00D90419"/>
    <w:rsid w:val="00D90C84"/>
    <w:rsid w:val="00D912AB"/>
    <w:rsid w:val="00D91923"/>
    <w:rsid w:val="00D92422"/>
    <w:rsid w:val="00D93753"/>
    <w:rsid w:val="00D93CC8"/>
    <w:rsid w:val="00D94195"/>
    <w:rsid w:val="00D94227"/>
    <w:rsid w:val="00D94CD6"/>
    <w:rsid w:val="00D96133"/>
    <w:rsid w:val="00D9642A"/>
    <w:rsid w:val="00D96923"/>
    <w:rsid w:val="00D96B40"/>
    <w:rsid w:val="00D97D9D"/>
    <w:rsid w:val="00DA0312"/>
    <w:rsid w:val="00DA0EBE"/>
    <w:rsid w:val="00DA10A1"/>
    <w:rsid w:val="00DA11E3"/>
    <w:rsid w:val="00DA1228"/>
    <w:rsid w:val="00DA15A0"/>
    <w:rsid w:val="00DA246F"/>
    <w:rsid w:val="00DA3167"/>
    <w:rsid w:val="00DA4588"/>
    <w:rsid w:val="00DA4630"/>
    <w:rsid w:val="00DA4DC3"/>
    <w:rsid w:val="00DA5003"/>
    <w:rsid w:val="00DA5404"/>
    <w:rsid w:val="00DA57E0"/>
    <w:rsid w:val="00DA77A5"/>
    <w:rsid w:val="00DA7EB6"/>
    <w:rsid w:val="00DB0887"/>
    <w:rsid w:val="00DB0E36"/>
    <w:rsid w:val="00DB11CB"/>
    <w:rsid w:val="00DB15A6"/>
    <w:rsid w:val="00DB179C"/>
    <w:rsid w:val="00DB38E4"/>
    <w:rsid w:val="00DB3C0E"/>
    <w:rsid w:val="00DB3DBF"/>
    <w:rsid w:val="00DB3E0A"/>
    <w:rsid w:val="00DB484F"/>
    <w:rsid w:val="00DB5081"/>
    <w:rsid w:val="00DB57C2"/>
    <w:rsid w:val="00DB58B0"/>
    <w:rsid w:val="00DB5A0E"/>
    <w:rsid w:val="00DB6007"/>
    <w:rsid w:val="00DB60C2"/>
    <w:rsid w:val="00DB63CE"/>
    <w:rsid w:val="00DB658C"/>
    <w:rsid w:val="00DB66BA"/>
    <w:rsid w:val="00DB6FEC"/>
    <w:rsid w:val="00DB7579"/>
    <w:rsid w:val="00DC000C"/>
    <w:rsid w:val="00DC04F6"/>
    <w:rsid w:val="00DC0690"/>
    <w:rsid w:val="00DC1D65"/>
    <w:rsid w:val="00DC22F2"/>
    <w:rsid w:val="00DC24A7"/>
    <w:rsid w:val="00DC2566"/>
    <w:rsid w:val="00DC30E5"/>
    <w:rsid w:val="00DC355F"/>
    <w:rsid w:val="00DC357F"/>
    <w:rsid w:val="00DC3C57"/>
    <w:rsid w:val="00DC410A"/>
    <w:rsid w:val="00DC475C"/>
    <w:rsid w:val="00DC4E64"/>
    <w:rsid w:val="00DC5501"/>
    <w:rsid w:val="00DC5713"/>
    <w:rsid w:val="00DC59C5"/>
    <w:rsid w:val="00DC5DE4"/>
    <w:rsid w:val="00DC68F6"/>
    <w:rsid w:val="00DC7154"/>
    <w:rsid w:val="00DC76E4"/>
    <w:rsid w:val="00DC7E8A"/>
    <w:rsid w:val="00DC7EFF"/>
    <w:rsid w:val="00DD0382"/>
    <w:rsid w:val="00DD09E7"/>
    <w:rsid w:val="00DD0F78"/>
    <w:rsid w:val="00DD273C"/>
    <w:rsid w:val="00DD2A91"/>
    <w:rsid w:val="00DD328F"/>
    <w:rsid w:val="00DD3906"/>
    <w:rsid w:val="00DD390A"/>
    <w:rsid w:val="00DD3F28"/>
    <w:rsid w:val="00DD4446"/>
    <w:rsid w:val="00DD4537"/>
    <w:rsid w:val="00DD4549"/>
    <w:rsid w:val="00DD4E15"/>
    <w:rsid w:val="00DD50F5"/>
    <w:rsid w:val="00DD51E0"/>
    <w:rsid w:val="00DD68DE"/>
    <w:rsid w:val="00DD6DA4"/>
    <w:rsid w:val="00DD6DA7"/>
    <w:rsid w:val="00DD7180"/>
    <w:rsid w:val="00DD7908"/>
    <w:rsid w:val="00DD7F60"/>
    <w:rsid w:val="00DE0818"/>
    <w:rsid w:val="00DE0D93"/>
    <w:rsid w:val="00DE140D"/>
    <w:rsid w:val="00DE1552"/>
    <w:rsid w:val="00DE2304"/>
    <w:rsid w:val="00DE2E52"/>
    <w:rsid w:val="00DE3129"/>
    <w:rsid w:val="00DE3138"/>
    <w:rsid w:val="00DE37F8"/>
    <w:rsid w:val="00DE4273"/>
    <w:rsid w:val="00DE4FCB"/>
    <w:rsid w:val="00DE5D07"/>
    <w:rsid w:val="00DE72A7"/>
    <w:rsid w:val="00DE7832"/>
    <w:rsid w:val="00DE79A2"/>
    <w:rsid w:val="00DF0F1F"/>
    <w:rsid w:val="00DF143A"/>
    <w:rsid w:val="00DF18FC"/>
    <w:rsid w:val="00DF1F4A"/>
    <w:rsid w:val="00DF2C27"/>
    <w:rsid w:val="00DF2F7B"/>
    <w:rsid w:val="00DF3B4C"/>
    <w:rsid w:val="00DF44C3"/>
    <w:rsid w:val="00DF4D80"/>
    <w:rsid w:val="00DF5D2B"/>
    <w:rsid w:val="00DF6341"/>
    <w:rsid w:val="00DF72F4"/>
    <w:rsid w:val="00DF790A"/>
    <w:rsid w:val="00E00478"/>
    <w:rsid w:val="00E00E8E"/>
    <w:rsid w:val="00E02F38"/>
    <w:rsid w:val="00E03698"/>
    <w:rsid w:val="00E047F5"/>
    <w:rsid w:val="00E05630"/>
    <w:rsid w:val="00E061CE"/>
    <w:rsid w:val="00E0626F"/>
    <w:rsid w:val="00E06980"/>
    <w:rsid w:val="00E06B96"/>
    <w:rsid w:val="00E06DBB"/>
    <w:rsid w:val="00E07499"/>
    <w:rsid w:val="00E07DC0"/>
    <w:rsid w:val="00E10149"/>
    <w:rsid w:val="00E10786"/>
    <w:rsid w:val="00E11340"/>
    <w:rsid w:val="00E11898"/>
    <w:rsid w:val="00E122A1"/>
    <w:rsid w:val="00E122D8"/>
    <w:rsid w:val="00E1248D"/>
    <w:rsid w:val="00E12A72"/>
    <w:rsid w:val="00E12AFB"/>
    <w:rsid w:val="00E12D0F"/>
    <w:rsid w:val="00E13352"/>
    <w:rsid w:val="00E13674"/>
    <w:rsid w:val="00E1439B"/>
    <w:rsid w:val="00E14694"/>
    <w:rsid w:val="00E149CE"/>
    <w:rsid w:val="00E1632B"/>
    <w:rsid w:val="00E16372"/>
    <w:rsid w:val="00E1680E"/>
    <w:rsid w:val="00E16AD8"/>
    <w:rsid w:val="00E1706F"/>
    <w:rsid w:val="00E17221"/>
    <w:rsid w:val="00E17BEC"/>
    <w:rsid w:val="00E17FFA"/>
    <w:rsid w:val="00E20E4D"/>
    <w:rsid w:val="00E20ED6"/>
    <w:rsid w:val="00E21358"/>
    <w:rsid w:val="00E2193C"/>
    <w:rsid w:val="00E2249B"/>
    <w:rsid w:val="00E226B2"/>
    <w:rsid w:val="00E22A0D"/>
    <w:rsid w:val="00E238CA"/>
    <w:rsid w:val="00E244F6"/>
    <w:rsid w:val="00E258DB"/>
    <w:rsid w:val="00E25EE8"/>
    <w:rsid w:val="00E26B57"/>
    <w:rsid w:val="00E26F5E"/>
    <w:rsid w:val="00E2771E"/>
    <w:rsid w:val="00E2CC80"/>
    <w:rsid w:val="00E304C4"/>
    <w:rsid w:val="00E30706"/>
    <w:rsid w:val="00E311EF"/>
    <w:rsid w:val="00E318DE"/>
    <w:rsid w:val="00E32180"/>
    <w:rsid w:val="00E325C2"/>
    <w:rsid w:val="00E32F8B"/>
    <w:rsid w:val="00E33843"/>
    <w:rsid w:val="00E33A8B"/>
    <w:rsid w:val="00E33D14"/>
    <w:rsid w:val="00E34168"/>
    <w:rsid w:val="00E34948"/>
    <w:rsid w:val="00E349B6"/>
    <w:rsid w:val="00E356F3"/>
    <w:rsid w:val="00E3634A"/>
    <w:rsid w:val="00E36667"/>
    <w:rsid w:val="00E36C5C"/>
    <w:rsid w:val="00E36D8B"/>
    <w:rsid w:val="00E374C7"/>
    <w:rsid w:val="00E37569"/>
    <w:rsid w:val="00E3761A"/>
    <w:rsid w:val="00E401B2"/>
    <w:rsid w:val="00E401F7"/>
    <w:rsid w:val="00E41721"/>
    <w:rsid w:val="00E41E30"/>
    <w:rsid w:val="00E420AD"/>
    <w:rsid w:val="00E42539"/>
    <w:rsid w:val="00E42D59"/>
    <w:rsid w:val="00E42DF9"/>
    <w:rsid w:val="00E42E02"/>
    <w:rsid w:val="00E42F73"/>
    <w:rsid w:val="00E43D70"/>
    <w:rsid w:val="00E43F9F"/>
    <w:rsid w:val="00E44549"/>
    <w:rsid w:val="00E44774"/>
    <w:rsid w:val="00E44B8A"/>
    <w:rsid w:val="00E4606A"/>
    <w:rsid w:val="00E461D1"/>
    <w:rsid w:val="00E46396"/>
    <w:rsid w:val="00E464D7"/>
    <w:rsid w:val="00E466F3"/>
    <w:rsid w:val="00E468A1"/>
    <w:rsid w:val="00E47458"/>
    <w:rsid w:val="00E47B2C"/>
    <w:rsid w:val="00E47F34"/>
    <w:rsid w:val="00E50314"/>
    <w:rsid w:val="00E5058E"/>
    <w:rsid w:val="00E506D3"/>
    <w:rsid w:val="00E50BE5"/>
    <w:rsid w:val="00E512AE"/>
    <w:rsid w:val="00E51314"/>
    <w:rsid w:val="00E51560"/>
    <w:rsid w:val="00E51821"/>
    <w:rsid w:val="00E520DD"/>
    <w:rsid w:val="00E5238E"/>
    <w:rsid w:val="00E523DD"/>
    <w:rsid w:val="00E532C0"/>
    <w:rsid w:val="00E53D3D"/>
    <w:rsid w:val="00E53FC8"/>
    <w:rsid w:val="00E54347"/>
    <w:rsid w:val="00E55424"/>
    <w:rsid w:val="00E55915"/>
    <w:rsid w:val="00E55971"/>
    <w:rsid w:val="00E55BB5"/>
    <w:rsid w:val="00E56876"/>
    <w:rsid w:val="00E56A94"/>
    <w:rsid w:val="00E56DF4"/>
    <w:rsid w:val="00E5701B"/>
    <w:rsid w:val="00E60045"/>
    <w:rsid w:val="00E605A3"/>
    <w:rsid w:val="00E605D1"/>
    <w:rsid w:val="00E611DF"/>
    <w:rsid w:val="00E62A8C"/>
    <w:rsid w:val="00E62C0F"/>
    <w:rsid w:val="00E62FF9"/>
    <w:rsid w:val="00E634A6"/>
    <w:rsid w:val="00E635C8"/>
    <w:rsid w:val="00E63997"/>
    <w:rsid w:val="00E63A07"/>
    <w:rsid w:val="00E63BB5"/>
    <w:rsid w:val="00E6520A"/>
    <w:rsid w:val="00E655FB"/>
    <w:rsid w:val="00E65AE1"/>
    <w:rsid w:val="00E65B58"/>
    <w:rsid w:val="00E65E79"/>
    <w:rsid w:val="00E66999"/>
    <w:rsid w:val="00E66BA2"/>
    <w:rsid w:val="00E66BE7"/>
    <w:rsid w:val="00E672C7"/>
    <w:rsid w:val="00E67416"/>
    <w:rsid w:val="00E70D9F"/>
    <w:rsid w:val="00E718B6"/>
    <w:rsid w:val="00E723BA"/>
    <w:rsid w:val="00E72B80"/>
    <w:rsid w:val="00E73581"/>
    <w:rsid w:val="00E736EA"/>
    <w:rsid w:val="00E73DCB"/>
    <w:rsid w:val="00E74FB6"/>
    <w:rsid w:val="00E75583"/>
    <w:rsid w:val="00E75598"/>
    <w:rsid w:val="00E76407"/>
    <w:rsid w:val="00E77576"/>
    <w:rsid w:val="00E77697"/>
    <w:rsid w:val="00E80152"/>
    <w:rsid w:val="00E803F3"/>
    <w:rsid w:val="00E8079C"/>
    <w:rsid w:val="00E817CB"/>
    <w:rsid w:val="00E817E3"/>
    <w:rsid w:val="00E8282B"/>
    <w:rsid w:val="00E833F7"/>
    <w:rsid w:val="00E83559"/>
    <w:rsid w:val="00E83691"/>
    <w:rsid w:val="00E837D8"/>
    <w:rsid w:val="00E83BDF"/>
    <w:rsid w:val="00E83C35"/>
    <w:rsid w:val="00E83E6B"/>
    <w:rsid w:val="00E848AE"/>
    <w:rsid w:val="00E85334"/>
    <w:rsid w:val="00E85922"/>
    <w:rsid w:val="00E86FCC"/>
    <w:rsid w:val="00E87A1D"/>
    <w:rsid w:val="00E907DE"/>
    <w:rsid w:val="00E9094A"/>
    <w:rsid w:val="00E91D35"/>
    <w:rsid w:val="00E91E14"/>
    <w:rsid w:val="00E9230D"/>
    <w:rsid w:val="00E926A5"/>
    <w:rsid w:val="00E92991"/>
    <w:rsid w:val="00E92C3D"/>
    <w:rsid w:val="00E9382A"/>
    <w:rsid w:val="00E93983"/>
    <w:rsid w:val="00E948DA"/>
    <w:rsid w:val="00E962CC"/>
    <w:rsid w:val="00E963FF"/>
    <w:rsid w:val="00E969AF"/>
    <w:rsid w:val="00E96D7D"/>
    <w:rsid w:val="00E977B1"/>
    <w:rsid w:val="00EA0010"/>
    <w:rsid w:val="00EA09CB"/>
    <w:rsid w:val="00EA15A2"/>
    <w:rsid w:val="00EA17C3"/>
    <w:rsid w:val="00EA21AF"/>
    <w:rsid w:val="00EA2C93"/>
    <w:rsid w:val="00EA2CAA"/>
    <w:rsid w:val="00EA31C3"/>
    <w:rsid w:val="00EA3864"/>
    <w:rsid w:val="00EA39C6"/>
    <w:rsid w:val="00EA48E3"/>
    <w:rsid w:val="00EA5E34"/>
    <w:rsid w:val="00EA6652"/>
    <w:rsid w:val="00EA72B5"/>
    <w:rsid w:val="00EA7330"/>
    <w:rsid w:val="00EA7F1C"/>
    <w:rsid w:val="00EB151A"/>
    <w:rsid w:val="00EB15B6"/>
    <w:rsid w:val="00EB2624"/>
    <w:rsid w:val="00EB3D06"/>
    <w:rsid w:val="00EB427B"/>
    <w:rsid w:val="00EB4916"/>
    <w:rsid w:val="00EB5E4D"/>
    <w:rsid w:val="00EB6374"/>
    <w:rsid w:val="00EB66F3"/>
    <w:rsid w:val="00EB6769"/>
    <w:rsid w:val="00EB6878"/>
    <w:rsid w:val="00EB6D60"/>
    <w:rsid w:val="00EB735D"/>
    <w:rsid w:val="00EC00C9"/>
    <w:rsid w:val="00EC0459"/>
    <w:rsid w:val="00EC05A9"/>
    <w:rsid w:val="00EC08F1"/>
    <w:rsid w:val="00EC0DD9"/>
    <w:rsid w:val="00EC1468"/>
    <w:rsid w:val="00EC15C4"/>
    <w:rsid w:val="00EC1EA4"/>
    <w:rsid w:val="00EC2386"/>
    <w:rsid w:val="00EC2649"/>
    <w:rsid w:val="00EC2E41"/>
    <w:rsid w:val="00EC31ED"/>
    <w:rsid w:val="00EC3760"/>
    <w:rsid w:val="00EC466B"/>
    <w:rsid w:val="00EC5836"/>
    <w:rsid w:val="00EC5F8B"/>
    <w:rsid w:val="00EC64DE"/>
    <w:rsid w:val="00EC6855"/>
    <w:rsid w:val="00EC688C"/>
    <w:rsid w:val="00EC7323"/>
    <w:rsid w:val="00EC745B"/>
    <w:rsid w:val="00ED07B4"/>
    <w:rsid w:val="00ED12E3"/>
    <w:rsid w:val="00ED21C6"/>
    <w:rsid w:val="00ED2375"/>
    <w:rsid w:val="00ED2940"/>
    <w:rsid w:val="00ED3009"/>
    <w:rsid w:val="00ED4B04"/>
    <w:rsid w:val="00ED55CD"/>
    <w:rsid w:val="00ED57EA"/>
    <w:rsid w:val="00ED5BD4"/>
    <w:rsid w:val="00ED6028"/>
    <w:rsid w:val="00ED669D"/>
    <w:rsid w:val="00ED71C6"/>
    <w:rsid w:val="00ED794C"/>
    <w:rsid w:val="00ED7BA4"/>
    <w:rsid w:val="00EE07D3"/>
    <w:rsid w:val="00EE1996"/>
    <w:rsid w:val="00EE1B06"/>
    <w:rsid w:val="00EE1C01"/>
    <w:rsid w:val="00EE1E5C"/>
    <w:rsid w:val="00EE22AF"/>
    <w:rsid w:val="00EE2E0A"/>
    <w:rsid w:val="00EE3302"/>
    <w:rsid w:val="00EE3317"/>
    <w:rsid w:val="00EE3827"/>
    <w:rsid w:val="00EE3D8C"/>
    <w:rsid w:val="00EE3EE1"/>
    <w:rsid w:val="00EE534C"/>
    <w:rsid w:val="00EE6353"/>
    <w:rsid w:val="00EE6449"/>
    <w:rsid w:val="00EE6C07"/>
    <w:rsid w:val="00EE79EC"/>
    <w:rsid w:val="00EF0171"/>
    <w:rsid w:val="00EF0B8C"/>
    <w:rsid w:val="00EF1B25"/>
    <w:rsid w:val="00EF1DA0"/>
    <w:rsid w:val="00EF2873"/>
    <w:rsid w:val="00EF2CFA"/>
    <w:rsid w:val="00EF2E69"/>
    <w:rsid w:val="00EF3352"/>
    <w:rsid w:val="00EF35B3"/>
    <w:rsid w:val="00EF3CCF"/>
    <w:rsid w:val="00EF4747"/>
    <w:rsid w:val="00EF4BF8"/>
    <w:rsid w:val="00EF5116"/>
    <w:rsid w:val="00EF7737"/>
    <w:rsid w:val="00EF782F"/>
    <w:rsid w:val="00F00B49"/>
    <w:rsid w:val="00F00F6A"/>
    <w:rsid w:val="00F01F5D"/>
    <w:rsid w:val="00F02253"/>
    <w:rsid w:val="00F02AE5"/>
    <w:rsid w:val="00F02D03"/>
    <w:rsid w:val="00F0305A"/>
    <w:rsid w:val="00F0310D"/>
    <w:rsid w:val="00F032B2"/>
    <w:rsid w:val="00F03C2E"/>
    <w:rsid w:val="00F03FA2"/>
    <w:rsid w:val="00F04A66"/>
    <w:rsid w:val="00F04B4B"/>
    <w:rsid w:val="00F0516C"/>
    <w:rsid w:val="00F05257"/>
    <w:rsid w:val="00F05BE4"/>
    <w:rsid w:val="00F06242"/>
    <w:rsid w:val="00F06467"/>
    <w:rsid w:val="00F067A2"/>
    <w:rsid w:val="00F067E3"/>
    <w:rsid w:val="00F0683E"/>
    <w:rsid w:val="00F06FAC"/>
    <w:rsid w:val="00F07B9E"/>
    <w:rsid w:val="00F07CBC"/>
    <w:rsid w:val="00F10394"/>
    <w:rsid w:val="00F11026"/>
    <w:rsid w:val="00F1116F"/>
    <w:rsid w:val="00F1144F"/>
    <w:rsid w:val="00F116C5"/>
    <w:rsid w:val="00F11781"/>
    <w:rsid w:val="00F122B9"/>
    <w:rsid w:val="00F1263A"/>
    <w:rsid w:val="00F12A10"/>
    <w:rsid w:val="00F12C5C"/>
    <w:rsid w:val="00F138E5"/>
    <w:rsid w:val="00F139C5"/>
    <w:rsid w:val="00F13F3D"/>
    <w:rsid w:val="00F1532E"/>
    <w:rsid w:val="00F15B77"/>
    <w:rsid w:val="00F1669B"/>
    <w:rsid w:val="00F17E09"/>
    <w:rsid w:val="00F20D21"/>
    <w:rsid w:val="00F21236"/>
    <w:rsid w:val="00F239DF"/>
    <w:rsid w:val="00F240F2"/>
    <w:rsid w:val="00F24638"/>
    <w:rsid w:val="00F24837"/>
    <w:rsid w:val="00F2575F"/>
    <w:rsid w:val="00F27565"/>
    <w:rsid w:val="00F3087D"/>
    <w:rsid w:val="00F310D4"/>
    <w:rsid w:val="00F31D5A"/>
    <w:rsid w:val="00F325F7"/>
    <w:rsid w:val="00F3357A"/>
    <w:rsid w:val="00F33975"/>
    <w:rsid w:val="00F33C16"/>
    <w:rsid w:val="00F33DE9"/>
    <w:rsid w:val="00F33F18"/>
    <w:rsid w:val="00F33F2C"/>
    <w:rsid w:val="00F35936"/>
    <w:rsid w:val="00F35DF2"/>
    <w:rsid w:val="00F35E6D"/>
    <w:rsid w:val="00F3619A"/>
    <w:rsid w:val="00F36A33"/>
    <w:rsid w:val="00F40A00"/>
    <w:rsid w:val="00F40AAA"/>
    <w:rsid w:val="00F40BA7"/>
    <w:rsid w:val="00F40E91"/>
    <w:rsid w:val="00F40F9D"/>
    <w:rsid w:val="00F41257"/>
    <w:rsid w:val="00F41ACD"/>
    <w:rsid w:val="00F42D7C"/>
    <w:rsid w:val="00F43AD9"/>
    <w:rsid w:val="00F44E48"/>
    <w:rsid w:val="00F4521A"/>
    <w:rsid w:val="00F45266"/>
    <w:rsid w:val="00F45A5A"/>
    <w:rsid w:val="00F46574"/>
    <w:rsid w:val="00F46CB6"/>
    <w:rsid w:val="00F470CA"/>
    <w:rsid w:val="00F4756D"/>
    <w:rsid w:val="00F47D30"/>
    <w:rsid w:val="00F47DE8"/>
    <w:rsid w:val="00F5008A"/>
    <w:rsid w:val="00F50BED"/>
    <w:rsid w:val="00F52194"/>
    <w:rsid w:val="00F52B3A"/>
    <w:rsid w:val="00F542C1"/>
    <w:rsid w:val="00F54FC5"/>
    <w:rsid w:val="00F550E3"/>
    <w:rsid w:val="00F55E73"/>
    <w:rsid w:val="00F55EDA"/>
    <w:rsid w:val="00F5658D"/>
    <w:rsid w:val="00F568EB"/>
    <w:rsid w:val="00F56B85"/>
    <w:rsid w:val="00F56C80"/>
    <w:rsid w:val="00F5702A"/>
    <w:rsid w:val="00F57A82"/>
    <w:rsid w:val="00F60092"/>
    <w:rsid w:val="00F60A78"/>
    <w:rsid w:val="00F611E3"/>
    <w:rsid w:val="00F613D9"/>
    <w:rsid w:val="00F61456"/>
    <w:rsid w:val="00F61C18"/>
    <w:rsid w:val="00F630BE"/>
    <w:rsid w:val="00F64A28"/>
    <w:rsid w:val="00F65314"/>
    <w:rsid w:val="00F65F4B"/>
    <w:rsid w:val="00F663BE"/>
    <w:rsid w:val="00F67A69"/>
    <w:rsid w:val="00F67FFB"/>
    <w:rsid w:val="00F70BFF"/>
    <w:rsid w:val="00F70C9D"/>
    <w:rsid w:val="00F70CA9"/>
    <w:rsid w:val="00F71B45"/>
    <w:rsid w:val="00F71D7C"/>
    <w:rsid w:val="00F723B5"/>
    <w:rsid w:val="00F737AC"/>
    <w:rsid w:val="00F73ACF"/>
    <w:rsid w:val="00F73E08"/>
    <w:rsid w:val="00F74705"/>
    <w:rsid w:val="00F74808"/>
    <w:rsid w:val="00F74A27"/>
    <w:rsid w:val="00F74CD9"/>
    <w:rsid w:val="00F74E97"/>
    <w:rsid w:val="00F76980"/>
    <w:rsid w:val="00F76C72"/>
    <w:rsid w:val="00F771C0"/>
    <w:rsid w:val="00F80A7B"/>
    <w:rsid w:val="00F80E5D"/>
    <w:rsid w:val="00F81292"/>
    <w:rsid w:val="00F81E0A"/>
    <w:rsid w:val="00F81E78"/>
    <w:rsid w:val="00F821C5"/>
    <w:rsid w:val="00F825DD"/>
    <w:rsid w:val="00F83916"/>
    <w:rsid w:val="00F83C1A"/>
    <w:rsid w:val="00F8461E"/>
    <w:rsid w:val="00F847AA"/>
    <w:rsid w:val="00F84BF3"/>
    <w:rsid w:val="00F84E8E"/>
    <w:rsid w:val="00F85160"/>
    <w:rsid w:val="00F85174"/>
    <w:rsid w:val="00F851CE"/>
    <w:rsid w:val="00F854C2"/>
    <w:rsid w:val="00F856FF"/>
    <w:rsid w:val="00F86C33"/>
    <w:rsid w:val="00F90CDD"/>
    <w:rsid w:val="00F90F23"/>
    <w:rsid w:val="00F91219"/>
    <w:rsid w:val="00F91BDD"/>
    <w:rsid w:val="00F92444"/>
    <w:rsid w:val="00F926BC"/>
    <w:rsid w:val="00F92BD0"/>
    <w:rsid w:val="00F933E9"/>
    <w:rsid w:val="00F93730"/>
    <w:rsid w:val="00F9393E"/>
    <w:rsid w:val="00F9395A"/>
    <w:rsid w:val="00F94353"/>
    <w:rsid w:val="00F94754"/>
    <w:rsid w:val="00F94F74"/>
    <w:rsid w:val="00F9552E"/>
    <w:rsid w:val="00F95F3D"/>
    <w:rsid w:val="00F96FD0"/>
    <w:rsid w:val="00F97A78"/>
    <w:rsid w:val="00FA01C9"/>
    <w:rsid w:val="00FA097A"/>
    <w:rsid w:val="00FA0B20"/>
    <w:rsid w:val="00FA24E7"/>
    <w:rsid w:val="00FA3379"/>
    <w:rsid w:val="00FA3687"/>
    <w:rsid w:val="00FA3D6A"/>
    <w:rsid w:val="00FA4030"/>
    <w:rsid w:val="00FA50D9"/>
    <w:rsid w:val="00FA520B"/>
    <w:rsid w:val="00FA5827"/>
    <w:rsid w:val="00FA5EE6"/>
    <w:rsid w:val="00FA62B9"/>
    <w:rsid w:val="00FA640F"/>
    <w:rsid w:val="00FA6725"/>
    <w:rsid w:val="00FA7026"/>
    <w:rsid w:val="00FA7030"/>
    <w:rsid w:val="00FA7956"/>
    <w:rsid w:val="00FA7BC4"/>
    <w:rsid w:val="00FB011B"/>
    <w:rsid w:val="00FB0824"/>
    <w:rsid w:val="00FB0BAA"/>
    <w:rsid w:val="00FB0CA5"/>
    <w:rsid w:val="00FB0F95"/>
    <w:rsid w:val="00FB2FCB"/>
    <w:rsid w:val="00FB3108"/>
    <w:rsid w:val="00FB3115"/>
    <w:rsid w:val="00FB321D"/>
    <w:rsid w:val="00FB3C29"/>
    <w:rsid w:val="00FB4C9C"/>
    <w:rsid w:val="00FB4E99"/>
    <w:rsid w:val="00FB6B7C"/>
    <w:rsid w:val="00FB77AA"/>
    <w:rsid w:val="00FB7C55"/>
    <w:rsid w:val="00FC0488"/>
    <w:rsid w:val="00FC053B"/>
    <w:rsid w:val="00FC0DAD"/>
    <w:rsid w:val="00FC1074"/>
    <w:rsid w:val="00FC1884"/>
    <w:rsid w:val="00FC2DB2"/>
    <w:rsid w:val="00FC3203"/>
    <w:rsid w:val="00FC3304"/>
    <w:rsid w:val="00FC371D"/>
    <w:rsid w:val="00FC472E"/>
    <w:rsid w:val="00FC4B5D"/>
    <w:rsid w:val="00FC4F4A"/>
    <w:rsid w:val="00FC5AEE"/>
    <w:rsid w:val="00FC5F0B"/>
    <w:rsid w:val="00FC6DF5"/>
    <w:rsid w:val="00FC6FA8"/>
    <w:rsid w:val="00FC707A"/>
    <w:rsid w:val="00FD12C7"/>
    <w:rsid w:val="00FD2100"/>
    <w:rsid w:val="00FD2EC4"/>
    <w:rsid w:val="00FD2FEC"/>
    <w:rsid w:val="00FD436C"/>
    <w:rsid w:val="00FD446D"/>
    <w:rsid w:val="00FD4F2C"/>
    <w:rsid w:val="00FD4FF2"/>
    <w:rsid w:val="00FD5CD7"/>
    <w:rsid w:val="00FD6394"/>
    <w:rsid w:val="00FD6724"/>
    <w:rsid w:val="00FD70F9"/>
    <w:rsid w:val="00FD757C"/>
    <w:rsid w:val="00FD7730"/>
    <w:rsid w:val="00FD7B3D"/>
    <w:rsid w:val="00FE0E6C"/>
    <w:rsid w:val="00FE113C"/>
    <w:rsid w:val="00FE1376"/>
    <w:rsid w:val="00FE1CDC"/>
    <w:rsid w:val="00FE2A6B"/>
    <w:rsid w:val="00FE30C8"/>
    <w:rsid w:val="00FE48D2"/>
    <w:rsid w:val="00FE4AEC"/>
    <w:rsid w:val="00FE52FD"/>
    <w:rsid w:val="00FE556E"/>
    <w:rsid w:val="00FE6539"/>
    <w:rsid w:val="00FE70C3"/>
    <w:rsid w:val="00FE70CD"/>
    <w:rsid w:val="00FF1A8B"/>
    <w:rsid w:val="00FF24A4"/>
    <w:rsid w:val="00FF2AD9"/>
    <w:rsid w:val="00FF2B56"/>
    <w:rsid w:val="00FF359F"/>
    <w:rsid w:val="00FF3648"/>
    <w:rsid w:val="00FF3DCF"/>
    <w:rsid w:val="00FF4418"/>
    <w:rsid w:val="00FF492C"/>
    <w:rsid w:val="00FF4A21"/>
    <w:rsid w:val="00FF54FC"/>
    <w:rsid w:val="00FF5AA3"/>
    <w:rsid w:val="00FF5AD8"/>
    <w:rsid w:val="00FF5D5F"/>
    <w:rsid w:val="00FF6418"/>
    <w:rsid w:val="00FF69CE"/>
    <w:rsid w:val="010816DF"/>
    <w:rsid w:val="0112C20A"/>
    <w:rsid w:val="0113C4C9"/>
    <w:rsid w:val="011A3228"/>
    <w:rsid w:val="0121F9E8"/>
    <w:rsid w:val="012D02C8"/>
    <w:rsid w:val="013C2F99"/>
    <w:rsid w:val="013CE463"/>
    <w:rsid w:val="01420FA7"/>
    <w:rsid w:val="0156B51B"/>
    <w:rsid w:val="0178C6A3"/>
    <w:rsid w:val="018E3B85"/>
    <w:rsid w:val="01A80909"/>
    <w:rsid w:val="01B4E42B"/>
    <w:rsid w:val="01B751EC"/>
    <w:rsid w:val="01C1B029"/>
    <w:rsid w:val="01E8963D"/>
    <w:rsid w:val="0200105C"/>
    <w:rsid w:val="023A8E8C"/>
    <w:rsid w:val="023D964F"/>
    <w:rsid w:val="024475AD"/>
    <w:rsid w:val="025B212B"/>
    <w:rsid w:val="025B804C"/>
    <w:rsid w:val="025F21E8"/>
    <w:rsid w:val="026DFCA6"/>
    <w:rsid w:val="02863BC4"/>
    <w:rsid w:val="029D3003"/>
    <w:rsid w:val="02A61D85"/>
    <w:rsid w:val="02AFE16C"/>
    <w:rsid w:val="02D724B8"/>
    <w:rsid w:val="02E23465"/>
    <w:rsid w:val="02E40852"/>
    <w:rsid w:val="02EE52BD"/>
    <w:rsid w:val="02F16B05"/>
    <w:rsid w:val="02F6D111"/>
    <w:rsid w:val="03139E01"/>
    <w:rsid w:val="033ED1A1"/>
    <w:rsid w:val="034825D4"/>
    <w:rsid w:val="034A7FE8"/>
    <w:rsid w:val="034AFECC"/>
    <w:rsid w:val="0351FB03"/>
    <w:rsid w:val="03551EAE"/>
    <w:rsid w:val="036AFD08"/>
    <w:rsid w:val="036C7F47"/>
    <w:rsid w:val="036EC55D"/>
    <w:rsid w:val="03862A6B"/>
    <w:rsid w:val="038EDD30"/>
    <w:rsid w:val="039965B7"/>
    <w:rsid w:val="03A0F42C"/>
    <w:rsid w:val="03A23055"/>
    <w:rsid w:val="03A30339"/>
    <w:rsid w:val="03A84C88"/>
    <w:rsid w:val="03D9C2A6"/>
    <w:rsid w:val="03E306E4"/>
    <w:rsid w:val="03FEF919"/>
    <w:rsid w:val="040DC6F4"/>
    <w:rsid w:val="041019E9"/>
    <w:rsid w:val="0414C534"/>
    <w:rsid w:val="04159BB7"/>
    <w:rsid w:val="04205296"/>
    <w:rsid w:val="0422EB3F"/>
    <w:rsid w:val="0433DB9A"/>
    <w:rsid w:val="0440B40C"/>
    <w:rsid w:val="0443081E"/>
    <w:rsid w:val="0452AD49"/>
    <w:rsid w:val="04585CDC"/>
    <w:rsid w:val="045BA3EB"/>
    <w:rsid w:val="045DF3D3"/>
    <w:rsid w:val="04626A31"/>
    <w:rsid w:val="0467021C"/>
    <w:rsid w:val="046B613B"/>
    <w:rsid w:val="049A25B9"/>
    <w:rsid w:val="049DD074"/>
    <w:rsid w:val="04B48557"/>
    <w:rsid w:val="04D34918"/>
    <w:rsid w:val="04EF9301"/>
    <w:rsid w:val="04FC4E41"/>
    <w:rsid w:val="050083CB"/>
    <w:rsid w:val="0503620A"/>
    <w:rsid w:val="050674BD"/>
    <w:rsid w:val="051982A2"/>
    <w:rsid w:val="05226DA3"/>
    <w:rsid w:val="0524D5D1"/>
    <w:rsid w:val="052F7A75"/>
    <w:rsid w:val="05306BC1"/>
    <w:rsid w:val="0550EA28"/>
    <w:rsid w:val="05518FCB"/>
    <w:rsid w:val="05544B63"/>
    <w:rsid w:val="055A1DEB"/>
    <w:rsid w:val="055DAC67"/>
    <w:rsid w:val="05632C8F"/>
    <w:rsid w:val="059233BA"/>
    <w:rsid w:val="059D8EF4"/>
    <w:rsid w:val="05A8BA8D"/>
    <w:rsid w:val="05B07FB3"/>
    <w:rsid w:val="05B8760A"/>
    <w:rsid w:val="05BB2B87"/>
    <w:rsid w:val="05C291FF"/>
    <w:rsid w:val="05CADCFD"/>
    <w:rsid w:val="05E96F24"/>
    <w:rsid w:val="05FEE9A8"/>
    <w:rsid w:val="0617A371"/>
    <w:rsid w:val="061C3D3B"/>
    <w:rsid w:val="062067C8"/>
    <w:rsid w:val="0625FFEF"/>
    <w:rsid w:val="0630EFBE"/>
    <w:rsid w:val="064C83D3"/>
    <w:rsid w:val="064F799A"/>
    <w:rsid w:val="066A93F6"/>
    <w:rsid w:val="068B6362"/>
    <w:rsid w:val="06970F50"/>
    <w:rsid w:val="06C06CA0"/>
    <w:rsid w:val="06C0D8B4"/>
    <w:rsid w:val="06CFE180"/>
    <w:rsid w:val="06D3B5AF"/>
    <w:rsid w:val="06DF8506"/>
    <w:rsid w:val="06E52A62"/>
    <w:rsid w:val="06E8EF8C"/>
    <w:rsid w:val="06E9C888"/>
    <w:rsid w:val="06F282BF"/>
    <w:rsid w:val="06F3B688"/>
    <w:rsid w:val="06F99FC9"/>
    <w:rsid w:val="0704A293"/>
    <w:rsid w:val="07081B81"/>
    <w:rsid w:val="0709F742"/>
    <w:rsid w:val="070C454B"/>
    <w:rsid w:val="071E38ED"/>
    <w:rsid w:val="07312450"/>
    <w:rsid w:val="0737D615"/>
    <w:rsid w:val="073F180B"/>
    <w:rsid w:val="074B30EB"/>
    <w:rsid w:val="07508988"/>
    <w:rsid w:val="075B8876"/>
    <w:rsid w:val="07637815"/>
    <w:rsid w:val="077804CB"/>
    <w:rsid w:val="078BC675"/>
    <w:rsid w:val="078D2EAE"/>
    <w:rsid w:val="0791FFD5"/>
    <w:rsid w:val="0796B9F8"/>
    <w:rsid w:val="079AF600"/>
    <w:rsid w:val="07A7D464"/>
    <w:rsid w:val="07C09BC4"/>
    <w:rsid w:val="07C22A03"/>
    <w:rsid w:val="07D1D403"/>
    <w:rsid w:val="07FD5103"/>
    <w:rsid w:val="080ABC3D"/>
    <w:rsid w:val="080E9F6D"/>
    <w:rsid w:val="083B02CC"/>
    <w:rsid w:val="0848BAB6"/>
    <w:rsid w:val="08529935"/>
    <w:rsid w:val="08562983"/>
    <w:rsid w:val="0856CBD6"/>
    <w:rsid w:val="085D9229"/>
    <w:rsid w:val="0877B903"/>
    <w:rsid w:val="087A53A4"/>
    <w:rsid w:val="08849875"/>
    <w:rsid w:val="0890AFA5"/>
    <w:rsid w:val="08924833"/>
    <w:rsid w:val="0892AB83"/>
    <w:rsid w:val="08A778C6"/>
    <w:rsid w:val="08B14608"/>
    <w:rsid w:val="08CB4CE4"/>
    <w:rsid w:val="08E9B43B"/>
    <w:rsid w:val="08FD30C2"/>
    <w:rsid w:val="090623FA"/>
    <w:rsid w:val="090E7FF8"/>
    <w:rsid w:val="0914359F"/>
    <w:rsid w:val="09145847"/>
    <w:rsid w:val="0924D3FB"/>
    <w:rsid w:val="093A1210"/>
    <w:rsid w:val="093A60E5"/>
    <w:rsid w:val="093BE80E"/>
    <w:rsid w:val="093F553D"/>
    <w:rsid w:val="09499315"/>
    <w:rsid w:val="094BB6BA"/>
    <w:rsid w:val="09593C78"/>
    <w:rsid w:val="0970FB78"/>
    <w:rsid w:val="098E5B25"/>
    <w:rsid w:val="099550DE"/>
    <w:rsid w:val="099FCA81"/>
    <w:rsid w:val="09C2B9FF"/>
    <w:rsid w:val="09C3A124"/>
    <w:rsid w:val="09CE9211"/>
    <w:rsid w:val="09D9D484"/>
    <w:rsid w:val="09F57D26"/>
    <w:rsid w:val="09FDDA4E"/>
    <w:rsid w:val="0A00AE0E"/>
    <w:rsid w:val="0A0FC0C2"/>
    <w:rsid w:val="0A37CB6A"/>
    <w:rsid w:val="0A53CF71"/>
    <w:rsid w:val="0A6DE848"/>
    <w:rsid w:val="0A6F26FA"/>
    <w:rsid w:val="0A71621E"/>
    <w:rsid w:val="0A88845B"/>
    <w:rsid w:val="0A890775"/>
    <w:rsid w:val="0A8D2052"/>
    <w:rsid w:val="0AAA1F7E"/>
    <w:rsid w:val="0AB2713C"/>
    <w:rsid w:val="0AC09F0B"/>
    <w:rsid w:val="0AC95B4A"/>
    <w:rsid w:val="0AE3C4DC"/>
    <w:rsid w:val="0AF29B74"/>
    <w:rsid w:val="0AFB5173"/>
    <w:rsid w:val="0B00EFF8"/>
    <w:rsid w:val="0B01DF22"/>
    <w:rsid w:val="0B1E794B"/>
    <w:rsid w:val="0B213BB0"/>
    <w:rsid w:val="0B2DE6DA"/>
    <w:rsid w:val="0B3F5FD9"/>
    <w:rsid w:val="0B50F502"/>
    <w:rsid w:val="0B5ED763"/>
    <w:rsid w:val="0B6836E3"/>
    <w:rsid w:val="0B6D88D4"/>
    <w:rsid w:val="0B7BE843"/>
    <w:rsid w:val="0B7E7981"/>
    <w:rsid w:val="0B806E09"/>
    <w:rsid w:val="0B818085"/>
    <w:rsid w:val="0B902961"/>
    <w:rsid w:val="0B985219"/>
    <w:rsid w:val="0BA624FA"/>
    <w:rsid w:val="0BB62369"/>
    <w:rsid w:val="0BB89B85"/>
    <w:rsid w:val="0BBB9F79"/>
    <w:rsid w:val="0BBD0CF3"/>
    <w:rsid w:val="0BBD9538"/>
    <w:rsid w:val="0BBDA107"/>
    <w:rsid w:val="0BCAD29D"/>
    <w:rsid w:val="0BCCA4E6"/>
    <w:rsid w:val="0BD40820"/>
    <w:rsid w:val="0BD66E9A"/>
    <w:rsid w:val="0BED44A9"/>
    <w:rsid w:val="0BF10046"/>
    <w:rsid w:val="0C06755F"/>
    <w:rsid w:val="0C068B73"/>
    <w:rsid w:val="0C0D41D8"/>
    <w:rsid w:val="0C16BACE"/>
    <w:rsid w:val="0C2AC90C"/>
    <w:rsid w:val="0C44BCEA"/>
    <w:rsid w:val="0C5DC923"/>
    <w:rsid w:val="0C603E95"/>
    <w:rsid w:val="0C612B2F"/>
    <w:rsid w:val="0C74FB8A"/>
    <w:rsid w:val="0C77B953"/>
    <w:rsid w:val="0C7A8D4B"/>
    <w:rsid w:val="0C86CA09"/>
    <w:rsid w:val="0C8887A4"/>
    <w:rsid w:val="0CAF1983"/>
    <w:rsid w:val="0CBB3686"/>
    <w:rsid w:val="0CC1708F"/>
    <w:rsid w:val="0CD602FC"/>
    <w:rsid w:val="0CDD0335"/>
    <w:rsid w:val="0CED11B7"/>
    <w:rsid w:val="0CF38046"/>
    <w:rsid w:val="0CFBF3FD"/>
    <w:rsid w:val="0D087B31"/>
    <w:rsid w:val="0D14B0B5"/>
    <w:rsid w:val="0D1D50E6"/>
    <w:rsid w:val="0D239AF4"/>
    <w:rsid w:val="0D34227A"/>
    <w:rsid w:val="0D355234"/>
    <w:rsid w:val="0D397E41"/>
    <w:rsid w:val="0D42C0EC"/>
    <w:rsid w:val="0D46EA45"/>
    <w:rsid w:val="0D500989"/>
    <w:rsid w:val="0D521293"/>
    <w:rsid w:val="0D54F1CF"/>
    <w:rsid w:val="0D696E00"/>
    <w:rsid w:val="0D88900F"/>
    <w:rsid w:val="0D9B2A87"/>
    <w:rsid w:val="0DB01AFE"/>
    <w:rsid w:val="0DB69F9F"/>
    <w:rsid w:val="0DCD593F"/>
    <w:rsid w:val="0DDB1442"/>
    <w:rsid w:val="0DEE92A9"/>
    <w:rsid w:val="0DF3604A"/>
    <w:rsid w:val="0DF3CAA2"/>
    <w:rsid w:val="0DF3E7CA"/>
    <w:rsid w:val="0E0A88F0"/>
    <w:rsid w:val="0E353ECB"/>
    <w:rsid w:val="0E4D2073"/>
    <w:rsid w:val="0E54C2EA"/>
    <w:rsid w:val="0E5706E7"/>
    <w:rsid w:val="0E6FC1F0"/>
    <w:rsid w:val="0E7E433D"/>
    <w:rsid w:val="0EB2F06E"/>
    <w:rsid w:val="0ECF3844"/>
    <w:rsid w:val="0ED93208"/>
    <w:rsid w:val="0EDF49B4"/>
    <w:rsid w:val="0EE0D707"/>
    <w:rsid w:val="0EE8E56E"/>
    <w:rsid w:val="0EED5282"/>
    <w:rsid w:val="0EEF6A04"/>
    <w:rsid w:val="0EF544E2"/>
    <w:rsid w:val="0F008A48"/>
    <w:rsid w:val="0F059775"/>
    <w:rsid w:val="0F12FA8B"/>
    <w:rsid w:val="0F28AEC5"/>
    <w:rsid w:val="0F2A2D0D"/>
    <w:rsid w:val="0F33BF20"/>
    <w:rsid w:val="0F3FB802"/>
    <w:rsid w:val="0F546979"/>
    <w:rsid w:val="0F81896B"/>
    <w:rsid w:val="0F87E46B"/>
    <w:rsid w:val="0F8F30AB"/>
    <w:rsid w:val="0F9F29C0"/>
    <w:rsid w:val="0FA1FCFA"/>
    <w:rsid w:val="0FA4A21F"/>
    <w:rsid w:val="0FA962FD"/>
    <w:rsid w:val="0FB0A2E0"/>
    <w:rsid w:val="0FCD2296"/>
    <w:rsid w:val="0FCDAFB4"/>
    <w:rsid w:val="0FCE8270"/>
    <w:rsid w:val="0FE5DA76"/>
    <w:rsid w:val="102275DA"/>
    <w:rsid w:val="103A14F0"/>
    <w:rsid w:val="1040D879"/>
    <w:rsid w:val="1056C830"/>
    <w:rsid w:val="1083F2FB"/>
    <w:rsid w:val="108C0CA8"/>
    <w:rsid w:val="108F8646"/>
    <w:rsid w:val="1090D61E"/>
    <w:rsid w:val="1099B3F6"/>
    <w:rsid w:val="10A6A91B"/>
    <w:rsid w:val="10ACE7C6"/>
    <w:rsid w:val="10B25CEB"/>
    <w:rsid w:val="10B35126"/>
    <w:rsid w:val="10B6CCE9"/>
    <w:rsid w:val="10BC41AF"/>
    <w:rsid w:val="10CE0DFB"/>
    <w:rsid w:val="10D0951D"/>
    <w:rsid w:val="10DCC49A"/>
    <w:rsid w:val="10E82990"/>
    <w:rsid w:val="10EB6649"/>
    <w:rsid w:val="10EE9CF1"/>
    <w:rsid w:val="10F89A1E"/>
    <w:rsid w:val="10FC8B72"/>
    <w:rsid w:val="1117BE73"/>
    <w:rsid w:val="113D1DD5"/>
    <w:rsid w:val="1145335E"/>
    <w:rsid w:val="115D5ADC"/>
    <w:rsid w:val="1166EC88"/>
    <w:rsid w:val="116D1B2B"/>
    <w:rsid w:val="1173EEF2"/>
    <w:rsid w:val="118139DA"/>
    <w:rsid w:val="1183E70B"/>
    <w:rsid w:val="1187D1C3"/>
    <w:rsid w:val="118EA7A9"/>
    <w:rsid w:val="11905E40"/>
    <w:rsid w:val="1195482A"/>
    <w:rsid w:val="1195EEF9"/>
    <w:rsid w:val="1196A4B0"/>
    <w:rsid w:val="11A72057"/>
    <w:rsid w:val="11BA8D6F"/>
    <w:rsid w:val="11BB0749"/>
    <w:rsid w:val="11BC317E"/>
    <w:rsid w:val="11C8BCB5"/>
    <w:rsid w:val="11E6BAB5"/>
    <w:rsid w:val="11F19961"/>
    <w:rsid w:val="11F5C44E"/>
    <w:rsid w:val="1208D351"/>
    <w:rsid w:val="120DE900"/>
    <w:rsid w:val="1219C468"/>
    <w:rsid w:val="121A0D69"/>
    <w:rsid w:val="121C2CD0"/>
    <w:rsid w:val="121E2B93"/>
    <w:rsid w:val="122E2391"/>
    <w:rsid w:val="12353014"/>
    <w:rsid w:val="125270E9"/>
    <w:rsid w:val="12582316"/>
    <w:rsid w:val="125BCF85"/>
    <w:rsid w:val="125D901D"/>
    <w:rsid w:val="1284BAB1"/>
    <w:rsid w:val="128686AD"/>
    <w:rsid w:val="1288E8E8"/>
    <w:rsid w:val="129343A7"/>
    <w:rsid w:val="129AC563"/>
    <w:rsid w:val="12A51EEA"/>
    <w:rsid w:val="12BBC5DB"/>
    <w:rsid w:val="12C02772"/>
    <w:rsid w:val="12C33FB2"/>
    <w:rsid w:val="12D9A829"/>
    <w:rsid w:val="12EEDEE8"/>
    <w:rsid w:val="130A91DA"/>
    <w:rsid w:val="131266BF"/>
    <w:rsid w:val="131D7B38"/>
    <w:rsid w:val="13301F72"/>
    <w:rsid w:val="134EAA94"/>
    <w:rsid w:val="1356662D"/>
    <w:rsid w:val="1366FA62"/>
    <w:rsid w:val="13701109"/>
    <w:rsid w:val="1370D2A2"/>
    <w:rsid w:val="138563A2"/>
    <w:rsid w:val="1394860C"/>
    <w:rsid w:val="1394F646"/>
    <w:rsid w:val="13999CE1"/>
    <w:rsid w:val="13A96182"/>
    <w:rsid w:val="13C4C551"/>
    <w:rsid w:val="13C556D0"/>
    <w:rsid w:val="13C7FCB1"/>
    <w:rsid w:val="13C93556"/>
    <w:rsid w:val="13CFCA4B"/>
    <w:rsid w:val="13D105C7"/>
    <w:rsid w:val="13D2CDBF"/>
    <w:rsid w:val="13E2537A"/>
    <w:rsid w:val="13E33225"/>
    <w:rsid w:val="13F6DFC1"/>
    <w:rsid w:val="13FB2043"/>
    <w:rsid w:val="13FB9806"/>
    <w:rsid w:val="1403C645"/>
    <w:rsid w:val="141146EA"/>
    <w:rsid w:val="14128C92"/>
    <w:rsid w:val="1418CB21"/>
    <w:rsid w:val="141F35D3"/>
    <w:rsid w:val="1421EE10"/>
    <w:rsid w:val="143C4F4E"/>
    <w:rsid w:val="1445B4EB"/>
    <w:rsid w:val="144F10C0"/>
    <w:rsid w:val="14526ECC"/>
    <w:rsid w:val="14540FD2"/>
    <w:rsid w:val="146016D2"/>
    <w:rsid w:val="146F3F88"/>
    <w:rsid w:val="149726F1"/>
    <w:rsid w:val="14A21CF0"/>
    <w:rsid w:val="14A60E14"/>
    <w:rsid w:val="14B164B2"/>
    <w:rsid w:val="14B76A66"/>
    <w:rsid w:val="14C51FFA"/>
    <w:rsid w:val="14D8CC1D"/>
    <w:rsid w:val="14DE093F"/>
    <w:rsid w:val="14E30EE2"/>
    <w:rsid w:val="14E47368"/>
    <w:rsid w:val="14E5F19F"/>
    <w:rsid w:val="14E6EBE9"/>
    <w:rsid w:val="14F3E78A"/>
    <w:rsid w:val="150EB380"/>
    <w:rsid w:val="150FBCB6"/>
    <w:rsid w:val="15115EF1"/>
    <w:rsid w:val="1516BD33"/>
    <w:rsid w:val="1517C88B"/>
    <w:rsid w:val="152C215E"/>
    <w:rsid w:val="15313EB6"/>
    <w:rsid w:val="1538BEC8"/>
    <w:rsid w:val="153E2316"/>
    <w:rsid w:val="15443C97"/>
    <w:rsid w:val="154AB995"/>
    <w:rsid w:val="154CEB02"/>
    <w:rsid w:val="155F5325"/>
    <w:rsid w:val="1585A6B3"/>
    <w:rsid w:val="15966111"/>
    <w:rsid w:val="159D7354"/>
    <w:rsid w:val="15A0CA54"/>
    <w:rsid w:val="15A1BF39"/>
    <w:rsid w:val="15B01D0A"/>
    <w:rsid w:val="15F2CA54"/>
    <w:rsid w:val="161816D6"/>
    <w:rsid w:val="161E5A2D"/>
    <w:rsid w:val="16375EDC"/>
    <w:rsid w:val="163B5C2A"/>
    <w:rsid w:val="1644A531"/>
    <w:rsid w:val="16455591"/>
    <w:rsid w:val="16502F84"/>
    <w:rsid w:val="166EACC4"/>
    <w:rsid w:val="1676BA51"/>
    <w:rsid w:val="1681EC83"/>
    <w:rsid w:val="168FA501"/>
    <w:rsid w:val="1692BDD0"/>
    <w:rsid w:val="169565BF"/>
    <w:rsid w:val="169B23E1"/>
    <w:rsid w:val="169FA940"/>
    <w:rsid w:val="16B6C69A"/>
    <w:rsid w:val="16B72418"/>
    <w:rsid w:val="16BBC50D"/>
    <w:rsid w:val="16F6FE97"/>
    <w:rsid w:val="171A01C5"/>
    <w:rsid w:val="171FC233"/>
    <w:rsid w:val="172830E8"/>
    <w:rsid w:val="1731D3A5"/>
    <w:rsid w:val="175741B6"/>
    <w:rsid w:val="176AEBA0"/>
    <w:rsid w:val="177771EE"/>
    <w:rsid w:val="177FAA4B"/>
    <w:rsid w:val="17843EBD"/>
    <w:rsid w:val="178BAEF7"/>
    <w:rsid w:val="1793B69A"/>
    <w:rsid w:val="179A8C70"/>
    <w:rsid w:val="17A6D749"/>
    <w:rsid w:val="17A97807"/>
    <w:rsid w:val="17C1D3C4"/>
    <w:rsid w:val="17CE7DAE"/>
    <w:rsid w:val="17D20949"/>
    <w:rsid w:val="17DBF205"/>
    <w:rsid w:val="17DC4B44"/>
    <w:rsid w:val="17F99B19"/>
    <w:rsid w:val="1808DAB4"/>
    <w:rsid w:val="1809507A"/>
    <w:rsid w:val="181596AB"/>
    <w:rsid w:val="183AAE78"/>
    <w:rsid w:val="18449BED"/>
    <w:rsid w:val="184A4D4B"/>
    <w:rsid w:val="184C9A6B"/>
    <w:rsid w:val="187193FB"/>
    <w:rsid w:val="187C804C"/>
    <w:rsid w:val="18827257"/>
    <w:rsid w:val="1885052C"/>
    <w:rsid w:val="1892CF16"/>
    <w:rsid w:val="18A47B07"/>
    <w:rsid w:val="18A6E343"/>
    <w:rsid w:val="18B0DBF1"/>
    <w:rsid w:val="18BC30B3"/>
    <w:rsid w:val="18E7B4F9"/>
    <w:rsid w:val="18E9C0F7"/>
    <w:rsid w:val="18EBD501"/>
    <w:rsid w:val="18F54188"/>
    <w:rsid w:val="18F8550A"/>
    <w:rsid w:val="191145EF"/>
    <w:rsid w:val="19163A7A"/>
    <w:rsid w:val="1924C1CF"/>
    <w:rsid w:val="19380BFC"/>
    <w:rsid w:val="1939D30A"/>
    <w:rsid w:val="193BAA17"/>
    <w:rsid w:val="1941C4F0"/>
    <w:rsid w:val="1946C79F"/>
    <w:rsid w:val="1946F8CF"/>
    <w:rsid w:val="195E7772"/>
    <w:rsid w:val="198DEB0B"/>
    <w:rsid w:val="198F7513"/>
    <w:rsid w:val="199C1FDC"/>
    <w:rsid w:val="19A89D20"/>
    <w:rsid w:val="19AC563B"/>
    <w:rsid w:val="19B77DDA"/>
    <w:rsid w:val="19BB5B0E"/>
    <w:rsid w:val="19BFCF4E"/>
    <w:rsid w:val="19D8D3F0"/>
    <w:rsid w:val="19D8E1B6"/>
    <w:rsid w:val="19EBD10A"/>
    <w:rsid w:val="19F123B0"/>
    <w:rsid w:val="19FAB8C9"/>
    <w:rsid w:val="1A041447"/>
    <w:rsid w:val="1A129E6C"/>
    <w:rsid w:val="1A1A5358"/>
    <w:rsid w:val="1A1E15D8"/>
    <w:rsid w:val="1A271EEE"/>
    <w:rsid w:val="1A38617E"/>
    <w:rsid w:val="1A401282"/>
    <w:rsid w:val="1A4B9ADB"/>
    <w:rsid w:val="1A4E2F92"/>
    <w:rsid w:val="1A512E8E"/>
    <w:rsid w:val="1A51B888"/>
    <w:rsid w:val="1A56D0F5"/>
    <w:rsid w:val="1A7022C5"/>
    <w:rsid w:val="1A740B46"/>
    <w:rsid w:val="1A753712"/>
    <w:rsid w:val="1A75F7CA"/>
    <w:rsid w:val="1A7A0A13"/>
    <w:rsid w:val="1A8244C1"/>
    <w:rsid w:val="1A960747"/>
    <w:rsid w:val="1A97F23D"/>
    <w:rsid w:val="1A9997D9"/>
    <w:rsid w:val="1A9AD77D"/>
    <w:rsid w:val="1AA590A6"/>
    <w:rsid w:val="1AB45532"/>
    <w:rsid w:val="1ABC8D55"/>
    <w:rsid w:val="1AC29A12"/>
    <w:rsid w:val="1AC8B453"/>
    <w:rsid w:val="1AD7B8B5"/>
    <w:rsid w:val="1AE33F02"/>
    <w:rsid w:val="1AF6C87A"/>
    <w:rsid w:val="1B023039"/>
    <w:rsid w:val="1B1982F5"/>
    <w:rsid w:val="1B2AD603"/>
    <w:rsid w:val="1B2CE389"/>
    <w:rsid w:val="1B36CDC2"/>
    <w:rsid w:val="1B3911AD"/>
    <w:rsid w:val="1B3D04A4"/>
    <w:rsid w:val="1B4131A2"/>
    <w:rsid w:val="1B57EB54"/>
    <w:rsid w:val="1B585197"/>
    <w:rsid w:val="1B59C359"/>
    <w:rsid w:val="1B676A5D"/>
    <w:rsid w:val="1B6AFCDA"/>
    <w:rsid w:val="1B8E28CB"/>
    <w:rsid w:val="1B9F91D5"/>
    <w:rsid w:val="1BAE54EA"/>
    <w:rsid w:val="1BBA7672"/>
    <w:rsid w:val="1BBA8FBF"/>
    <w:rsid w:val="1BBC67C0"/>
    <w:rsid w:val="1BD1D512"/>
    <w:rsid w:val="1BD982B6"/>
    <w:rsid w:val="1BE1ADDC"/>
    <w:rsid w:val="1BE38112"/>
    <w:rsid w:val="1BF1D2C9"/>
    <w:rsid w:val="1BFF3345"/>
    <w:rsid w:val="1C000BE3"/>
    <w:rsid w:val="1C00F9EF"/>
    <w:rsid w:val="1C011B1B"/>
    <w:rsid w:val="1C027E7E"/>
    <w:rsid w:val="1C05DC91"/>
    <w:rsid w:val="1C0CB601"/>
    <w:rsid w:val="1C2623D9"/>
    <w:rsid w:val="1C2B520D"/>
    <w:rsid w:val="1C333836"/>
    <w:rsid w:val="1C3725DE"/>
    <w:rsid w:val="1C4F92E5"/>
    <w:rsid w:val="1C62D098"/>
    <w:rsid w:val="1C63CCE1"/>
    <w:rsid w:val="1C689E43"/>
    <w:rsid w:val="1C6FEFF6"/>
    <w:rsid w:val="1C7A44BE"/>
    <w:rsid w:val="1C892AA9"/>
    <w:rsid w:val="1C8DF6D5"/>
    <w:rsid w:val="1C8FCE27"/>
    <w:rsid w:val="1C905AB5"/>
    <w:rsid w:val="1C97B102"/>
    <w:rsid w:val="1CA88868"/>
    <w:rsid w:val="1CAD7B24"/>
    <w:rsid w:val="1CE4F307"/>
    <w:rsid w:val="1CEBFDF3"/>
    <w:rsid w:val="1CEF8B50"/>
    <w:rsid w:val="1CF1B1FE"/>
    <w:rsid w:val="1CF1E8BA"/>
    <w:rsid w:val="1CF28038"/>
    <w:rsid w:val="1CF8DECB"/>
    <w:rsid w:val="1D3E1A96"/>
    <w:rsid w:val="1D4E27DA"/>
    <w:rsid w:val="1D54F8F5"/>
    <w:rsid w:val="1D5BB299"/>
    <w:rsid w:val="1D632D28"/>
    <w:rsid w:val="1D6C72CF"/>
    <w:rsid w:val="1D72D686"/>
    <w:rsid w:val="1D7A1739"/>
    <w:rsid w:val="1D7F5173"/>
    <w:rsid w:val="1D805524"/>
    <w:rsid w:val="1D817AEC"/>
    <w:rsid w:val="1D8DDB32"/>
    <w:rsid w:val="1DA3DD4B"/>
    <w:rsid w:val="1DBFF9BD"/>
    <w:rsid w:val="1DD105D5"/>
    <w:rsid w:val="1DE6212C"/>
    <w:rsid w:val="1DE64EB5"/>
    <w:rsid w:val="1DEA38E1"/>
    <w:rsid w:val="1DFB91C6"/>
    <w:rsid w:val="1E01BFDC"/>
    <w:rsid w:val="1E02CE7A"/>
    <w:rsid w:val="1E0BC505"/>
    <w:rsid w:val="1E1A5906"/>
    <w:rsid w:val="1E27BF73"/>
    <w:rsid w:val="1E27CECD"/>
    <w:rsid w:val="1E2A5507"/>
    <w:rsid w:val="1E2E159D"/>
    <w:rsid w:val="1E353EC6"/>
    <w:rsid w:val="1E3BD095"/>
    <w:rsid w:val="1E4B54CE"/>
    <w:rsid w:val="1E4F972F"/>
    <w:rsid w:val="1E598184"/>
    <w:rsid w:val="1E6FC245"/>
    <w:rsid w:val="1E725707"/>
    <w:rsid w:val="1E787E4A"/>
    <w:rsid w:val="1E874BE7"/>
    <w:rsid w:val="1E9CFF3A"/>
    <w:rsid w:val="1E9EE562"/>
    <w:rsid w:val="1EA51B8E"/>
    <w:rsid w:val="1EB6DE7F"/>
    <w:rsid w:val="1EBC56C4"/>
    <w:rsid w:val="1ED5F3F0"/>
    <w:rsid w:val="1ED73297"/>
    <w:rsid w:val="1ED8CF3C"/>
    <w:rsid w:val="1EFE03D4"/>
    <w:rsid w:val="1EFFC591"/>
    <w:rsid w:val="1F028462"/>
    <w:rsid w:val="1F11E5D8"/>
    <w:rsid w:val="1F1DE125"/>
    <w:rsid w:val="1F32A664"/>
    <w:rsid w:val="1F41D5F3"/>
    <w:rsid w:val="1F4F5EFD"/>
    <w:rsid w:val="1F635058"/>
    <w:rsid w:val="1F833DBC"/>
    <w:rsid w:val="1F8FC896"/>
    <w:rsid w:val="1F9271AD"/>
    <w:rsid w:val="1F988B57"/>
    <w:rsid w:val="1F9B7D82"/>
    <w:rsid w:val="1FAAC178"/>
    <w:rsid w:val="1FCF2798"/>
    <w:rsid w:val="200039FE"/>
    <w:rsid w:val="20045D77"/>
    <w:rsid w:val="2017BB8D"/>
    <w:rsid w:val="2023823B"/>
    <w:rsid w:val="2023B0A1"/>
    <w:rsid w:val="2025564E"/>
    <w:rsid w:val="203018DC"/>
    <w:rsid w:val="203BBBBE"/>
    <w:rsid w:val="205863AA"/>
    <w:rsid w:val="205DAD43"/>
    <w:rsid w:val="2061F062"/>
    <w:rsid w:val="207A3F9F"/>
    <w:rsid w:val="207B4404"/>
    <w:rsid w:val="207F4CB8"/>
    <w:rsid w:val="208453E2"/>
    <w:rsid w:val="208BD021"/>
    <w:rsid w:val="208D575C"/>
    <w:rsid w:val="209D12DE"/>
    <w:rsid w:val="20AFAA56"/>
    <w:rsid w:val="20B6F235"/>
    <w:rsid w:val="20C69E31"/>
    <w:rsid w:val="20C6B260"/>
    <w:rsid w:val="20CC4C41"/>
    <w:rsid w:val="20CE2ABD"/>
    <w:rsid w:val="20D3B2A0"/>
    <w:rsid w:val="20E0575C"/>
    <w:rsid w:val="20F6E147"/>
    <w:rsid w:val="210202EC"/>
    <w:rsid w:val="210CA854"/>
    <w:rsid w:val="210E019A"/>
    <w:rsid w:val="210F5AAA"/>
    <w:rsid w:val="21138DEF"/>
    <w:rsid w:val="2140A704"/>
    <w:rsid w:val="214415E9"/>
    <w:rsid w:val="215E79DA"/>
    <w:rsid w:val="2160AA98"/>
    <w:rsid w:val="216CC95A"/>
    <w:rsid w:val="2174A47E"/>
    <w:rsid w:val="217B470C"/>
    <w:rsid w:val="217D08CD"/>
    <w:rsid w:val="217DE4F2"/>
    <w:rsid w:val="2191C9BD"/>
    <w:rsid w:val="219DC84C"/>
    <w:rsid w:val="21B9C9F2"/>
    <w:rsid w:val="21C4121E"/>
    <w:rsid w:val="21D5C36F"/>
    <w:rsid w:val="21D5F277"/>
    <w:rsid w:val="21DE6AB3"/>
    <w:rsid w:val="21DF2F21"/>
    <w:rsid w:val="21EF3A59"/>
    <w:rsid w:val="21F11B1D"/>
    <w:rsid w:val="21FAD0FF"/>
    <w:rsid w:val="220841CC"/>
    <w:rsid w:val="220D6A44"/>
    <w:rsid w:val="2215BF8C"/>
    <w:rsid w:val="22257D66"/>
    <w:rsid w:val="2238AE1C"/>
    <w:rsid w:val="2239934C"/>
    <w:rsid w:val="2243C4C0"/>
    <w:rsid w:val="22480549"/>
    <w:rsid w:val="2252C296"/>
    <w:rsid w:val="22597982"/>
    <w:rsid w:val="225BFB34"/>
    <w:rsid w:val="22779A85"/>
    <w:rsid w:val="228EC907"/>
    <w:rsid w:val="228F0553"/>
    <w:rsid w:val="22B069AE"/>
    <w:rsid w:val="22C0FB8D"/>
    <w:rsid w:val="22D02DD6"/>
    <w:rsid w:val="22EFEA2B"/>
    <w:rsid w:val="22F4BC20"/>
    <w:rsid w:val="22FDD074"/>
    <w:rsid w:val="2318FC0E"/>
    <w:rsid w:val="232072B8"/>
    <w:rsid w:val="2324E233"/>
    <w:rsid w:val="232FFB37"/>
    <w:rsid w:val="23385451"/>
    <w:rsid w:val="2347B05C"/>
    <w:rsid w:val="234D0756"/>
    <w:rsid w:val="234EC363"/>
    <w:rsid w:val="235F04C7"/>
    <w:rsid w:val="23673000"/>
    <w:rsid w:val="236B1341"/>
    <w:rsid w:val="2372993F"/>
    <w:rsid w:val="237341B7"/>
    <w:rsid w:val="23751BE9"/>
    <w:rsid w:val="2386382C"/>
    <w:rsid w:val="238C48F9"/>
    <w:rsid w:val="23989C55"/>
    <w:rsid w:val="23998925"/>
    <w:rsid w:val="23A4122D"/>
    <w:rsid w:val="23A55863"/>
    <w:rsid w:val="23AC7947"/>
    <w:rsid w:val="23B04BFD"/>
    <w:rsid w:val="23B78FCD"/>
    <w:rsid w:val="23B90E32"/>
    <w:rsid w:val="23C6270E"/>
    <w:rsid w:val="23C7CD0E"/>
    <w:rsid w:val="23D12155"/>
    <w:rsid w:val="23D86564"/>
    <w:rsid w:val="23E45DC4"/>
    <w:rsid w:val="23E694F6"/>
    <w:rsid w:val="23E9B034"/>
    <w:rsid w:val="23F76DF3"/>
    <w:rsid w:val="240DC58D"/>
    <w:rsid w:val="2416CAF4"/>
    <w:rsid w:val="2417F81E"/>
    <w:rsid w:val="241CA6E8"/>
    <w:rsid w:val="2436C070"/>
    <w:rsid w:val="24393DE6"/>
    <w:rsid w:val="243F7822"/>
    <w:rsid w:val="24431296"/>
    <w:rsid w:val="244735AE"/>
    <w:rsid w:val="2452A725"/>
    <w:rsid w:val="2456924E"/>
    <w:rsid w:val="24594D2B"/>
    <w:rsid w:val="2459CDA5"/>
    <w:rsid w:val="245AEB98"/>
    <w:rsid w:val="24686716"/>
    <w:rsid w:val="24690926"/>
    <w:rsid w:val="246A36CD"/>
    <w:rsid w:val="246E73D3"/>
    <w:rsid w:val="247E715D"/>
    <w:rsid w:val="247F32E5"/>
    <w:rsid w:val="24858782"/>
    <w:rsid w:val="2487089B"/>
    <w:rsid w:val="24886E1F"/>
    <w:rsid w:val="24905D61"/>
    <w:rsid w:val="24924EA2"/>
    <w:rsid w:val="2493AB89"/>
    <w:rsid w:val="24BD825C"/>
    <w:rsid w:val="24D5B813"/>
    <w:rsid w:val="24DF9102"/>
    <w:rsid w:val="24E00BCC"/>
    <w:rsid w:val="24E255EA"/>
    <w:rsid w:val="24EB2D91"/>
    <w:rsid w:val="24F8ED2C"/>
    <w:rsid w:val="25049007"/>
    <w:rsid w:val="2510CA7B"/>
    <w:rsid w:val="251BF877"/>
    <w:rsid w:val="2525D589"/>
    <w:rsid w:val="2531714D"/>
    <w:rsid w:val="25372558"/>
    <w:rsid w:val="253EA949"/>
    <w:rsid w:val="254AF5BC"/>
    <w:rsid w:val="254DCA50"/>
    <w:rsid w:val="254F1DEB"/>
    <w:rsid w:val="25592F95"/>
    <w:rsid w:val="25650599"/>
    <w:rsid w:val="256B4A36"/>
    <w:rsid w:val="258C11A7"/>
    <w:rsid w:val="2593758B"/>
    <w:rsid w:val="25ADF267"/>
    <w:rsid w:val="25AE4450"/>
    <w:rsid w:val="25D6B93A"/>
    <w:rsid w:val="25D9389F"/>
    <w:rsid w:val="25F2AD84"/>
    <w:rsid w:val="25F4B6EB"/>
    <w:rsid w:val="25FB20BB"/>
    <w:rsid w:val="26049CD1"/>
    <w:rsid w:val="2604D987"/>
    <w:rsid w:val="260AA313"/>
    <w:rsid w:val="26140DA4"/>
    <w:rsid w:val="261B0346"/>
    <w:rsid w:val="2632996B"/>
    <w:rsid w:val="263D1415"/>
    <w:rsid w:val="264B0EA7"/>
    <w:rsid w:val="265BA628"/>
    <w:rsid w:val="266FC0E6"/>
    <w:rsid w:val="2672AB0F"/>
    <w:rsid w:val="267362C1"/>
    <w:rsid w:val="26B18E70"/>
    <w:rsid w:val="26B2CC74"/>
    <w:rsid w:val="26B7C8D8"/>
    <w:rsid w:val="26B88AB2"/>
    <w:rsid w:val="26F02EBC"/>
    <w:rsid w:val="26F04B9F"/>
    <w:rsid w:val="26FBCFB5"/>
    <w:rsid w:val="270DB049"/>
    <w:rsid w:val="270E4D72"/>
    <w:rsid w:val="2710EC9D"/>
    <w:rsid w:val="272CF8AE"/>
    <w:rsid w:val="27312301"/>
    <w:rsid w:val="2736129A"/>
    <w:rsid w:val="275839E5"/>
    <w:rsid w:val="275FF238"/>
    <w:rsid w:val="2766F994"/>
    <w:rsid w:val="276BE2E3"/>
    <w:rsid w:val="276BF173"/>
    <w:rsid w:val="276E661B"/>
    <w:rsid w:val="277940A4"/>
    <w:rsid w:val="27943451"/>
    <w:rsid w:val="27967096"/>
    <w:rsid w:val="27967CF3"/>
    <w:rsid w:val="2798DB60"/>
    <w:rsid w:val="279DAEA1"/>
    <w:rsid w:val="27A61495"/>
    <w:rsid w:val="27AB482E"/>
    <w:rsid w:val="27BD5568"/>
    <w:rsid w:val="27DE26F6"/>
    <w:rsid w:val="27E471E7"/>
    <w:rsid w:val="27E7A154"/>
    <w:rsid w:val="27E7B80F"/>
    <w:rsid w:val="27F2D2B1"/>
    <w:rsid w:val="27FB50A3"/>
    <w:rsid w:val="27FC1B12"/>
    <w:rsid w:val="27FED444"/>
    <w:rsid w:val="2801E437"/>
    <w:rsid w:val="2829D54A"/>
    <w:rsid w:val="282A5D7C"/>
    <w:rsid w:val="28360468"/>
    <w:rsid w:val="2840BE28"/>
    <w:rsid w:val="2844A60A"/>
    <w:rsid w:val="28539939"/>
    <w:rsid w:val="2869C7D5"/>
    <w:rsid w:val="286C3C40"/>
    <w:rsid w:val="2879422D"/>
    <w:rsid w:val="2883B561"/>
    <w:rsid w:val="28860131"/>
    <w:rsid w:val="2891E2B6"/>
    <w:rsid w:val="28946CDB"/>
    <w:rsid w:val="289D91E5"/>
    <w:rsid w:val="28C37337"/>
    <w:rsid w:val="28CC90D1"/>
    <w:rsid w:val="28CFEC4C"/>
    <w:rsid w:val="28DFE9E0"/>
    <w:rsid w:val="28E1678B"/>
    <w:rsid w:val="28EE29BF"/>
    <w:rsid w:val="28F58583"/>
    <w:rsid w:val="29168222"/>
    <w:rsid w:val="291ECD5D"/>
    <w:rsid w:val="292BAD6C"/>
    <w:rsid w:val="292D4745"/>
    <w:rsid w:val="292DD5AA"/>
    <w:rsid w:val="29337D88"/>
    <w:rsid w:val="293F5094"/>
    <w:rsid w:val="29425FC8"/>
    <w:rsid w:val="29440BCC"/>
    <w:rsid w:val="29499442"/>
    <w:rsid w:val="2953892D"/>
    <w:rsid w:val="2966F66B"/>
    <w:rsid w:val="296BD467"/>
    <w:rsid w:val="296DBE22"/>
    <w:rsid w:val="297C31BC"/>
    <w:rsid w:val="297EF713"/>
    <w:rsid w:val="29842ACC"/>
    <w:rsid w:val="29885F5F"/>
    <w:rsid w:val="2998FCA0"/>
    <w:rsid w:val="299BA2F7"/>
    <w:rsid w:val="29A54595"/>
    <w:rsid w:val="29A54808"/>
    <w:rsid w:val="29A5D2D9"/>
    <w:rsid w:val="29A9F000"/>
    <w:rsid w:val="29AB108A"/>
    <w:rsid w:val="29B97BF8"/>
    <w:rsid w:val="29D8012A"/>
    <w:rsid w:val="29E03F1A"/>
    <w:rsid w:val="29F0D5F3"/>
    <w:rsid w:val="29F667CC"/>
    <w:rsid w:val="2A15A278"/>
    <w:rsid w:val="2A484386"/>
    <w:rsid w:val="2A4988A1"/>
    <w:rsid w:val="2A7CB888"/>
    <w:rsid w:val="2A7D7259"/>
    <w:rsid w:val="2A7DBFB3"/>
    <w:rsid w:val="2A80F1A9"/>
    <w:rsid w:val="2A818F6B"/>
    <w:rsid w:val="2A9713FD"/>
    <w:rsid w:val="2A972E50"/>
    <w:rsid w:val="2A9E0A71"/>
    <w:rsid w:val="2AD7CB00"/>
    <w:rsid w:val="2AE0DE1F"/>
    <w:rsid w:val="2AE51297"/>
    <w:rsid w:val="2AE8FB8E"/>
    <w:rsid w:val="2AED3161"/>
    <w:rsid w:val="2AEF23B2"/>
    <w:rsid w:val="2AF92110"/>
    <w:rsid w:val="2B06EF63"/>
    <w:rsid w:val="2B0992E4"/>
    <w:rsid w:val="2B12C1AB"/>
    <w:rsid w:val="2B461E13"/>
    <w:rsid w:val="2B4CB3F8"/>
    <w:rsid w:val="2B4F40E8"/>
    <w:rsid w:val="2B5A9094"/>
    <w:rsid w:val="2B5E84DC"/>
    <w:rsid w:val="2B788053"/>
    <w:rsid w:val="2B8EDD03"/>
    <w:rsid w:val="2B9DCB0A"/>
    <w:rsid w:val="2BA97955"/>
    <w:rsid w:val="2BC041EA"/>
    <w:rsid w:val="2BC78C0F"/>
    <w:rsid w:val="2BC9AE79"/>
    <w:rsid w:val="2BD4A22B"/>
    <w:rsid w:val="2BE1009F"/>
    <w:rsid w:val="2BFB532B"/>
    <w:rsid w:val="2BFBFF7C"/>
    <w:rsid w:val="2BFC41E2"/>
    <w:rsid w:val="2BFDD949"/>
    <w:rsid w:val="2BFF1E19"/>
    <w:rsid w:val="2C0912DF"/>
    <w:rsid w:val="2C1460D0"/>
    <w:rsid w:val="2C1505A0"/>
    <w:rsid w:val="2C1D7AFC"/>
    <w:rsid w:val="2C26484F"/>
    <w:rsid w:val="2C2A8D45"/>
    <w:rsid w:val="2C2D74D1"/>
    <w:rsid w:val="2C42BF63"/>
    <w:rsid w:val="2C45DD1C"/>
    <w:rsid w:val="2C52B337"/>
    <w:rsid w:val="2C53CE5A"/>
    <w:rsid w:val="2C67716B"/>
    <w:rsid w:val="2C68EF9D"/>
    <w:rsid w:val="2C6D3764"/>
    <w:rsid w:val="2C783D3C"/>
    <w:rsid w:val="2C8F54D1"/>
    <w:rsid w:val="2C98844B"/>
    <w:rsid w:val="2CADA4E2"/>
    <w:rsid w:val="2CB5DFFD"/>
    <w:rsid w:val="2CB748E6"/>
    <w:rsid w:val="2CC94671"/>
    <w:rsid w:val="2CE68F8D"/>
    <w:rsid w:val="2CEC8248"/>
    <w:rsid w:val="2CF4A619"/>
    <w:rsid w:val="2CF4AF13"/>
    <w:rsid w:val="2CF660F5"/>
    <w:rsid w:val="2CF68800"/>
    <w:rsid w:val="2D10C258"/>
    <w:rsid w:val="2D14AF24"/>
    <w:rsid w:val="2D1D3EA7"/>
    <w:rsid w:val="2D31CBF2"/>
    <w:rsid w:val="2D3B6218"/>
    <w:rsid w:val="2D4A9499"/>
    <w:rsid w:val="2D4B0C02"/>
    <w:rsid w:val="2D4ED218"/>
    <w:rsid w:val="2D5CF1DA"/>
    <w:rsid w:val="2D7E0465"/>
    <w:rsid w:val="2D84A506"/>
    <w:rsid w:val="2D8C0EA4"/>
    <w:rsid w:val="2D8F69D2"/>
    <w:rsid w:val="2D91D02B"/>
    <w:rsid w:val="2DC2BE5D"/>
    <w:rsid w:val="2DCAD5D2"/>
    <w:rsid w:val="2DCDAA0E"/>
    <w:rsid w:val="2DD12633"/>
    <w:rsid w:val="2DD24C1B"/>
    <w:rsid w:val="2DD4B9F3"/>
    <w:rsid w:val="2DD88088"/>
    <w:rsid w:val="2DDEBB20"/>
    <w:rsid w:val="2DE7E0C9"/>
    <w:rsid w:val="2DF544AA"/>
    <w:rsid w:val="2E0191D1"/>
    <w:rsid w:val="2E12040D"/>
    <w:rsid w:val="2E1D0448"/>
    <w:rsid w:val="2E1FA2D4"/>
    <w:rsid w:val="2E241117"/>
    <w:rsid w:val="2E255E8D"/>
    <w:rsid w:val="2E273577"/>
    <w:rsid w:val="2E2BE32D"/>
    <w:rsid w:val="2E37220D"/>
    <w:rsid w:val="2E3B9540"/>
    <w:rsid w:val="2E494ADB"/>
    <w:rsid w:val="2E5E4A26"/>
    <w:rsid w:val="2E65EC52"/>
    <w:rsid w:val="2E75224B"/>
    <w:rsid w:val="2E78560F"/>
    <w:rsid w:val="2E7A5248"/>
    <w:rsid w:val="2E867EF0"/>
    <w:rsid w:val="2E9AD65F"/>
    <w:rsid w:val="2EA9B0C5"/>
    <w:rsid w:val="2EAAFF0E"/>
    <w:rsid w:val="2EAD60FF"/>
    <w:rsid w:val="2EB39C52"/>
    <w:rsid w:val="2EB83E04"/>
    <w:rsid w:val="2EB9F248"/>
    <w:rsid w:val="2EC24E22"/>
    <w:rsid w:val="2EC44716"/>
    <w:rsid w:val="2ECEE3DC"/>
    <w:rsid w:val="2ED1D3F2"/>
    <w:rsid w:val="2EEE5215"/>
    <w:rsid w:val="2EFBD472"/>
    <w:rsid w:val="2F0D2F7E"/>
    <w:rsid w:val="2F13A19C"/>
    <w:rsid w:val="2F145F96"/>
    <w:rsid w:val="2F308E42"/>
    <w:rsid w:val="2F31D368"/>
    <w:rsid w:val="2F3F6D2D"/>
    <w:rsid w:val="2F3F8B28"/>
    <w:rsid w:val="2F49489D"/>
    <w:rsid w:val="2F5DCC6B"/>
    <w:rsid w:val="2F672CC5"/>
    <w:rsid w:val="2F87C810"/>
    <w:rsid w:val="2FAF4E65"/>
    <w:rsid w:val="2FC8674D"/>
    <w:rsid w:val="2FE2373F"/>
    <w:rsid w:val="3002D661"/>
    <w:rsid w:val="3006F7F7"/>
    <w:rsid w:val="3017540A"/>
    <w:rsid w:val="301B2DDD"/>
    <w:rsid w:val="302E01B7"/>
    <w:rsid w:val="3039AFF7"/>
    <w:rsid w:val="303D909E"/>
    <w:rsid w:val="303E68A0"/>
    <w:rsid w:val="3040D25F"/>
    <w:rsid w:val="30454FE5"/>
    <w:rsid w:val="305DF700"/>
    <w:rsid w:val="306FFD6B"/>
    <w:rsid w:val="3072896C"/>
    <w:rsid w:val="30797624"/>
    <w:rsid w:val="307A046F"/>
    <w:rsid w:val="307BC2CC"/>
    <w:rsid w:val="30A7A62C"/>
    <w:rsid w:val="30B102B9"/>
    <w:rsid w:val="30B36AF6"/>
    <w:rsid w:val="30B7EB96"/>
    <w:rsid w:val="30D5529D"/>
    <w:rsid w:val="30D7C3C2"/>
    <w:rsid w:val="30E040B4"/>
    <w:rsid w:val="30E605E0"/>
    <w:rsid w:val="30E74620"/>
    <w:rsid w:val="30E895DB"/>
    <w:rsid w:val="30E97246"/>
    <w:rsid w:val="30F55EA3"/>
    <w:rsid w:val="30FBC8E4"/>
    <w:rsid w:val="310607AE"/>
    <w:rsid w:val="310FC1C8"/>
    <w:rsid w:val="31251FDC"/>
    <w:rsid w:val="31396E18"/>
    <w:rsid w:val="3139B31A"/>
    <w:rsid w:val="315AA9AB"/>
    <w:rsid w:val="315C4A60"/>
    <w:rsid w:val="3168EC48"/>
    <w:rsid w:val="31698A89"/>
    <w:rsid w:val="31757FFD"/>
    <w:rsid w:val="3185F8AA"/>
    <w:rsid w:val="319284E6"/>
    <w:rsid w:val="31A97AA7"/>
    <w:rsid w:val="31B61B4C"/>
    <w:rsid w:val="31CA0C14"/>
    <w:rsid w:val="31DAAD9D"/>
    <w:rsid w:val="31F38DC8"/>
    <w:rsid w:val="31FCA75A"/>
    <w:rsid w:val="322F2C65"/>
    <w:rsid w:val="32497DFC"/>
    <w:rsid w:val="324D41D2"/>
    <w:rsid w:val="324EB9EF"/>
    <w:rsid w:val="325BD31A"/>
    <w:rsid w:val="32604D01"/>
    <w:rsid w:val="327004F7"/>
    <w:rsid w:val="3278089B"/>
    <w:rsid w:val="3281187E"/>
    <w:rsid w:val="32893B1E"/>
    <w:rsid w:val="328949C2"/>
    <w:rsid w:val="32A98A51"/>
    <w:rsid w:val="32AE56FD"/>
    <w:rsid w:val="32B49131"/>
    <w:rsid w:val="32B88C9B"/>
    <w:rsid w:val="32D27AED"/>
    <w:rsid w:val="32D4D8C7"/>
    <w:rsid w:val="32DBC277"/>
    <w:rsid w:val="32DC594B"/>
    <w:rsid w:val="32DFAAA5"/>
    <w:rsid w:val="32E6D02C"/>
    <w:rsid w:val="32EDB825"/>
    <w:rsid w:val="3316EFD5"/>
    <w:rsid w:val="331BB860"/>
    <w:rsid w:val="33202124"/>
    <w:rsid w:val="332352E1"/>
    <w:rsid w:val="3323EFC5"/>
    <w:rsid w:val="33294237"/>
    <w:rsid w:val="332B536E"/>
    <w:rsid w:val="332D0DAD"/>
    <w:rsid w:val="332EA839"/>
    <w:rsid w:val="33331FC9"/>
    <w:rsid w:val="33342A85"/>
    <w:rsid w:val="333C23C0"/>
    <w:rsid w:val="33427F59"/>
    <w:rsid w:val="334E710B"/>
    <w:rsid w:val="33725DA7"/>
    <w:rsid w:val="337D7B7B"/>
    <w:rsid w:val="338014A5"/>
    <w:rsid w:val="3387D1E7"/>
    <w:rsid w:val="3390CD49"/>
    <w:rsid w:val="33AA7E38"/>
    <w:rsid w:val="33BBEF93"/>
    <w:rsid w:val="33BEBDBF"/>
    <w:rsid w:val="33DA3748"/>
    <w:rsid w:val="33DBB4B5"/>
    <w:rsid w:val="33DCF1BE"/>
    <w:rsid w:val="33DFF039"/>
    <w:rsid w:val="33E1DDC8"/>
    <w:rsid w:val="33E3DC04"/>
    <w:rsid w:val="33E45D22"/>
    <w:rsid w:val="33F6AA3A"/>
    <w:rsid w:val="3403F394"/>
    <w:rsid w:val="340D6BC9"/>
    <w:rsid w:val="340D897E"/>
    <w:rsid w:val="341EB83B"/>
    <w:rsid w:val="3424CDDA"/>
    <w:rsid w:val="3426D16D"/>
    <w:rsid w:val="344E311A"/>
    <w:rsid w:val="345AC094"/>
    <w:rsid w:val="34607638"/>
    <w:rsid w:val="34656607"/>
    <w:rsid w:val="3465AF4B"/>
    <w:rsid w:val="34739EDF"/>
    <w:rsid w:val="34843ACA"/>
    <w:rsid w:val="348975EF"/>
    <w:rsid w:val="3493EBE5"/>
    <w:rsid w:val="3497878F"/>
    <w:rsid w:val="34D2243E"/>
    <w:rsid w:val="34D4E996"/>
    <w:rsid w:val="34E519D9"/>
    <w:rsid w:val="34E685C9"/>
    <w:rsid w:val="34E951D3"/>
    <w:rsid w:val="34E9CEC2"/>
    <w:rsid w:val="34F8322E"/>
    <w:rsid w:val="34F92313"/>
    <w:rsid w:val="35011620"/>
    <w:rsid w:val="35019594"/>
    <w:rsid w:val="35040DC6"/>
    <w:rsid w:val="35090397"/>
    <w:rsid w:val="351203AF"/>
    <w:rsid w:val="35130E59"/>
    <w:rsid w:val="3515155C"/>
    <w:rsid w:val="351649F1"/>
    <w:rsid w:val="351A35A5"/>
    <w:rsid w:val="35293B3F"/>
    <w:rsid w:val="35350D63"/>
    <w:rsid w:val="3535C35F"/>
    <w:rsid w:val="353B2509"/>
    <w:rsid w:val="35425FC4"/>
    <w:rsid w:val="354FE884"/>
    <w:rsid w:val="35505B9B"/>
    <w:rsid w:val="3551CD63"/>
    <w:rsid w:val="3559C786"/>
    <w:rsid w:val="3559FB4D"/>
    <w:rsid w:val="355AAFB0"/>
    <w:rsid w:val="3564F140"/>
    <w:rsid w:val="356519A2"/>
    <w:rsid w:val="35665AF8"/>
    <w:rsid w:val="356F1E36"/>
    <w:rsid w:val="3571A064"/>
    <w:rsid w:val="357C630F"/>
    <w:rsid w:val="358860FB"/>
    <w:rsid w:val="3590ECEB"/>
    <w:rsid w:val="359E240D"/>
    <w:rsid w:val="35A87C08"/>
    <w:rsid w:val="35AABCED"/>
    <w:rsid w:val="35AAD908"/>
    <w:rsid w:val="35B15B64"/>
    <w:rsid w:val="35B30510"/>
    <w:rsid w:val="35BA34E9"/>
    <w:rsid w:val="35C12E0F"/>
    <w:rsid w:val="35EA017B"/>
    <w:rsid w:val="35F41A4E"/>
    <w:rsid w:val="360D248E"/>
    <w:rsid w:val="360E6F80"/>
    <w:rsid w:val="362D10B0"/>
    <w:rsid w:val="362E2F35"/>
    <w:rsid w:val="363C7C9C"/>
    <w:rsid w:val="36402602"/>
    <w:rsid w:val="364E4D37"/>
    <w:rsid w:val="36507DAC"/>
    <w:rsid w:val="365D5554"/>
    <w:rsid w:val="3668D77A"/>
    <w:rsid w:val="366DF49F"/>
    <w:rsid w:val="3679D3BD"/>
    <w:rsid w:val="36852234"/>
    <w:rsid w:val="369D6DE3"/>
    <w:rsid w:val="369E7CF3"/>
    <w:rsid w:val="36AA14F7"/>
    <w:rsid w:val="36AF9546"/>
    <w:rsid w:val="36C38DBA"/>
    <w:rsid w:val="36CA3462"/>
    <w:rsid w:val="36CF8D49"/>
    <w:rsid w:val="36E5EACC"/>
    <w:rsid w:val="36EE132A"/>
    <w:rsid w:val="36FB40BA"/>
    <w:rsid w:val="3701A405"/>
    <w:rsid w:val="37022B59"/>
    <w:rsid w:val="370A300B"/>
    <w:rsid w:val="370AEE97"/>
    <w:rsid w:val="370C9CB8"/>
    <w:rsid w:val="37196AE5"/>
    <w:rsid w:val="3727D5AF"/>
    <w:rsid w:val="37430276"/>
    <w:rsid w:val="37469438"/>
    <w:rsid w:val="37499B3B"/>
    <w:rsid w:val="37527614"/>
    <w:rsid w:val="37599C7B"/>
    <w:rsid w:val="3780C9B0"/>
    <w:rsid w:val="3785D1DC"/>
    <w:rsid w:val="378ADD2E"/>
    <w:rsid w:val="37B31475"/>
    <w:rsid w:val="37B7A138"/>
    <w:rsid w:val="37BA62E5"/>
    <w:rsid w:val="37D4BE97"/>
    <w:rsid w:val="37E1EBFE"/>
    <w:rsid w:val="37F01C2C"/>
    <w:rsid w:val="380336BD"/>
    <w:rsid w:val="38045AB7"/>
    <w:rsid w:val="38168D72"/>
    <w:rsid w:val="3816F219"/>
    <w:rsid w:val="38280A9B"/>
    <w:rsid w:val="383D9F70"/>
    <w:rsid w:val="384E9898"/>
    <w:rsid w:val="385200FF"/>
    <w:rsid w:val="3862E67C"/>
    <w:rsid w:val="38632D63"/>
    <w:rsid w:val="386CA9F5"/>
    <w:rsid w:val="386F8699"/>
    <w:rsid w:val="38846E2E"/>
    <w:rsid w:val="3886A3D9"/>
    <w:rsid w:val="388EAAE4"/>
    <w:rsid w:val="389C9FB1"/>
    <w:rsid w:val="389E84F8"/>
    <w:rsid w:val="38A6BEF8"/>
    <w:rsid w:val="38BE482B"/>
    <w:rsid w:val="38C362B6"/>
    <w:rsid w:val="38C4170E"/>
    <w:rsid w:val="38E34BC3"/>
    <w:rsid w:val="38E36B12"/>
    <w:rsid w:val="39102CDC"/>
    <w:rsid w:val="39137C34"/>
    <w:rsid w:val="391B82ED"/>
    <w:rsid w:val="3921A23D"/>
    <w:rsid w:val="3923AC35"/>
    <w:rsid w:val="392DBFED"/>
    <w:rsid w:val="39316F38"/>
    <w:rsid w:val="394CE5C6"/>
    <w:rsid w:val="3959C2A1"/>
    <w:rsid w:val="39654062"/>
    <w:rsid w:val="39687B6F"/>
    <w:rsid w:val="39692C79"/>
    <w:rsid w:val="396E13A7"/>
    <w:rsid w:val="3986EFDF"/>
    <w:rsid w:val="39934E0D"/>
    <w:rsid w:val="39940727"/>
    <w:rsid w:val="39AA3D84"/>
    <w:rsid w:val="39C215E5"/>
    <w:rsid w:val="39C991CC"/>
    <w:rsid w:val="39D7664A"/>
    <w:rsid w:val="39DD12F0"/>
    <w:rsid w:val="39E7FAC8"/>
    <w:rsid w:val="39FF0FFF"/>
    <w:rsid w:val="3A0EA3A3"/>
    <w:rsid w:val="3A17D0C8"/>
    <w:rsid w:val="3A286ED7"/>
    <w:rsid w:val="3A2E7BD0"/>
    <w:rsid w:val="3A357AD9"/>
    <w:rsid w:val="3A369580"/>
    <w:rsid w:val="3A44F605"/>
    <w:rsid w:val="3A5CE9D8"/>
    <w:rsid w:val="3A66DBF7"/>
    <w:rsid w:val="3A6C4035"/>
    <w:rsid w:val="3A6DCC84"/>
    <w:rsid w:val="3A831F73"/>
    <w:rsid w:val="3A8FF079"/>
    <w:rsid w:val="3AA59383"/>
    <w:rsid w:val="3AA5C7FF"/>
    <w:rsid w:val="3AA82EA3"/>
    <w:rsid w:val="3AA94539"/>
    <w:rsid w:val="3AAC603E"/>
    <w:rsid w:val="3AB2D9C5"/>
    <w:rsid w:val="3AC0F861"/>
    <w:rsid w:val="3AC8D962"/>
    <w:rsid w:val="3AE248C4"/>
    <w:rsid w:val="3AE6275E"/>
    <w:rsid w:val="3AEC9022"/>
    <w:rsid w:val="3AECA65F"/>
    <w:rsid w:val="3B0E4165"/>
    <w:rsid w:val="3B15AB6C"/>
    <w:rsid w:val="3B224DA3"/>
    <w:rsid w:val="3B325E86"/>
    <w:rsid w:val="3B32DEEA"/>
    <w:rsid w:val="3B457FA4"/>
    <w:rsid w:val="3B46F642"/>
    <w:rsid w:val="3B48E028"/>
    <w:rsid w:val="3B589FE0"/>
    <w:rsid w:val="3B6632DD"/>
    <w:rsid w:val="3B67F823"/>
    <w:rsid w:val="3B691422"/>
    <w:rsid w:val="3B6CDCD0"/>
    <w:rsid w:val="3B6D72A6"/>
    <w:rsid w:val="3B7F9627"/>
    <w:rsid w:val="3B9C35C1"/>
    <w:rsid w:val="3BAD6DFD"/>
    <w:rsid w:val="3BAFF20F"/>
    <w:rsid w:val="3BB661EB"/>
    <w:rsid w:val="3BC9090A"/>
    <w:rsid w:val="3BCD8BA5"/>
    <w:rsid w:val="3BCDB9EA"/>
    <w:rsid w:val="3BE641F5"/>
    <w:rsid w:val="3BEF6898"/>
    <w:rsid w:val="3BF1828B"/>
    <w:rsid w:val="3BF8A7B9"/>
    <w:rsid w:val="3C00F9E5"/>
    <w:rsid w:val="3C01BC56"/>
    <w:rsid w:val="3C022537"/>
    <w:rsid w:val="3C03771B"/>
    <w:rsid w:val="3C04410E"/>
    <w:rsid w:val="3C0C3F8A"/>
    <w:rsid w:val="3C1B93CD"/>
    <w:rsid w:val="3C2415FD"/>
    <w:rsid w:val="3C27BFF9"/>
    <w:rsid w:val="3C2D80BA"/>
    <w:rsid w:val="3C4013DA"/>
    <w:rsid w:val="3C4B01EE"/>
    <w:rsid w:val="3C6F9279"/>
    <w:rsid w:val="3C8038BB"/>
    <w:rsid w:val="3C82FD7B"/>
    <w:rsid w:val="3C865D8D"/>
    <w:rsid w:val="3C897C9C"/>
    <w:rsid w:val="3C938F6A"/>
    <w:rsid w:val="3C980582"/>
    <w:rsid w:val="3CA5A306"/>
    <w:rsid w:val="3CA88751"/>
    <w:rsid w:val="3CC78FFE"/>
    <w:rsid w:val="3CDCA63C"/>
    <w:rsid w:val="3CEEA54B"/>
    <w:rsid w:val="3CFFDEA2"/>
    <w:rsid w:val="3D004874"/>
    <w:rsid w:val="3D064413"/>
    <w:rsid w:val="3D1DF02E"/>
    <w:rsid w:val="3D2D5FA8"/>
    <w:rsid w:val="3D2EB722"/>
    <w:rsid w:val="3D39EA52"/>
    <w:rsid w:val="3D408FD1"/>
    <w:rsid w:val="3D41DD53"/>
    <w:rsid w:val="3D4F62BE"/>
    <w:rsid w:val="3D4FE078"/>
    <w:rsid w:val="3D6C7D60"/>
    <w:rsid w:val="3D73DFC9"/>
    <w:rsid w:val="3D8230FF"/>
    <w:rsid w:val="3D8EE3C7"/>
    <w:rsid w:val="3D92826D"/>
    <w:rsid w:val="3D93C842"/>
    <w:rsid w:val="3D9430A3"/>
    <w:rsid w:val="3D944EB9"/>
    <w:rsid w:val="3D9C86CD"/>
    <w:rsid w:val="3D9F8983"/>
    <w:rsid w:val="3DAD02B3"/>
    <w:rsid w:val="3DB7EE0B"/>
    <w:rsid w:val="3DC4C0B7"/>
    <w:rsid w:val="3DD2ACD4"/>
    <w:rsid w:val="3DD63021"/>
    <w:rsid w:val="3DD70D92"/>
    <w:rsid w:val="3DE40100"/>
    <w:rsid w:val="3DE59114"/>
    <w:rsid w:val="3DF0DD4E"/>
    <w:rsid w:val="3E02E59F"/>
    <w:rsid w:val="3E1F767B"/>
    <w:rsid w:val="3E214B1C"/>
    <w:rsid w:val="3E2D0F49"/>
    <w:rsid w:val="3E3E117A"/>
    <w:rsid w:val="3E49BDB8"/>
    <w:rsid w:val="3E4AA83C"/>
    <w:rsid w:val="3E63420D"/>
    <w:rsid w:val="3E63605F"/>
    <w:rsid w:val="3E70E746"/>
    <w:rsid w:val="3E7541C2"/>
    <w:rsid w:val="3E84A906"/>
    <w:rsid w:val="3E86593C"/>
    <w:rsid w:val="3E86C5A6"/>
    <w:rsid w:val="3E8AC686"/>
    <w:rsid w:val="3E9F8FA1"/>
    <w:rsid w:val="3EABBDF9"/>
    <w:rsid w:val="3EC0EC19"/>
    <w:rsid w:val="3EC6C7C5"/>
    <w:rsid w:val="3EC7C070"/>
    <w:rsid w:val="3EDDD1C1"/>
    <w:rsid w:val="3EE89750"/>
    <w:rsid w:val="3EFEFFDF"/>
    <w:rsid w:val="3EFF4750"/>
    <w:rsid w:val="3F032C4A"/>
    <w:rsid w:val="3F07CD08"/>
    <w:rsid w:val="3F124055"/>
    <w:rsid w:val="3F4328C5"/>
    <w:rsid w:val="3F50ED0B"/>
    <w:rsid w:val="3F552302"/>
    <w:rsid w:val="3F650BFC"/>
    <w:rsid w:val="3F6BCA90"/>
    <w:rsid w:val="3F6F1C8B"/>
    <w:rsid w:val="3F71904E"/>
    <w:rsid w:val="3F8CC4FE"/>
    <w:rsid w:val="3F95C933"/>
    <w:rsid w:val="3F9E1256"/>
    <w:rsid w:val="3FAEDB8D"/>
    <w:rsid w:val="3FAF7F42"/>
    <w:rsid w:val="3FB130E7"/>
    <w:rsid w:val="3FC36F82"/>
    <w:rsid w:val="3FD15EA0"/>
    <w:rsid w:val="3FE15703"/>
    <w:rsid w:val="3FE8A5E0"/>
    <w:rsid w:val="3FEC10F0"/>
    <w:rsid w:val="3FF7D8D4"/>
    <w:rsid w:val="3FFFFD97"/>
    <w:rsid w:val="40022DDA"/>
    <w:rsid w:val="400239B9"/>
    <w:rsid w:val="404508E6"/>
    <w:rsid w:val="4045267F"/>
    <w:rsid w:val="4067CFCE"/>
    <w:rsid w:val="4067FEA7"/>
    <w:rsid w:val="40778991"/>
    <w:rsid w:val="407AF654"/>
    <w:rsid w:val="409C7A2D"/>
    <w:rsid w:val="40A0618A"/>
    <w:rsid w:val="40AA9A93"/>
    <w:rsid w:val="40AA9B58"/>
    <w:rsid w:val="40AB8EC1"/>
    <w:rsid w:val="40AB9A63"/>
    <w:rsid w:val="40B7ECBB"/>
    <w:rsid w:val="40BAA550"/>
    <w:rsid w:val="40D0474E"/>
    <w:rsid w:val="40D311B3"/>
    <w:rsid w:val="40D530EC"/>
    <w:rsid w:val="40DA838B"/>
    <w:rsid w:val="40DD0390"/>
    <w:rsid w:val="40E89714"/>
    <w:rsid w:val="40F6FFB3"/>
    <w:rsid w:val="41128B49"/>
    <w:rsid w:val="411E04CB"/>
    <w:rsid w:val="41361D00"/>
    <w:rsid w:val="4139CE86"/>
    <w:rsid w:val="414F34B7"/>
    <w:rsid w:val="414FD6E8"/>
    <w:rsid w:val="4151D910"/>
    <w:rsid w:val="41655294"/>
    <w:rsid w:val="416B7D09"/>
    <w:rsid w:val="4172D91D"/>
    <w:rsid w:val="418D32C0"/>
    <w:rsid w:val="4193274D"/>
    <w:rsid w:val="41B34527"/>
    <w:rsid w:val="41B75932"/>
    <w:rsid w:val="41BBDFE0"/>
    <w:rsid w:val="41C85CFE"/>
    <w:rsid w:val="41DE5080"/>
    <w:rsid w:val="41E606CC"/>
    <w:rsid w:val="41EFDA8B"/>
    <w:rsid w:val="41F0241E"/>
    <w:rsid w:val="4206FD30"/>
    <w:rsid w:val="421A14F4"/>
    <w:rsid w:val="42269881"/>
    <w:rsid w:val="422BECD4"/>
    <w:rsid w:val="422CCE90"/>
    <w:rsid w:val="4233A0BE"/>
    <w:rsid w:val="423500D7"/>
    <w:rsid w:val="423577D3"/>
    <w:rsid w:val="423E5381"/>
    <w:rsid w:val="4240655E"/>
    <w:rsid w:val="4248AD49"/>
    <w:rsid w:val="42834AB9"/>
    <w:rsid w:val="4290B980"/>
    <w:rsid w:val="42913D69"/>
    <w:rsid w:val="42A52778"/>
    <w:rsid w:val="42AF40CC"/>
    <w:rsid w:val="42BB982A"/>
    <w:rsid w:val="42D3E37D"/>
    <w:rsid w:val="42EDB02F"/>
    <w:rsid w:val="42F7643F"/>
    <w:rsid w:val="42FC8779"/>
    <w:rsid w:val="42FD2981"/>
    <w:rsid w:val="42FF2ADF"/>
    <w:rsid w:val="43009D67"/>
    <w:rsid w:val="4308A9C5"/>
    <w:rsid w:val="4308FF62"/>
    <w:rsid w:val="433CBEB8"/>
    <w:rsid w:val="43569945"/>
    <w:rsid w:val="435F3D9C"/>
    <w:rsid w:val="437ED09F"/>
    <w:rsid w:val="438E7FB4"/>
    <w:rsid w:val="4390A707"/>
    <w:rsid w:val="439EAA1D"/>
    <w:rsid w:val="43A63D86"/>
    <w:rsid w:val="43A6E156"/>
    <w:rsid w:val="43A71008"/>
    <w:rsid w:val="43A724F9"/>
    <w:rsid w:val="43AAC429"/>
    <w:rsid w:val="43B1A42E"/>
    <w:rsid w:val="43B93D98"/>
    <w:rsid w:val="43C466B9"/>
    <w:rsid w:val="43C658F3"/>
    <w:rsid w:val="43C676D7"/>
    <w:rsid w:val="43DC1214"/>
    <w:rsid w:val="43E0B955"/>
    <w:rsid w:val="43E7F7FE"/>
    <w:rsid w:val="43F9D261"/>
    <w:rsid w:val="43FE2EAC"/>
    <w:rsid w:val="43FFD762"/>
    <w:rsid w:val="4401A2F3"/>
    <w:rsid w:val="44027077"/>
    <w:rsid w:val="440B314B"/>
    <w:rsid w:val="440C7FBE"/>
    <w:rsid w:val="441064A9"/>
    <w:rsid w:val="441B5FF5"/>
    <w:rsid w:val="44200005"/>
    <w:rsid w:val="442BBAB0"/>
    <w:rsid w:val="44569AD5"/>
    <w:rsid w:val="44633D51"/>
    <w:rsid w:val="446DA532"/>
    <w:rsid w:val="446F4E3C"/>
    <w:rsid w:val="447AC6CA"/>
    <w:rsid w:val="447C4B67"/>
    <w:rsid w:val="4481F0FC"/>
    <w:rsid w:val="4489FB62"/>
    <w:rsid w:val="4497A3BA"/>
    <w:rsid w:val="44A1CD68"/>
    <w:rsid w:val="44A233DE"/>
    <w:rsid w:val="44A4CFC3"/>
    <w:rsid w:val="44AB30BF"/>
    <w:rsid w:val="44AFD77F"/>
    <w:rsid w:val="44B9A705"/>
    <w:rsid w:val="44C7DDE2"/>
    <w:rsid w:val="44D7ADE2"/>
    <w:rsid w:val="44DA7644"/>
    <w:rsid w:val="44EB7E7C"/>
    <w:rsid w:val="44EBC082"/>
    <w:rsid w:val="45282933"/>
    <w:rsid w:val="452A1670"/>
    <w:rsid w:val="45323DBB"/>
    <w:rsid w:val="453A37A0"/>
    <w:rsid w:val="45496AD7"/>
    <w:rsid w:val="454D0A95"/>
    <w:rsid w:val="45531FA9"/>
    <w:rsid w:val="45537106"/>
    <w:rsid w:val="4561856D"/>
    <w:rsid w:val="4565BDE5"/>
    <w:rsid w:val="456AC06A"/>
    <w:rsid w:val="4578D73F"/>
    <w:rsid w:val="457C89B6"/>
    <w:rsid w:val="45889F3D"/>
    <w:rsid w:val="458A45D1"/>
    <w:rsid w:val="4595C786"/>
    <w:rsid w:val="45998BE8"/>
    <w:rsid w:val="45B54EF6"/>
    <w:rsid w:val="45BF35F2"/>
    <w:rsid w:val="45E4F35C"/>
    <w:rsid w:val="45EB3BE5"/>
    <w:rsid w:val="46114227"/>
    <w:rsid w:val="4614FA30"/>
    <w:rsid w:val="46222683"/>
    <w:rsid w:val="462550F1"/>
    <w:rsid w:val="4625CBC3"/>
    <w:rsid w:val="4628F652"/>
    <w:rsid w:val="4634A8FA"/>
    <w:rsid w:val="46387EDB"/>
    <w:rsid w:val="46391D47"/>
    <w:rsid w:val="4647821C"/>
    <w:rsid w:val="465404A0"/>
    <w:rsid w:val="46558D73"/>
    <w:rsid w:val="465A4433"/>
    <w:rsid w:val="466CE3D4"/>
    <w:rsid w:val="466DDD8C"/>
    <w:rsid w:val="468769B8"/>
    <w:rsid w:val="46A64CFC"/>
    <w:rsid w:val="46AC23F3"/>
    <w:rsid w:val="46C55D72"/>
    <w:rsid w:val="46D81C4D"/>
    <w:rsid w:val="46E1D777"/>
    <w:rsid w:val="46EA060B"/>
    <w:rsid w:val="46F2EDC4"/>
    <w:rsid w:val="46F58667"/>
    <w:rsid w:val="46FA977F"/>
    <w:rsid w:val="4729325A"/>
    <w:rsid w:val="472CA7AD"/>
    <w:rsid w:val="47347FA6"/>
    <w:rsid w:val="473E9C10"/>
    <w:rsid w:val="47423B46"/>
    <w:rsid w:val="47442CE7"/>
    <w:rsid w:val="474CFE99"/>
    <w:rsid w:val="47531B24"/>
    <w:rsid w:val="4769E5E0"/>
    <w:rsid w:val="476A1F69"/>
    <w:rsid w:val="4785F80E"/>
    <w:rsid w:val="479802C4"/>
    <w:rsid w:val="47A260FD"/>
    <w:rsid w:val="47A37F98"/>
    <w:rsid w:val="47B2F0CA"/>
    <w:rsid w:val="47BB3DB0"/>
    <w:rsid w:val="47C422BE"/>
    <w:rsid w:val="47C7456A"/>
    <w:rsid w:val="47CF504B"/>
    <w:rsid w:val="47E7F962"/>
    <w:rsid w:val="47FEDC94"/>
    <w:rsid w:val="48019E9E"/>
    <w:rsid w:val="48080819"/>
    <w:rsid w:val="481C70AA"/>
    <w:rsid w:val="4827D650"/>
    <w:rsid w:val="48294C1F"/>
    <w:rsid w:val="48559172"/>
    <w:rsid w:val="48666F30"/>
    <w:rsid w:val="48686B8E"/>
    <w:rsid w:val="4869A992"/>
    <w:rsid w:val="488E35E1"/>
    <w:rsid w:val="48B8BECE"/>
    <w:rsid w:val="48BE575A"/>
    <w:rsid w:val="48C38A19"/>
    <w:rsid w:val="48D3F28D"/>
    <w:rsid w:val="48E9819B"/>
    <w:rsid w:val="48F19D57"/>
    <w:rsid w:val="48FAFB8A"/>
    <w:rsid w:val="48FEFED5"/>
    <w:rsid w:val="490F20FC"/>
    <w:rsid w:val="491B10C3"/>
    <w:rsid w:val="494C8525"/>
    <w:rsid w:val="49546770"/>
    <w:rsid w:val="49673069"/>
    <w:rsid w:val="496A532F"/>
    <w:rsid w:val="4981697A"/>
    <w:rsid w:val="4981C907"/>
    <w:rsid w:val="49924DEA"/>
    <w:rsid w:val="499DCF47"/>
    <w:rsid w:val="49A738F1"/>
    <w:rsid w:val="49B6BEB8"/>
    <w:rsid w:val="49BB6AF4"/>
    <w:rsid w:val="49D591AF"/>
    <w:rsid w:val="49DD4E17"/>
    <w:rsid w:val="49DF14B2"/>
    <w:rsid w:val="49F2E666"/>
    <w:rsid w:val="4A00FFEF"/>
    <w:rsid w:val="4A025167"/>
    <w:rsid w:val="4A046564"/>
    <w:rsid w:val="4A0E3807"/>
    <w:rsid w:val="4A12199A"/>
    <w:rsid w:val="4A269F31"/>
    <w:rsid w:val="4A2B594F"/>
    <w:rsid w:val="4A2D7565"/>
    <w:rsid w:val="4A31A2FA"/>
    <w:rsid w:val="4A5774E3"/>
    <w:rsid w:val="4A663819"/>
    <w:rsid w:val="4A6A6A0C"/>
    <w:rsid w:val="4A78316F"/>
    <w:rsid w:val="4A7C1B99"/>
    <w:rsid w:val="4A7C5B74"/>
    <w:rsid w:val="4A86C11D"/>
    <w:rsid w:val="4A877A16"/>
    <w:rsid w:val="4A909073"/>
    <w:rsid w:val="4A95252F"/>
    <w:rsid w:val="4ABEAD6A"/>
    <w:rsid w:val="4AC3169B"/>
    <w:rsid w:val="4AD21AB4"/>
    <w:rsid w:val="4AD2EAF4"/>
    <w:rsid w:val="4B2875BA"/>
    <w:rsid w:val="4B3BC171"/>
    <w:rsid w:val="4B59B49B"/>
    <w:rsid w:val="4B66AB4E"/>
    <w:rsid w:val="4B6B0362"/>
    <w:rsid w:val="4B775F92"/>
    <w:rsid w:val="4B7BA9B6"/>
    <w:rsid w:val="4B9651F1"/>
    <w:rsid w:val="4B9D68AE"/>
    <w:rsid w:val="4BA035C5"/>
    <w:rsid w:val="4BA3007F"/>
    <w:rsid w:val="4BAC4C87"/>
    <w:rsid w:val="4BAF216F"/>
    <w:rsid w:val="4BB0DB39"/>
    <w:rsid w:val="4BC72D57"/>
    <w:rsid w:val="4BCCBE4B"/>
    <w:rsid w:val="4BD25E37"/>
    <w:rsid w:val="4BE02F27"/>
    <w:rsid w:val="4BF538CF"/>
    <w:rsid w:val="4BF88391"/>
    <w:rsid w:val="4BFE6C48"/>
    <w:rsid w:val="4C08E699"/>
    <w:rsid w:val="4C0ACE54"/>
    <w:rsid w:val="4C13032E"/>
    <w:rsid w:val="4C14897B"/>
    <w:rsid w:val="4C28592E"/>
    <w:rsid w:val="4C323A38"/>
    <w:rsid w:val="4C3FBED8"/>
    <w:rsid w:val="4C58A20A"/>
    <w:rsid w:val="4C62E69E"/>
    <w:rsid w:val="4C81DEBF"/>
    <w:rsid w:val="4C8AC957"/>
    <w:rsid w:val="4C94BFF5"/>
    <w:rsid w:val="4CA41768"/>
    <w:rsid w:val="4CD0C6BC"/>
    <w:rsid w:val="4CDAA8E1"/>
    <w:rsid w:val="4CE528AE"/>
    <w:rsid w:val="4CEC1F2C"/>
    <w:rsid w:val="4D05036C"/>
    <w:rsid w:val="4D11D482"/>
    <w:rsid w:val="4D1B6708"/>
    <w:rsid w:val="4D21F2AC"/>
    <w:rsid w:val="4D3C0626"/>
    <w:rsid w:val="4D42DC02"/>
    <w:rsid w:val="4D6E85AF"/>
    <w:rsid w:val="4D72880A"/>
    <w:rsid w:val="4D845A62"/>
    <w:rsid w:val="4D868CC3"/>
    <w:rsid w:val="4D879B9B"/>
    <w:rsid w:val="4D934E53"/>
    <w:rsid w:val="4D94BB7E"/>
    <w:rsid w:val="4D9B471E"/>
    <w:rsid w:val="4DA37C1F"/>
    <w:rsid w:val="4DBB2FBD"/>
    <w:rsid w:val="4DC2A9F2"/>
    <w:rsid w:val="4DCB1AEC"/>
    <w:rsid w:val="4DD051F2"/>
    <w:rsid w:val="4DD9127F"/>
    <w:rsid w:val="4DE55FF2"/>
    <w:rsid w:val="4DFEF86E"/>
    <w:rsid w:val="4DFF2A17"/>
    <w:rsid w:val="4E0E4A28"/>
    <w:rsid w:val="4E189C84"/>
    <w:rsid w:val="4E23DDC1"/>
    <w:rsid w:val="4E288570"/>
    <w:rsid w:val="4E372C36"/>
    <w:rsid w:val="4E38F202"/>
    <w:rsid w:val="4E451A7F"/>
    <w:rsid w:val="4E5A48AB"/>
    <w:rsid w:val="4E5B1AD0"/>
    <w:rsid w:val="4E728532"/>
    <w:rsid w:val="4E73FD5C"/>
    <w:rsid w:val="4E84E5DC"/>
    <w:rsid w:val="4E85CA82"/>
    <w:rsid w:val="4E88E11A"/>
    <w:rsid w:val="4E95DF88"/>
    <w:rsid w:val="4EBA83E9"/>
    <w:rsid w:val="4EBDD676"/>
    <w:rsid w:val="4EF320AE"/>
    <w:rsid w:val="4EFACBBD"/>
    <w:rsid w:val="4F0B26FE"/>
    <w:rsid w:val="4F100691"/>
    <w:rsid w:val="4F177911"/>
    <w:rsid w:val="4F290B81"/>
    <w:rsid w:val="4F2B1382"/>
    <w:rsid w:val="4F2B633C"/>
    <w:rsid w:val="4F358D0F"/>
    <w:rsid w:val="4F3C0E1E"/>
    <w:rsid w:val="4F454E82"/>
    <w:rsid w:val="4F4FF494"/>
    <w:rsid w:val="4F539677"/>
    <w:rsid w:val="4F57001E"/>
    <w:rsid w:val="4F65302A"/>
    <w:rsid w:val="4F77B53C"/>
    <w:rsid w:val="4F7BA0B4"/>
    <w:rsid w:val="4F850141"/>
    <w:rsid w:val="4FAE3243"/>
    <w:rsid w:val="4FB323B6"/>
    <w:rsid w:val="4FB34485"/>
    <w:rsid w:val="4FBA41FD"/>
    <w:rsid w:val="4FC35EB8"/>
    <w:rsid w:val="4FC45784"/>
    <w:rsid w:val="4FD8EC47"/>
    <w:rsid w:val="5003DAE6"/>
    <w:rsid w:val="501A1F47"/>
    <w:rsid w:val="501E480F"/>
    <w:rsid w:val="50271D27"/>
    <w:rsid w:val="5031AFE9"/>
    <w:rsid w:val="50515AC4"/>
    <w:rsid w:val="5052040D"/>
    <w:rsid w:val="506A36E1"/>
    <w:rsid w:val="50753DB9"/>
    <w:rsid w:val="507AF478"/>
    <w:rsid w:val="5085C478"/>
    <w:rsid w:val="50861C98"/>
    <w:rsid w:val="50C4AD84"/>
    <w:rsid w:val="50DAE5C4"/>
    <w:rsid w:val="50DDBD6C"/>
    <w:rsid w:val="50E1DC89"/>
    <w:rsid w:val="5104D5AC"/>
    <w:rsid w:val="5105A2B5"/>
    <w:rsid w:val="510A8E19"/>
    <w:rsid w:val="510BEA05"/>
    <w:rsid w:val="510CC904"/>
    <w:rsid w:val="510E1CF2"/>
    <w:rsid w:val="51129035"/>
    <w:rsid w:val="51150153"/>
    <w:rsid w:val="51285EE6"/>
    <w:rsid w:val="51389F9F"/>
    <w:rsid w:val="51676363"/>
    <w:rsid w:val="516BEBDC"/>
    <w:rsid w:val="516E3CA8"/>
    <w:rsid w:val="518013BD"/>
    <w:rsid w:val="518352FE"/>
    <w:rsid w:val="51846354"/>
    <w:rsid w:val="518D899E"/>
    <w:rsid w:val="5198C702"/>
    <w:rsid w:val="519A3803"/>
    <w:rsid w:val="51B558AC"/>
    <w:rsid w:val="51B739F5"/>
    <w:rsid w:val="51C30C6A"/>
    <w:rsid w:val="51D51AB7"/>
    <w:rsid w:val="51DD1F21"/>
    <w:rsid w:val="51E7446E"/>
    <w:rsid w:val="52095C87"/>
    <w:rsid w:val="52114849"/>
    <w:rsid w:val="522ECF25"/>
    <w:rsid w:val="5232EAAD"/>
    <w:rsid w:val="5241E7CB"/>
    <w:rsid w:val="524B6FBA"/>
    <w:rsid w:val="52518608"/>
    <w:rsid w:val="525F7323"/>
    <w:rsid w:val="526C1064"/>
    <w:rsid w:val="526DC053"/>
    <w:rsid w:val="52787C81"/>
    <w:rsid w:val="52789317"/>
    <w:rsid w:val="527B6C50"/>
    <w:rsid w:val="5281CD78"/>
    <w:rsid w:val="52897162"/>
    <w:rsid w:val="52B053A0"/>
    <w:rsid w:val="52BBFE6D"/>
    <w:rsid w:val="52BD1692"/>
    <w:rsid w:val="52CB004C"/>
    <w:rsid w:val="52CB4877"/>
    <w:rsid w:val="52CE1D6F"/>
    <w:rsid w:val="52D0B8B1"/>
    <w:rsid w:val="52D68DD7"/>
    <w:rsid w:val="52EB266E"/>
    <w:rsid w:val="53092C5A"/>
    <w:rsid w:val="5318C4C7"/>
    <w:rsid w:val="53216E4C"/>
    <w:rsid w:val="532DDE9A"/>
    <w:rsid w:val="535ACC18"/>
    <w:rsid w:val="53776AE0"/>
    <w:rsid w:val="537D31A8"/>
    <w:rsid w:val="53897651"/>
    <w:rsid w:val="538C2EF3"/>
    <w:rsid w:val="538D014F"/>
    <w:rsid w:val="53946CBC"/>
    <w:rsid w:val="5394E77E"/>
    <w:rsid w:val="539B798F"/>
    <w:rsid w:val="539DB731"/>
    <w:rsid w:val="539E8E31"/>
    <w:rsid w:val="53A12E9F"/>
    <w:rsid w:val="53A739F2"/>
    <w:rsid w:val="53AA3066"/>
    <w:rsid w:val="53B1451C"/>
    <w:rsid w:val="53B6C481"/>
    <w:rsid w:val="53BBD875"/>
    <w:rsid w:val="53C4826C"/>
    <w:rsid w:val="53C84FC4"/>
    <w:rsid w:val="53E7B439"/>
    <w:rsid w:val="53F06154"/>
    <w:rsid w:val="53F5F692"/>
    <w:rsid w:val="54064503"/>
    <w:rsid w:val="540F82D8"/>
    <w:rsid w:val="54107E33"/>
    <w:rsid w:val="541301C4"/>
    <w:rsid w:val="5424E928"/>
    <w:rsid w:val="542958BB"/>
    <w:rsid w:val="542C0EAF"/>
    <w:rsid w:val="54325342"/>
    <w:rsid w:val="54352BC9"/>
    <w:rsid w:val="54407C6E"/>
    <w:rsid w:val="544F1D56"/>
    <w:rsid w:val="54605ECA"/>
    <w:rsid w:val="5462AB52"/>
    <w:rsid w:val="5464DB41"/>
    <w:rsid w:val="546C56C7"/>
    <w:rsid w:val="54803094"/>
    <w:rsid w:val="54947630"/>
    <w:rsid w:val="549AF595"/>
    <w:rsid w:val="54A6ED10"/>
    <w:rsid w:val="54A86A9C"/>
    <w:rsid w:val="54ACE055"/>
    <w:rsid w:val="54B453B8"/>
    <w:rsid w:val="54CD8681"/>
    <w:rsid w:val="54D1A309"/>
    <w:rsid w:val="54D8547A"/>
    <w:rsid w:val="54DDAE9D"/>
    <w:rsid w:val="54E1414A"/>
    <w:rsid w:val="54E7E010"/>
    <w:rsid w:val="54F409E7"/>
    <w:rsid w:val="54FE3E6D"/>
    <w:rsid w:val="5500A746"/>
    <w:rsid w:val="5512687A"/>
    <w:rsid w:val="55168E77"/>
    <w:rsid w:val="55229CE5"/>
    <w:rsid w:val="552388FF"/>
    <w:rsid w:val="5532CF74"/>
    <w:rsid w:val="553D4AB5"/>
    <w:rsid w:val="55435E16"/>
    <w:rsid w:val="554A3466"/>
    <w:rsid w:val="554B7C21"/>
    <w:rsid w:val="55625732"/>
    <w:rsid w:val="556E9CC7"/>
    <w:rsid w:val="55901F58"/>
    <w:rsid w:val="5593AF14"/>
    <w:rsid w:val="55A0A6E1"/>
    <w:rsid w:val="55AF61B8"/>
    <w:rsid w:val="55C641A2"/>
    <w:rsid w:val="55D23EA5"/>
    <w:rsid w:val="55D27E23"/>
    <w:rsid w:val="55E1D7E7"/>
    <w:rsid w:val="55E51E90"/>
    <w:rsid w:val="55EBEF0E"/>
    <w:rsid w:val="55ED912C"/>
    <w:rsid w:val="560788D7"/>
    <w:rsid w:val="560EF669"/>
    <w:rsid w:val="5613ED36"/>
    <w:rsid w:val="561C7E8D"/>
    <w:rsid w:val="5626F1C4"/>
    <w:rsid w:val="563E0958"/>
    <w:rsid w:val="563FAF05"/>
    <w:rsid w:val="563FCB21"/>
    <w:rsid w:val="566F0E8C"/>
    <w:rsid w:val="56759CB2"/>
    <w:rsid w:val="56790539"/>
    <w:rsid w:val="567A29B8"/>
    <w:rsid w:val="5688071B"/>
    <w:rsid w:val="56A017BD"/>
    <w:rsid w:val="56ABB8EF"/>
    <w:rsid w:val="56C3F633"/>
    <w:rsid w:val="56C5151F"/>
    <w:rsid w:val="56C9DB6D"/>
    <w:rsid w:val="56DC927E"/>
    <w:rsid w:val="56E53192"/>
    <w:rsid w:val="56E5B117"/>
    <w:rsid w:val="56E9D6A0"/>
    <w:rsid w:val="56F778C8"/>
    <w:rsid w:val="5709A9CF"/>
    <w:rsid w:val="570FFFEA"/>
    <w:rsid w:val="5710EDC2"/>
    <w:rsid w:val="5711DA99"/>
    <w:rsid w:val="57125C47"/>
    <w:rsid w:val="5729CD01"/>
    <w:rsid w:val="5738A9F2"/>
    <w:rsid w:val="5750F8F3"/>
    <w:rsid w:val="57510610"/>
    <w:rsid w:val="5753E0BE"/>
    <w:rsid w:val="575E2511"/>
    <w:rsid w:val="57649BFE"/>
    <w:rsid w:val="576A46CB"/>
    <w:rsid w:val="5772B20E"/>
    <w:rsid w:val="577EF867"/>
    <w:rsid w:val="57900BA4"/>
    <w:rsid w:val="5796723A"/>
    <w:rsid w:val="5797A06A"/>
    <w:rsid w:val="57A22D8B"/>
    <w:rsid w:val="57AA05D0"/>
    <w:rsid w:val="57B2DC69"/>
    <w:rsid w:val="57BE9791"/>
    <w:rsid w:val="57C4B550"/>
    <w:rsid w:val="57DB7370"/>
    <w:rsid w:val="57DB7729"/>
    <w:rsid w:val="57DCBC52"/>
    <w:rsid w:val="57E5D0E8"/>
    <w:rsid w:val="57E79698"/>
    <w:rsid w:val="57F38668"/>
    <w:rsid w:val="57F3D24C"/>
    <w:rsid w:val="57FAFBAC"/>
    <w:rsid w:val="5804E12D"/>
    <w:rsid w:val="5805A512"/>
    <w:rsid w:val="5808E9A4"/>
    <w:rsid w:val="580C717B"/>
    <w:rsid w:val="58344863"/>
    <w:rsid w:val="584328C6"/>
    <w:rsid w:val="5848D784"/>
    <w:rsid w:val="5848DA96"/>
    <w:rsid w:val="5850B189"/>
    <w:rsid w:val="5864B9A9"/>
    <w:rsid w:val="58660B03"/>
    <w:rsid w:val="58758AB5"/>
    <w:rsid w:val="58935559"/>
    <w:rsid w:val="5898FC18"/>
    <w:rsid w:val="589BC1F8"/>
    <w:rsid w:val="589FE644"/>
    <w:rsid w:val="58AF6B53"/>
    <w:rsid w:val="58C8E32E"/>
    <w:rsid w:val="58D50A5C"/>
    <w:rsid w:val="58DA18D1"/>
    <w:rsid w:val="58DE5D9D"/>
    <w:rsid w:val="58E13454"/>
    <w:rsid w:val="59098869"/>
    <w:rsid w:val="59112D27"/>
    <w:rsid w:val="5916F01D"/>
    <w:rsid w:val="591B61AB"/>
    <w:rsid w:val="594D8A16"/>
    <w:rsid w:val="595BE93C"/>
    <w:rsid w:val="596281A7"/>
    <w:rsid w:val="59729AF2"/>
    <w:rsid w:val="59834E6D"/>
    <w:rsid w:val="5984FC4D"/>
    <w:rsid w:val="5994893C"/>
    <w:rsid w:val="59952947"/>
    <w:rsid w:val="599C48A3"/>
    <w:rsid w:val="59A4F862"/>
    <w:rsid w:val="59A6E17E"/>
    <w:rsid w:val="59B15F14"/>
    <w:rsid w:val="59B8E9A0"/>
    <w:rsid w:val="59C52A55"/>
    <w:rsid w:val="59D52E6A"/>
    <w:rsid w:val="59E0A722"/>
    <w:rsid w:val="59FE0BBE"/>
    <w:rsid w:val="5A13E76B"/>
    <w:rsid w:val="5A24FE10"/>
    <w:rsid w:val="5A2DA8C4"/>
    <w:rsid w:val="5A3DDF5E"/>
    <w:rsid w:val="5A406DFD"/>
    <w:rsid w:val="5A5F9391"/>
    <w:rsid w:val="5A6485CC"/>
    <w:rsid w:val="5A681521"/>
    <w:rsid w:val="5A6B75E3"/>
    <w:rsid w:val="5A735E9E"/>
    <w:rsid w:val="5A75CD84"/>
    <w:rsid w:val="5A75FB89"/>
    <w:rsid w:val="5A76B82F"/>
    <w:rsid w:val="5A9BC22D"/>
    <w:rsid w:val="5AA0D017"/>
    <w:rsid w:val="5AA479CA"/>
    <w:rsid w:val="5AADA1DB"/>
    <w:rsid w:val="5AB93EAE"/>
    <w:rsid w:val="5AB9667D"/>
    <w:rsid w:val="5AC18B4F"/>
    <w:rsid w:val="5AD8AF9F"/>
    <w:rsid w:val="5AE3EDA9"/>
    <w:rsid w:val="5AEF152E"/>
    <w:rsid w:val="5AF63853"/>
    <w:rsid w:val="5AFB0C94"/>
    <w:rsid w:val="5AFBF691"/>
    <w:rsid w:val="5AFCA110"/>
    <w:rsid w:val="5B12849E"/>
    <w:rsid w:val="5B1AEA1C"/>
    <w:rsid w:val="5B2887A7"/>
    <w:rsid w:val="5B28A530"/>
    <w:rsid w:val="5B36405B"/>
    <w:rsid w:val="5B3DD106"/>
    <w:rsid w:val="5B40B939"/>
    <w:rsid w:val="5B51BCC8"/>
    <w:rsid w:val="5B70F93B"/>
    <w:rsid w:val="5B75EF25"/>
    <w:rsid w:val="5B760658"/>
    <w:rsid w:val="5B88C01C"/>
    <w:rsid w:val="5B8C3E9B"/>
    <w:rsid w:val="5B9D4C3C"/>
    <w:rsid w:val="5B9E21C1"/>
    <w:rsid w:val="5B9F0232"/>
    <w:rsid w:val="5BBBA80A"/>
    <w:rsid w:val="5BC3041F"/>
    <w:rsid w:val="5BC3B87A"/>
    <w:rsid w:val="5BC71575"/>
    <w:rsid w:val="5BDA8F2D"/>
    <w:rsid w:val="5BE8F421"/>
    <w:rsid w:val="5BF30D0B"/>
    <w:rsid w:val="5C0453B9"/>
    <w:rsid w:val="5C3B31EA"/>
    <w:rsid w:val="5C4FA703"/>
    <w:rsid w:val="5C4FE845"/>
    <w:rsid w:val="5C61F2A0"/>
    <w:rsid w:val="5C65965D"/>
    <w:rsid w:val="5C7705B7"/>
    <w:rsid w:val="5C7FAEB6"/>
    <w:rsid w:val="5C80FC2C"/>
    <w:rsid w:val="5C8B5205"/>
    <w:rsid w:val="5C978439"/>
    <w:rsid w:val="5C987171"/>
    <w:rsid w:val="5CA316D7"/>
    <w:rsid w:val="5CA3D22E"/>
    <w:rsid w:val="5CA9A219"/>
    <w:rsid w:val="5CACA301"/>
    <w:rsid w:val="5CB87C49"/>
    <w:rsid w:val="5CD6D323"/>
    <w:rsid w:val="5CE2A0DB"/>
    <w:rsid w:val="5CF6CAA3"/>
    <w:rsid w:val="5CFEB72E"/>
    <w:rsid w:val="5D0E57B0"/>
    <w:rsid w:val="5D0EA19E"/>
    <w:rsid w:val="5D221EA6"/>
    <w:rsid w:val="5D2AE84E"/>
    <w:rsid w:val="5D2C783B"/>
    <w:rsid w:val="5D35622B"/>
    <w:rsid w:val="5D37A796"/>
    <w:rsid w:val="5D384951"/>
    <w:rsid w:val="5D538B6D"/>
    <w:rsid w:val="5D57CBB8"/>
    <w:rsid w:val="5D6146C0"/>
    <w:rsid w:val="5D6DCF2A"/>
    <w:rsid w:val="5D7152FA"/>
    <w:rsid w:val="5D76116B"/>
    <w:rsid w:val="5D7809DE"/>
    <w:rsid w:val="5D85482B"/>
    <w:rsid w:val="5D8E5304"/>
    <w:rsid w:val="5D8FC12F"/>
    <w:rsid w:val="5D90E069"/>
    <w:rsid w:val="5D92B251"/>
    <w:rsid w:val="5D956108"/>
    <w:rsid w:val="5DAD4F52"/>
    <w:rsid w:val="5DB3D1D1"/>
    <w:rsid w:val="5DB57FF7"/>
    <w:rsid w:val="5DEDBA8C"/>
    <w:rsid w:val="5E1CC4CC"/>
    <w:rsid w:val="5E20C5C7"/>
    <w:rsid w:val="5E2F8C57"/>
    <w:rsid w:val="5E44118F"/>
    <w:rsid w:val="5E55023A"/>
    <w:rsid w:val="5E78B6F5"/>
    <w:rsid w:val="5E859AF1"/>
    <w:rsid w:val="5E889C1D"/>
    <w:rsid w:val="5E8D875F"/>
    <w:rsid w:val="5E97DB82"/>
    <w:rsid w:val="5E9A878F"/>
    <w:rsid w:val="5EA9979F"/>
    <w:rsid w:val="5EB41F93"/>
    <w:rsid w:val="5EBAC17C"/>
    <w:rsid w:val="5EC2AAAE"/>
    <w:rsid w:val="5EC459B9"/>
    <w:rsid w:val="5EC814EB"/>
    <w:rsid w:val="5ECA1B7B"/>
    <w:rsid w:val="5ECA2CEE"/>
    <w:rsid w:val="5EE49C9A"/>
    <w:rsid w:val="5EE6EF84"/>
    <w:rsid w:val="5EF5BE62"/>
    <w:rsid w:val="5EFCDC79"/>
    <w:rsid w:val="5F047A6F"/>
    <w:rsid w:val="5F054128"/>
    <w:rsid w:val="5F0A5F37"/>
    <w:rsid w:val="5F168C08"/>
    <w:rsid w:val="5F17B971"/>
    <w:rsid w:val="5F1BC07E"/>
    <w:rsid w:val="5F3AC465"/>
    <w:rsid w:val="5F3EA2DE"/>
    <w:rsid w:val="5F42BB0C"/>
    <w:rsid w:val="5F4D5EEC"/>
    <w:rsid w:val="5F542325"/>
    <w:rsid w:val="5F66D362"/>
    <w:rsid w:val="5F78BAC8"/>
    <w:rsid w:val="5F8A0A4C"/>
    <w:rsid w:val="5FAC389E"/>
    <w:rsid w:val="5FB74F78"/>
    <w:rsid w:val="5FDA525D"/>
    <w:rsid w:val="600096FD"/>
    <w:rsid w:val="600F797C"/>
    <w:rsid w:val="60216B52"/>
    <w:rsid w:val="6025583A"/>
    <w:rsid w:val="602822D1"/>
    <w:rsid w:val="60346B2E"/>
    <w:rsid w:val="604206AD"/>
    <w:rsid w:val="604B9A2A"/>
    <w:rsid w:val="60501C19"/>
    <w:rsid w:val="60574410"/>
    <w:rsid w:val="605B6F8B"/>
    <w:rsid w:val="6060E6DB"/>
    <w:rsid w:val="60610517"/>
    <w:rsid w:val="606130BE"/>
    <w:rsid w:val="6062866B"/>
    <w:rsid w:val="6070B02D"/>
    <w:rsid w:val="607E9D8E"/>
    <w:rsid w:val="6089544A"/>
    <w:rsid w:val="608E4BB4"/>
    <w:rsid w:val="609EC689"/>
    <w:rsid w:val="60A2041F"/>
    <w:rsid w:val="60A50FEA"/>
    <w:rsid w:val="60AD1648"/>
    <w:rsid w:val="60B6649F"/>
    <w:rsid w:val="60CA5313"/>
    <w:rsid w:val="60D16F32"/>
    <w:rsid w:val="60D4FEF5"/>
    <w:rsid w:val="60D801E6"/>
    <w:rsid w:val="60E30849"/>
    <w:rsid w:val="60E5F913"/>
    <w:rsid w:val="60EB6576"/>
    <w:rsid w:val="60EFF386"/>
    <w:rsid w:val="60FAF15C"/>
    <w:rsid w:val="6105356B"/>
    <w:rsid w:val="611C08C9"/>
    <w:rsid w:val="611CDAA8"/>
    <w:rsid w:val="61226E49"/>
    <w:rsid w:val="6152853A"/>
    <w:rsid w:val="61532F2D"/>
    <w:rsid w:val="6165E454"/>
    <w:rsid w:val="61692252"/>
    <w:rsid w:val="616BE294"/>
    <w:rsid w:val="616CEEB3"/>
    <w:rsid w:val="616D17F0"/>
    <w:rsid w:val="617622BE"/>
    <w:rsid w:val="617997B5"/>
    <w:rsid w:val="618E0AF7"/>
    <w:rsid w:val="61A1C927"/>
    <w:rsid w:val="61AC1E89"/>
    <w:rsid w:val="61AFFABD"/>
    <w:rsid w:val="61B09562"/>
    <w:rsid w:val="61B4D233"/>
    <w:rsid w:val="61B98824"/>
    <w:rsid w:val="61BBB909"/>
    <w:rsid w:val="61C03CDF"/>
    <w:rsid w:val="61CF5C7F"/>
    <w:rsid w:val="61D490A1"/>
    <w:rsid w:val="61DC32B0"/>
    <w:rsid w:val="61DE39BB"/>
    <w:rsid w:val="61E1A29C"/>
    <w:rsid w:val="6205848F"/>
    <w:rsid w:val="62082C11"/>
    <w:rsid w:val="62093828"/>
    <w:rsid w:val="620C1531"/>
    <w:rsid w:val="6210F513"/>
    <w:rsid w:val="623245A3"/>
    <w:rsid w:val="623A2DD6"/>
    <w:rsid w:val="62459998"/>
    <w:rsid w:val="624F9921"/>
    <w:rsid w:val="628BC3E7"/>
    <w:rsid w:val="628D3A32"/>
    <w:rsid w:val="629B73BF"/>
    <w:rsid w:val="62A025AF"/>
    <w:rsid w:val="62AAF824"/>
    <w:rsid w:val="62AC0297"/>
    <w:rsid w:val="62AC124C"/>
    <w:rsid w:val="62ACADE1"/>
    <w:rsid w:val="62B1C718"/>
    <w:rsid w:val="62B5A7A3"/>
    <w:rsid w:val="62BDD480"/>
    <w:rsid w:val="62D05FD9"/>
    <w:rsid w:val="62D8209D"/>
    <w:rsid w:val="62D914B0"/>
    <w:rsid w:val="63073D3C"/>
    <w:rsid w:val="6307A427"/>
    <w:rsid w:val="6311F31F"/>
    <w:rsid w:val="6333A151"/>
    <w:rsid w:val="63359AC1"/>
    <w:rsid w:val="633F1E11"/>
    <w:rsid w:val="6343F555"/>
    <w:rsid w:val="634877DE"/>
    <w:rsid w:val="635C0D40"/>
    <w:rsid w:val="63607E39"/>
    <w:rsid w:val="6361A9DF"/>
    <w:rsid w:val="63660C27"/>
    <w:rsid w:val="6377CC5A"/>
    <w:rsid w:val="637AB210"/>
    <w:rsid w:val="6384A042"/>
    <w:rsid w:val="6392355B"/>
    <w:rsid w:val="63958BA7"/>
    <w:rsid w:val="63A1D662"/>
    <w:rsid w:val="63A69011"/>
    <w:rsid w:val="63B3A41A"/>
    <w:rsid w:val="63C5205A"/>
    <w:rsid w:val="63CDAC32"/>
    <w:rsid w:val="63D8C7A7"/>
    <w:rsid w:val="63E94772"/>
    <w:rsid w:val="63F2D262"/>
    <w:rsid w:val="63F3A38D"/>
    <w:rsid w:val="640B4071"/>
    <w:rsid w:val="6423CB66"/>
    <w:rsid w:val="64265AC0"/>
    <w:rsid w:val="6426EE05"/>
    <w:rsid w:val="64364AA0"/>
    <w:rsid w:val="6439B74E"/>
    <w:rsid w:val="64527727"/>
    <w:rsid w:val="645351A4"/>
    <w:rsid w:val="645DA1B7"/>
    <w:rsid w:val="645E4995"/>
    <w:rsid w:val="646807C7"/>
    <w:rsid w:val="6479FECE"/>
    <w:rsid w:val="648ACFEF"/>
    <w:rsid w:val="6492F1E8"/>
    <w:rsid w:val="6493F154"/>
    <w:rsid w:val="6495A2D5"/>
    <w:rsid w:val="649A3D70"/>
    <w:rsid w:val="649AB8F2"/>
    <w:rsid w:val="64A73BD3"/>
    <w:rsid w:val="64A78EB9"/>
    <w:rsid w:val="64C6C739"/>
    <w:rsid w:val="64CFD85F"/>
    <w:rsid w:val="64EE9D9D"/>
    <w:rsid w:val="650295BA"/>
    <w:rsid w:val="650BA5D8"/>
    <w:rsid w:val="650FD90C"/>
    <w:rsid w:val="6510E5DC"/>
    <w:rsid w:val="652EE474"/>
    <w:rsid w:val="65382F0F"/>
    <w:rsid w:val="65399B40"/>
    <w:rsid w:val="6539B700"/>
    <w:rsid w:val="65452258"/>
    <w:rsid w:val="654E88E1"/>
    <w:rsid w:val="65584094"/>
    <w:rsid w:val="656521A5"/>
    <w:rsid w:val="656B1EED"/>
    <w:rsid w:val="657FF9A3"/>
    <w:rsid w:val="65838D82"/>
    <w:rsid w:val="65848137"/>
    <w:rsid w:val="6590D34F"/>
    <w:rsid w:val="65A0C240"/>
    <w:rsid w:val="65A121CC"/>
    <w:rsid w:val="65A7D8B2"/>
    <w:rsid w:val="65AC0679"/>
    <w:rsid w:val="65B2513F"/>
    <w:rsid w:val="65BDE922"/>
    <w:rsid w:val="65C67AD1"/>
    <w:rsid w:val="65C741C7"/>
    <w:rsid w:val="65C96489"/>
    <w:rsid w:val="65D370EC"/>
    <w:rsid w:val="65E1ECCC"/>
    <w:rsid w:val="65FA1294"/>
    <w:rsid w:val="65FCD494"/>
    <w:rsid w:val="662488B5"/>
    <w:rsid w:val="6626A050"/>
    <w:rsid w:val="66332923"/>
    <w:rsid w:val="6634F9AB"/>
    <w:rsid w:val="66359D98"/>
    <w:rsid w:val="663A551B"/>
    <w:rsid w:val="663A7612"/>
    <w:rsid w:val="663E115C"/>
    <w:rsid w:val="664234F1"/>
    <w:rsid w:val="664993E1"/>
    <w:rsid w:val="664AE6F7"/>
    <w:rsid w:val="66546AD2"/>
    <w:rsid w:val="665C26B8"/>
    <w:rsid w:val="6669CCA6"/>
    <w:rsid w:val="66787CCF"/>
    <w:rsid w:val="66814858"/>
    <w:rsid w:val="668E4E02"/>
    <w:rsid w:val="66A297BF"/>
    <w:rsid w:val="66A2DD1A"/>
    <w:rsid w:val="66B8074A"/>
    <w:rsid w:val="66B8E5B2"/>
    <w:rsid w:val="66BC8471"/>
    <w:rsid w:val="66BFA807"/>
    <w:rsid w:val="66C2C3C7"/>
    <w:rsid w:val="66C9E92F"/>
    <w:rsid w:val="66CB512E"/>
    <w:rsid w:val="66D52939"/>
    <w:rsid w:val="66D5A705"/>
    <w:rsid w:val="66D8F5B2"/>
    <w:rsid w:val="66F3748E"/>
    <w:rsid w:val="67045C1C"/>
    <w:rsid w:val="670DC3A8"/>
    <w:rsid w:val="670E7174"/>
    <w:rsid w:val="6719B329"/>
    <w:rsid w:val="67299C7F"/>
    <w:rsid w:val="672B910B"/>
    <w:rsid w:val="6740DBC8"/>
    <w:rsid w:val="674C99BB"/>
    <w:rsid w:val="675FC3BC"/>
    <w:rsid w:val="676F414D"/>
    <w:rsid w:val="677073CD"/>
    <w:rsid w:val="677D3585"/>
    <w:rsid w:val="6786ECD5"/>
    <w:rsid w:val="67977B98"/>
    <w:rsid w:val="679D47D4"/>
    <w:rsid w:val="67A94854"/>
    <w:rsid w:val="67AD4BF9"/>
    <w:rsid w:val="67B0977E"/>
    <w:rsid w:val="67C270B1"/>
    <w:rsid w:val="67D96CBF"/>
    <w:rsid w:val="67DEA972"/>
    <w:rsid w:val="67DF89A0"/>
    <w:rsid w:val="67E516CD"/>
    <w:rsid w:val="67FC99CD"/>
    <w:rsid w:val="67FF137F"/>
    <w:rsid w:val="68016304"/>
    <w:rsid w:val="6802336C"/>
    <w:rsid w:val="6809D839"/>
    <w:rsid w:val="680E7440"/>
    <w:rsid w:val="6829A60D"/>
    <w:rsid w:val="6832A47F"/>
    <w:rsid w:val="684D600F"/>
    <w:rsid w:val="6851E051"/>
    <w:rsid w:val="6869D4CB"/>
    <w:rsid w:val="6898A70D"/>
    <w:rsid w:val="689FB381"/>
    <w:rsid w:val="68A0D70F"/>
    <w:rsid w:val="68BA3281"/>
    <w:rsid w:val="68CFB1AB"/>
    <w:rsid w:val="68D0E044"/>
    <w:rsid w:val="68DF182D"/>
    <w:rsid w:val="68E207FB"/>
    <w:rsid w:val="68EA5CF2"/>
    <w:rsid w:val="68F908F1"/>
    <w:rsid w:val="69058D55"/>
    <w:rsid w:val="6905FD79"/>
    <w:rsid w:val="6908432C"/>
    <w:rsid w:val="690FB792"/>
    <w:rsid w:val="6913195E"/>
    <w:rsid w:val="69173D27"/>
    <w:rsid w:val="69192799"/>
    <w:rsid w:val="69226496"/>
    <w:rsid w:val="692A711B"/>
    <w:rsid w:val="69441A62"/>
    <w:rsid w:val="695C8472"/>
    <w:rsid w:val="69604CAF"/>
    <w:rsid w:val="6962A229"/>
    <w:rsid w:val="6965E297"/>
    <w:rsid w:val="698A7C8A"/>
    <w:rsid w:val="698EA3B7"/>
    <w:rsid w:val="69927986"/>
    <w:rsid w:val="6993C77A"/>
    <w:rsid w:val="699D554E"/>
    <w:rsid w:val="69A8AB8C"/>
    <w:rsid w:val="69B68B07"/>
    <w:rsid w:val="69C927EB"/>
    <w:rsid w:val="69C9E999"/>
    <w:rsid w:val="69D6346A"/>
    <w:rsid w:val="69E0E5FE"/>
    <w:rsid w:val="69EBF6C8"/>
    <w:rsid w:val="69F0C896"/>
    <w:rsid w:val="69FCD0D0"/>
    <w:rsid w:val="69FE80CA"/>
    <w:rsid w:val="6A10428E"/>
    <w:rsid w:val="6A24B495"/>
    <w:rsid w:val="6A2703A4"/>
    <w:rsid w:val="6A281139"/>
    <w:rsid w:val="6A34508D"/>
    <w:rsid w:val="6A54B18D"/>
    <w:rsid w:val="6A580CFC"/>
    <w:rsid w:val="6A5F4C9E"/>
    <w:rsid w:val="6A77852F"/>
    <w:rsid w:val="6A8373F8"/>
    <w:rsid w:val="6A858DFA"/>
    <w:rsid w:val="6A8DAB0D"/>
    <w:rsid w:val="6A9B2B11"/>
    <w:rsid w:val="6AB03D30"/>
    <w:rsid w:val="6ABE8D97"/>
    <w:rsid w:val="6ABF2849"/>
    <w:rsid w:val="6ACAC416"/>
    <w:rsid w:val="6B07A442"/>
    <w:rsid w:val="6B0A12CF"/>
    <w:rsid w:val="6B1B3BE7"/>
    <w:rsid w:val="6B2608EE"/>
    <w:rsid w:val="6B330741"/>
    <w:rsid w:val="6B3FE4B4"/>
    <w:rsid w:val="6B4547FD"/>
    <w:rsid w:val="6B49204E"/>
    <w:rsid w:val="6B4CBEBE"/>
    <w:rsid w:val="6B997A83"/>
    <w:rsid w:val="6BA09D70"/>
    <w:rsid w:val="6BABC0C7"/>
    <w:rsid w:val="6BACF198"/>
    <w:rsid w:val="6BB60E38"/>
    <w:rsid w:val="6BBE4BCE"/>
    <w:rsid w:val="6BD062AE"/>
    <w:rsid w:val="6BE5C89E"/>
    <w:rsid w:val="6BEF3DE9"/>
    <w:rsid w:val="6C05F973"/>
    <w:rsid w:val="6C0B41AD"/>
    <w:rsid w:val="6C1F1235"/>
    <w:rsid w:val="6C41412E"/>
    <w:rsid w:val="6C45EF16"/>
    <w:rsid w:val="6C465F6F"/>
    <w:rsid w:val="6C4D6909"/>
    <w:rsid w:val="6C5A5DF8"/>
    <w:rsid w:val="6C5A8639"/>
    <w:rsid w:val="6C668D18"/>
    <w:rsid w:val="6C7089DD"/>
    <w:rsid w:val="6C89A7F0"/>
    <w:rsid w:val="6C9166EA"/>
    <w:rsid w:val="6C91A496"/>
    <w:rsid w:val="6CA29EC9"/>
    <w:rsid w:val="6CC27951"/>
    <w:rsid w:val="6CE7AD45"/>
    <w:rsid w:val="6CEE3317"/>
    <w:rsid w:val="6CF1DEB0"/>
    <w:rsid w:val="6CFC163B"/>
    <w:rsid w:val="6CFDC11F"/>
    <w:rsid w:val="6D02F2C0"/>
    <w:rsid w:val="6D1ADC67"/>
    <w:rsid w:val="6D1C7CA3"/>
    <w:rsid w:val="6D264186"/>
    <w:rsid w:val="6D32C5EE"/>
    <w:rsid w:val="6D3F409D"/>
    <w:rsid w:val="6D3F6FC8"/>
    <w:rsid w:val="6D40C4C8"/>
    <w:rsid w:val="6D440658"/>
    <w:rsid w:val="6D57767D"/>
    <w:rsid w:val="6D70A781"/>
    <w:rsid w:val="6D82B13C"/>
    <w:rsid w:val="6D88B308"/>
    <w:rsid w:val="6D98D120"/>
    <w:rsid w:val="6DB1854F"/>
    <w:rsid w:val="6DCB63AF"/>
    <w:rsid w:val="6DD2497D"/>
    <w:rsid w:val="6DD6698F"/>
    <w:rsid w:val="6DD806BF"/>
    <w:rsid w:val="6DDE00D1"/>
    <w:rsid w:val="6DEA136E"/>
    <w:rsid w:val="6DEDFF97"/>
    <w:rsid w:val="6DF45357"/>
    <w:rsid w:val="6DFC5161"/>
    <w:rsid w:val="6DFFAC36"/>
    <w:rsid w:val="6E1E6C84"/>
    <w:rsid w:val="6E262D79"/>
    <w:rsid w:val="6E2AC77B"/>
    <w:rsid w:val="6E2D74F7"/>
    <w:rsid w:val="6E3B028A"/>
    <w:rsid w:val="6E486E09"/>
    <w:rsid w:val="6E4A0677"/>
    <w:rsid w:val="6E64D1D8"/>
    <w:rsid w:val="6E732E55"/>
    <w:rsid w:val="6E7AE765"/>
    <w:rsid w:val="6E7D3120"/>
    <w:rsid w:val="6EAA1C08"/>
    <w:rsid w:val="6EB91292"/>
    <w:rsid w:val="6EBEA717"/>
    <w:rsid w:val="6ED93453"/>
    <w:rsid w:val="6EF68408"/>
    <w:rsid w:val="6EFA7DB6"/>
    <w:rsid w:val="6F040592"/>
    <w:rsid w:val="6F13C517"/>
    <w:rsid w:val="6F41F113"/>
    <w:rsid w:val="6F66841B"/>
    <w:rsid w:val="6F690D67"/>
    <w:rsid w:val="6F7B77F6"/>
    <w:rsid w:val="6F7D90CE"/>
    <w:rsid w:val="6F882D3B"/>
    <w:rsid w:val="6F9317F7"/>
    <w:rsid w:val="6FA1A0D0"/>
    <w:rsid w:val="6FAAB9E0"/>
    <w:rsid w:val="6FAC2913"/>
    <w:rsid w:val="6FC50627"/>
    <w:rsid w:val="6FCF0625"/>
    <w:rsid w:val="6FDA121A"/>
    <w:rsid w:val="6FDE8839"/>
    <w:rsid w:val="6FDF229B"/>
    <w:rsid w:val="700308FE"/>
    <w:rsid w:val="700A7836"/>
    <w:rsid w:val="7011CBB1"/>
    <w:rsid w:val="702BD32E"/>
    <w:rsid w:val="70339471"/>
    <w:rsid w:val="7036BDFD"/>
    <w:rsid w:val="704B67DC"/>
    <w:rsid w:val="704C942B"/>
    <w:rsid w:val="7060B11D"/>
    <w:rsid w:val="70612933"/>
    <w:rsid w:val="706178DA"/>
    <w:rsid w:val="7070520B"/>
    <w:rsid w:val="7074534E"/>
    <w:rsid w:val="707498C4"/>
    <w:rsid w:val="70964528"/>
    <w:rsid w:val="70A2B508"/>
    <w:rsid w:val="70AC221A"/>
    <w:rsid w:val="70B40276"/>
    <w:rsid w:val="70C0D093"/>
    <w:rsid w:val="70E6D62F"/>
    <w:rsid w:val="7100CE6F"/>
    <w:rsid w:val="710B7481"/>
    <w:rsid w:val="710E8A0B"/>
    <w:rsid w:val="7120FADE"/>
    <w:rsid w:val="7130AC86"/>
    <w:rsid w:val="713DB4D2"/>
    <w:rsid w:val="713E02E5"/>
    <w:rsid w:val="71415D51"/>
    <w:rsid w:val="71646311"/>
    <w:rsid w:val="716E17C5"/>
    <w:rsid w:val="71728D9A"/>
    <w:rsid w:val="71889112"/>
    <w:rsid w:val="718F69F0"/>
    <w:rsid w:val="7192649D"/>
    <w:rsid w:val="71A151C0"/>
    <w:rsid w:val="71B1DCCF"/>
    <w:rsid w:val="71B3CE2E"/>
    <w:rsid w:val="71B8C914"/>
    <w:rsid w:val="71BA7B90"/>
    <w:rsid w:val="71CECCBA"/>
    <w:rsid w:val="7200F05A"/>
    <w:rsid w:val="72111F92"/>
    <w:rsid w:val="7216215A"/>
    <w:rsid w:val="721C7081"/>
    <w:rsid w:val="722B8CEA"/>
    <w:rsid w:val="722C8F76"/>
    <w:rsid w:val="723D9564"/>
    <w:rsid w:val="7255B2DB"/>
    <w:rsid w:val="725EAFE9"/>
    <w:rsid w:val="725FD232"/>
    <w:rsid w:val="72617CB7"/>
    <w:rsid w:val="72645356"/>
    <w:rsid w:val="72A278B2"/>
    <w:rsid w:val="72A68CB0"/>
    <w:rsid w:val="72C03956"/>
    <w:rsid w:val="72D70A9A"/>
    <w:rsid w:val="72DAF5F2"/>
    <w:rsid w:val="72EC082B"/>
    <w:rsid w:val="72F56227"/>
    <w:rsid w:val="72FF2403"/>
    <w:rsid w:val="7303EA80"/>
    <w:rsid w:val="731F5B88"/>
    <w:rsid w:val="73243767"/>
    <w:rsid w:val="7330046F"/>
    <w:rsid w:val="73372E58"/>
    <w:rsid w:val="73507057"/>
    <w:rsid w:val="7364D506"/>
    <w:rsid w:val="73752233"/>
    <w:rsid w:val="738F784F"/>
    <w:rsid w:val="739FF11F"/>
    <w:rsid w:val="73C5159E"/>
    <w:rsid w:val="73C9D0BF"/>
    <w:rsid w:val="73CF7FA9"/>
    <w:rsid w:val="73D4426E"/>
    <w:rsid w:val="73DFAE9A"/>
    <w:rsid w:val="73EB2CE6"/>
    <w:rsid w:val="73EFC532"/>
    <w:rsid w:val="73F0EBB6"/>
    <w:rsid w:val="73F24084"/>
    <w:rsid w:val="7403179C"/>
    <w:rsid w:val="740899EB"/>
    <w:rsid w:val="740B6583"/>
    <w:rsid w:val="740F094F"/>
    <w:rsid w:val="7410A648"/>
    <w:rsid w:val="7417B31E"/>
    <w:rsid w:val="741B9BC9"/>
    <w:rsid w:val="7420C6D3"/>
    <w:rsid w:val="743417B3"/>
    <w:rsid w:val="744662A6"/>
    <w:rsid w:val="745CD944"/>
    <w:rsid w:val="748759E1"/>
    <w:rsid w:val="748ED504"/>
    <w:rsid w:val="749E4FFC"/>
    <w:rsid w:val="74BE0009"/>
    <w:rsid w:val="74BEFDBD"/>
    <w:rsid w:val="74C1F87F"/>
    <w:rsid w:val="74E0A7FC"/>
    <w:rsid w:val="74E2B930"/>
    <w:rsid w:val="74EB70CD"/>
    <w:rsid w:val="74EF9835"/>
    <w:rsid w:val="74F3C726"/>
    <w:rsid w:val="74F58DE0"/>
    <w:rsid w:val="74FC8126"/>
    <w:rsid w:val="74FCEB90"/>
    <w:rsid w:val="74FDF232"/>
    <w:rsid w:val="750621A4"/>
    <w:rsid w:val="750C1D6D"/>
    <w:rsid w:val="7519844B"/>
    <w:rsid w:val="751BA237"/>
    <w:rsid w:val="7528FFC4"/>
    <w:rsid w:val="7535FAE6"/>
    <w:rsid w:val="753E891F"/>
    <w:rsid w:val="753FCAB7"/>
    <w:rsid w:val="7545E2D2"/>
    <w:rsid w:val="754BD1B3"/>
    <w:rsid w:val="754C05B7"/>
    <w:rsid w:val="75656998"/>
    <w:rsid w:val="75693B33"/>
    <w:rsid w:val="7571B0F4"/>
    <w:rsid w:val="7577077D"/>
    <w:rsid w:val="757B6CED"/>
    <w:rsid w:val="758EB28E"/>
    <w:rsid w:val="759B873D"/>
    <w:rsid w:val="759BF418"/>
    <w:rsid w:val="75B209B7"/>
    <w:rsid w:val="75B8D114"/>
    <w:rsid w:val="75B8EBB1"/>
    <w:rsid w:val="75C92909"/>
    <w:rsid w:val="75D5076A"/>
    <w:rsid w:val="75D571AC"/>
    <w:rsid w:val="75D67D05"/>
    <w:rsid w:val="75D7DA24"/>
    <w:rsid w:val="75E1295F"/>
    <w:rsid w:val="75E755E5"/>
    <w:rsid w:val="75E8815D"/>
    <w:rsid w:val="7601403E"/>
    <w:rsid w:val="76179D8D"/>
    <w:rsid w:val="762CEDFA"/>
    <w:rsid w:val="76311C86"/>
    <w:rsid w:val="763854D5"/>
    <w:rsid w:val="76538C14"/>
    <w:rsid w:val="76556741"/>
    <w:rsid w:val="7661F710"/>
    <w:rsid w:val="76660DEA"/>
    <w:rsid w:val="76893E7E"/>
    <w:rsid w:val="76C2D961"/>
    <w:rsid w:val="76C451B2"/>
    <w:rsid w:val="76C57CB0"/>
    <w:rsid w:val="76C99096"/>
    <w:rsid w:val="76CD6088"/>
    <w:rsid w:val="76EB9587"/>
    <w:rsid w:val="76F20177"/>
    <w:rsid w:val="76FA9F6D"/>
    <w:rsid w:val="76FCAC12"/>
    <w:rsid w:val="76FD410B"/>
    <w:rsid w:val="77022B6F"/>
    <w:rsid w:val="77174F5C"/>
    <w:rsid w:val="7726C8BE"/>
    <w:rsid w:val="772F6798"/>
    <w:rsid w:val="77301217"/>
    <w:rsid w:val="7730E5FF"/>
    <w:rsid w:val="77537A9E"/>
    <w:rsid w:val="77618C9C"/>
    <w:rsid w:val="7767DF51"/>
    <w:rsid w:val="77728772"/>
    <w:rsid w:val="779FCABA"/>
    <w:rsid w:val="77B5D5AE"/>
    <w:rsid w:val="77B6F1A6"/>
    <w:rsid w:val="77C1790B"/>
    <w:rsid w:val="77D59BE2"/>
    <w:rsid w:val="77D98E08"/>
    <w:rsid w:val="77E3FAFF"/>
    <w:rsid w:val="780453B9"/>
    <w:rsid w:val="78293BD3"/>
    <w:rsid w:val="7829ECDD"/>
    <w:rsid w:val="783A16D8"/>
    <w:rsid w:val="783A2077"/>
    <w:rsid w:val="784B9631"/>
    <w:rsid w:val="785413A6"/>
    <w:rsid w:val="7862E972"/>
    <w:rsid w:val="787B772B"/>
    <w:rsid w:val="787ECC48"/>
    <w:rsid w:val="78836229"/>
    <w:rsid w:val="7883A679"/>
    <w:rsid w:val="7890C8DE"/>
    <w:rsid w:val="7893107C"/>
    <w:rsid w:val="789903D1"/>
    <w:rsid w:val="7899116C"/>
    <w:rsid w:val="789B29D5"/>
    <w:rsid w:val="789FF3D6"/>
    <w:rsid w:val="78A0E500"/>
    <w:rsid w:val="78A691BA"/>
    <w:rsid w:val="78ADBCB2"/>
    <w:rsid w:val="78B30DAF"/>
    <w:rsid w:val="78CBE278"/>
    <w:rsid w:val="78D394DA"/>
    <w:rsid w:val="78F65A94"/>
    <w:rsid w:val="78FA5585"/>
    <w:rsid w:val="790FE823"/>
    <w:rsid w:val="790FFAA1"/>
    <w:rsid w:val="79169927"/>
    <w:rsid w:val="7918EF21"/>
    <w:rsid w:val="7929DB9E"/>
    <w:rsid w:val="792B912A"/>
    <w:rsid w:val="793ADF9E"/>
    <w:rsid w:val="7940BE50"/>
    <w:rsid w:val="7948D4D8"/>
    <w:rsid w:val="79595D08"/>
    <w:rsid w:val="795C700F"/>
    <w:rsid w:val="79665DA6"/>
    <w:rsid w:val="7967D968"/>
    <w:rsid w:val="797A4804"/>
    <w:rsid w:val="798D5F08"/>
    <w:rsid w:val="7997ACF4"/>
    <w:rsid w:val="7999207C"/>
    <w:rsid w:val="799E3355"/>
    <w:rsid w:val="79AC2A31"/>
    <w:rsid w:val="79AE5792"/>
    <w:rsid w:val="79AF1BA3"/>
    <w:rsid w:val="79C1E51A"/>
    <w:rsid w:val="79C980EE"/>
    <w:rsid w:val="79C99807"/>
    <w:rsid w:val="79E367A8"/>
    <w:rsid w:val="79E53379"/>
    <w:rsid w:val="79FEB9D3"/>
    <w:rsid w:val="7A0592CD"/>
    <w:rsid w:val="7A2A9B98"/>
    <w:rsid w:val="7A2C993F"/>
    <w:rsid w:val="7A30FD8C"/>
    <w:rsid w:val="7A34A920"/>
    <w:rsid w:val="7A34DE6D"/>
    <w:rsid w:val="7A350141"/>
    <w:rsid w:val="7A3FDF9E"/>
    <w:rsid w:val="7A467387"/>
    <w:rsid w:val="7A4EDE10"/>
    <w:rsid w:val="7A4EF01E"/>
    <w:rsid w:val="7A516A9D"/>
    <w:rsid w:val="7A52847B"/>
    <w:rsid w:val="7A65BEF4"/>
    <w:rsid w:val="7A6B9CDD"/>
    <w:rsid w:val="7A6F653B"/>
    <w:rsid w:val="7A7284A3"/>
    <w:rsid w:val="7A8198CF"/>
    <w:rsid w:val="7A87468F"/>
    <w:rsid w:val="7A9AEFEA"/>
    <w:rsid w:val="7AA2F3FA"/>
    <w:rsid w:val="7AC827B9"/>
    <w:rsid w:val="7ADE85FC"/>
    <w:rsid w:val="7AEA8F35"/>
    <w:rsid w:val="7AF42156"/>
    <w:rsid w:val="7AF7EDBD"/>
    <w:rsid w:val="7B15DD19"/>
    <w:rsid w:val="7B2120F9"/>
    <w:rsid w:val="7B237B64"/>
    <w:rsid w:val="7B2977AD"/>
    <w:rsid w:val="7B44F2F3"/>
    <w:rsid w:val="7B5C406C"/>
    <w:rsid w:val="7B600438"/>
    <w:rsid w:val="7B6A5E44"/>
    <w:rsid w:val="7B931467"/>
    <w:rsid w:val="7B98CA30"/>
    <w:rsid w:val="7BA707D4"/>
    <w:rsid w:val="7BAE8AFC"/>
    <w:rsid w:val="7BD3B7F4"/>
    <w:rsid w:val="7BD7BEA4"/>
    <w:rsid w:val="7BDDDB46"/>
    <w:rsid w:val="7BFFD3F5"/>
    <w:rsid w:val="7C02EB44"/>
    <w:rsid w:val="7C050803"/>
    <w:rsid w:val="7C0AD5FF"/>
    <w:rsid w:val="7C0EBCCE"/>
    <w:rsid w:val="7C10E30B"/>
    <w:rsid w:val="7C13EA39"/>
    <w:rsid w:val="7C1F8215"/>
    <w:rsid w:val="7C38212E"/>
    <w:rsid w:val="7C5773D7"/>
    <w:rsid w:val="7C5C8CEA"/>
    <w:rsid w:val="7C626245"/>
    <w:rsid w:val="7C6A91E0"/>
    <w:rsid w:val="7C76F94C"/>
    <w:rsid w:val="7C81235A"/>
    <w:rsid w:val="7C88A1C2"/>
    <w:rsid w:val="7CB5790B"/>
    <w:rsid w:val="7CC56FC2"/>
    <w:rsid w:val="7CD594F2"/>
    <w:rsid w:val="7CD94FA8"/>
    <w:rsid w:val="7CDC2316"/>
    <w:rsid w:val="7CE28029"/>
    <w:rsid w:val="7CE4DC28"/>
    <w:rsid w:val="7CE7330B"/>
    <w:rsid w:val="7CFAD028"/>
    <w:rsid w:val="7CFF5FBA"/>
    <w:rsid w:val="7D0121B0"/>
    <w:rsid w:val="7D29D319"/>
    <w:rsid w:val="7D49D745"/>
    <w:rsid w:val="7D50EABF"/>
    <w:rsid w:val="7D53BF88"/>
    <w:rsid w:val="7D664886"/>
    <w:rsid w:val="7D6D6883"/>
    <w:rsid w:val="7D7D32F9"/>
    <w:rsid w:val="7D82B6F2"/>
    <w:rsid w:val="7D879AAF"/>
    <w:rsid w:val="7DBA497D"/>
    <w:rsid w:val="7DCC1FC3"/>
    <w:rsid w:val="7DE1BD9F"/>
    <w:rsid w:val="7DE1D51C"/>
    <w:rsid w:val="7DE36BC4"/>
    <w:rsid w:val="7DE68F07"/>
    <w:rsid w:val="7DED928D"/>
    <w:rsid w:val="7DEEF307"/>
    <w:rsid w:val="7DFC911E"/>
    <w:rsid w:val="7E0245E3"/>
    <w:rsid w:val="7E14D810"/>
    <w:rsid w:val="7E235FED"/>
    <w:rsid w:val="7E2505A3"/>
    <w:rsid w:val="7E48FC97"/>
    <w:rsid w:val="7E575098"/>
    <w:rsid w:val="7E757E39"/>
    <w:rsid w:val="7E8E33D3"/>
    <w:rsid w:val="7E990EFF"/>
    <w:rsid w:val="7E9E125D"/>
    <w:rsid w:val="7EA20C8D"/>
    <w:rsid w:val="7EA48734"/>
    <w:rsid w:val="7EC86F99"/>
    <w:rsid w:val="7EC9D685"/>
    <w:rsid w:val="7ED89C61"/>
    <w:rsid w:val="7EE528B1"/>
    <w:rsid w:val="7EEE73A3"/>
    <w:rsid w:val="7EF1D36B"/>
    <w:rsid w:val="7EF2230B"/>
    <w:rsid w:val="7F02EE15"/>
    <w:rsid w:val="7F06958E"/>
    <w:rsid w:val="7F0EBBC6"/>
    <w:rsid w:val="7F133CD7"/>
    <w:rsid w:val="7F226141"/>
    <w:rsid w:val="7F2459ED"/>
    <w:rsid w:val="7F4358EF"/>
    <w:rsid w:val="7F45D7F4"/>
    <w:rsid w:val="7F49B232"/>
    <w:rsid w:val="7F4BFB0F"/>
    <w:rsid w:val="7F520A9C"/>
    <w:rsid w:val="7F5C72DA"/>
    <w:rsid w:val="7F6F4B34"/>
    <w:rsid w:val="7F74DCA2"/>
    <w:rsid w:val="7F78FA83"/>
    <w:rsid w:val="7F7A8B45"/>
    <w:rsid w:val="7F80B781"/>
    <w:rsid w:val="7F8DB601"/>
    <w:rsid w:val="7F8F7E47"/>
    <w:rsid w:val="7F98F77F"/>
    <w:rsid w:val="7FA43BB6"/>
    <w:rsid w:val="7FAE5C3E"/>
    <w:rsid w:val="7FBFEEA8"/>
    <w:rsid w:val="7FC08F69"/>
    <w:rsid w:val="7FE83021"/>
    <w:rsid w:val="7FF61351"/>
    <w:rsid w:val="7FF7379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Caption PHMR"/>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Caption PHMR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
    <w:basedOn w:val="Normal"/>
    <w:next w:val="ListBullet"/>
    <w:link w:val="ListParagraphChar"/>
    <w:uiPriority w:val="34"/>
    <w:qFormat/>
    <w:rsid w:val="007A6355"/>
    <w:pPr>
      <w:numPr>
        <w:numId w:val="16"/>
      </w:numPr>
      <w:spacing w:after="120"/>
      <w:ind w:left="1080"/>
    </w:pPr>
    <w:rPr>
      <w:rFonts w:cs="Calibri"/>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7A6355"/>
    <w:rPr>
      <w:rFonts w:ascii="Calibri" w:hAnsi="Calibri" w:cs="Calibri"/>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aliases w:val="Body text"/>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108D1"/>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Comment Text Char2 Char,Comment Text Char1 Char Char,Comment Text Char Char1 Char, Car17, Car17 Car, Char,Annotationtext,Char Char Char,Comment Text Char Char1,Car17"/>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Comment Text Char2 Char Char,Comment Text Char1 Char Char Char,Comment Text Char Char1 Char Char, Car17 Char, Car17 Car Char, Char Char,Annotationtext Char,Car17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7508D2"/>
    <w:pPr>
      <w:numPr>
        <w:ilvl w:val="1"/>
        <w:numId w:val="1"/>
      </w:numPr>
      <w:ind w:left="720"/>
    </w:pPr>
    <w:rPr>
      <w:rFonts w:eastAsia="Calibri"/>
    </w:rPr>
  </w:style>
  <w:style w:type="character" w:customStyle="1" w:styleId="3-BodyTextChar">
    <w:name w:val="3-Body Text Char"/>
    <w:basedOn w:val="ListParagraphChar"/>
    <w:link w:val="3-BodyText"/>
    <w:rsid w:val="007508D2"/>
    <w:rPr>
      <w:rFonts w:asciiTheme="minorHAnsi" w:eastAsia="Calibri" w:hAnsiTheme="minorHAnsi" w:cs="Arial"/>
      <w:snapToGrid/>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7"/>
      </w:numPr>
    </w:pPr>
    <w:rPr>
      <w:rFonts w:cstheme="minorBidi"/>
      <w:i/>
      <w:snapToGrid w:val="0"/>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character" w:styleId="Mention">
    <w:name w:val="Mention"/>
    <w:basedOn w:val="DefaultParagraphFont"/>
    <w:uiPriority w:val="99"/>
    <w:unhideWhenUsed/>
    <w:rPr>
      <w:color w:val="2B579A"/>
      <w:shd w:val="clear" w:color="auto" w:fill="E6E6E6"/>
    </w:rPr>
  </w:style>
  <w:style w:type="character" w:styleId="FootnoteReference">
    <w:name w:val="footnote reference"/>
    <w:basedOn w:val="DefaultParagraphFont"/>
    <w:semiHidden/>
    <w:unhideWhenUsed/>
    <w:rPr>
      <w:vertAlign w:val="superscript"/>
    </w:rPr>
  </w:style>
  <w:style w:type="character" w:customStyle="1" w:styleId="FootnoteTextChar">
    <w:name w:val="Footnote Text Char"/>
    <w:basedOn w:val="DefaultParagraphFont"/>
    <w:link w:val="FootnoteText"/>
    <w:rPr>
      <w:sz w:val="20"/>
      <w:szCs w:val="20"/>
    </w:rPr>
  </w:style>
  <w:style w:type="paragraph" w:styleId="FootnoteText">
    <w:name w:val="footnote text"/>
    <w:basedOn w:val="Normal"/>
    <w:link w:val="FootnoteTextChar"/>
    <w:unhideWhenUsed/>
    <w:rPr>
      <w:sz w:val="20"/>
      <w:szCs w:val="20"/>
    </w:rPr>
  </w:style>
  <w:style w:type="paragraph" w:customStyle="1" w:styleId="paragraph">
    <w:name w:val="paragraph"/>
    <w:basedOn w:val="Normal"/>
    <w:rsid w:val="002F6D6D"/>
    <w:pPr>
      <w:spacing w:before="100" w:beforeAutospacing="1" w:after="100" w:afterAutospacing="1"/>
      <w:jc w:val="left"/>
    </w:pPr>
    <w:rPr>
      <w:rFonts w:ascii="Times New Roman" w:hAnsi="Times New Roman" w:cs="Times New Roman"/>
    </w:rPr>
  </w:style>
  <w:style w:type="character" w:customStyle="1" w:styleId="normaltextrun">
    <w:name w:val="normaltextrun"/>
    <w:basedOn w:val="DefaultParagraphFont"/>
    <w:rsid w:val="002F6D6D"/>
  </w:style>
  <w:style w:type="character" w:customStyle="1" w:styleId="eop">
    <w:name w:val="eop"/>
    <w:basedOn w:val="DefaultParagraphFont"/>
    <w:rsid w:val="002F6D6D"/>
  </w:style>
  <w:style w:type="table" w:customStyle="1" w:styleId="HTATableshaded">
    <w:name w:val="HTA Table shaded"/>
    <w:basedOn w:val="TableNormal"/>
    <w:rsid w:val="00FE1376"/>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textleft">
    <w:name w:val="Table text left"/>
    <w:basedOn w:val="Normal"/>
    <w:link w:val="TabletextleftChar"/>
    <w:qFormat/>
    <w:rsid w:val="002F679D"/>
    <w:pPr>
      <w:spacing w:before="20" w:after="20"/>
    </w:pPr>
    <w:rPr>
      <w:rFonts w:asciiTheme="minorHAnsi" w:hAnsiTheme="minorHAnsi" w:cs="Times New Roman"/>
      <w:sz w:val="18"/>
      <w:szCs w:val="20"/>
    </w:rPr>
  </w:style>
  <w:style w:type="character" w:customStyle="1" w:styleId="TabletextleftChar">
    <w:name w:val="Table text left Char"/>
    <w:basedOn w:val="DefaultParagraphFont"/>
    <w:link w:val="Tabletextleft"/>
    <w:rsid w:val="002F679D"/>
    <w:rPr>
      <w:rFonts w:asciiTheme="minorHAnsi" w:hAnsiTheme="minorHAnsi"/>
      <w:sz w:val="18"/>
    </w:rPr>
  </w:style>
  <w:style w:type="character" w:styleId="UnresolvedMention">
    <w:name w:val="Unresolved Mention"/>
    <w:basedOn w:val="DefaultParagraphFont"/>
    <w:uiPriority w:val="99"/>
    <w:semiHidden/>
    <w:unhideWhenUsed/>
    <w:rsid w:val="00EC2E41"/>
    <w:rPr>
      <w:color w:val="605E5C"/>
      <w:shd w:val="clear" w:color="auto" w:fill="E1DFDD"/>
    </w:rPr>
  </w:style>
  <w:style w:type="paragraph" w:customStyle="1" w:styleId="ListNos0">
    <w:name w:val="ListNos+0"/>
    <w:basedOn w:val="BodyText"/>
    <w:uiPriority w:val="2"/>
    <w:qFormat/>
    <w:rsid w:val="003830DF"/>
    <w:pPr>
      <w:numPr>
        <w:numId w:val="14"/>
      </w:numPr>
      <w:spacing w:line="276" w:lineRule="auto"/>
      <w:jc w:val="both"/>
    </w:pPr>
    <w:rPr>
      <w:rFonts w:asciiTheme="minorHAnsi" w:eastAsiaTheme="minorHAnsi" w:hAnsiTheme="minorHAnsi" w:cs="Tahoma"/>
      <w:sz w:val="22"/>
      <w:szCs w:val="22"/>
      <w:lang w:eastAsia="en-US"/>
    </w:rPr>
  </w:style>
  <w:style w:type="table" w:customStyle="1" w:styleId="TableGrid1">
    <w:name w:val="Table Grid1"/>
    <w:basedOn w:val="TableNormal"/>
    <w:next w:val="TableGrid"/>
    <w:uiPriority w:val="39"/>
    <w:rsid w:val="00463433"/>
    <w:rPr>
      <w:rFonts w:eastAsia="Calibri"/>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SubsectionHeading">
    <w:name w:val="3-Subsection Heading"/>
    <w:basedOn w:val="Heading2"/>
    <w:next w:val="Normal"/>
    <w:link w:val="3-SubsectionHeadingChar"/>
    <w:qFormat/>
    <w:rsid w:val="00411EDA"/>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411EDA"/>
    <w:rPr>
      <w:rFonts w:asciiTheme="minorHAnsi" w:eastAsiaTheme="majorEastAsia" w:hAnsiTheme="minorHAnsi" w:cstheme="majorBidi"/>
      <w:b/>
      <w:i/>
      <w:snapToGrid/>
      <w:spacing w:val="5"/>
      <w:kern w:val="28"/>
      <w:sz w:val="28"/>
      <w:szCs w:val="36"/>
      <w:lang w:eastAsia="en-US"/>
    </w:rPr>
  </w:style>
  <w:style w:type="paragraph" w:customStyle="1" w:styleId="COMH1numbered">
    <w:name w:val="COM H1 numbered"/>
    <w:next w:val="Normal"/>
    <w:qFormat/>
    <w:rsid w:val="006339C4"/>
    <w:pPr>
      <w:keepNext/>
      <w:spacing w:before="240" w:after="120"/>
      <w:ind w:left="720" w:hanging="720"/>
      <w:outlineLvl w:val="0"/>
    </w:pPr>
    <w:rPr>
      <w:rFonts w:asciiTheme="minorHAnsi" w:hAnsiTheme="minorHAnsi" w:cs="Arial"/>
      <w:b/>
      <w:snapToGrid w:val="0"/>
      <w:sz w:val="32"/>
      <w:szCs w:val="32"/>
    </w:rPr>
  </w:style>
  <w:style w:type="paragraph" w:customStyle="1" w:styleId="COMexecsumnumberedpara">
    <w:name w:val="COM exec sum numbered para"/>
    <w:basedOn w:val="ListParagraph"/>
    <w:qFormat/>
    <w:rsid w:val="006339C4"/>
    <w:pPr>
      <w:numPr>
        <w:numId w:val="0"/>
      </w:numPr>
      <w:tabs>
        <w:tab w:val="num" w:pos="360"/>
      </w:tabs>
      <w:ind w:left="720"/>
    </w:pPr>
  </w:style>
  <w:style w:type="paragraph" w:customStyle="1" w:styleId="xxmsolistparagraph">
    <w:name w:val="x_xmsolistparagraph"/>
    <w:basedOn w:val="Normal"/>
    <w:rsid w:val="006339C4"/>
    <w:pPr>
      <w:ind w:left="720"/>
      <w:jc w:val="left"/>
    </w:pPr>
    <w:rPr>
      <w:rFonts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08292085">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38257380">
      <w:bodyDiv w:val="1"/>
      <w:marLeft w:val="0"/>
      <w:marRight w:val="0"/>
      <w:marTop w:val="0"/>
      <w:marBottom w:val="0"/>
      <w:divBdr>
        <w:top w:val="none" w:sz="0" w:space="0" w:color="auto"/>
        <w:left w:val="none" w:sz="0" w:space="0" w:color="auto"/>
        <w:bottom w:val="none" w:sz="0" w:space="0" w:color="auto"/>
        <w:right w:val="none" w:sz="0" w:space="0" w:color="auto"/>
      </w:divBdr>
    </w:div>
    <w:div w:id="558982815">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26267519">
      <w:bodyDiv w:val="1"/>
      <w:marLeft w:val="0"/>
      <w:marRight w:val="0"/>
      <w:marTop w:val="0"/>
      <w:marBottom w:val="0"/>
      <w:divBdr>
        <w:top w:val="none" w:sz="0" w:space="0" w:color="auto"/>
        <w:left w:val="none" w:sz="0" w:space="0" w:color="auto"/>
        <w:bottom w:val="none" w:sz="0" w:space="0" w:color="auto"/>
        <w:right w:val="none" w:sz="0" w:space="0" w:color="auto"/>
      </w:divBdr>
      <w:divsChild>
        <w:div w:id="1308630256">
          <w:marLeft w:val="0"/>
          <w:marRight w:val="0"/>
          <w:marTop w:val="0"/>
          <w:marBottom w:val="0"/>
          <w:divBdr>
            <w:top w:val="single" w:sz="2" w:space="0" w:color="auto"/>
            <w:left w:val="single" w:sz="2" w:space="0" w:color="auto"/>
            <w:bottom w:val="single" w:sz="6" w:space="0" w:color="auto"/>
            <w:right w:val="single" w:sz="2" w:space="0" w:color="auto"/>
          </w:divBdr>
          <w:divsChild>
            <w:div w:id="1656104598">
              <w:marLeft w:val="0"/>
              <w:marRight w:val="0"/>
              <w:marTop w:val="100"/>
              <w:marBottom w:val="100"/>
              <w:divBdr>
                <w:top w:val="single" w:sz="2" w:space="0" w:color="D9D9E3"/>
                <w:left w:val="single" w:sz="2" w:space="0" w:color="D9D9E3"/>
                <w:bottom w:val="single" w:sz="2" w:space="0" w:color="D9D9E3"/>
                <w:right w:val="single" w:sz="2" w:space="0" w:color="D9D9E3"/>
              </w:divBdr>
              <w:divsChild>
                <w:div w:id="616449291">
                  <w:marLeft w:val="0"/>
                  <w:marRight w:val="0"/>
                  <w:marTop w:val="0"/>
                  <w:marBottom w:val="0"/>
                  <w:divBdr>
                    <w:top w:val="single" w:sz="2" w:space="0" w:color="D9D9E3"/>
                    <w:left w:val="single" w:sz="2" w:space="0" w:color="D9D9E3"/>
                    <w:bottom w:val="single" w:sz="2" w:space="0" w:color="D9D9E3"/>
                    <w:right w:val="single" w:sz="2" w:space="0" w:color="D9D9E3"/>
                  </w:divBdr>
                  <w:divsChild>
                    <w:div w:id="342128075">
                      <w:marLeft w:val="0"/>
                      <w:marRight w:val="0"/>
                      <w:marTop w:val="0"/>
                      <w:marBottom w:val="0"/>
                      <w:divBdr>
                        <w:top w:val="single" w:sz="2" w:space="0" w:color="D9D9E3"/>
                        <w:left w:val="single" w:sz="2" w:space="0" w:color="D9D9E3"/>
                        <w:bottom w:val="single" w:sz="2" w:space="0" w:color="D9D9E3"/>
                        <w:right w:val="single" w:sz="2" w:space="0" w:color="D9D9E3"/>
                      </w:divBdr>
                      <w:divsChild>
                        <w:div w:id="437870119">
                          <w:marLeft w:val="0"/>
                          <w:marRight w:val="0"/>
                          <w:marTop w:val="0"/>
                          <w:marBottom w:val="0"/>
                          <w:divBdr>
                            <w:top w:val="single" w:sz="2" w:space="0" w:color="D9D9E3"/>
                            <w:left w:val="single" w:sz="2" w:space="0" w:color="D9D9E3"/>
                            <w:bottom w:val="single" w:sz="2" w:space="0" w:color="D9D9E3"/>
                            <w:right w:val="single" w:sz="2" w:space="0" w:color="D9D9E3"/>
                          </w:divBdr>
                          <w:divsChild>
                            <w:div w:id="2015759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530021712">
      <w:bodyDiv w:val="1"/>
      <w:marLeft w:val="0"/>
      <w:marRight w:val="0"/>
      <w:marTop w:val="0"/>
      <w:marBottom w:val="0"/>
      <w:divBdr>
        <w:top w:val="none" w:sz="0" w:space="0" w:color="auto"/>
        <w:left w:val="none" w:sz="0" w:space="0" w:color="auto"/>
        <w:bottom w:val="none" w:sz="0" w:space="0" w:color="auto"/>
        <w:right w:val="none" w:sz="0" w:space="0" w:color="auto"/>
      </w:divBdr>
    </w:div>
    <w:div w:id="1538660533">
      <w:bodyDiv w:val="1"/>
      <w:marLeft w:val="0"/>
      <w:marRight w:val="0"/>
      <w:marTop w:val="0"/>
      <w:marBottom w:val="0"/>
      <w:divBdr>
        <w:top w:val="none" w:sz="0" w:space="0" w:color="auto"/>
        <w:left w:val="none" w:sz="0" w:space="0" w:color="auto"/>
        <w:bottom w:val="none" w:sz="0" w:space="0" w:color="auto"/>
        <w:right w:val="none" w:sz="0" w:space="0" w:color="auto"/>
      </w:divBdr>
    </w:div>
    <w:div w:id="1638417750">
      <w:bodyDiv w:val="1"/>
      <w:marLeft w:val="0"/>
      <w:marRight w:val="0"/>
      <w:marTop w:val="0"/>
      <w:marBottom w:val="0"/>
      <w:divBdr>
        <w:top w:val="none" w:sz="0" w:space="0" w:color="auto"/>
        <w:left w:val="none" w:sz="0" w:space="0" w:color="auto"/>
        <w:bottom w:val="none" w:sz="0" w:space="0" w:color="auto"/>
        <w:right w:val="none" w:sz="0" w:space="0" w:color="auto"/>
      </w:divBdr>
    </w:div>
    <w:div w:id="1847986082">
      <w:bodyDiv w:val="1"/>
      <w:marLeft w:val="0"/>
      <w:marRight w:val="0"/>
      <w:marTop w:val="0"/>
      <w:marBottom w:val="0"/>
      <w:divBdr>
        <w:top w:val="none" w:sz="0" w:space="0" w:color="auto"/>
        <w:left w:val="none" w:sz="0" w:space="0" w:color="auto"/>
        <w:bottom w:val="none" w:sz="0" w:space="0" w:color="auto"/>
        <w:right w:val="none" w:sz="0" w:space="0" w:color="auto"/>
      </w:divBdr>
      <w:divsChild>
        <w:div w:id="730618282">
          <w:marLeft w:val="0"/>
          <w:marRight w:val="0"/>
          <w:marTop w:val="0"/>
          <w:marBottom w:val="0"/>
          <w:divBdr>
            <w:top w:val="single" w:sz="2" w:space="0" w:color="D9D9E3"/>
            <w:left w:val="single" w:sz="2" w:space="0" w:color="D9D9E3"/>
            <w:bottom w:val="single" w:sz="2" w:space="0" w:color="D9D9E3"/>
            <w:right w:val="single" w:sz="2" w:space="0" w:color="D9D9E3"/>
          </w:divBdr>
          <w:divsChild>
            <w:div w:id="882326233">
              <w:marLeft w:val="0"/>
              <w:marRight w:val="0"/>
              <w:marTop w:val="0"/>
              <w:marBottom w:val="0"/>
              <w:divBdr>
                <w:top w:val="single" w:sz="2" w:space="0" w:color="D9D9E3"/>
                <w:left w:val="single" w:sz="2" w:space="0" w:color="D9D9E3"/>
                <w:bottom w:val="single" w:sz="2" w:space="0" w:color="D9D9E3"/>
                <w:right w:val="single" w:sz="2" w:space="0" w:color="D9D9E3"/>
              </w:divBdr>
              <w:divsChild>
                <w:div w:id="1713076057">
                  <w:marLeft w:val="0"/>
                  <w:marRight w:val="0"/>
                  <w:marTop w:val="0"/>
                  <w:marBottom w:val="0"/>
                  <w:divBdr>
                    <w:top w:val="single" w:sz="2" w:space="0" w:color="D9D9E3"/>
                    <w:left w:val="single" w:sz="2" w:space="0" w:color="D9D9E3"/>
                    <w:bottom w:val="single" w:sz="2" w:space="0" w:color="D9D9E3"/>
                    <w:right w:val="single" w:sz="2" w:space="0" w:color="D9D9E3"/>
                  </w:divBdr>
                  <w:divsChild>
                    <w:div w:id="1130631011">
                      <w:marLeft w:val="0"/>
                      <w:marRight w:val="0"/>
                      <w:marTop w:val="0"/>
                      <w:marBottom w:val="0"/>
                      <w:divBdr>
                        <w:top w:val="single" w:sz="2" w:space="0" w:color="D9D9E3"/>
                        <w:left w:val="single" w:sz="2" w:space="0" w:color="D9D9E3"/>
                        <w:bottom w:val="single" w:sz="2" w:space="0" w:color="D9D9E3"/>
                        <w:right w:val="single" w:sz="2" w:space="0" w:color="D9D9E3"/>
                      </w:divBdr>
                      <w:divsChild>
                        <w:div w:id="881526339">
                          <w:marLeft w:val="0"/>
                          <w:marRight w:val="0"/>
                          <w:marTop w:val="0"/>
                          <w:marBottom w:val="0"/>
                          <w:divBdr>
                            <w:top w:val="single" w:sz="2" w:space="0" w:color="auto"/>
                            <w:left w:val="single" w:sz="2" w:space="0" w:color="auto"/>
                            <w:bottom w:val="single" w:sz="6" w:space="0" w:color="auto"/>
                            <w:right w:val="single" w:sz="2" w:space="0" w:color="auto"/>
                          </w:divBdr>
                          <w:divsChild>
                            <w:div w:id="1050960574">
                              <w:marLeft w:val="0"/>
                              <w:marRight w:val="0"/>
                              <w:marTop w:val="100"/>
                              <w:marBottom w:val="100"/>
                              <w:divBdr>
                                <w:top w:val="single" w:sz="2" w:space="0" w:color="D9D9E3"/>
                                <w:left w:val="single" w:sz="2" w:space="0" w:color="D9D9E3"/>
                                <w:bottom w:val="single" w:sz="2" w:space="0" w:color="D9D9E3"/>
                                <w:right w:val="single" w:sz="2" w:space="0" w:color="D9D9E3"/>
                              </w:divBdr>
                              <w:divsChild>
                                <w:div w:id="2007124328">
                                  <w:marLeft w:val="0"/>
                                  <w:marRight w:val="0"/>
                                  <w:marTop w:val="0"/>
                                  <w:marBottom w:val="0"/>
                                  <w:divBdr>
                                    <w:top w:val="single" w:sz="2" w:space="0" w:color="D9D9E3"/>
                                    <w:left w:val="single" w:sz="2" w:space="0" w:color="D9D9E3"/>
                                    <w:bottom w:val="single" w:sz="2" w:space="0" w:color="D9D9E3"/>
                                    <w:right w:val="single" w:sz="2" w:space="0" w:color="D9D9E3"/>
                                  </w:divBdr>
                                  <w:divsChild>
                                    <w:div w:id="350760553">
                                      <w:marLeft w:val="0"/>
                                      <w:marRight w:val="0"/>
                                      <w:marTop w:val="0"/>
                                      <w:marBottom w:val="0"/>
                                      <w:divBdr>
                                        <w:top w:val="single" w:sz="2" w:space="0" w:color="D9D9E3"/>
                                        <w:left w:val="single" w:sz="2" w:space="0" w:color="D9D9E3"/>
                                        <w:bottom w:val="single" w:sz="2" w:space="0" w:color="D9D9E3"/>
                                        <w:right w:val="single" w:sz="2" w:space="0" w:color="D9D9E3"/>
                                      </w:divBdr>
                                      <w:divsChild>
                                        <w:div w:id="561135097">
                                          <w:marLeft w:val="0"/>
                                          <w:marRight w:val="0"/>
                                          <w:marTop w:val="0"/>
                                          <w:marBottom w:val="0"/>
                                          <w:divBdr>
                                            <w:top w:val="single" w:sz="2" w:space="0" w:color="D9D9E3"/>
                                            <w:left w:val="single" w:sz="2" w:space="0" w:color="D9D9E3"/>
                                            <w:bottom w:val="single" w:sz="2" w:space="0" w:color="D9D9E3"/>
                                            <w:right w:val="single" w:sz="2" w:space="0" w:color="D9D9E3"/>
                                          </w:divBdr>
                                          <w:divsChild>
                                            <w:div w:id="17167338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926719858">
          <w:marLeft w:val="0"/>
          <w:marRight w:val="0"/>
          <w:marTop w:val="0"/>
          <w:marBottom w:val="0"/>
          <w:divBdr>
            <w:top w:val="none" w:sz="0" w:space="0" w:color="auto"/>
            <w:left w:val="none" w:sz="0" w:space="0" w:color="auto"/>
            <w:bottom w:val="none" w:sz="0" w:space="0" w:color="auto"/>
            <w:right w:val="none" w:sz="0" w:space="0" w:color="auto"/>
          </w:divBdr>
          <w:divsChild>
            <w:div w:id="1955599748">
              <w:marLeft w:val="0"/>
              <w:marRight w:val="0"/>
              <w:marTop w:val="0"/>
              <w:marBottom w:val="0"/>
              <w:divBdr>
                <w:top w:val="single" w:sz="2" w:space="0" w:color="D9D9E3"/>
                <w:left w:val="single" w:sz="2" w:space="0" w:color="D9D9E3"/>
                <w:bottom w:val="single" w:sz="2" w:space="0" w:color="D9D9E3"/>
                <w:right w:val="single" w:sz="2" w:space="0" w:color="D9D9E3"/>
              </w:divBdr>
              <w:divsChild>
                <w:div w:id="120538280">
                  <w:marLeft w:val="0"/>
                  <w:marRight w:val="0"/>
                  <w:marTop w:val="0"/>
                  <w:marBottom w:val="0"/>
                  <w:divBdr>
                    <w:top w:val="single" w:sz="2" w:space="0" w:color="D9D9E3"/>
                    <w:left w:val="single" w:sz="2" w:space="0" w:color="D9D9E3"/>
                    <w:bottom w:val="single" w:sz="2" w:space="0" w:color="D9D9E3"/>
                    <w:right w:val="single" w:sz="2" w:space="0" w:color="D9D9E3"/>
                  </w:divBdr>
                  <w:divsChild>
                    <w:div w:id="20317119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43</Pages>
  <Words>17774</Words>
  <Characters>98529</Characters>
  <Application>Microsoft Office Word</Application>
  <DocSecurity>0</DocSecurity>
  <Lines>821</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116071</CharactersWithSpaces>
  <SharedDoc>false</SharedDoc>
  <HLinks>
    <vt:vector size="384" baseType="variant">
      <vt:variant>
        <vt:i4>1507377</vt:i4>
      </vt:variant>
      <vt:variant>
        <vt:i4>368</vt:i4>
      </vt:variant>
      <vt:variant>
        <vt:i4>0</vt:i4>
      </vt:variant>
      <vt:variant>
        <vt:i4>5</vt:i4>
      </vt:variant>
      <vt:variant>
        <vt:lpwstr/>
      </vt:variant>
      <vt:variant>
        <vt:lpwstr>_Toc132631147</vt:lpwstr>
      </vt:variant>
      <vt:variant>
        <vt:i4>1507377</vt:i4>
      </vt:variant>
      <vt:variant>
        <vt:i4>362</vt:i4>
      </vt:variant>
      <vt:variant>
        <vt:i4>0</vt:i4>
      </vt:variant>
      <vt:variant>
        <vt:i4>5</vt:i4>
      </vt:variant>
      <vt:variant>
        <vt:lpwstr/>
      </vt:variant>
      <vt:variant>
        <vt:lpwstr>_Toc132631146</vt:lpwstr>
      </vt:variant>
      <vt:variant>
        <vt:i4>1507377</vt:i4>
      </vt:variant>
      <vt:variant>
        <vt:i4>356</vt:i4>
      </vt:variant>
      <vt:variant>
        <vt:i4>0</vt:i4>
      </vt:variant>
      <vt:variant>
        <vt:i4>5</vt:i4>
      </vt:variant>
      <vt:variant>
        <vt:lpwstr/>
      </vt:variant>
      <vt:variant>
        <vt:lpwstr>_Toc132631145</vt:lpwstr>
      </vt:variant>
      <vt:variant>
        <vt:i4>1507377</vt:i4>
      </vt:variant>
      <vt:variant>
        <vt:i4>350</vt:i4>
      </vt:variant>
      <vt:variant>
        <vt:i4>0</vt:i4>
      </vt:variant>
      <vt:variant>
        <vt:i4>5</vt:i4>
      </vt:variant>
      <vt:variant>
        <vt:lpwstr/>
      </vt:variant>
      <vt:variant>
        <vt:lpwstr>_Toc132631144</vt:lpwstr>
      </vt:variant>
      <vt:variant>
        <vt:i4>1507377</vt:i4>
      </vt:variant>
      <vt:variant>
        <vt:i4>344</vt:i4>
      </vt:variant>
      <vt:variant>
        <vt:i4>0</vt:i4>
      </vt:variant>
      <vt:variant>
        <vt:i4>5</vt:i4>
      </vt:variant>
      <vt:variant>
        <vt:lpwstr/>
      </vt:variant>
      <vt:variant>
        <vt:lpwstr>_Toc132631143</vt:lpwstr>
      </vt:variant>
      <vt:variant>
        <vt:i4>1507377</vt:i4>
      </vt:variant>
      <vt:variant>
        <vt:i4>338</vt:i4>
      </vt:variant>
      <vt:variant>
        <vt:i4>0</vt:i4>
      </vt:variant>
      <vt:variant>
        <vt:i4>5</vt:i4>
      </vt:variant>
      <vt:variant>
        <vt:lpwstr/>
      </vt:variant>
      <vt:variant>
        <vt:lpwstr>_Toc132631142</vt:lpwstr>
      </vt:variant>
      <vt:variant>
        <vt:i4>1507377</vt:i4>
      </vt:variant>
      <vt:variant>
        <vt:i4>332</vt:i4>
      </vt:variant>
      <vt:variant>
        <vt:i4>0</vt:i4>
      </vt:variant>
      <vt:variant>
        <vt:i4>5</vt:i4>
      </vt:variant>
      <vt:variant>
        <vt:lpwstr/>
      </vt:variant>
      <vt:variant>
        <vt:lpwstr>_Toc132631141</vt:lpwstr>
      </vt:variant>
      <vt:variant>
        <vt:i4>1507377</vt:i4>
      </vt:variant>
      <vt:variant>
        <vt:i4>326</vt:i4>
      </vt:variant>
      <vt:variant>
        <vt:i4>0</vt:i4>
      </vt:variant>
      <vt:variant>
        <vt:i4>5</vt:i4>
      </vt:variant>
      <vt:variant>
        <vt:lpwstr/>
      </vt:variant>
      <vt:variant>
        <vt:lpwstr>_Toc132631140</vt:lpwstr>
      </vt:variant>
      <vt:variant>
        <vt:i4>1048625</vt:i4>
      </vt:variant>
      <vt:variant>
        <vt:i4>320</vt:i4>
      </vt:variant>
      <vt:variant>
        <vt:i4>0</vt:i4>
      </vt:variant>
      <vt:variant>
        <vt:i4>5</vt:i4>
      </vt:variant>
      <vt:variant>
        <vt:lpwstr/>
      </vt:variant>
      <vt:variant>
        <vt:lpwstr>_Toc132631139</vt:lpwstr>
      </vt:variant>
      <vt:variant>
        <vt:i4>1048625</vt:i4>
      </vt:variant>
      <vt:variant>
        <vt:i4>314</vt:i4>
      </vt:variant>
      <vt:variant>
        <vt:i4>0</vt:i4>
      </vt:variant>
      <vt:variant>
        <vt:i4>5</vt:i4>
      </vt:variant>
      <vt:variant>
        <vt:lpwstr/>
      </vt:variant>
      <vt:variant>
        <vt:lpwstr>_Toc132631138</vt:lpwstr>
      </vt:variant>
      <vt:variant>
        <vt:i4>1048625</vt:i4>
      </vt:variant>
      <vt:variant>
        <vt:i4>308</vt:i4>
      </vt:variant>
      <vt:variant>
        <vt:i4>0</vt:i4>
      </vt:variant>
      <vt:variant>
        <vt:i4>5</vt:i4>
      </vt:variant>
      <vt:variant>
        <vt:lpwstr/>
      </vt:variant>
      <vt:variant>
        <vt:lpwstr>_Toc132631137</vt:lpwstr>
      </vt:variant>
      <vt:variant>
        <vt:i4>1048625</vt:i4>
      </vt:variant>
      <vt:variant>
        <vt:i4>302</vt:i4>
      </vt:variant>
      <vt:variant>
        <vt:i4>0</vt:i4>
      </vt:variant>
      <vt:variant>
        <vt:i4>5</vt:i4>
      </vt:variant>
      <vt:variant>
        <vt:lpwstr/>
      </vt:variant>
      <vt:variant>
        <vt:lpwstr>_Toc132631136</vt:lpwstr>
      </vt:variant>
      <vt:variant>
        <vt:i4>1048625</vt:i4>
      </vt:variant>
      <vt:variant>
        <vt:i4>296</vt:i4>
      </vt:variant>
      <vt:variant>
        <vt:i4>0</vt:i4>
      </vt:variant>
      <vt:variant>
        <vt:i4>5</vt:i4>
      </vt:variant>
      <vt:variant>
        <vt:lpwstr/>
      </vt:variant>
      <vt:variant>
        <vt:lpwstr>_Toc132631135</vt:lpwstr>
      </vt:variant>
      <vt:variant>
        <vt:i4>1048625</vt:i4>
      </vt:variant>
      <vt:variant>
        <vt:i4>290</vt:i4>
      </vt:variant>
      <vt:variant>
        <vt:i4>0</vt:i4>
      </vt:variant>
      <vt:variant>
        <vt:i4>5</vt:i4>
      </vt:variant>
      <vt:variant>
        <vt:lpwstr/>
      </vt:variant>
      <vt:variant>
        <vt:lpwstr>_Toc132631134</vt:lpwstr>
      </vt:variant>
      <vt:variant>
        <vt:i4>1048625</vt:i4>
      </vt:variant>
      <vt:variant>
        <vt:i4>284</vt:i4>
      </vt:variant>
      <vt:variant>
        <vt:i4>0</vt:i4>
      </vt:variant>
      <vt:variant>
        <vt:i4>5</vt:i4>
      </vt:variant>
      <vt:variant>
        <vt:lpwstr/>
      </vt:variant>
      <vt:variant>
        <vt:lpwstr>_Toc132631133</vt:lpwstr>
      </vt:variant>
      <vt:variant>
        <vt:i4>1048625</vt:i4>
      </vt:variant>
      <vt:variant>
        <vt:i4>278</vt:i4>
      </vt:variant>
      <vt:variant>
        <vt:i4>0</vt:i4>
      </vt:variant>
      <vt:variant>
        <vt:i4>5</vt:i4>
      </vt:variant>
      <vt:variant>
        <vt:lpwstr/>
      </vt:variant>
      <vt:variant>
        <vt:lpwstr>_Toc132631132</vt:lpwstr>
      </vt:variant>
      <vt:variant>
        <vt:i4>1048625</vt:i4>
      </vt:variant>
      <vt:variant>
        <vt:i4>272</vt:i4>
      </vt:variant>
      <vt:variant>
        <vt:i4>0</vt:i4>
      </vt:variant>
      <vt:variant>
        <vt:i4>5</vt:i4>
      </vt:variant>
      <vt:variant>
        <vt:lpwstr/>
      </vt:variant>
      <vt:variant>
        <vt:lpwstr>_Toc132631131</vt:lpwstr>
      </vt:variant>
      <vt:variant>
        <vt:i4>1048625</vt:i4>
      </vt:variant>
      <vt:variant>
        <vt:i4>266</vt:i4>
      </vt:variant>
      <vt:variant>
        <vt:i4>0</vt:i4>
      </vt:variant>
      <vt:variant>
        <vt:i4>5</vt:i4>
      </vt:variant>
      <vt:variant>
        <vt:lpwstr/>
      </vt:variant>
      <vt:variant>
        <vt:lpwstr>_Toc132631130</vt:lpwstr>
      </vt:variant>
      <vt:variant>
        <vt:i4>1114161</vt:i4>
      </vt:variant>
      <vt:variant>
        <vt:i4>260</vt:i4>
      </vt:variant>
      <vt:variant>
        <vt:i4>0</vt:i4>
      </vt:variant>
      <vt:variant>
        <vt:i4>5</vt:i4>
      </vt:variant>
      <vt:variant>
        <vt:lpwstr/>
      </vt:variant>
      <vt:variant>
        <vt:lpwstr>_Toc132631129</vt:lpwstr>
      </vt:variant>
      <vt:variant>
        <vt:i4>1114161</vt:i4>
      </vt:variant>
      <vt:variant>
        <vt:i4>254</vt:i4>
      </vt:variant>
      <vt:variant>
        <vt:i4>0</vt:i4>
      </vt:variant>
      <vt:variant>
        <vt:i4>5</vt:i4>
      </vt:variant>
      <vt:variant>
        <vt:lpwstr/>
      </vt:variant>
      <vt:variant>
        <vt:lpwstr>_Toc132631128</vt:lpwstr>
      </vt:variant>
      <vt:variant>
        <vt:i4>1114161</vt:i4>
      </vt:variant>
      <vt:variant>
        <vt:i4>248</vt:i4>
      </vt:variant>
      <vt:variant>
        <vt:i4>0</vt:i4>
      </vt:variant>
      <vt:variant>
        <vt:i4>5</vt:i4>
      </vt:variant>
      <vt:variant>
        <vt:lpwstr/>
      </vt:variant>
      <vt:variant>
        <vt:lpwstr>_Toc132631127</vt:lpwstr>
      </vt:variant>
      <vt:variant>
        <vt:i4>1114161</vt:i4>
      </vt:variant>
      <vt:variant>
        <vt:i4>242</vt:i4>
      </vt:variant>
      <vt:variant>
        <vt:i4>0</vt:i4>
      </vt:variant>
      <vt:variant>
        <vt:i4>5</vt:i4>
      </vt:variant>
      <vt:variant>
        <vt:lpwstr/>
      </vt:variant>
      <vt:variant>
        <vt:lpwstr>_Toc132631126</vt:lpwstr>
      </vt:variant>
      <vt:variant>
        <vt:i4>1114161</vt:i4>
      </vt:variant>
      <vt:variant>
        <vt:i4>236</vt:i4>
      </vt:variant>
      <vt:variant>
        <vt:i4>0</vt:i4>
      </vt:variant>
      <vt:variant>
        <vt:i4>5</vt:i4>
      </vt:variant>
      <vt:variant>
        <vt:lpwstr/>
      </vt:variant>
      <vt:variant>
        <vt:lpwstr>_Toc132631125</vt:lpwstr>
      </vt:variant>
      <vt:variant>
        <vt:i4>1114161</vt:i4>
      </vt:variant>
      <vt:variant>
        <vt:i4>230</vt:i4>
      </vt:variant>
      <vt:variant>
        <vt:i4>0</vt:i4>
      </vt:variant>
      <vt:variant>
        <vt:i4>5</vt:i4>
      </vt:variant>
      <vt:variant>
        <vt:lpwstr/>
      </vt:variant>
      <vt:variant>
        <vt:lpwstr>_Toc132631124</vt:lpwstr>
      </vt:variant>
      <vt:variant>
        <vt:i4>1114161</vt:i4>
      </vt:variant>
      <vt:variant>
        <vt:i4>224</vt:i4>
      </vt:variant>
      <vt:variant>
        <vt:i4>0</vt:i4>
      </vt:variant>
      <vt:variant>
        <vt:i4>5</vt:i4>
      </vt:variant>
      <vt:variant>
        <vt:lpwstr/>
      </vt:variant>
      <vt:variant>
        <vt:lpwstr>_Toc132631123</vt:lpwstr>
      </vt:variant>
      <vt:variant>
        <vt:i4>1114161</vt:i4>
      </vt:variant>
      <vt:variant>
        <vt:i4>218</vt:i4>
      </vt:variant>
      <vt:variant>
        <vt:i4>0</vt:i4>
      </vt:variant>
      <vt:variant>
        <vt:i4>5</vt:i4>
      </vt:variant>
      <vt:variant>
        <vt:lpwstr/>
      </vt:variant>
      <vt:variant>
        <vt:lpwstr>_Toc132631122</vt:lpwstr>
      </vt:variant>
      <vt:variant>
        <vt:i4>1114161</vt:i4>
      </vt:variant>
      <vt:variant>
        <vt:i4>212</vt:i4>
      </vt:variant>
      <vt:variant>
        <vt:i4>0</vt:i4>
      </vt:variant>
      <vt:variant>
        <vt:i4>5</vt:i4>
      </vt:variant>
      <vt:variant>
        <vt:lpwstr/>
      </vt:variant>
      <vt:variant>
        <vt:lpwstr>_Toc132631121</vt:lpwstr>
      </vt:variant>
      <vt:variant>
        <vt:i4>1114161</vt:i4>
      </vt:variant>
      <vt:variant>
        <vt:i4>206</vt:i4>
      </vt:variant>
      <vt:variant>
        <vt:i4>0</vt:i4>
      </vt:variant>
      <vt:variant>
        <vt:i4>5</vt:i4>
      </vt:variant>
      <vt:variant>
        <vt:lpwstr/>
      </vt:variant>
      <vt:variant>
        <vt:lpwstr>_Toc132631120</vt:lpwstr>
      </vt:variant>
      <vt:variant>
        <vt:i4>1179697</vt:i4>
      </vt:variant>
      <vt:variant>
        <vt:i4>200</vt:i4>
      </vt:variant>
      <vt:variant>
        <vt:i4>0</vt:i4>
      </vt:variant>
      <vt:variant>
        <vt:i4>5</vt:i4>
      </vt:variant>
      <vt:variant>
        <vt:lpwstr/>
      </vt:variant>
      <vt:variant>
        <vt:lpwstr>_Toc132631119</vt:lpwstr>
      </vt:variant>
      <vt:variant>
        <vt:i4>1179697</vt:i4>
      </vt:variant>
      <vt:variant>
        <vt:i4>194</vt:i4>
      </vt:variant>
      <vt:variant>
        <vt:i4>0</vt:i4>
      </vt:variant>
      <vt:variant>
        <vt:i4>5</vt:i4>
      </vt:variant>
      <vt:variant>
        <vt:lpwstr/>
      </vt:variant>
      <vt:variant>
        <vt:lpwstr>_Toc132631118</vt:lpwstr>
      </vt:variant>
      <vt:variant>
        <vt:i4>1179697</vt:i4>
      </vt:variant>
      <vt:variant>
        <vt:i4>188</vt:i4>
      </vt:variant>
      <vt:variant>
        <vt:i4>0</vt:i4>
      </vt:variant>
      <vt:variant>
        <vt:i4>5</vt:i4>
      </vt:variant>
      <vt:variant>
        <vt:lpwstr/>
      </vt:variant>
      <vt:variant>
        <vt:lpwstr>_Toc132631117</vt:lpwstr>
      </vt:variant>
      <vt:variant>
        <vt:i4>1179697</vt:i4>
      </vt:variant>
      <vt:variant>
        <vt:i4>182</vt:i4>
      </vt:variant>
      <vt:variant>
        <vt:i4>0</vt:i4>
      </vt:variant>
      <vt:variant>
        <vt:i4>5</vt:i4>
      </vt:variant>
      <vt:variant>
        <vt:lpwstr/>
      </vt:variant>
      <vt:variant>
        <vt:lpwstr>_Toc132631116</vt:lpwstr>
      </vt:variant>
      <vt:variant>
        <vt:i4>1179697</vt:i4>
      </vt:variant>
      <vt:variant>
        <vt:i4>176</vt:i4>
      </vt:variant>
      <vt:variant>
        <vt:i4>0</vt:i4>
      </vt:variant>
      <vt:variant>
        <vt:i4>5</vt:i4>
      </vt:variant>
      <vt:variant>
        <vt:lpwstr/>
      </vt:variant>
      <vt:variant>
        <vt:lpwstr>_Toc132631115</vt:lpwstr>
      </vt:variant>
      <vt:variant>
        <vt:i4>1179697</vt:i4>
      </vt:variant>
      <vt:variant>
        <vt:i4>170</vt:i4>
      </vt:variant>
      <vt:variant>
        <vt:i4>0</vt:i4>
      </vt:variant>
      <vt:variant>
        <vt:i4>5</vt:i4>
      </vt:variant>
      <vt:variant>
        <vt:lpwstr/>
      </vt:variant>
      <vt:variant>
        <vt:lpwstr>_Toc132631114</vt:lpwstr>
      </vt:variant>
      <vt:variant>
        <vt:i4>1179697</vt:i4>
      </vt:variant>
      <vt:variant>
        <vt:i4>164</vt:i4>
      </vt:variant>
      <vt:variant>
        <vt:i4>0</vt:i4>
      </vt:variant>
      <vt:variant>
        <vt:i4>5</vt:i4>
      </vt:variant>
      <vt:variant>
        <vt:lpwstr/>
      </vt:variant>
      <vt:variant>
        <vt:lpwstr>_Toc132631113</vt:lpwstr>
      </vt:variant>
      <vt:variant>
        <vt:i4>1179697</vt:i4>
      </vt:variant>
      <vt:variant>
        <vt:i4>158</vt:i4>
      </vt:variant>
      <vt:variant>
        <vt:i4>0</vt:i4>
      </vt:variant>
      <vt:variant>
        <vt:i4>5</vt:i4>
      </vt:variant>
      <vt:variant>
        <vt:lpwstr/>
      </vt:variant>
      <vt:variant>
        <vt:lpwstr>_Toc132631112</vt:lpwstr>
      </vt:variant>
      <vt:variant>
        <vt:i4>1179697</vt:i4>
      </vt:variant>
      <vt:variant>
        <vt:i4>152</vt:i4>
      </vt:variant>
      <vt:variant>
        <vt:i4>0</vt:i4>
      </vt:variant>
      <vt:variant>
        <vt:i4>5</vt:i4>
      </vt:variant>
      <vt:variant>
        <vt:lpwstr/>
      </vt:variant>
      <vt:variant>
        <vt:lpwstr>_Toc132631111</vt:lpwstr>
      </vt:variant>
      <vt:variant>
        <vt:i4>1179697</vt:i4>
      </vt:variant>
      <vt:variant>
        <vt:i4>146</vt:i4>
      </vt:variant>
      <vt:variant>
        <vt:i4>0</vt:i4>
      </vt:variant>
      <vt:variant>
        <vt:i4>5</vt:i4>
      </vt:variant>
      <vt:variant>
        <vt:lpwstr/>
      </vt:variant>
      <vt:variant>
        <vt:lpwstr>_Toc132631110</vt:lpwstr>
      </vt:variant>
      <vt:variant>
        <vt:i4>1245233</vt:i4>
      </vt:variant>
      <vt:variant>
        <vt:i4>140</vt:i4>
      </vt:variant>
      <vt:variant>
        <vt:i4>0</vt:i4>
      </vt:variant>
      <vt:variant>
        <vt:i4>5</vt:i4>
      </vt:variant>
      <vt:variant>
        <vt:lpwstr/>
      </vt:variant>
      <vt:variant>
        <vt:lpwstr>_Toc132631109</vt:lpwstr>
      </vt:variant>
      <vt:variant>
        <vt:i4>1245233</vt:i4>
      </vt:variant>
      <vt:variant>
        <vt:i4>134</vt:i4>
      </vt:variant>
      <vt:variant>
        <vt:i4>0</vt:i4>
      </vt:variant>
      <vt:variant>
        <vt:i4>5</vt:i4>
      </vt:variant>
      <vt:variant>
        <vt:lpwstr/>
      </vt:variant>
      <vt:variant>
        <vt:lpwstr>_Toc132631108</vt:lpwstr>
      </vt:variant>
      <vt:variant>
        <vt:i4>1245233</vt:i4>
      </vt:variant>
      <vt:variant>
        <vt:i4>128</vt:i4>
      </vt:variant>
      <vt:variant>
        <vt:i4>0</vt:i4>
      </vt:variant>
      <vt:variant>
        <vt:i4>5</vt:i4>
      </vt:variant>
      <vt:variant>
        <vt:lpwstr/>
      </vt:variant>
      <vt:variant>
        <vt:lpwstr>_Toc132631107</vt:lpwstr>
      </vt:variant>
      <vt:variant>
        <vt:i4>1245233</vt:i4>
      </vt:variant>
      <vt:variant>
        <vt:i4>122</vt:i4>
      </vt:variant>
      <vt:variant>
        <vt:i4>0</vt:i4>
      </vt:variant>
      <vt:variant>
        <vt:i4>5</vt:i4>
      </vt:variant>
      <vt:variant>
        <vt:lpwstr/>
      </vt:variant>
      <vt:variant>
        <vt:lpwstr>_Toc132631106</vt:lpwstr>
      </vt:variant>
      <vt:variant>
        <vt:i4>1245233</vt:i4>
      </vt:variant>
      <vt:variant>
        <vt:i4>116</vt:i4>
      </vt:variant>
      <vt:variant>
        <vt:i4>0</vt:i4>
      </vt:variant>
      <vt:variant>
        <vt:i4>5</vt:i4>
      </vt:variant>
      <vt:variant>
        <vt:lpwstr/>
      </vt:variant>
      <vt:variant>
        <vt:lpwstr>_Toc132631105</vt:lpwstr>
      </vt:variant>
      <vt:variant>
        <vt:i4>1245233</vt:i4>
      </vt:variant>
      <vt:variant>
        <vt:i4>110</vt:i4>
      </vt:variant>
      <vt:variant>
        <vt:i4>0</vt:i4>
      </vt:variant>
      <vt:variant>
        <vt:i4>5</vt:i4>
      </vt:variant>
      <vt:variant>
        <vt:lpwstr/>
      </vt:variant>
      <vt:variant>
        <vt:lpwstr>_Toc132631104</vt:lpwstr>
      </vt:variant>
      <vt:variant>
        <vt:i4>1245233</vt:i4>
      </vt:variant>
      <vt:variant>
        <vt:i4>104</vt:i4>
      </vt:variant>
      <vt:variant>
        <vt:i4>0</vt:i4>
      </vt:variant>
      <vt:variant>
        <vt:i4>5</vt:i4>
      </vt:variant>
      <vt:variant>
        <vt:lpwstr/>
      </vt:variant>
      <vt:variant>
        <vt:lpwstr>_Toc132631103</vt:lpwstr>
      </vt:variant>
      <vt:variant>
        <vt:i4>1245233</vt:i4>
      </vt:variant>
      <vt:variant>
        <vt:i4>98</vt:i4>
      </vt:variant>
      <vt:variant>
        <vt:i4>0</vt:i4>
      </vt:variant>
      <vt:variant>
        <vt:i4>5</vt:i4>
      </vt:variant>
      <vt:variant>
        <vt:lpwstr/>
      </vt:variant>
      <vt:variant>
        <vt:lpwstr>_Toc132631102</vt:lpwstr>
      </vt:variant>
      <vt:variant>
        <vt:i4>1245233</vt:i4>
      </vt:variant>
      <vt:variant>
        <vt:i4>92</vt:i4>
      </vt:variant>
      <vt:variant>
        <vt:i4>0</vt:i4>
      </vt:variant>
      <vt:variant>
        <vt:i4>5</vt:i4>
      </vt:variant>
      <vt:variant>
        <vt:lpwstr/>
      </vt:variant>
      <vt:variant>
        <vt:lpwstr>_Toc132631101</vt:lpwstr>
      </vt:variant>
      <vt:variant>
        <vt:i4>1245233</vt:i4>
      </vt:variant>
      <vt:variant>
        <vt:i4>86</vt:i4>
      </vt:variant>
      <vt:variant>
        <vt:i4>0</vt:i4>
      </vt:variant>
      <vt:variant>
        <vt:i4>5</vt:i4>
      </vt:variant>
      <vt:variant>
        <vt:lpwstr/>
      </vt:variant>
      <vt:variant>
        <vt:lpwstr>_Toc132631100</vt:lpwstr>
      </vt:variant>
      <vt:variant>
        <vt:i4>1703984</vt:i4>
      </vt:variant>
      <vt:variant>
        <vt:i4>80</vt:i4>
      </vt:variant>
      <vt:variant>
        <vt:i4>0</vt:i4>
      </vt:variant>
      <vt:variant>
        <vt:i4>5</vt:i4>
      </vt:variant>
      <vt:variant>
        <vt:lpwstr/>
      </vt:variant>
      <vt:variant>
        <vt:lpwstr>_Toc132631099</vt:lpwstr>
      </vt:variant>
      <vt:variant>
        <vt:i4>1703984</vt:i4>
      </vt:variant>
      <vt:variant>
        <vt:i4>74</vt:i4>
      </vt:variant>
      <vt:variant>
        <vt:i4>0</vt:i4>
      </vt:variant>
      <vt:variant>
        <vt:i4>5</vt:i4>
      </vt:variant>
      <vt:variant>
        <vt:lpwstr/>
      </vt:variant>
      <vt:variant>
        <vt:lpwstr>_Toc132631098</vt:lpwstr>
      </vt:variant>
      <vt:variant>
        <vt:i4>1703984</vt:i4>
      </vt:variant>
      <vt:variant>
        <vt:i4>68</vt:i4>
      </vt:variant>
      <vt:variant>
        <vt:i4>0</vt:i4>
      </vt:variant>
      <vt:variant>
        <vt:i4>5</vt:i4>
      </vt:variant>
      <vt:variant>
        <vt:lpwstr/>
      </vt:variant>
      <vt:variant>
        <vt:lpwstr>_Toc132631097</vt:lpwstr>
      </vt:variant>
      <vt:variant>
        <vt:i4>1703984</vt:i4>
      </vt:variant>
      <vt:variant>
        <vt:i4>62</vt:i4>
      </vt:variant>
      <vt:variant>
        <vt:i4>0</vt:i4>
      </vt:variant>
      <vt:variant>
        <vt:i4>5</vt:i4>
      </vt:variant>
      <vt:variant>
        <vt:lpwstr/>
      </vt:variant>
      <vt:variant>
        <vt:lpwstr>_Toc132631096</vt:lpwstr>
      </vt:variant>
      <vt:variant>
        <vt:i4>1703984</vt:i4>
      </vt:variant>
      <vt:variant>
        <vt:i4>56</vt:i4>
      </vt:variant>
      <vt:variant>
        <vt:i4>0</vt:i4>
      </vt:variant>
      <vt:variant>
        <vt:i4>5</vt:i4>
      </vt:variant>
      <vt:variant>
        <vt:lpwstr/>
      </vt:variant>
      <vt:variant>
        <vt:lpwstr>_Toc132631095</vt:lpwstr>
      </vt:variant>
      <vt:variant>
        <vt:i4>1703984</vt:i4>
      </vt:variant>
      <vt:variant>
        <vt:i4>50</vt:i4>
      </vt:variant>
      <vt:variant>
        <vt:i4>0</vt:i4>
      </vt:variant>
      <vt:variant>
        <vt:i4>5</vt:i4>
      </vt:variant>
      <vt:variant>
        <vt:lpwstr/>
      </vt:variant>
      <vt:variant>
        <vt:lpwstr>_Toc132631094</vt:lpwstr>
      </vt:variant>
      <vt:variant>
        <vt:i4>1703984</vt:i4>
      </vt:variant>
      <vt:variant>
        <vt:i4>44</vt:i4>
      </vt:variant>
      <vt:variant>
        <vt:i4>0</vt:i4>
      </vt:variant>
      <vt:variant>
        <vt:i4>5</vt:i4>
      </vt:variant>
      <vt:variant>
        <vt:lpwstr/>
      </vt:variant>
      <vt:variant>
        <vt:lpwstr>_Toc132631093</vt:lpwstr>
      </vt:variant>
      <vt:variant>
        <vt:i4>1703984</vt:i4>
      </vt:variant>
      <vt:variant>
        <vt:i4>38</vt:i4>
      </vt:variant>
      <vt:variant>
        <vt:i4>0</vt:i4>
      </vt:variant>
      <vt:variant>
        <vt:i4>5</vt:i4>
      </vt:variant>
      <vt:variant>
        <vt:lpwstr/>
      </vt:variant>
      <vt:variant>
        <vt:lpwstr>_Toc132631092</vt:lpwstr>
      </vt:variant>
      <vt:variant>
        <vt:i4>1703984</vt:i4>
      </vt:variant>
      <vt:variant>
        <vt:i4>32</vt:i4>
      </vt:variant>
      <vt:variant>
        <vt:i4>0</vt:i4>
      </vt:variant>
      <vt:variant>
        <vt:i4>5</vt:i4>
      </vt:variant>
      <vt:variant>
        <vt:lpwstr/>
      </vt:variant>
      <vt:variant>
        <vt:lpwstr>_Toc132631091</vt:lpwstr>
      </vt:variant>
      <vt:variant>
        <vt:i4>1703984</vt:i4>
      </vt:variant>
      <vt:variant>
        <vt:i4>26</vt:i4>
      </vt:variant>
      <vt:variant>
        <vt:i4>0</vt:i4>
      </vt:variant>
      <vt:variant>
        <vt:i4>5</vt:i4>
      </vt:variant>
      <vt:variant>
        <vt:lpwstr/>
      </vt:variant>
      <vt:variant>
        <vt:lpwstr>_Toc132631090</vt:lpwstr>
      </vt:variant>
      <vt:variant>
        <vt:i4>1769520</vt:i4>
      </vt:variant>
      <vt:variant>
        <vt:i4>20</vt:i4>
      </vt:variant>
      <vt:variant>
        <vt:i4>0</vt:i4>
      </vt:variant>
      <vt:variant>
        <vt:i4>5</vt:i4>
      </vt:variant>
      <vt:variant>
        <vt:lpwstr/>
      </vt:variant>
      <vt:variant>
        <vt:lpwstr>_Toc132631089</vt:lpwstr>
      </vt:variant>
      <vt:variant>
        <vt:i4>1769520</vt:i4>
      </vt:variant>
      <vt:variant>
        <vt:i4>14</vt:i4>
      </vt:variant>
      <vt:variant>
        <vt:i4>0</vt:i4>
      </vt:variant>
      <vt:variant>
        <vt:i4>5</vt:i4>
      </vt:variant>
      <vt:variant>
        <vt:lpwstr/>
      </vt:variant>
      <vt:variant>
        <vt:lpwstr>_Toc132631088</vt:lpwstr>
      </vt:variant>
      <vt:variant>
        <vt:i4>1769520</vt:i4>
      </vt:variant>
      <vt:variant>
        <vt:i4>8</vt:i4>
      </vt:variant>
      <vt:variant>
        <vt:i4>0</vt:i4>
      </vt:variant>
      <vt:variant>
        <vt:i4>5</vt:i4>
      </vt:variant>
      <vt:variant>
        <vt:lpwstr/>
      </vt:variant>
      <vt:variant>
        <vt:lpwstr>_Toc132631087</vt:lpwstr>
      </vt:variant>
      <vt:variant>
        <vt:i4>1769520</vt:i4>
      </vt:variant>
      <vt:variant>
        <vt:i4>2</vt:i4>
      </vt:variant>
      <vt:variant>
        <vt:i4>0</vt:i4>
      </vt:variant>
      <vt:variant>
        <vt:i4>5</vt:i4>
      </vt:variant>
      <vt:variant>
        <vt:lpwstr/>
      </vt:variant>
      <vt:variant>
        <vt:lpwstr>_Toc132631086</vt:lpwstr>
      </vt:variant>
      <vt:variant>
        <vt:i4>7667748</vt:i4>
      </vt:variant>
      <vt:variant>
        <vt:i4>0</vt:i4>
      </vt:variant>
      <vt:variant>
        <vt:i4>0</vt:i4>
      </vt:variant>
      <vt:variant>
        <vt:i4>5</vt:i4>
      </vt:variant>
      <vt:variant>
        <vt:lpwstr>https://www.nice.org.uk/guidance/TA825</vt:lpwstr>
      </vt:variant>
      <vt:variant>
        <vt:lpwstr/>
      </vt:variant>
      <vt:variant>
        <vt:i4>393221</vt:i4>
      </vt:variant>
      <vt:variant>
        <vt:i4>0</vt:i4>
      </vt:variant>
      <vt:variant>
        <vt:i4>0</vt:i4>
      </vt:variant>
      <vt:variant>
        <vt:i4>5</vt:i4>
      </vt:variant>
      <vt:variant>
        <vt:lpwstr>https://pubmed.ncbi.nlm.nih.gov/37069984/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2023-10-30T03:57:00Z</dcterms:created>
  <dcterms:modified xsi:type="dcterms:W3CDTF">2023-11-07T05:14:00Z</dcterms:modified>
</cp:coreProperties>
</file>